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2009 No. 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December 21, 2009, the registrant announces on revising Fourth Quarter 2009 Guidance.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593725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700"/>
          </w:cols>
          <w:pgMar w:left="900" w:top="611"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3"/>
          </w:tcPr>
          <w:p>
            <w:pPr>
              <w:ind w:left="152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400" w:type="dxa"/>
            <w:vAlign w:val="bottom"/>
          </w:tcPr>
          <w:p>
            <w:pPr>
              <w:spacing w:after="0"/>
              <w:rPr>
                <w:sz w:val="20"/>
                <w:szCs w:val="20"/>
                <w:color w:val="auto"/>
              </w:rPr>
            </w:pPr>
            <w:r>
              <w:rPr>
                <w:rFonts w:ascii="Arial" w:cs="Arial" w:eastAsia="Arial" w:hAnsi="Arial"/>
                <w:sz w:val="18"/>
                <w:szCs w:val="18"/>
                <w:color w:val="auto"/>
              </w:rPr>
              <w:t>Date: December 21, 2009</w:t>
            </w:r>
          </w:p>
        </w:tc>
        <w:tc>
          <w:tcPr>
            <w:tcW w:w="8020" w:type="dxa"/>
            <w:vAlign w:val="bottom"/>
            <w:gridSpan w:val="3"/>
          </w:tcPr>
          <w:p>
            <w:pPr>
              <w:ind w:left="1520"/>
              <w:spacing w:after="0"/>
              <w:rPr>
                <w:sz w:val="20"/>
                <w:szCs w:val="20"/>
                <w:color w:val="auto"/>
              </w:rPr>
            </w:pPr>
            <w:r>
              <w:rPr>
                <w:rFonts w:ascii="Arial" w:cs="Arial" w:eastAsia="Arial" w:hAnsi="Arial"/>
                <w:sz w:val="18"/>
                <w:szCs w:val="18"/>
                <w:color w:val="auto"/>
              </w:rPr>
              <w:t>By: /s/ Nati Somekh Gilboa</w:t>
            </w:r>
          </w:p>
        </w:tc>
      </w:tr>
      <w:tr>
        <w:trPr>
          <w:trHeight w:val="20"/>
        </w:trPr>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22"/>
        </w:trPr>
        <w:tc>
          <w:tcPr>
            <w:tcW w:w="3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Name: Nati Somekh Gilboa</w:t>
            </w:r>
          </w:p>
        </w:tc>
      </w:tr>
      <w:tr>
        <w:trPr>
          <w:trHeight w:val="230"/>
        </w:trPr>
        <w:tc>
          <w:tcPr>
            <w:tcW w:w="3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1590"/>
        </w:trPr>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61"/>
        </w:trPr>
        <w:tc>
          <w:tcPr>
            <w:tcW w:w="340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TowerJazz Revises Fourth Quarter Guidance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Completed First Milestone in Asian Project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MIGDAL HAEMEK, Israel – December 21, 2009 </w:t>
      </w:r>
      <w:r>
        <w:rPr>
          <w:rFonts w:ascii="Arial" w:cs="Arial" w:eastAsia="Arial" w:hAnsi="Arial"/>
          <w:sz w:val="18"/>
          <w:szCs w:val="18"/>
          <w:color w:val="auto"/>
        </w:rPr>
        <w:t>– TowerJazz, the global specialty foundry leader, today announced it expects fourth-quarter revenue to</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the company’s previous guidance given on November 9, 2009 due to successful completion of the first milestone in its Asian project announced on November 23, 2009, in which TowerJazz is providing know-how, training and turnkey manufacturing solutions.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now expects fourth-quarter revenue to be between $98 million and $102 million, which is higher than the previous guidance of $90 million to $94 million, with a mid-range representing a 26% increase from previous quarter revenues and a 29% increase year over year and representing company record revenue.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Russell Ellwanger, chief executive officer of TowerJazz, said: “To be in the guidance range of $100 million is a significant achievement for the company. We foresee the following quarters in 2010 to continue to grow on top of this new baseline performance. I can imagine no place that is more exciting to work than at TowerJazz.”</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Tower Semiconductor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noitle@towersemi.com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GK Investor Relations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Kenny Green, (646) 201 9246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info@gkir.com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2019-12-10T12:57:56Z</dcterms:created>
  <dcterms:modified xsi:type="dcterms:W3CDTF">2019-12-10T12:57:56Z</dcterms:modified>
</cp:coreProperties>
</file>