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left="360" w:right="880"/>
        <w:spacing w:after="0" w:line="282"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 the month of February 2022 No. 1</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Commission file number: 000-24790</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w:t>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9" w:lineRule="exact"/>
        <w:rPr>
          <w:sz w:val="24"/>
          <w:szCs w:val="24"/>
          <w:color w:val="auto"/>
        </w:rPr>
      </w:pPr>
    </w:p>
    <w:p>
      <w:pPr>
        <w:jc w:val="center"/>
        <w:ind w:right="-3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327"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32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ENTRY INTO MERGER AGREEMENT</w:t>
      </w:r>
    </w:p>
    <w:p>
      <w:pPr>
        <w:spacing w:after="0" w:line="293"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2"/>
          <w:szCs w:val="22"/>
          <w:color w:val="auto"/>
        </w:rPr>
        <w:t>On February 15, 2022, Tower Semiconductor Ltd., a company organized under the laws of the State of Israel (the “Company”), entered into an Agreement and Plan of Merger (the “Merger Agreement”) with Intel Corporation, a Delaware corporation (“Ultimate Parent”), Intel FS Inc., a Delaware corporation (“Parent”), and Steel Titanium 2022 Ltd., a company organized under the laws of the State of Israel and wholly owned subsidiary of Parent (“Merger Sub”). The Merger Agreement and the Merger (as defined below) have been unanimously approved by the boards of directors of the Company, Parent and Merger Sub.</w:t>
      </w:r>
    </w:p>
    <w:p>
      <w:pPr>
        <w:spacing w:after="0" w:line="246"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2"/>
          <w:szCs w:val="22"/>
          <w:i w:val="1"/>
          <w:iCs w:val="1"/>
          <w:color w:val="auto"/>
        </w:rPr>
        <w:t xml:space="preserve">Structure. </w:t>
      </w:r>
      <w:r>
        <w:rPr>
          <w:rFonts w:ascii="Arial" w:cs="Arial" w:eastAsia="Arial" w:hAnsi="Arial"/>
          <w:sz w:val="22"/>
          <w:szCs w:val="22"/>
          <w:color w:val="auto"/>
        </w:rPr>
        <w:t>The Merger Agreement provides that, upon the terms and subject to the satisfaction or waiver of the conditions</w:t>
      </w:r>
      <w:r>
        <w:rPr>
          <w:rFonts w:ascii="Arial" w:cs="Arial" w:eastAsia="Arial" w:hAnsi="Arial"/>
          <w:sz w:val="22"/>
          <w:szCs w:val="22"/>
          <w:i w:val="1"/>
          <w:iCs w:val="1"/>
          <w:color w:val="auto"/>
        </w:rPr>
        <w:t xml:space="preserve"> </w:t>
      </w:r>
      <w:r>
        <w:rPr>
          <w:rFonts w:ascii="Arial" w:cs="Arial" w:eastAsia="Arial" w:hAnsi="Arial"/>
          <w:sz w:val="22"/>
          <w:szCs w:val="22"/>
          <w:color w:val="auto"/>
        </w:rPr>
        <w:t>set forth therein, Merger Sub will be merged with and into the Company (the “Merger”) in accordance with Sections 314-327 of the Companies Law 5759-1999 of the State of Israel, with the Company continuing as the surviving corporation and a wholly owned subsidiary of Parent.</w:t>
      </w:r>
    </w:p>
    <w:p>
      <w:pPr>
        <w:spacing w:after="0" w:line="245"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2"/>
          <w:szCs w:val="22"/>
          <w:i w:val="1"/>
          <w:iCs w:val="1"/>
          <w:color w:val="auto"/>
        </w:rPr>
        <w:t>Consideration</w:t>
      </w:r>
      <w:r>
        <w:rPr>
          <w:rFonts w:ascii="Arial" w:cs="Arial" w:eastAsia="Arial" w:hAnsi="Arial"/>
          <w:sz w:val="22"/>
          <w:szCs w:val="22"/>
          <w:color w:val="auto"/>
        </w:rPr>
        <w:t>. At the effective time of the Merger (the “Effective Time”), each ordinary share, par value NIS 15.00 per</w:t>
      </w:r>
      <w:r>
        <w:rPr>
          <w:rFonts w:ascii="Arial" w:cs="Arial" w:eastAsia="Arial" w:hAnsi="Arial"/>
          <w:sz w:val="22"/>
          <w:szCs w:val="22"/>
          <w:i w:val="1"/>
          <w:iCs w:val="1"/>
          <w:color w:val="auto"/>
        </w:rPr>
        <w:t xml:space="preserve"> </w:t>
      </w:r>
      <w:r>
        <w:rPr>
          <w:rFonts w:ascii="Arial" w:cs="Arial" w:eastAsia="Arial" w:hAnsi="Arial"/>
          <w:sz w:val="22"/>
          <w:szCs w:val="22"/>
          <w:color w:val="auto"/>
        </w:rPr>
        <w:t>share, of the Company (each, a “Company Share”) issued and outstanding immediately prior to the Effective Time, other than any shares owned by the Company, any Company subsidiary, Parent, Merger Sub or by any of their respective subsidiaries or held in the Company’s treasury, will be deemed to have been transferred to Parent in exchange for the right to receive an amount in cash equal to $53.00 (the “Per Share Merger Consideration”), in each case, payable as provided in Section 2.2 of the Merger Agreement.</w:t>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Effect on Company Equity Awards</w:t>
      </w:r>
      <w:r>
        <w:rPr>
          <w:rFonts w:ascii="Arial" w:cs="Arial" w:eastAsia="Arial" w:hAnsi="Arial"/>
          <w:sz w:val="22"/>
          <w:szCs w:val="22"/>
          <w:color w:val="auto"/>
        </w:rPr>
        <w:t>. At the Effective Time:</w:t>
      </w:r>
    </w:p>
    <w:p>
      <w:pPr>
        <w:spacing w:after="0" w:line="274" w:lineRule="exact"/>
        <w:rPr>
          <w:sz w:val="20"/>
          <w:szCs w:val="20"/>
          <w:color w:val="auto"/>
        </w:rPr>
      </w:pPr>
    </w:p>
    <w:p>
      <w:pPr>
        <w:ind w:right="80" w:firstLine="494"/>
        <w:spacing w:after="0" w:line="234" w:lineRule="auto"/>
        <w:tabs>
          <w:tab w:leader="none" w:pos="1102" w:val="left"/>
        </w:tabs>
        <w:numPr>
          <w:ilvl w:val="0"/>
          <w:numId w:val="1"/>
        </w:numPr>
        <w:rPr>
          <w:rFonts w:ascii="Arial" w:cs="Arial" w:eastAsia="Arial" w:hAnsi="Arial"/>
          <w:sz w:val="22"/>
          <w:szCs w:val="22"/>
          <w:color w:val="auto"/>
        </w:rPr>
      </w:pPr>
      <w:r>
        <w:rPr>
          <w:rFonts w:ascii="Arial" w:cs="Arial" w:eastAsia="Arial" w:hAnsi="Arial"/>
          <w:sz w:val="22"/>
          <w:szCs w:val="22"/>
          <w:color w:val="auto"/>
        </w:rPr>
        <w:t>each option to purchase Company Shares that is outstanding immediately prior to the Effective Time and either (i) has fully vested as of immediately prior to the Effective Time in accordance with its terms as of the date of the Merger Agreement or (ii) is held by a non-employee director of the Company (subject to certain exceptions) or otherwise is held by an individual who is not a continuing employee (whether vested or unvested) (each, a “Cashed-Out Company Option”) will be canceled and converted into the right to receive a cash amount equal to the product of (x) the number of Company Shares subject to such option, multiplied by (y) the excess, if any, of the Per Share Merger Consideration over the applicable per share exercise price for such option;</w:t>
      </w:r>
    </w:p>
    <w:p>
      <w:pPr>
        <w:spacing w:after="0" w:line="244" w:lineRule="exact"/>
        <w:rPr>
          <w:rFonts w:ascii="Arial" w:cs="Arial" w:eastAsia="Arial" w:hAnsi="Arial"/>
          <w:sz w:val="22"/>
          <w:szCs w:val="22"/>
          <w:color w:val="auto"/>
        </w:rPr>
      </w:pPr>
    </w:p>
    <w:p>
      <w:pPr>
        <w:ind w:right="60" w:firstLine="494"/>
        <w:spacing w:after="0" w:line="272" w:lineRule="auto"/>
        <w:tabs>
          <w:tab w:leader="none" w:pos="1102" w:val="left"/>
        </w:tabs>
        <w:numPr>
          <w:ilvl w:val="0"/>
          <w:numId w:val="1"/>
        </w:numPr>
        <w:rPr>
          <w:rFonts w:ascii="Arial" w:cs="Arial" w:eastAsia="Arial" w:hAnsi="Arial"/>
          <w:sz w:val="19"/>
          <w:szCs w:val="19"/>
          <w:color w:val="auto"/>
        </w:rPr>
      </w:pPr>
      <w:r>
        <w:rPr>
          <w:rFonts w:ascii="Arial" w:cs="Arial" w:eastAsia="Arial" w:hAnsi="Arial"/>
          <w:sz w:val="19"/>
          <w:szCs w:val="19"/>
          <w:color w:val="auto"/>
        </w:rPr>
        <w:t>each option to purchase Company Shares held by a continuing employee that is outstanding immediately prior to the Effective Time and is not a Cashed-Out Company Option (each, an “Assumed Option”), will be assumed by Ultimate Parent and converted into a stock option covering common shares of Ultimate Parent having substantially the same terms and conditions as the Assumed Option, including the vesting schedule and payment timing, except that each stock option covering common shares of Ultimate Parent will entitle the holder, upon exercise, to that number of whole common shares of Ultimate Parent equal to the product of the number of Company Shares that were issuable with respect to the Assumed Option immediately prior to the Effective Time multiplied by a fraction (such ratio, the “Exchange Ratio”), the numerator of which is the Per Share Merger Consideration and the denominator of which is the volume weighted average price for a common share of Ultimate Parent on Nasdaq, calculated based on the ten consecutive trading days ending on the third complete trading day prior to (and excluding) the closing date of the Merger, and rounded down to the nearest whole share, with an exercise price per share equal to the exercise price per share of the Assumed Option immediately prior to the Effective Time divided by the Exchange Ratio, and rounded up to the nearest whole cent;</w:t>
      </w:r>
    </w:p>
    <w:p>
      <w:pPr>
        <w:spacing w:after="0" w:line="200" w:lineRule="exact"/>
        <w:rPr>
          <w:rFonts w:ascii="Arial" w:cs="Arial" w:eastAsia="Arial" w:hAnsi="Arial"/>
          <w:sz w:val="19"/>
          <w:szCs w:val="19"/>
          <w:color w:val="auto"/>
        </w:rPr>
      </w:pPr>
    </w:p>
    <w:p>
      <w:pPr>
        <w:spacing w:after="0" w:line="262" w:lineRule="exact"/>
        <w:rPr>
          <w:rFonts w:ascii="Arial" w:cs="Arial" w:eastAsia="Arial" w:hAnsi="Arial"/>
          <w:sz w:val="19"/>
          <w:szCs w:val="19"/>
          <w:color w:val="auto"/>
        </w:rPr>
      </w:pPr>
    </w:p>
    <w:p>
      <w:pPr>
        <w:ind w:right="80" w:firstLine="494"/>
        <w:spacing w:after="0" w:line="248" w:lineRule="auto"/>
        <w:tabs>
          <w:tab w:leader="none" w:pos="1102" w:val="left"/>
        </w:tabs>
        <w:numPr>
          <w:ilvl w:val="0"/>
          <w:numId w:val="1"/>
        </w:numPr>
        <w:rPr>
          <w:rFonts w:ascii="Arial" w:cs="Arial" w:eastAsia="Arial" w:hAnsi="Arial"/>
          <w:sz w:val="21"/>
          <w:szCs w:val="21"/>
          <w:color w:val="auto"/>
        </w:rPr>
      </w:pPr>
      <w:r>
        <w:rPr>
          <w:rFonts w:ascii="Arial" w:cs="Arial" w:eastAsia="Arial" w:hAnsi="Arial"/>
          <w:sz w:val="21"/>
          <w:szCs w:val="21"/>
          <w:color w:val="auto"/>
        </w:rPr>
        <w:t>each Company restricted share unit award (each, a “Company RSU”) that is outstanding immediately prior to the Effective Time and either (i) has fully vested immediately prior to the Effective Time but has not yet been settled in Company Shares or (ii) is held by a non-employee director of the Company (subject to certain exceptions) or otherwise is held by an individual who is not a continuing employee (each, a “Cashed-Out Company RSU”), whether or not vested, will be canceled and converted into the right to receive a cash amount equal to the product of (x) the number of Company Shares subject to such Company RSU multiplied by (y) the Per Share Merger Consideration;</w:t>
      </w:r>
    </w:p>
    <w:p>
      <w:pPr>
        <w:spacing w:after="0" w:line="230" w:lineRule="exact"/>
        <w:rPr>
          <w:rFonts w:ascii="Arial" w:cs="Arial" w:eastAsia="Arial" w:hAnsi="Arial"/>
          <w:sz w:val="21"/>
          <w:szCs w:val="21"/>
          <w:color w:val="auto"/>
        </w:rPr>
      </w:pPr>
    </w:p>
    <w:p>
      <w:pPr>
        <w:ind w:right="160" w:firstLine="494"/>
        <w:spacing w:after="0" w:line="279" w:lineRule="auto"/>
        <w:tabs>
          <w:tab w:leader="none" w:pos="1102" w:val="left"/>
        </w:tabs>
        <w:numPr>
          <w:ilvl w:val="0"/>
          <w:numId w:val="1"/>
        </w:numPr>
        <w:rPr>
          <w:rFonts w:ascii="Arial" w:cs="Arial" w:eastAsia="Arial" w:hAnsi="Arial"/>
          <w:sz w:val="19"/>
          <w:szCs w:val="19"/>
          <w:color w:val="auto"/>
        </w:rPr>
      </w:pPr>
      <w:r>
        <w:rPr>
          <w:rFonts w:ascii="Arial" w:cs="Arial" w:eastAsia="Arial" w:hAnsi="Arial"/>
          <w:sz w:val="19"/>
          <w:szCs w:val="19"/>
          <w:color w:val="auto"/>
        </w:rPr>
        <w:t>each Company RSU held by a continuing employee that is outstanding immediately prior to the Effective Time and is not a Cashed-Out Company RSU (each, an “Assumed RSU”), will be assumed by Ultimate Parent and converted into an Ultimate Parent restricted stock unit award having substantially the same terms and conditions as the Assumed RSU, including vesting schedule and payment timing, but entitling the holder to a number of common shares of Ultimate Parent equal to the product of (x) the number of Company Shares that were issuable with regard to the Assumed RSU immediately prior to the Effective Time multiplied by (y) the Exchange Ratio and rounding such product down to the nearest whole number;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 w:name="page3"/>
    <w:bookmarkEnd w:id="2"/>
    <w:p>
      <w:pPr>
        <w:ind w:right="60" w:firstLine="494"/>
        <w:spacing w:after="0" w:line="245" w:lineRule="auto"/>
        <w:tabs>
          <w:tab w:leader="none" w:pos="1102"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number of shares issuable with regard to each Company performance share unit award (a “Company PSU”) that is outstanding immediately prior to the Effective Time will be determined in good faith and approved by the board of directors of the Company (or a committee thereof, as applicable), which number shall be determined based on its determination of the greater of (i) the average performance results for the two most recently completed years prior to the year in which the closing of the Merger occurs, and (ii) actual performance as of the closing of the Merger (such final amount, the “Performance Satisfied PSUs”). The Performance Satisfied PSUs will be assumed by Ultimate Parent and converted into a Ultimate Parent restricted stock unit award having substantially the same terms and conditions as the Company PSU, other than performance goals, but entitling the holder to a number of common shares of Ultimate Parent equal to the product of (x) the number of Company Shares that were issuable with regard to the Performance Satisfied PSUs multiplied by (y) the Exchange Ratio and rounding such product down to the nearest whole number.</w:t>
      </w:r>
    </w:p>
    <w:p>
      <w:pPr>
        <w:spacing w:after="0" w:line="248"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9"/>
          <w:szCs w:val="19"/>
          <w:i w:val="1"/>
          <w:iCs w:val="1"/>
          <w:color w:val="auto"/>
        </w:rPr>
        <w:t>Covenants, Representations and Warranties</w:t>
      </w:r>
      <w:r>
        <w:rPr>
          <w:rFonts w:ascii="Arial" w:cs="Arial" w:eastAsia="Arial" w:hAnsi="Arial"/>
          <w:sz w:val="19"/>
          <w:szCs w:val="19"/>
          <w:color w:val="auto"/>
        </w:rPr>
        <w:t>. Each of the Company, Ultimate Parent, Parent and Merger Sub have made</w:t>
      </w:r>
      <w:r>
        <w:rPr>
          <w:rFonts w:ascii="Arial" w:cs="Arial" w:eastAsia="Arial" w:hAnsi="Arial"/>
          <w:sz w:val="19"/>
          <w:szCs w:val="19"/>
          <w:i w:val="1"/>
          <w:iCs w:val="1"/>
          <w:color w:val="auto"/>
        </w:rPr>
        <w:t xml:space="preserve"> </w:t>
      </w:r>
      <w:r>
        <w:rPr>
          <w:rFonts w:ascii="Arial" w:cs="Arial" w:eastAsia="Arial" w:hAnsi="Arial"/>
          <w:sz w:val="19"/>
          <w:szCs w:val="19"/>
          <w:color w:val="auto"/>
        </w:rPr>
        <w:t>customary representations, warranties and covenants in the Merger Agreement. The Company has made covenants, among others, relating to the conduct of its business prior to the closing of the Merger, including with respect to making certain acquisitions or conducting divestitures, incurring debt, making capital expenditures, certain litigation matters, and restrictions on employee compensation and benefits. For 12 months following the closing of the Merger, Parent has also, subject to certain exceptions, agreed to provide continuing employees with total target cash compensation opportunities and employee benefits that are not less favorable in the aggregate than those provided to such continuing employees immediately prior to the Effective Time.</w:t>
      </w:r>
    </w:p>
    <w:p>
      <w:pPr>
        <w:spacing w:after="0" w:line="21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21"/>
          <w:szCs w:val="21"/>
          <w:color w:val="auto"/>
        </w:rPr>
        <w:t>The Merger Agreement contains customary non-solicitation restrictions prohibiting the Company, its subsidiaries and their representatives from soliciting alternative acquisition proposals from third parties or providing information to or participating in discussions or negotiations with third parties regarding alternative acquisition proposals, subject to customary exceptions relating to proposals that the board of directors of the Company determines in good faith would reasonably be expected to lead to a Superior Proposal (as defined in the Merger Agreement).</w:t>
      </w:r>
    </w:p>
    <w:p>
      <w:pPr>
        <w:spacing w:after="0" w:line="231" w:lineRule="exact"/>
        <w:rPr>
          <w:sz w:val="20"/>
          <w:szCs w:val="20"/>
          <w:color w:val="auto"/>
        </w:rPr>
      </w:pPr>
    </w:p>
    <w:p>
      <w:pPr>
        <w:jc w:val="both"/>
        <w:ind w:firstLine="518"/>
        <w:spacing w:after="0" w:line="299" w:lineRule="auto"/>
        <w:rPr>
          <w:sz w:val="20"/>
          <w:szCs w:val="20"/>
          <w:color w:val="auto"/>
        </w:rPr>
      </w:pPr>
      <w:r>
        <w:rPr>
          <w:rFonts w:ascii="Arial" w:cs="Arial" w:eastAsia="Arial" w:hAnsi="Arial"/>
          <w:sz w:val="19"/>
          <w:szCs w:val="19"/>
          <w:color w:val="auto"/>
        </w:rPr>
        <w:t xml:space="preserve">Each of the Company, Ultimate Parent, Parent and their respective subsidiaries have agreed in the Merger Agreement to use their reasonable best efforts to obtain all required governmental and regulatory consents and approvals; </w:t>
      </w:r>
      <w:r>
        <w:rPr>
          <w:rFonts w:ascii="Arial" w:cs="Arial" w:eastAsia="Arial" w:hAnsi="Arial"/>
          <w:sz w:val="19"/>
          <w:szCs w:val="19"/>
          <w:i w:val="1"/>
          <w:iCs w:val="1"/>
          <w:color w:val="auto"/>
        </w:rPr>
        <w:t>provided, however</w:t>
      </w:r>
      <w:r>
        <w:rPr>
          <w:rFonts w:ascii="Arial" w:cs="Arial" w:eastAsia="Arial" w:hAnsi="Arial"/>
          <w:sz w:val="19"/>
          <w:szCs w:val="19"/>
          <w:color w:val="auto"/>
        </w:rPr>
        <w:t>, that</w:t>
      </w:r>
    </w:p>
    <w:p>
      <w:pPr>
        <w:jc w:val="both"/>
        <w:ind w:firstLine="8"/>
        <w:spacing w:after="0" w:line="301" w:lineRule="auto"/>
        <w:tabs>
          <w:tab w:leader="none" w:pos="314" w:val="left"/>
        </w:tabs>
        <w:numPr>
          <w:ilvl w:val="0"/>
          <w:numId w:val="3"/>
        </w:numPr>
        <w:rPr>
          <w:rFonts w:ascii="Arial" w:cs="Arial" w:eastAsia="Arial" w:hAnsi="Arial"/>
          <w:sz w:val="19"/>
          <w:szCs w:val="19"/>
          <w:color w:val="auto"/>
        </w:rPr>
      </w:pPr>
      <w:r>
        <w:rPr>
          <w:rFonts w:ascii="Arial" w:cs="Arial" w:eastAsia="Arial" w:hAnsi="Arial"/>
          <w:sz w:val="19"/>
          <w:szCs w:val="19"/>
          <w:color w:val="auto"/>
        </w:rPr>
        <w:t>neither Ultimate Parent nor any of its subsidiaries is required to, and neither the Company nor any of its subsidiaries shall without the written consent of Ultimate Parent, propose, take or agree to such actions that would individually or in the aggregate have a material impact on the business or financial condition of the Company and its subsidiaries, taken as a whole, (b) neither Ultimate Parent nor any of its subsidiaries is required to propose, negotiate, effect or agree to the sale, divestiture, license, or other disposition, and (c) neither Ultimate Parent nor any of its subsidiaries is required to take any action that limits the freedom of action with respect to the business conduct of, or the ability to operate any of the businesses, product lines or assets of, Ultimate Parent or any of its subsidiaries that would individually or in the aggregate, when taken together with any divestitures or behavioral restrictions taken with respect to the Company or its subsidiaries, have a material impact on the business or financial condition of Ultimate Parent and its subsidiaries, taken as a whole (provided, that solely for purposes of determining whether an action would individually or in the aggregate have a material impact on the business or financial condition of Ultimate Parent and its subsidiaries, taken as a whole, the size and scope of the business and financial condition of Ultimate Parent and its subsidiaries, taken as a whole, shall be determined by reference to the size and scope of the operations of the Company and its subsidiaries, taken as whole).</w:t>
      </w:r>
    </w:p>
    <w:p>
      <w:pPr>
        <w:spacing w:after="0" w:line="200" w:lineRule="exact"/>
        <w:rPr>
          <w:sz w:val="20"/>
          <w:szCs w:val="20"/>
          <w:color w:val="auto"/>
        </w:rPr>
      </w:pPr>
    </w:p>
    <w:p>
      <w:pPr>
        <w:spacing w:after="0" w:line="2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9"/>
          <w:szCs w:val="19"/>
          <w:i w:val="1"/>
          <w:iCs w:val="1"/>
          <w:color w:val="auto"/>
        </w:rPr>
        <w:t>Conditions to Merger</w:t>
      </w:r>
      <w:r>
        <w:rPr>
          <w:rFonts w:ascii="Arial" w:cs="Arial" w:eastAsia="Arial" w:hAnsi="Arial"/>
          <w:sz w:val="19"/>
          <w:szCs w:val="19"/>
          <w:color w:val="auto"/>
        </w:rPr>
        <w:t>. The closing of the Merger is subject to certain conditions, including, among others, (a) approval of</w:t>
      </w:r>
      <w:r>
        <w:rPr>
          <w:rFonts w:ascii="Arial" w:cs="Arial" w:eastAsia="Arial" w:hAnsi="Arial"/>
          <w:sz w:val="19"/>
          <w:szCs w:val="19"/>
          <w:i w:val="1"/>
          <w:iCs w:val="1"/>
          <w:color w:val="auto"/>
        </w:rPr>
        <w:t xml:space="preserve"> </w:t>
      </w:r>
      <w:r>
        <w:rPr>
          <w:rFonts w:ascii="Arial" w:cs="Arial" w:eastAsia="Arial" w:hAnsi="Arial"/>
          <w:sz w:val="19"/>
          <w:szCs w:val="19"/>
          <w:color w:val="auto"/>
        </w:rPr>
        <w:t>the Merger Agreement by the holders of at least a majority of the outstanding voting power of the Company, (b) the absence of certain laws, orders, judgments and injunctions that restrain, enjoin or otherwise prohibit the consummation of the Merger, (c) the expiration or termination of the applicable Hart-Scott-Rodino Act waiting period and submission of all specified notices to, filings with and receipt of consents of governmental and regulatory authorities in certain other specified jurisdictions, (d) the passage of the statutory waiting periods following the filing of a merger proposal with the Companies Registrar of the Israeli Corporations Authority (the “Companies Registrar”), (e) subject to specified exceptions and qualifications for materiality or Company Material Adverse Effect (as defined in the Merger Agreement), the accuracy of representations and warranties with respect to the Company, Ultimate Parent, Parent and Merger Sub and compliance in all material respects by the Company, Parent and Merger Sub with their respective covenants contained in the Merger Agreement, and (f) the absence of a Company Material Adverse Effect from the date of the Merger Agreement. Consummation of the Merger is not subject to a financing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 w:name="page4"/>
    <w:bookmarkEnd w:id="3"/>
    <w:p>
      <w:pPr>
        <w:jc w:val="both"/>
        <w:ind w:firstLine="518"/>
        <w:spacing w:after="0" w:line="266" w:lineRule="auto"/>
        <w:rPr>
          <w:sz w:val="20"/>
          <w:szCs w:val="20"/>
          <w:color w:val="auto"/>
        </w:rPr>
      </w:pPr>
      <w:r>
        <w:rPr>
          <w:rFonts w:ascii="Arial" w:cs="Arial" w:eastAsia="Arial" w:hAnsi="Arial"/>
          <w:sz w:val="22"/>
          <w:szCs w:val="22"/>
          <w:i w:val="1"/>
          <w:iCs w:val="1"/>
          <w:color w:val="auto"/>
        </w:rPr>
        <w:t>Termination Rights</w:t>
      </w:r>
      <w:r>
        <w:rPr>
          <w:rFonts w:ascii="Arial" w:cs="Arial" w:eastAsia="Arial" w:hAnsi="Arial"/>
          <w:sz w:val="22"/>
          <w:szCs w:val="22"/>
          <w:color w:val="auto"/>
        </w:rPr>
        <w:t>. The Merger Agreement contains certain customary termination rights by either the Company or Parent,</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if the Merger is not consummated by February 15, 2023, subject to two (2) three-month extensions in order to obtain required regulatory approvals.</w:t>
      </w:r>
    </w:p>
    <w:p>
      <w:pPr>
        <w:spacing w:after="0" w:line="239"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21"/>
          <w:szCs w:val="21"/>
          <w:color w:val="auto"/>
        </w:rPr>
        <w:t>If the Merger Agreement is terminated under certain circumstances, including termination by the Company to enter into a Superior Proposal, a termination by Parent following an adverse recommendation change of the Company’s board of directors or a termination by Parent as a result of a material breach of the Merger Agreement’s no-solicitation obligations by the Company, the Company will be obligated to pay to Parent a termination fee equal to $206,000,000 in cash. If the Merger Agreement is terminated under certain circumstances involving the failure to obtain certain regulatory approvals for the Merger, Parent will be obligated to pay the Company a termination fee equal to $353,000,000 in cash.</w:t>
      </w:r>
    </w:p>
    <w:p>
      <w:pPr>
        <w:spacing w:after="0" w:line="23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21"/>
          <w:szCs w:val="21"/>
          <w:color w:val="auto"/>
        </w:rPr>
        <w:t>The Company expects to publish notice of the Company Special Meeting in the near future, and soon thereafter, will provide to its shareholders a proxy statement describing the Merger, the Merger Agreement, as well as the procedure for voting in person or by proxy at the Company Special Meeting and various other details related to the Company Special Meeting. If the Merger is approved at the Company Special Meeting, Israeli law mandates a 30-day waiting period before the Merger can become effective following such approval (the effectiveness of the Merger also requires a 50-day waiting period following the filing of a merger proposal with the Companies Registrar, which we expect will occur in the near future). The Company anticipates that the Merger will be completed in approximately twelve (12) months.</w:t>
      </w:r>
    </w:p>
    <w:p>
      <w:pPr>
        <w:spacing w:after="0" w:line="237" w:lineRule="exact"/>
        <w:rPr>
          <w:sz w:val="20"/>
          <w:szCs w:val="20"/>
          <w:color w:val="auto"/>
        </w:rPr>
      </w:pPr>
    </w:p>
    <w:p>
      <w:pPr>
        <w:jc w:val="both"/>
        <w:ind w:firstLine="518"/>
        <w:spacing w:after="0" w:line="266" w:lineRule="auto"/>
        <w:rPr>
          <w:sz w:val="20"/>
          <w:szCs w:val="20"/>
          <w:color w:val="auto"/>
        </w:rPr>
      </w:pPr>
      <w:r>
        <w:rPr>
          <w:rFonts w:ascii="Arial" w:cs="Arial" w:eastAsia="Arial" w:hAnsi="Arial"/>
          <w:sz w:val="22"/>
          <w:szCs w:val="22"/>
          <w:color w:val="auto"/>
        </w:rPr>
        <w:t>If the Merger is consummated, the Company Shares will be delisted from the Nasdaq Global Select Market and the Tel Aviv Stock Exchange Ltd. and deregistered under the Securities Act of 1933, as amended, the Securities Exchange Act of 1934, as amended, and the Israeli Securities Law, 5728-1968, as amended.</w:t>
      </w:r>
    </w:p>
    <w:p>
      <w:pPr>
        <w:spacing w:after="0" w:line="239"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9"/>
          <w:szCs w:val="19"/>
          <w:i w:val="1"/>
          <w:iCs w:val="1"/>
          <w:color w:val="auto"/>
        </w:rPr>
        <w:t>The foregoing description of the Merger Agreement does not purport to be complete and is qualified in its entirety by reference to the full text of the Merger Agreement, which is filed as Exhibits 99.1 hereto and incorporated herein by reference. The Merger Agreement has been included to provide investors with information regarding its terms. It is not intended to provide any other factual information about the Company or Parent. The representations, warranties and covenants contained in the Merger Agreement were made only for the purposes of the Merger Agreement as of the specific dates therein,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conditions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w:t>
      </w:r>
    </w:p>
    <w:p>
      <w:pPr>
        <w:spacing w:after="0" w:line="21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22"/>
          <w:szCs w:val="22"/>
          <w:color w:val="auto"/>
        </w:rPr>
        <w:t>On February 15, 2022, the Company and Ultimate Parent issued a joint press release announcing the execution of the Merger Agreement. A copy of the joint press release is attached as Exhibit 99.2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93"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9"/>
          <w:szCs w:val="19"/>
          <w:color w:val="auto"/>
        </w:rPr>
        <w:t>Information provided in this Report of Foreign Private Issuer on Form 6-K contains forward-looking statements, within the meaning of the safe harbor provisions of the Private Securities Litigation Reform Act of 1995, Section 27A of the Securities Act of 1933, as amended, and Section 21E of the Securities Exchange Act of 1934, as amended that involve risks and uncertainties. These forward-looking statements include, but are not limited to, statements about the expected timing of the Merger, the satisfaction or waiver of any conditions to the proposed Merger, anticipated benefits, growth opportunities and other events relating to the proposed Merger, and projections about the Company’s business and its future revenues, expenses and profitability. These forward-looking statements involve known and unknown risks and uncertainties and are based on current expectations, assumptions, estimates and projections about the Company and its industry as of the date of this Form 6-K. The Company undertakes no obligation to update forward-looking statements to reflect subsequent occurring events or circumstances, or changes in our expectations, except as may be required by law. Forward-looking statements are subject to risks and uncertainties that may cause actual results to differ materially from those contemplated by the forward-looking statements. Factors that could cause or contribute to such differences include, but are not limited to, risks and uncertainties relating to: the risk that the transaction may not be completed in a timely manner or at all, which may adversely affect the companies’ businesses and the price of their securities; uncertainties as to the timing of the consummation of the transaction and the potential failure to satisfy the conditions to the consummation of the transaction, including the receipt of certain governmental and regulatory approvals; the potential for regulatory authorities to require divestitures, behavioral remedies or other concessions in order to obtain their approval of the proposed transaction; the occurrence of any event, change or other circumstance that could give rise to the termination of the merger agreement; the effect of the announcement or pendency of the transaction on the Company’s business relationships, operating results, and business generally; the potential that the Company’s shareholders may not approve the transaction; expected benefits, including financial benefits, of the transaction may not be realized; integration of the acquisition post-closing may not occur as anticipated, and the combined companies’ ability to achieve the growth prospects and synergies expected from the transaction, as well as delays, challenges and expenses associated with integrating the combined companies’ existing businesses may incur; litigation related to the transaction or otherwise; unanticipated restructuring costs may be incurred or undisclosed liabilities assumed; attempts to retain key personnel and customers may not succeed; risks related to diverting management’s attention from Intel’s ongoing business operations; exposure to inflation, currency rate and interest rate fluctuations and risks associated with doing business locally and internationally, as well as fluctuations in the market price of Intel and the Company’s traded securities; the impact of the COVID-19 pandemic on Intel and the Company’s business and general economic conditions; demands in the Company’s customer end markets and for the Company’s foundry services and/or products that exceed the Company’s capacity; ongoing or potential litigations or disputes, incidental to the conduct of the Company’s ongoing business, with customers, suppliers, landlords, or other third parties; the business combination or the combined company’s products may not be supported by third parties; actions by competitors may negatively impact results; potential adverse reactions or changes to business relationships resulting from the announcement or completion of the transaction; potential negative changes in general economic conditions in the regions or the industries in which Intel and the Company operate; potential failure to meet the conditions set in the approval certificates received from the Israeli Investment Center under which the Company received a significant amount of grants in past years; exposure to inflation, currency rates (mainly the Israeli Shekel and Japanese Yen); and the other risk factors discussed from time to time by the Company in the most recent Annual Report on Form 20-F and in any subsequent reports on Form 6-K, each of which is on file with or furnished to the SEC and available at the SEC’s website at www.sec.gov. SEC filings for the Company are available in the Investor Relations section of the Company’s website at ir.towersemi.com.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AND WHERE TO FIND IT</w:t>
      </w:r>
    </w:p>
    <w:p>
      <w:pPr>
        <w:spacing w:after="0" w:line="293"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This Report of Foreign Private Issuer on Form 6-K is being made in respect of the proposed transaction. The Company intends to furnish to the SEC and mail or otherwise provide to its shareholders a proxy statement in connection with the proposed transaction (the “proxy statement”), and each party will file or furnish other documents regarding the proposed transaction with the SEC. The proxy statement will be sent or given to the shareholders of the Company and will contain important information about the proposed transaction and related matters. This communication is not a substitute for the proxy statement or any other document that may be filed or furnished by the Company with the SEC. Investors and security holders are urged to read the proxy statement in its entirety and other relevant documents filed with or furnished to the SEC in connection with the proposed transaction or incorporated by reference therein when they become available before making any voting or investment decision with respect to the proposed transaction because they will contain important information about the proposed transaction and the parties to the proposed transaction.</w:t>
      </w:r>
    </w:p>
    <w:p>
      <w:pPr>
        <w:spacing w:after="0" w:line="243" w:lineRule="exact"/>
        <w:rPr>
          <w:sz w:val="20"/>
          <w:szCs w:val="20"/>
          <w:color w:val="auto"/>
        </w:rPr>
      </w:pPr>
    </w:p>
    <w:p>
      <w:pPr>
        <w:ind w:firstLine="648"/>
        <w:spacing w:after="0" w:line="311" w:lineRule="auto"/>
        <w:rPr>
          <w:sz w:val="20"/>
          <w:szCs w:val="20"/>
          <w:color w:val="auto"/>
        </w:rPr>
      </w:pPr>
      <w:r>
        <w:rPr>
          <w:rFonts w:ascii="Arial" w:cs="Arial" w:eastAsia="Arial" w:hAnsi="Arial"/>
          <w:sz w:val="19"/>
          <w:szCs w:val="19"/>
          <w:color w:val="auto"/>
        </w:rPr>
        <w:t>You may obtain copies of all documents filed with or furnished to the SEC regarding this transaction, free of charge, at the SEC’s website (www.sec.gov). In addition, investors and shareholders will be able to obtain free copies of the proxy statement and other documents filed with or furnished to the SEC by the Company on the Company’s Investor Relations website (ir.towersemi.com) or by writing to the Company, Corporate Secretary, 20 Shaul Amor Street, Ramat Gavriel Industrial Park, P.O. Box 619, Migdal Haemek 2310502, Israel (for documents filed with or furnished to the SEC by the Company).</w:t>
      </w:r>
    </w:p>
    <w:p>
      <w:pPr>
        <w:sectPr>
          <w:pgSz w:w="11900" w:h="16838" w:orient="portrait"/>
          <w:cols w:equalWidth="0" w:num="1">
            <w:col w:w="11240"/>
          </w:cols>
          <w:pgMar w:left="320" w:top="126" w:right="33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INCORPORATION BY REFERENCE</w:t>
      </w:r>
    </w:p>
    <w:p>
      <w:pPr>
        <w:spacing w:after="0" w:line="293"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9"/>
          <w:szCs w:val="19"/>
          <w:color w:val="auto"/>
        </w:rPr>
        <w:t>This Report of Foreign Private Issuer on Form 6-K (including exhibits thereto) is hereby incorporated by reference into the Company’s previously filed Form F-3 Registration Statements, as amended (File Nos. 333-85090, 333-97043, 333-108896, 333-110486, 333-131315, 333-140174, 333-141640, 333-148747, 333-163196, 333-169389, 333-169491, 333-171912, 333-178166, 333-181805, 333-187858 and 333-195200) and Form S-8 Registration Statements (File Nos. 33-80947, 333-83204, 333-107943, 333-117565, 333-138837, 333-147071, 333-153710, 333-166428, 333-174276, 333-178167 and 333-204173).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20" w:type="dxa"/>
            <w:vAlign w:val="bottom"/>
            <w:gridSpan w:val="3"/>
          </w:tcPr>
          <w:p>
            <w:pPr>
              <w:spacing w:after="0"/>
              <w:rPr>
                <w:sz w:val="20"/>
                <w:szCs w:val="20"/>
                <w:color w:val="auto"/>
              </w:rPr>
            </w:pPr>
            <w:r>
              <w:rPr>
                <w:rFonts w:ascii="Arial" w:cs="Arial" w:eastAsia="Arial" w:hAnsi="Arial"/>
                <w:sz w:val="22"/>
                <w:szCs w:val="22"/>
                <w:b w:val="1"/>
                <w:bCs w:val="1"/>
                <w:color w:val="auto"/>
              </w:rPr>
              <w:t>EXHIBIT INDEX</w:t>
            </w: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79"/>
        </w:trPr>
        <w:tc>
          <w:tcPr>
            <w:tcW w:w="320" w:type="dxa"/>
            <w:vAlign w:val="bottom"/>
            <w:tcBorders>
              <w:bottom w:val="single" w:sz="8" w:color="0000EE"/>
            </w:tcBorders>
          </w:tcPr>
          <w:p>
            <w:pPr>
              <w:jc w:val="right"/>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640" w:type="dxa"/>
            <w:vAlign w:val="bottom"/>
          </w:tcPr>
          <w:p>
            <w:pPr>
              <w:spacing w:after="0"/>
              <w:rPr>
                <w:sz w:val="24"/>
                <w:szCs w:val="24"/>
                <w:color w:val="auto"/>
              </w:rPr>
            </w:pPr>
          </w:p>
        </w:tc>
        <w:tc>
          <w:tcPr>
            <w:tcW w:w="96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Agreement and Plan of Merger, dated as of February 15, 2022, by and among the Company, Ultimate Parent, Parent and Merger Sub.</w:t>
              </w:r>
            </w:hyperlink>
          </w:p>
        </w:tc>
        <w:tc>
          <w:tcPr>
            <w:tcW w:w="680" w:type="dxa"/>
            <w:vAlign w:val="bottom"/>
          </w:tcPr>
          <w:p>
            <w:pPr>
              <w:spacing w:after="0"/>
              <w:rPr>
                <w:sz w:val="24"/>
                <w:szCs w:val="24"/>
                <w:color w:val="auto"/>
              </w:rPr>
            </w:pPr>
          </w:p>
        </w:tc>
      </w:tr>
      <w:tr>
        <w:trPr>
          <w:trHeight w:val="196"/>
        </w:trPr>
        <w:tc>
          <w:tcPr>
            <w:tcW w:w="320" w:type="dxa"/>
            <w:vAlign w:val="bottom"/>
          </w:tcPr>
          <w:p>
            <w:pPr>
              <w:jc w:val="right"/>
              <w:spacing w:after="0" w:line="196" w:lineRule="exact"/>
              <w:rPr>
                <w:rFonts w:ascii="Arial" w:cs="Arial" w:eastAsia="Arial" w:hAnsi="Arial"/>
                <w:sz w:val="18"/>
                <w:szCs w:val="18"/>
                <w:color w:val="0000EE"/>
                <w:w w:val="85"/>
              </w:rPr>
            </w:pPr>
            <w:hyperlink w:anchor="page12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0920" w:type="dxa"/>
            <w:vAlign w:val="bottom"/>
            <w:gridSpan w:val="6"/>
          </w:tcPr>
          <w:p>
            <w:pPr>
              <w:ind w:left="640"/>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Joint Press Release, dated February 15, 2022.</w:t>
              </w:r>
            </w:hyperlink>
          </w:p>
        </w:tc>
      </w:tr>
      <w:tr>
        <w:trPr>
          <w:trHeight w:val="473"/>
        </w:trPr>
        <w:tc>
          <w:tcPr>
            <w:tcW w:w="32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8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u w:val="single" w:color="auto"/>
          <w:color w:val="auto"/>
        </w:rPr>
        <w:t>SIGNATURES</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99.1</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EXECUTION VERSION</w:t>
      </w:r>
    </w:p>
    <w:p>
      <w:pPr>
        <w:spacing w:after="0" w:line="28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AGREEMENT AND PLAN OF MERGER</w:t>
      </w:r>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by and among</w:t>
      </w:r>
    </w:p>
    <w:p>
      <w:pPr>
        <w:spacing w:after="0" w:line="28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INTEL CORPORATION,</w:t>
      </w:r>
    </w:p>
    <w:p>
      <w:pPr>
        <w:spacing w:after="0" w:line="28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INTEL FS INC.,</w:t>
      </w:r>
    </w:p>
    <w:p>
      <w:pPr>
        <w:spacing w:after="0" w:line="28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STEEL TITANIUM 2022 LTD.</w:t>
      </w:r>
    </w:p>
    <w:p>
      <w:pPr>
        <w:spacing w:after="0" w:line="29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8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TOWER SEMICONDUCTOR LTD.</w:t>
      </w:r>
    </w:p>
    <w:p>
      <w:pPr>
        <w:spacing w:after="0" w:line="29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w:t>
      </w:r>
    </w:p>
    <w:p>
      <w:pPr>
        <w:spacing w:after="0" w:line="287"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298450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42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0"/>
        </w:trPr>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40" w:type="dxa"/>
            <w:vAlign w:val="bottom"/>
            <w:gridSpan w:val="11"/>
          </w:tcPr>
          <w:p>
            <w:pPr>
              <w:jc w:val="center"/>
              <w:ind w:right="2640"/>
              <w:spacing w:after="0"/>
              <w:rPr>
                <w:sz w:val="20"/>
                <w:szCs w:val="20"/>
                <w:color w:val="auto"/>
              </w:rPr>
            </w:pPr>
            <w:r>
              <w:rPr>
                <w:rFonts w:ascii="Arial" w:cs="Arial" w:eastAsia="Arial" w:hAnsi="Arial"/>
                <w:sz w:val="22"/>
                <w:szCs w:val="22"/>
                <w:b w:val="1"/>
                <w:bCs w:val="1"/>
                <w:color w:val="auto"/>
                <w:w w:val="97"/>
              </w:rPr>
              <w:t>TABLE OF CONTENTS</w:t>
            </w:r>
          </w:p>
        </w:tc>
        <w:tc>
          <w:tcPr>
            <w:tcW w:w="1760" w:type="dxa"/>
            <w:vAlign w:val="bottom"/>
          </w:tcPr>
          <w:p>
            <w:pPr>
              <w:spacing w:after="0"/>
              <w:rPr>
                <w:sz w:val="24"/>
                <w:szCs w:val="24"/>
                <w:color w:val="auto"/>
              </w:rPr>
            </w:pPr>
          </w:p>
        </w:tc>
      </w:tr>
      <w:tr>
        <w:trPr>
          <w:trHeight w:val="516"/>
        </w:trPr>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29"/>
        </w:trPr>
        <w:tc>
          <w:tcPr>
            <w:tcW w:w="1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ARTICLE I</w:t>
              </w:r>
            </w:hyperlink>
          </w:p>
        </w:tc>
        <w:tc>
          <w:tcPr>
            <w:tcW w:w="3400" w:type="dxa"/>
            <w:vAlign w:val="bottom"/>
            <w:gridSpan w:val="6"/>
          </w:tcPr>
          <w:p>
            <w:pPr>
              <w:spacing w:after="0"/>
              <w:rPr>
                <w:sz w:val="19"/>
                <w:szCs w:val="19"/>
                <w:color w:val="auto"/>
              </w:rPr>
            </w:pPr>
          </w:p>
        </w:tc>
        <w:tc>
          <w:tcPr>
            <w:tcW w:w="1760" w:type="dxa"/>
            <w:vAlign w:val="bottom"/>
          </w:tcPr>
          <w:p>
            <w:pPr>
              <w:spacing w:after="0"/>
              <w:rPr>
                <w:sz w:val="19"/>
                <w:szCs w:val="19"/>
                <w:color w:val="auto"/>
              </w:rPr>
            </w:pPr>
          </w:p>
        </w:tc>
      </w:tr>
      <w:tr>
        <w:trPr>
          <w:trHeight w:val="250"/>
        </w:trPr>
        <w:tc>
          <w:tcPr>
            <w:tcW w:w="1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Borders>
              <w:bottom w:val="single" w:sz="8" w:color="0000EE"/>
            </w:tcBorders>
            <w:gridSpan w:val="7"/>
          </w:tcPr>
          <w:p>
            <w:pPr>
              <w:jc w:val="cente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THE MERGER</w:t>
              </w:r>
            </w:hyperlink>
          </w:p>
        </w:tc>
        <w:tc>
          <w:tcPr>
            <w:tcW w:w="3260" w:type="dxa"/>
            <w:vAlign w:val="bottom"/>
            <w:gridSpan w:val="3"/>
          </w:tcPr>
          <w:p>
            <w:pPr>
              <w:spacing w:after="0"/>
              <w:rPr>
                <w:sz w:val="21"/>
                <w:szCs w:val="21"/>
                <w:color w:val="auto"/>
              </w:rPr>
            </w:pPr>
          </w:p>
        </w:tc>
        <w:tc>
          <w:tcPr>
            <w:tcW w:w="1760" w:type="dxa"/>
            <w:vAlign w:val="bottom"/>
          </w:tcPr>
          <w:p>
            <w:pPr>
              <w:spacing w:after="0"/>
              <w:rPr>
                <w:sz w:val="21"/>
                <w:szCs w:val="2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Section 1.1</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The Merger</w:t>
            </w: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1.2</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Closing</w:t>
            </w: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1.3</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Effective Time</w:t>
            </w: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1.4</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Effect of the Merger</w:t>
            </w: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1.5</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Articles of Association</w:t>
            </w: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1.6</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Officers and Directors of the Surviving Company</w:t>
            </w: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1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8"/>
          </w:tcPr>
          <w:p>
            <w:pPr>
              <w:jc w:val="center"/>
              <w:ind w:right="3380"/>
              <w:spacing w:after="0"/>
              <w:rPr>
                <w:rFonts w:ascii="Arial" w:cs="Arial" w:eastAsia="Arial" w:hAnsi="Arial"/>
                <w:sz w:val="18"/>
                <w:szCs w:val="18"/>
                <w:color w:val="0000EE"/>
              </w:rPr>
            </w:pPr>
            <w:hyperlink w:anchor="page14">
              <w:r>
                <w:rPr>
                  <w:rFonts w:ascii="Arial" w:cs="Arial" w:eastAsia="Arial" w:hAnsi="Arial"/>
                  <w:sz w:val="18"/>
                  <w:szCs w:val="18"/>
                  <w:color w:val="0000EE"/>
                </w:rPr>
                <w:t>ARTICLE II</w:t>
              </w:r>
            </w:hyperlink>
          </w:p>
        </w:tc>
        <w:tc>
          <w:tcPr>
            <w:tcW w:w="17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040" w:type="dxa"/>
            <w:vAlign w:val="bottom"/>
            <w:gridSpan w:val="11"/>
          </w:tcPr>
          <w:p>
            <w:pPr>
              <w:jc w:val="center"/>
              <w:ind w:right="2640"/>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TREATMENT OF SECURITIES</w:t>
              </w:r>
            </w:hyperlink>
          </w:p>
        </w:tc>
        <w:tc>
          <w:tcPr>
            <w:tcW w:w="1760" w:type="dxa"/>
            <w:vAlign w:val="bottom"/>
          </w:tcPr>
          <w:p>
            <w:pPr>
              <w:spacing w:after="0"/>
              <w:rPr>
                <w:sz w:val="21"/>
                <w:szCs w:val="2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Section 2.1</w:t>
            </w: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rPr>
              <w:t>Treatment of Securities</w:t>
            </w:r>
          </w:p>
        </w:tc>
        <w:tc>
          <w:tcPr>
            <w:tcW w:w="2400" w:type="dxa"/>
            <w:vAlign w:val="bottom"/>
            <w:tcBorders>
              <w:top w:val="single" w:sz="8" w:color="0000EE"/>
            </w:tcBorders>
            <w:gridSpan w:val="9"/>
          </w:tcPr>
          <w:p>
            <w:pPr>
              <w:spacing w:after="0"/>
              <w:rPr>
                <w:sz w:val="24"/>
                <w:szCs w:val="24"/>
                <w:color w:val="auto"/>
              </w:rPr>
            </w:pPr>
          </w:p>
        </w:tc>
        <w:tc>
          <w:tcPr>
            <w:tcW w:w="2640" w:type="dxa"/>
            <w:vAlign w:val="bottom"/>
            <w:gridSpan w:val="2"/>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2.2</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Payment for Company Shares; Surrender of Certificates</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2.3</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Treatment of Company Equity Awards</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2.4</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Withholding</w:t>
            </w: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2.5</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Further Assurances</w:t>
            </w: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1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0000EE"/>
            </w:tcBorders>
            <w:gridSpan w:val="5"/>
          </w:tcPr>
          <w:p>
            <w:pPr>
              <w:jc w:val="center"/>
              <w:spacing w:after="0"/>
              <w:rPr>
                <w:rFonts w:ascii="Arial" w:cs="Arial" w:eastAsia="Arial" w:hAnsi="Arial"/>
                <w:sz w:val="18"/>
                <w:szCs w:val="18"/>
                <w:color w:val="0000EE"/>
              </w:rPr>
            </w:pPr>
            <w:hyperlink w:anchor="page23">
              <w:r>
                <w:rPr>
                  <w:rFonts w:ascii="Arial" w:cs="Arial" w:eastAsia="Arial" w:hAnsi="Arial"/>
                  <w:sz w:val="18"/>
                  <w:szCs w:val="18"/>
                  <w:color w:val="0000EE"/>
                </w:rPr>
                <w:t>ARTICLE III</w:t>
              </w:r>
            </w:hyperlink>
          </w:p>
        </w:tc>
        <w:tc>
          <w:tcPr>
            <w:tcW w:w="3340" w:type="dxa"/>
            <w:vAlign w:val="bottom"/>
            <w:gridSpan w:val="4"/>
          </w:tcPr>
          <w:p>
            <w:pPr>
              <w:spacing w:after="0"/>
              <w:rPr>
                <w:sz w:val="19"/>
                <w:szCs w:val="19"/>
                <w:color w:val="auto"/>
              </w:rPr>
            </w:pPr>
          </w:p>
        </w:tc>
        <w:tc>
          <w:tcPr>
            <w:tcW w:w="1760" w:type="dxa"/>
            <w:vAlign w:val="bottom"/>
          </w:tcPr>
          <w:p>
            <w:pPr>
              <w:spacing w:after="0"/>
              <w:rPr>
                <w:sz w:val="19"/>
                <w:szCs w:val="19"/>
                <w:color w:val="auto"/>
              </w:rPr>
            </w:pPr>
          </w:p>
        </w:tc>
      </w:tr>
      <w:tr>
        <w:trPr>
          <w:trHeight w:val="250"/>
        </w:trPr>
        <w:tc>
          <w:tcPr>
            <w:tcW w:w="1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280" w:type="dxa"/>
            <w:vAlign w:val="bottom"/>
            <w:gridSpan w:val="12"/>
          </w:tcPr>
          <w:p>
            <w:pPr>
              <w:jc w:val="center"/>
              <w:ind w:right="1400"/>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REPRESENTATIONS AND WARRANTIES OF THE COMPANY</w:t>
              </w:r>
            </w:hyperlink>
          </w:p>
        </w:tc>
        <w:tc>
          <w:tcPr>
            <w:tcW w:w="1760" w:type="dxa"/>
            <w:vAlign w:val="bottom"/>
          </w:tcPr>
          <w:p>
            <w:pPr>
              <w:spacing w:after="0"/>
              <w:rPr>
                <w:sz w:val="21"/>
                <w:szCs w:val="21"/>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80" w:type="dxa"/>
            <w:vAlign w:val="bottom"/>
            <w:gridSpan w:val="11"/>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Section 3.1</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Qualification, Organization, Subsidiaries, Joint Ventures, etc.</w:t>
            </w: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3.2</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Articles of Association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3.3</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Capitalization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3.4</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Authority Relative to this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3.5</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No Conflict; Required Filings and Consents</w:t>
            </w: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3.6</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Permits; Compliance</w:t>
            </w: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3.7</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SEC Filings; TASE Filings; Financial Statements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3.8</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Absence of Certain Changes or Events</w:t>
            </w: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3.9</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Absence of Litigation</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3.10</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Employee Benefit Plans</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3.11</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Labor and Employment Matters</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3.12</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Proxy Statement</w:t>
            </w: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3.13</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Property and Leases</w:t>
            </w: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3.14</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Intellectual Property; Cybersecurity</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3.15</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Taxes</w:t>
            </w:r>
          </w:p>
        </w:tc>
        <w:tc>
          <w:tcPr>
            <w:tcW w:w="1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3.16</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Environmental Matters</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3.17</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Material Contracts</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3.18</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Nasdaq and TASE; No Other Listing</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3.19</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Material Customers, Suppliers and Resellers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3.20</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Insurance</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3.21</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Brokers and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3.22</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Takeover Statutes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3.23</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Affiliate Transactions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3.24</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Vote Required</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3.25</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Opinion of Financial Advisors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3.26</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Series G Debentures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3.27</w:t>
            </w:r>
          </w:p>
        </w:tc>
        <w:tc>
          <w:tcPr>
            <w:tcW w:w="8180" w:type="dxa"/>
            <w:vAlign w:val="bottom"/>
            <w:gridSpan w:val="13"/>
          </w:tcPr>
          <w:p>
            <w:pPr>
              <w:ind w:left="360"/>
              <w:spacing w:after="0"/>
              <w:rPr>
                <w:sz w:val="20"/>
                <w:szCs w:val="20"/>
                <w:color w:val="auto"/>
              </w:rPr>
            </w:pPr>
            <w:r>
              <w:rPr>
                <w:rFonts w:ascii="Arial" w:cs="Arial" w:eastAsia="Arial" w:hAnsi="Arial"/>
                <w:sz w:val="18"/>
                <w:szCs w:val="18"/>
                <w:color w:val="auto"/>
              </w:rPr>
              <w:t>No Other Representations or Warranties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6"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20" w:type="dxa"/>
            <w:vAlign w:val="bottom"/>
            <w:gridSpan w:val="8"/>
          </w:tcPr>
          <w:p>
            <w:pPr>
              <w:jc w:val="center"/>
              <w:ind w:right="4060"/>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ARTICLE IV</w:t>
              </w:r>
            </w:hyperlink>
          </w:p>
        </w:tc>
        <w:tc>
          <w:tcPr>
            <w:tcW w:w="10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0" w:type="dxa"/>
            <w:vAlign w:val="bottom"/>
            <w:tcBorders>
              <w:bottom w:val="single" w:sz="8" w:color="0000EE"/>
            </w:tcBorders>
            <w:gridSpan w:val="11"/>
          </w:tcPr>
          <w:p>
            <w:pPr>
              <w:jc w:val="cente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REPRESENTATIONS AND WARRANTIES OF ULTIMATE PARENT, PARENT AND MERGER SUB</w:t>
              </w:r>
            </w:hyperlink>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8"/>
                <w:szCs w:val="18"/>
                <w:color w:val="auto"/>
              </w:rPr>
              <w:t>Section 4.1</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Corporate Organization</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4.2</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Authority Relative to this Agreement</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4.3</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No Conflict; Required Filings and Consents</w:t>
            </w: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4.4</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Absence of Litigation</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4.5</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4.6</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Ownership of Company Share Capital</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4.7</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Sufficient Funds</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4.8</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Brokers and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4.9</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Operations of Merger Sub</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4.10</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No Other Representations or Warranties</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60" w:type="dxa"/>
            <w:vAlign w:val="bottom"/>
            <w:gridSpan w:val="7"/>
          </w:tcPr>
          <w:p>
            <w:pPr>
              <w:jc w:val="center"/>
              <w:ind w:right="4140"/>
              <w:spacing w:after="0"/>
              <w:rPr>
                <w:rFonts w:ascii="Arial" w:cs="Arial" w:eastAsia="Arial" w:hAnsi="Arial"/>
                <w:sz w:val="18"/>
                <w:szCs w:val="18"/>
                <w:color w:val="0000EE"/>
                <w:w w:val="98"/>
              </w:rPr>
            </w:pPr>
            <w:hyperlink w:anchor="page61">
              <w:r>
                <w:rPr>
                  <w:rFonts w:ascii="Arial" w:cs="Arial" w:eastAsia="Arial" w:hAnsi="Arial"/>
                  <w:sz w:val="18"/>
                  <w:szCs w:val="18"/>
                  <w:color w:val="0000EE"/>
                  <w:w w:val="98"/>
                </w:rPr>
                <w:t>ARTICLE V</w:t>
              </w:r>
            </w:hyperlink>
          </w:p>
        </w:tc>
        <w:tc>
          <w:tcPr>
            <w:tcW w:w="100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0" w:type="dxa"/>
            <w:vAlign w:val="bottom"/>
            <w:gridSpan w:val="11"/>
          </w:tcPr>
          <w:p>
            <w:pPr>
              <w:jc w:val="center"/>
              <w:ind w:right="1400"/>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COVENANTS RELATING TO CONDUCT OF BUSINESS PENDING THE MERGER</w:t>
              </w:r>
            </w:hyperlink>
          </w:p>
        </w:tc>
        <w:tc>
          <w:tcPr>
            <w:tcW w:w="1000" w:type="dxa"/>
            <w:vAlign w:val="bottom"/>
          </w:tcPr>
          <w:p>
            <w:pPr>
              <w:spacing w:after="0"/>
              <w:rPr>
                <w:sz w:val="21"/>
                <w:szCs w:val="21"/>
                <w:color w:val="auto"/>
              </w:rPr>
            </w:pPr>
          </w:p>
        </w:tc>
      </w:tr>
      <w:tr>
        <w:trPr>
          <w:trHeight w:val="20"/>
        </w:trPr>
        <w:tc>
          <w:tcPr>
            <w:tcW w:w="1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Section 5.1</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Conduct of Business by the Company Pending the Closing</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5.2</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Solicitation by the Company</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5.3</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Preparation of the Proxy Statement; Company Special Meeting</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5.4</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Merger Proposal; Certificate of Merger</w:t>
            </w: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5.5</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Payoff Letters and Release Documentation.</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5.6</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Payoff of Series G Debentures</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0000EE"/>
            </w:tcBorders>
            <w:gridSpan w:val="2"/>
          </w:tcPr>
          <w:p>
            <w:pPr>
              <w:jc w:val="center"/>
              <w:ind w:right="20"/>
              <w:spacing w:after="0"/>
              <w:rPr>
                <w:rFonts w:ascii="Arial" w:cs="Arial" w:eastAsia="Arial" w:hAnsi="Arial"/>
                <w:sz w:val="18"/>
                <w:szCs w:val="18"/>
                <w:color w:val="0000EE"/>
                <w:w w:val="97"/>
              </w:rPr>
            </w:pPr>
            <w:hyperlink w:anchor="page74">
              <w:r>
                <w:rPr>
                  <w:rFonts w:ascii="Arial" w:cs="Arial" w:eastAsia="Arial" w:hAnsi="Arial"/>
                  <w:sz w:val="18"/>
                  <w:szCs w:val="18"/>
                  <w:color w:val="0000EE"/>
                  <w:w w:val="97"/>
                </w:rPr>
                <w:t>ARTICLE VI</w:t>
              </w:r>
            </w:hyperlink>
          </w:p>
        </w:tc>
        <w:tc>
          <w:tcPr>
            <w:tcW w:w="4080" w:type="dxa"/>
            <w:vAlign w:val="bottom"/>
            <w:gridSpan w:val="5"/>
          </w:tcPr>
          <w:p>
            <w:pPr>
              <w:spacing w:after="0"/>
              <w:rPr>
                <w:sz w:val="19"/>
                <w:szCs w:val="19"/>
                <w:color w:val="auto"/>
              </w:rPr>
            </w:pPr>
          </w:p>
        </w:tc>
        <w:tc>
          <w:tcPr>
            <w:tcW w:w="1000" w:type="dxa"/>
            <w:vAlign w:val="bottom"/>
          </w:tcPr>
          <w:p>
            <w:pPr>
              <w:spacing w:after="0"/>
              <w:rPr>
                <w:sz w:val="19"/>
                <w:szCs w:val="19"/>
                <w:color w:val="auto"/>
              </w:rPr>
            </w:pPr>
          </w:p>
        </w:tc>
      </w:tr>
      <w:tr>
        <w:trPr>
          <w:trHeight w:val="250"/>
        </w:trPr>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tcBorders>
              <w:bottom w:val="single" w:sz="8" w:color="0000EE"/>
            </w:tcBorders>
            <w:gridSpan w:val="5"/>
          </w:tcPr>
          <w:p>
            <w:pPr>
              <w:jc w:val="center"/>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ADDITIONAL AGREEMENTS</w:t>
              </w:r>
            </w:hyperlink>
          </w:p>
        </w:tc>
        <w:tc>
          <w:tcPr>
            <w:tcW w:w="3400" w:type="dxa"/>
            <w:vAlign w:val="bottom"/>
            <w:gridSpan w:val="4"/>
          </w:tcPr>
          <w:p>
            <w:pPr>
              <w:spacing w:after="0"/>
              <w:rPr>
                <w:sz w:val="21"/>
                <w:szCs w:val="21"/>
                <w:color w:val="auto"/>
              </w:rPr>
            </w:pPr>
          </w:p>
        </w:tc>
        <w:tc>
          <w:tcPr>
            <w:tcW w:w="1000" w:type="dxa"/>
            <w:vAlign w:val="bottom"/>
          </w:tcPr>
          <w:p>
            <w:pPr>
              <w:spacing w:after="0"/>
              <w:rPr>
                <w:sz w:val="21"/>
                <w:szCs w:val="2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Section 6.1</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Access; Confidentiality; Notice of Certain Events</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6.2</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Reasonable Best Efforts</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6.3</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Publicity</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6.4</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Directors’ and Officers’ Insurance and Indemnification</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6.5</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Takeover Statutes</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6.6</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Obligations of Merger Sub</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6.7</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Employee Benefits</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6.8</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Delisting</w:t>
            </w: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6.9</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Transaction Litigation</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Control of Operations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6.11</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Tax Rulings</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6.12</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FIRPTA Certificates</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20" w:type="dxa"/>
            <w:vAlign w:val="bottom"/>
            <w:gridSpan w:val="8"/>
          </w:tcPr>
          <w:p>
            <w:pPr>
              <w:jc w:val="center"/>
              <w:ind w:right="4080"/>
              <w:spacing w:after="0"/>
              <w:rPr>
                <w:rFonts w:ascii="Arial" w:cs="Arial" w:eastAsia="Arial" w:hAnsi="Arial"/>
                <w:sz w:val="18"/>
                <w:szCs w:val="18"/>
                <w:color w:val="0000EE"/>
              </w:rPr>
            </w:pPr>
            <w:hyperlink w:anchor="page87">
              <w:r>
                <w:rPr>
                  <w:rFonts w:ascii="Arial" w:cs="Arial" w:eastAsia="Arial" w:hAnsi="Arial"/>
                  <w:sz w:val="18"/>
                  <w:szCs w:val="18"/>
                  <w:color w:val="0000EE"/>
                </w:rPr>
                <w:t>ARTICLE VII</w:t>
              </w:r>
            </w:hyperlink>
          </w:p>
        </w:tc>
        <w:tc>
          <w:tcPr>
            <w:tcW w:w="100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780" w:type="dxa"/>
            <w:vAlign w:val="bottom"/>
            <w:gridSpan w:val="10"/>
          </w:tcPr>
          <w:p>
            <w:pPr>
              <w:jc w:val="center"/>
              <w:ind w:right="2420"/>
              <w:spacing w:after="0"/>
              <w:rPr>
                <w:rFonts w:ascii="Arial" w:cs="Arial" w:eastAsia="Arial" w:hAnsi="Arial"/>
                <w:sz w:val="18"/>
                <w:szCs w:val="18"/>
                <w:color w:val="0000EE"/>
                <w:w w:val="96"/>
              </w:rPr>
            </w:pPr>
            <w:hyperlink w:anchor="page87">
              <w:r>
                <w:rPr>
                  <w:rFonts w:ascii="Arial" w:cs="Arial" w:eastAsia="Arial" w:hAnsi="Arial"/>
                  <w:sz w:val="18"/>
                  <w:szCs w:val="18"/>
                  <w:color w:val="0000EE"/>
                  <w:w w:val="96"/>
                </w:rPr>
                <w:t>CONDITIONS TO CONSUMMATION OF THE MERGER</w:t>
              </w:r>
            </w:hyperlink>
          </w:p>
        </w:tc>
        <w:tc>
          <w:tcPr>
            <w:tcW w:w="1000" w:type="dxa"/>
            <w:vAlign w:val="bottom"/>
          </w:tcPr>
          <w:p>
            <w:pPr>
              <w:spacing w:after="0"/>
              <w:rPr>
                <w:sz w:val="21"/>
                <w:szCs w:val="21"/>
                <w:color w:val="auto"/>
              </w:rPr>
            </w:pPr>
          </w:p>
        </w:tc>
      </w:tr>
      <w:tr>
        <w:trPr>
          <w:trHeight w:val="20"/>
        </w:trPr>
        <w:tc>
          <w:tcPr>
            <w:tcW w:w="12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Section 7.1</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Conditions to Each Party’s Obligations to Effect the Merger</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7.2</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Conditions to Obligations of Parent and Merger Sub</w:t>
            </w: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7.3</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Conditions to Obligations of the Company</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7.4</w:t>
            </w:r>
          </w:p>
        </w:tc>
        <w:tc>
          <w:tcPr>
            <w:tcW w:w="8940" w:type="dxa"/>
            <w:vAlign w:val="bottom"/>
            <w:gridSpan w:val="13"/>
          </w:tcPr>
          <w:p>
            <w:pPr>
              <w:ind w:left="360"/>
              <w:spacing w:after="0"/>
              <w:rPr>
                <w:sz w:val="20"/>
                <w:szCs w:val="20"/>
                <w:color w:val="auto"/>
              </w:rPr>
            </w:pPr>
            <w:r>
              <w:rPr>
                <w:rFonts w:ascii="Arial" w:cs="Arial" w:eastAsia="Arial" w:hAnsi="Arial"/>
                <w:sz w:val="18"/>
                <w:szCs w:val="18"/>
                <w:color w:val="auto"/>
              </w:rPr>
              <w:t>Frustration of Closing Conditions</w:t>
            </w: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35" w:right="359" w:bottom="1440" w:gutter="0" w:footer="0" w:header="0"/>
        </w:sectPr>
      </w:pPr>
    </w:p>
    <w:bookmarkStart w:id="10" w:name="page11"/>
    <w:bookmarkEnd w:id="10"/>
    <w:tbl>
      <w:tblPr>
        <w:tblLayout w:type="fixed"/>
        <w:tblInd w:w="4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0000EE"/>
            </w:tcBorders>
            <w:gridSpan w:val="3"/>
          </w:tcPr>
          <w:p>
            <w:pPr>
              <w:jc w:val="center"/>
              <w:spacing w:after="0"/>
              <w:rPr>
                <w:rFonts w:ascii="Arial" w:cs="Arial" w:eastAsia="Arial" w:hAnsi="Arial"/>
                <w:sz w:val="18"/>
                <w:szCs w:val="18"/>
                <w:color w:val="0000EE"/>
              </w:rPr>
            </w:pPr>
            <w:hyperlink w:anchor="page90">
              <w:r>
                <w:rPr>
                  <w:rFonts w:ascii="Arial" w:cs="Arial" w:eastAsia="Arial" w:hAnsi="Arial"/>
                  <w:sz w:val="18"/>
                  <w:szCs w:val="18"/>
                  <w:color w:val="0000EE"/>
                </w:rPr>
                <w:t>ARTICLE VIII</w:t>
              </w:r>
            </w:hyperlink>
          </w:p>
        </w:tc>
        <w:tc>
          <w:tcPr>
            <w:tcW w:w="2480" w:type="dxa"/>
            <w:vAlign w:val="bottom"/>
            <w:gridSpan w:val="3"/>
          </w:tcPr>
          <w:p>
            <w:pPr>
              <w:spacing w:after="0"/>
              <w:rPr>
                <w:sz w:val="17"/>
                <w:szCs w:val="17"/>
                <w:color w:val="auto"/>
              </w:rPr>
            </w:pPr>
          </w:p>
        </w:tc>
        <w:tc>
          <w:tcPr>
            <w:tcW w:w="2560" w:type="dxa"/>
            <w:vAlign w:val="bottom"/>
          </w:tcPr>
          <w:p>
            <w:pPr>
              <w:spacing w:after="0"/>
              <w:rPr>
                <w:sz w:val="17"/>
                <w:szCs w:val="17"/>
                <w:color w:val="auto"/>
              </w:rPr>
            </w:pPr>
          </w:p>
        </w:tc>
      </w:tr>
      <w:tr>
        <w:trPr>
          <w:trHeight w:val="250"/>
        </w:trPr>
        <w:tc>
          <w:tcPr>
            <w:tcW w:w="1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0000EE"/>
            </w:tcBorders>
            <w:gridSpan w:val="5"/>
          </w:tcPr>
          <w:p>
            <w:pPr>
              <w:jc w:val="center"/>
              <w:spacing w:after="0"/>
              <w:rPr>
                <w:rFonts w:ascii="Arial" w:cs="Arial" w:eastAsia="Arial" w:hAnsi="Arial"/>
                <w:sz w:val="18"/>
                <w:szCs w:val="18"/>
                <w:color w:val="0000EE"/>
                <w:w w:val="99"/>
              </w:rPr>
            </w:pPr>
            <w:hyperlink w:anchor="page90">
              <w:r>
                <w:rPr>
                  <w:rFonts w:ascii="Arial" w:cs="Arial" w:eastAsia="Arial" w:hAnsi="Arial"/>
                  <w:sz w:val="18"/>
                  <w:szCs w:val="18"/>
                  <w:color w:val="0000EE"/>
                  <w:w w:val="99"/>
                </w:rPr>
                <w:t>TERMINATION</w:t>
              </w:r>
            </w:hyperlink>
          </w:p>
        </w:tc>
        <w:tc>
          <w:tcPr>
            <w:tcW w:w="2420" w:type="dxa"/>
            <w:vAlign w:val="bottom"/>
            <w:gridSpan w:val="2"/>
          </w:tcPr>
          <w:p>
            <w:pPr>
              <w:spacing w:after="0"/>
              <w:rPr>
                <w:sz w:val="21"/>
                <w:szCs w:val="21"/>
                <w:color w:val="auto"/>
              </w:rPr>
            </w:pPr>
          </w:p>
        </w:tc>
        <w:tc>
          <w:tcPr>
            <w:tcW w:w="2560" w:type="dxa"/>
            <w:vAlign w:val="bottom"/>
          </w:tcPr>
          <w:p>
            <w:pPr>
              <w:spacing w:after="0"/>
              <w:rPr>
                <w:sz w:val="21"/>
                <w:szCs w:val="2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Section 8.1</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8.2</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Effect of 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12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95">
              <w:r>
                <w:rPr>
                  <w:rFonts w:ascii="Arial" w:cs="Arial" w:eastAsia="Arial" w:hAnsi="Arial"/>
                  <w:sz w:val="18"/>
                  <w:szCs w:val="18"/>
                  <w:color w:val="0000EE"/>
                  <w:w w:val="99"/>
                </w:rPr>
                <w:t>ARTICLE IX</w:t>
              </w:r>
            </w:hyperlink>
          </w:p>
        </w:tc>
        <w:tc>
          <w:tcPr>
            <w:tcW w:w="2540" w:type="dxa"/>
            <w:vAlign w:val="bottom"/>
            <w:gridSpan w:val="4"/>
          </w:tcPr>
          <w:p>
            <w:pPr>
              <w:spacing w:after="0"/>
              <w:rPr>
                <w:sz w:val="19"/>
                <w:szCs w:val="19"/>
                <w:color w:val="auto"/>
              </w:rPr>
            </w:pPr>
          </w:p>
        </w:tc>
        <w:tc>
          <w:tcPr>
            <w:tcW w:w="2560" w:type="dxa"/>
            <w:vAlign w:val="bottom"/>
          </w:tcPr>
          <w:p>
            <w:pPr>
              <w:spacing w:after="0"/>
              <w:rPr>
                <w:sz w:val="19"/>
                <w:szCs w:val="19"/>
                <w:color w:val="auto"/>
              </w:rPr>
            </w:pPr>
          </w:p>
        </w:tc>
      </w:tr>
      <w:tr>
        <w:trPr>
          <w:trHeight w:val="250"/>
        </w:trPr>
        <w:tc>
          <w:tcPr>
            <w:tcW w:w="1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500" w:type="dxa"/>
            <w:vAlign w:val="bottom"/>
            <w:tcBorders>
              <w:bottom w:val="single" w:sz="8" w:color="0000EE"/>
            </w:tcBorders>
            <w:gridSpan w:val="7"/>
          </w:tcPr>
          <w:p>
            <w:pPr>
              <w:jc w:val="center"/>
              <w:spacing w:after="0"/>
              <w:rPr>
                <w:rFonts w:ascii="Arial" w:cs="Arial" w:eastAsia="Arial" w:hAnsi="Arial"/>
                <w:sz w:val="18"/>
                <w:szCs w:val="18"/>
                <w:color w:val="0000EE"/>
                <w:w w:val="97"/>
              </w:rPr>
            </w:pPr>
            <w:hyperlink w:anchor="page95">
              <w:r>
                <w:rPr>
                  <w:rFonts w:ascii="Arial" w:cs="Arial" w:eastAsia="Arial" w:hAnsi="Arial"/>
                  <w:sz w:val="18"/>
                  <w:szCs w:val="18"/>
                  <w:color w:val="0000EE"/>
                  <w:w w:val="97"/>
                </w:rPr>
                <w:t>MISCELLANEOUS</w:t>
              </w:r>
            </w:hyperlink>
          </w:p>
        </w:tc>
        <w:tc>
          <w:tcPr>
            <w:tcW w:w="2280" w:type="dxa"/>
            <w:vAlign w:val="bottom"/>
          </w:tcPr>
          <w:p>
            <w:pPr>
              <w:spacing w:after="0"/>
              <w:rPr>
                <w:sz w:val="21"/>
                <w:szCs w:val="21"/>
                <w:color w:val="auto"/>
              </w:rPr>
            </w:pPr>
          </w:p>
        </w:tc>
        <w:tc>
          <w:tcPr>
            <w:tcW w:w="2560" w:type="dxa"/>
            <w:vAlign w:val="bottom"/>
          </w:tcPr>
          <w:p>
            <w:pPr>
              <w:spacing w:after="0"/>
              <w:rPr>
                <w:sz w:val="21"/>
                <w:szCs w:val="2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Section 9.1</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Amendment and Modification; Waiver</w:t>
            </w:r>
          </w:p>
        </w:tc>
        <w:tc>
          <w:tcPr>
            <w:tcW w:w="2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9.2</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Non-Survival of Representations and 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9.3</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Expenses</w:t>
            </w:r>
          </w:p>
        </w:tc>
        <w:tc>
          <w:tcPr>
            <w:tcW w:w="2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9.4</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Notices</w:t>
            </w:r>
          </w:p>
        </w:tc>
        <w:tc>
          <w:tcPr>
            <w:tcW w:w="2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9.5</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Certain 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9.6</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Terms Defined Elsewhere</w:t>
            </w:r>
          </w:p>
        </w:tc>
        <w:tc>
          <w:tcPr>
            <w:tcW w:w="2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9.7</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Interpretation</w:t>
            </w:r>
          </w:p>
        </w:tc>
        <w:tc>
          <w:tcPr>
            <w:tcW w:w="2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9.8</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9.9</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Entire Agreement; Third-Party Beneficiaries</w:t>
            </w:r>
          </w:p>
        </w:tc>
        <w:tc>
          <w:tcPr>
            <w:tcW w:w="2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9.10</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9.11</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Governing Law; Jurisdiction</w:t>
            </w:r>
          </w:p>
        </w:tc>
        <w:tc>
          <w:tcPr>
            <w:tcW w:w="2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9.12</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Assignment</w:t>
            </w:r>
          </w:p>
        </w:tc>
        <w:tc>
          <w:tcPr>
            <w:tcW w:w="25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9.13</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Ultimate Parent Guarantee.</w:t>
            </w:r>
          </w:p>
        </w:tc>
        <w:tc>
          <w:tcPr>
            <w:tcW w:w="2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9.14</w:t>
            </w:r>
          </w:p>
        </w:tc>
        <w:tc>
          <w:tcPr>
            <w:tcW w:w="7380" w:type="dxa"/>
            <w:vAlign w:val="bottom"/>
            <w:gridSpan w:val="9"/>
          </w:tcPr>
          <w:p>
            <w:pPr>
              <w:ind w:left="360"/>
              <w:spacing w:after="0"/>
              <w:rPr>
                <w:sz w:val="20"/>
                <w:szCs w:val="20"/>
                <w:color w:val="auto"/>
              </w:rPr>
            </w:pPr>
            <w:r>
              <w:rPr>
                <w:rFonts w:ascii="Arial" w:cs="Arial" w:eastAsia="Arial" w:hAnsi="Arial"/>
                <w:sz w:val="18"/>
                <w:szCs w:val="18"/>
                <w:color w:val="auto"/>
              </w:rPr>
              <w:t>Enforcement; Remedies; Specific Performance</w:t>
            </w:r>
          </w:p>
        </w:tc>
        <w:tc>
          <w:tcPr>
            <w:tcW w:w="256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SCHEDULES</w:t>
      </w:r>
    </w:p>
    <w:p>
      <w:pPr>
        <w:spacing w:after="0" w:line="308"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color w:val="auto"/>
        </w:rPr>
        <w:t>SCHEDULE 2.3</w:t>
      </w:r>
      <w:r>
        <w:rPr>
          <w:sz w:val="20"/>
          <w:szCs w:val="20"/>
          <w:color w:val="auto"/>
        </w:rPr>
        <w:tab/>
      </w:r>
      <w:r>
        <w:rPr>
          <w:rFonts w:ascii="Arial" w:cs="Arial" w:eastAsia="Arial" w:hAnsi="Arial"/>
          <w:sz w:val="16"/>
          <w:szCs w:val="16"/>
          <w:color w:val="auto"/>
        </w:rPr>
        <w:t>Treatment of Certain Equity</w:t>
      </w:r>
    </w:p>
    <w:p>
      <w:pPr>
        <w:spacing w:after="0" w:line="63"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color w:val="auto"/>
        </w:rPr>
        <w:t>SCHEDULE</w:t>
      </w:r>
      <w:r>
        <w:rPr>
          <w:sz w:val="20"/>
          <w:szCs w:val="20"/>
          <w:color w:val="auto"/>
        </w:rPr>
        <w:tab/>
      </w:r>
      <w:r>
        <w:rPr>
          <w:rFonts w:ascii="Arial" w:cs="Arial" w:eastAsia="Arial" w:hAnsi="Arial"/>
          <w:sz w:val="18"/>
          <w:szCs w:val="18"/>
          <w:color w:val="auto"/>
        </w:rPr>
        <w:t>Form of IIA Undertaking</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3.5(b)</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SCHEDULE 6.2(j) Parent Restricted Actions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SCHEDULE 7.1(c) Required Clearances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AGREEMENT AND PLAN OF MERGER</w:t>
      </w:r>
    </w:p>
    <w:p>
      <w:pPr>
        <w:spacing w:after="0" w:line="29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This AGREEMENT AND PLAN OF MERGER (hereinafter referred to as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February 15, 2022, is by and among Intel Corporation, a Delaware corporation (“</w:t>
      </w:r>
      <w:r>
        <w:rPr>
          <w:rFonts w:ascii="Arial" w:cs="Arial" w:eastAsia="Arial" w:hAnsi="Arial"/>
          <w:sz w:val="19"/>
          <w:szCs w:val="19"/>
          <w:u w:val="single" w:color="auto"/>
          <w:color w:val="auto"/>
        </w:rPr>
        <w:t>Ultimate Parent</w:t>
      </w:r>
      <w:r>
        <w:rPr>
          <w:rFonts w:ascii="Arial" w:cs="Arial" w:eastAsia="Arial" w:hAnsi="Arial"/>
          <w:sz w:val="19"/>
          <w:szCs w:val="19"/>
          <w:color w:val="auto"/>
        </w:rPr>
        <w:t>”), Intel FS Inc., a Delaware corporation (“</w:t>
      </w:r>
      <w:r>
        <w:rPr>
          <w:rFonts w:ascii="Arial" w:cs="Arial" w:eastAsia="Arial" w:hAnsi="Arial"/>
          <w:sz w:val="19"/>
          <w:szCs w:val="19"/>
          <w:u w:val="single" w:color="auto"/>
          <w:color w:val="auto"/>
        </w:rPr>
        <w:t>Parent</w:t>
      </w:r>
      <w:r>
        <w:rPr>
          <w:rFonts w:ascii="Arial" w:cs="Arial" w:eastAsia="Arial" w:hAnsi="Arial"/>
          <w:sz w:val="19"/>
          <w:szCs w:val="19"/>
          <w:color w:val="auto"/>
        </w:rPr>
        <w:t>”), Steel Titanium 2022 Ltd., a company organized under the laws of the State of Israel and a wholly owned subsidiary of Parent (“</w:t>
      </w:r>
      <w:r>
        <w:rPr>
          <w:rFonts w:ascii="Arial" w:cs="Arial" w:eastAsia="Arial" w:hAnsi="Arial"/>
          <w:sz w:val="19"/>
          <w:szCs w:val="19"/>
          <w:u w:val="single" w:color="auto"/>
          <w:color w:val="auto"/>
        </w:rPr>
        <w:t>Merger Sub</w:t>
      </w:r>
      <w:r>
        <w:rPr>
          <w:rFonts w:ascii="Arial" w:cs="Arial" w:eastAsia="Arial" w:hAnsi="Arial"/>
          <w:sz w:val="19"/>
          <w:szCs w:val="19"/>
          <w:color w:val="auto"/>
        </w:rPr>
        <w:t>”), and Tower Semiconductor Ltd., a company organized under the laws of the State of Israel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All capitalized terms used in this Agreement shall have the meanings ascribed to such terms in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or as otherwise defined elsewhere in this Agreement unless the context clearly provides otherwise. Parent, Merger Sub and the Company are each sometimes referred to herein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WHEREAS, the Parties wish to effect a merger of Merger Sub with and into the Company, with the Company being the surviving entity (the “</w:t>
      </w:r>
      <w:r>
        <w:rPr>
          <w:rFonts w:ascii="Arial" w:cs="Arial" w:eastAsia="Arial" w:hAnsi="Arial"/>
          <w:sz w:val="19"/>
          <w:szCs w:val="19"/>
          <w:u w:val="single" w:color="auto"/>
          <w:color w:val="auto"/>
        </w:rPr>
        <w:t>Merger</w:t>
      </w:r>
      <w:r>
        <w:rPr>
          <w:rFonts w:ascii="Arial" w:cs="Arial" w:eastAsia="Arial" w:hAnsi="Arial"/>
          <w:sz w:val="19"/>
          <w:szCs w:val="19"/>
          <w:color w:val="auto"/>
        </w:rPr>
        <w:t>”) on the terms and subject to the conditions set forth in this Agreement and in accordance with the provisions of Sections 314-327 of the Companies Law 5759-1999 of the State of Israel (together with the rules and regulations promulgated thereunder, the “</w:t>
      </w:r>
      <w:r>
        <w:rPr>
          <w:rFonts w:ascii="Arial" w:cs="Arial" w:eastAsia="Arial" w:hAnsi="Arial"/>
          <w:sz w:val="19"/>
          <w:szCs w:val="19"/>
          <w:u w:val="single" w:color="auto"/>
          <w:color w:val="auto"/>
        </w:rPr>
        <w:t>ICL</w:t>
      </w:r>
      <w:r>
        <w:rPr>
          <w:rFonts w:ascii="Arial" w:cs="Arial" w:eastAsia="Arial" w:hAnsi="Arial"/>
          <w:sz w:val="19"/>
          <w:szCs w:val="19"/>
          <w:color w:val="auto"/>
        </w:rPr>
        <w:t>”), following which Merger Sub will cease to exist, and the Company will become a wholly owned subsidiary of Parent, on the terms and subject to the conditions set forth in this Agreement;</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WHEREAS, in connection with the Merger, each ordinary share, par value NIS 15.00 per share, of the Company (the “</w:t>
      </w:r>
      <w:r>
        <w:rPr>
          <w:rFonts w:ascii="Arial" w:cs="Arial" w:eastAsia="Arial" w:hAnsi="Arial"/>
          <w:sz w:val="22"/>
          <w:szCs w:val="22"/>
          <w:u w:val="single" w:color="auto"/>
          <w:color w:val="auto"/>
        </w:rPr>
        <w:t>Company Shares</w:t>
      </w:r>
      <w:r>
        <w:rPr>
          <w:rFonts w:ascii="Arial" w:cs="Arial" w:eastAsia="Arial" w:hAnsi="Arial"/>
          <w:sz w:val="22"/>
          <w:szCs w:val="22"/>
          <w:color w:val="auto"/>
        </w:rPr>
        <w:t>”) issued and outstanding immediately prior to the Effective Time will be automatically converted into the right to receive the Per Share Merger Consideration upon the terms and conditions set forth in this Agreement and in accordance with the ICL;</w:t>
      </w:r>
    </w:p>
    <w:p>
      <w:pPr>
        <w:spacing w:after="0" w:line="2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WHEREAS, the board of directors of the Company (the “</w:t>
      </w:r>
      <w:r>
        <w:rPr>
          <w:rFonts w:ascii="Arial" w:cs="Arial" w:eastAsia="Arial" w:hAnsi="Arial"/>
          <w:sz w:val="22"/>
          <w:szCs w:val="22"/>
          <w:u w:val="single" w:color="auto"/>
          <w:color w:val="auto"/>
        </w:rPr>
        <w:t>Company Board of Directors</w:t>
      </w:r>
      <w:r>
        <w:rPr>
          <w:rFonts w:ascii="Arial" w:cs="Arial" w:eastAsia="Arial" w:hAnsi="Arial"/>
          <w:sz w:val="22"/>
          <w:szCs w:val="22"/>
          <w:color w:val="auto"/>
        </w:rPr>
        <w:t>”) has, on the terms and subject to the conditions set forth herein, determined that this Agreement and the transactions contemplated hereby, including the Merger (the “</w:t>
      </w:r>
      <w:r>
        <w:rPr>
          <w:rFonts w:ascii="Arial" w:cs="Arial" w:eastAsia="Arial" w:hAnsi="Arial"/>
          <w:sz w:val="22"/>
          <w:szCs w:val="22"/>
          <w:u w:val="single" w:color="auto"/>
          <w:color w:val="auto"/>
        </w:rPr>
        <w:t>Transactions</w:t>
      </w:r>
      <w:r>
        <w:rPr>
          <w:rFonts w:ascii="Arial" w:cs="Arial" w:eastAsia="Arial" w:hAnsi="Arial"/>
          <w:sz w:val="22"/>
          <w:szCs w:val="22"/>
          <w:color w:val="auto"/>
        </w:rPr>
        <w:t>”), are fair to, and in the best interests of, the Company and its shareholders and that, considering the financial position of the merging companies, no reasonable concern exists that the Surviving Company will be unable to fulfill the obligations of the Company to its creditors;</w:t>
      </w:r>
    </w:p>
    <w:p>
      <w:pPr>
        <w:spacing w:after="0" w:line="24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WHEREAS, the Company Board of Directors has adopted resolutions approving the Merger, the execution of this Agreement and the consummation of the Transactions and recommending that the Company’s shareholders approve the Merger, this Agreement and the consummation of the Transactions (the “</w:t>
      </w:r>
      <w:r>
        <w:rPr>
          <w:rFonts w:ascii="Arial" w:cs="Arial" w:eastAsia="Arial" w:hAnsi="Arial"/>
          <w:sz w:val="21"/>
          <w:szCs w:val="21"/>
          <w:u w:val="single" w:color="auto"/>
          <w:color w:val="auto"/>
        </w:rPr>
        <w:t>Company Board Recommendation</w:t>
      </w:r>
      <w:r>
        <w:rPr>
          <w:rFonts w:ascii="Arial" w:cs="Arial" w:eastAsia="Arial" w:hAnsi="Arial"/>
          <w:sz w:val="21"/>
          <w:szCs w:val="21"/>
          <w:color w:val="auto"/>
        </w:rPr>
        <w:t>”);</w:t>
      </w:r>
    </w:p>
    <w:p>
      <w:pPr>
        <w:spacing w:after="0" w:line="2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WHEREAS, the board of directors of Parent (the “</w:t>
      </w:r>
      <w:r>
        <w:rPr>
          <w:rFonts w:ascii="Arial" w:cs="Arial" w:eastAsia="Arial" w:hAnsi="Arial"/>
          <w:sz w:val="22"/>
          <w:szCs w:val="22"/>
          <w:u w:val="single" w:color="auto"/>
          <w:color w:val="auto"/>
        </w:rPr>
        <w:t>Parent Board of Directors</w:t>
      </w:r>
      <w:r>
        <w:rPr>
          <w:rFonts w:ascii="Arial" w:cs="Arial" w:eastAsia="Arial" w:hAnsi="Arial"/>
          <w:sz w:val="22"/>
          <w:szCs w:val="22"/>
          <w:color w:val="auto"/>
        </w:rPr>
        <w:t>”) has, on the terms and subject to the conditions set forth herein, determined that this Agreement and the Transactions are fair to, and in the best interests of, Parent and its stockholders;</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WHEREAS, the Parent Board of Directors has adopted resolutions approving the Merger, the execution of this Agreement and the consummation of the Transactions;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2" w:name="page13"/>
    <w:bookmarkEnd w:id="12"/>
    <w:p>
      <w:pPr>
        <w:jc w:val="both"/>
        <w:ind w:firstLine="648"/>
        <w:spacing w:after="0" w:line="308" w:lineRule="auto"/>
        <w:rPr>
          <w:sz w:val="20"/>
          <w:szCs w:val="20"/>
          <w:color w:val="auto"/>
        </w:rPr>
      </w:pPr>
      <w:r>
        <w:rPr>
          <w:rFonts w:ascii="Arial" w:cs="Arial" w:eastAsia="Arial" w:hAnsi="Arial"/>
          <w:sz w:val="19"/>
          <w:szCs w:val="19"/>
          <w:color w:val="auto"/>
        </w:rPr>
        <w:t>WHEREAS, the board of directors of Merger Sub (the “</w:t>
      </w:r>
      <w:r>
        <w:rPr>
          <w:rFonts w:ascii="Arial" w:cs="Arial" w:eastAsia="Arial" w:hAnsi="Arial"/>
          <w:sz w:val="19"/>
          <w:szCs w:val="19"/>
          <w:u w:val="single" w:color="auto"/>
          <w:color w:val="auto"/>
        </w:rPr>
        <w:t>Merger Sub Board of Directors</w:t>
      </w:r>
      <w:r>
        <w:rPr>
          <w:rFonts w:ascii="Arial" w:cs="Arial" w:eastAsia="Arial" w:hAnsi="Arial"/>
          <w:sz w:val="19"/>
          <w:szCs w:val="19"/>
          <w:color w:val="auto"/>
        </w:rPr>
        <w:t>”) has, on the terms and subject to the conditions set forth herein, (i) determined that this Agreement and the Transactions are fair to, and in the best interests of, Merger Sub and its sole shareholder, (ii) approved the Merger, the execution of this Agreement and the consummation of the Transactions, (iii) determined that, considering the financial position of the merging companies, no reasonable concern exists that the Surviving Company will be unable to fulfill the obligations of Merger Sub to its creditors and (iv) resolved to recommend that the sole shareholder of Merger Sub approve the Merger, this Agreement and the consummation of the Transactions;</w:t>
      </w:r>
    </w:p>
    <w:p>
      <w:pPr>
        <w:spacing w:after="0" w:line="20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WHEREAS, simultaneously with the execution and delivery of this Agreement and following the recommendation of the Merger Sub Board of Directors, the sole shareholder of Merger Sub has approved the Merger, the execution of this Agreement and the consummation of the Transactions; and</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WHEREAS, the Parties desire to make certain representations, warranties, covenants and agreements in connection with the Merger and also prescribe various conditions to the Merger.</w:t>
      </w:r>
    </w:p>
    <w:p>
      <w:pPr>
        <w:spacing w:after="0" w:line="2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NOW, THEREFORE, in consideration of the mutual covenants and agreements contained in this Agreement and for other good and valuable consideration, the receipt and adequacy of which are hereby acknowledged, and upon the terms and subject to the conditions set forth herein, the Parties agree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MERGER</w:t>
      </w:r>
    </w:p>
    <w:p>
      <w:pPr>
        <w:spacing w:after="0" w:line="26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The Merger</w:t>
      </w:r>
      <w:r>
        <w:rPr>
          <w:rFonts w:ascii="Arial" w:cs="Arial" w:eastAsia="Arial" w:hAnsi="Arial"/>
          <w:sz w:val="22"/>
          <w:szCs w:val="22"/>
          <w:color w:val="auto"/>
        </w:rPr>
        <w:t>. Upon the terms and subject to the satisfaction or waiver of the conditions set forth in this Agreement, and in accordance with the ICL, at the Effective Time, Merger Sub (as the target company (Chevrat Ha’Ya’ad) in the Merger) will be merged with and into the Company (as the absorbing company (HaChevra Ha’Koletet) in the Merger), whereupon the separate existence of Merger Sub will cease, with the Company surviving the Merger (the Company, as the surviving entity in the Merger, sometimes being referred to herein as the “Surviving Company” ), such that following the Merger, the Surviving Company will (a) be a wholly owned subsidiary of Parent, (b) continue to be governed by the laws of the State of Israel, and (c) succeed to and assume all of the rights, properties and obligations of Merger Sub and the Company in accordance with the ICL.</w:t>
      </w:r>
    </w:p>
    <w:p>
      <w:pPr>
        <w:spacing w:after="0" w:line="24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Closing</w:t>
      </w:r>
      <w:r>
        <w:rPr>
          <w:rFonts w:ascii="Arial" w:cs="Arial" w:eastAsia="Arial" w:hAnsi="Arial"/>
          <w:sz w:val="22"/>
          <w:szCs w:val="22"/>
          <w:color w:val="auto"/>
        </w:rPr>
        <w:t>. Unless another date or place is agreed to in writing by the Company and Parent, the closing of the Merger (the “</w:t>
      </w:r>
      <w:r>
        <w:rPr>
          <w:rFonts w:ascii="Arial" w:cs="Arial" w:eastAsia="Arial" w:hAnsi="Arial"/>
          <w:sz w:val="22"/>
          <w:szCs w:val="22"/>
          <w:u w:val="single" w:color="auto"/>
          <w:color w:val="auto"/>
        </w:rPr>
        <w:t>Closing</w:t>
      </w:r>
      <w:r>
        <w:rPr>
          <w:rFonts w:ascii="Arial" w:cs="Arial" w:eastAsia="Arial" w:hAnsi="Arial"/>
          <w:sz w:val="22"/>
          <w:szCs w:val="22"/>
          <w:color w:val="auto"/>
        </w:rPr>
        <w:t>”) will take place at 9:00 a.m., local time, at the offices of Yigal Arnon &amp; Co., 5 Azrieli Center, Tel Aviv 6702101, Israel, on the second (2</w:t>
      </w:r>
      <w:r>
        <w:rPr>
          <w:rFonts w:ascii="Arial" w:cs="Arial" w:eastAsia="Arial" w:hAnsi="Arial"/>
          <w:sz w:val="35"/>
          <w:szCs w:val="35"/>
          <w:color w:val="auto"/>
          <w:vertAlign w:val="superscript"/>
        </w:rPr>
        <w:t>nd</w:t>
      </w:r>
      <w:r>
        <w:rPr>
          <w:rFonts w:ascii="Arial" w:cs="Arial" w:eastAsia="Arial" w:hAnsi="Arial"/>
          <w:sz w:val="22"/>
          <w:szCs w:val="22"/>
          <w:color w:val="auto"/>
        </w:rPr>
        <w:t xml:space="preserve">) Business Day after the satisfaction or waiver of the last of the conditions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to be satisfied or (to the extent permitted) waived (other than any such conditions that by their nature are to be satisfied at the Closing, but subject to the satisfaction or (to the extent permitted) waiver of such conditions at the Closing), unless another date or place is agreed to in writing by the Company and Parent. The date on which the Closing actually takes place is referred to as the “</w:t>
      </w:r>
      <w:r>
        <w:rPr>
          <w:rFonts w:ascii="Arial" w:cs="Arial" w:eastAsia="Arial" w:hAnsi="Arial"/>
          <w:sz w:val="22"/>
          <w:szCs w:val="22"/>
          <w:u w:val="single" w:color="auto"/>
          <w:color w:val="auto"/>
        </w:rPr>
        <w:t>Closing Date.</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 w:name="page14"/>
    <w:bookmarkEnd w:id="13"/>
    <w:p>
      <w:pPr>
        <w:jc w:val="both"/>
        <w:ind w:firstLine="648"/>
        <w:spacing w:after="0" w:line="275"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Effective Time</w:t>
      </w:r>
      <w:r>
        <w:rPr>
          <w:rFonts w:ascii="Arial" w:cs="Arial" w:eastAsia="Arial" w:hAnsi="Arial"/>
          <w:sz w:val="19"/>
          <w:szCs w:val="19"/>
          <w:color w:val="auto"/>
        </w:rPr>
        <w:t>. As soon as practicable after the determination of the date on which the Closing is to take place, each of the Company and Merger Sub shall (and Parent shall cause Merger Sub to), in coordination with each other, deliver to the Companies Registrar of the Israeli Corporations Authority (the “</w:t>
      </w:r>
      <w:r>
        <w:rPr>
          <w:rFonts w:ascii="Arial" w:cs="Arial" w:eastAsia="Arial" w:hAnsi="Arial"/>
          <w:sz w:val="19"/>
          <w:szCs w:val="19"/>
          <w:u w:val="single" w:color="auto"/>
          <w:color w:val="auto"/>
        </w:rPr>
        <w:t>Companies Registrar</w:t>
      </w:r>
      <w:r>
        <w:rPr>
          <w:rFonts w:ascii="Arial" w:cs="Arial" w:eastAsia="Arial" w:hAnsi="Arial"/>
          <w:sz w:val="19"/>
          <w:szCs w:val="19"/>
          <w:color w:val="auto"/>
        </w:rPr>
        <w:t>”) a notice (the “</w:t>
      </w:r>
      <w:r>
        <w:rPr>
          <w:rFonts w:ascii="Arial" w:cs="Arial" w:eastAsia="Arial" w:hAnsi="Arial"/>
          <w:sz w:val="19"/>
          <w:szCs w:val="19"/>
          <w:u w:val="single" w:color="auto"/>
          <w:color w:val="auto"/>
        </w:rPr>
        <w:t>Merger Notice</w:t>
      </w:r>
      <w:r>
        <w:rPr>
          <w:rFonts w:ascii="Arial" w:cs="Arial" w:eastAsia="Arial" w:hAnsi="Arial"/>
          <w:sz w:val="19"/>
          <w:szCs w:val="19"/>
          <w:color w:val="auto"/>
        </w:rPr>
        <w:t>”) of the contemplated Merger and the proposed date on which the Companies Registrar is requested to issue a certificate evidencing the Merger in accordance with Section 323(5) of the ICL (the “</w:t>
      </w:r>
      <w:r>
        <w:rPr>
          <w:rFonts w:ascii="Arial" w:cs="Arial" w:eastAsia="Arial" w:hAnsi="Arial"/>
          <w:sz w:val="19"/>
          <w:szCs w:val="19"/>
          <w:u w:val="single" w:color="auto"/>
          <w:color w:val="auto"/>
        </w:rPr>
        <w:t>Certificate of Merger</w:t>
      </w:r>
      <w:r>
        <w:rPr>
          <w:rFonts w:ascii="Arial" w:cs="Arial" w:eastAsia="Arial" w:hAnsi="Arial"/>
          <w:sz w:val="19"/>
          <w:szCs w:val="19"/>
          <w:color w:val="auto"/>
        </w:rPr>
        <w:t>”) after notice that the Closing has occurred is served to the Companies Registrar, which the Parties shall deliver promptly following the Closing. The Merger will become effective upon the issuance by the Companies Registrar of the Certificate of Merger in accordance with Section 323(5) of the ICL (the time at which the Merger becomes effective is referred to herein as the “</w:t>
      </w:r>
      <w:r>
        <w:rPr>
          <w:rFonts w:ascii="Arial" w:cs="Arial" w:eastAsia="Arial" w:hAnsi="Arial"/>
          <w:sz w:val="19"/>
          <w:szCs w:val="19"/>
          <w:u w:val="single" w:color="auto"/>
          <w:color w:val="auto"/>
        </w:rPr>
        <w:t>Effective Time</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Effect of the Merger</w:t>
      </w:r>
      <w:r>
        <w:rPr>
          <w:rFonts w:ascii="Arial" w:cs="Arial" w:eastAsia="Arial" w:hAnsi="Arial"/>
          <w:sz w:val="19"/>
          <w:szCs w:val="19"/>
          <w:color w:val="auto"/>
        </w:rPr>
        <w:t>. The Merger shall have the effects set forth in the ICL and this Agreement. Without limiting the generality of the foregoing, and subject thereto, at the Effective Time, by virtue of, and simultaneously with, the Merger and without any further action on the part of Parent, Merger Sub, the Company or any Company Shareholder, (a) Merger Sub shall be merged with and into the Company, the separate existence of Merger Sub shall cease and the Company shall continue as the Surviving Company, (b) all the properties, rights, privileges, powers and franchises of the Company and Merger Sub shall vest in the Surviving Company, (c) all debts, liabilities and duties of the Company and Merger Sub shall become the debts, liabilities and duties of the Surviving Company, and (d) all the rights, privileges, immunities, powers and franchises of the Company (as the Surviving Company) shall continue unaffected by the Merger in accordance with the ICL.</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Articles of Association</w:t>
      </w:r>
      <w:r>
        <w:rPr>
          <w:rFonts w:ascii="Arial" w:cs="Arial" w:eastAsia="Arial" w:hAnsi="Arial"/>
          <w:sz w:val="22"/>
          <w:szCs w:val="22"/>
          <w:color w:val="auto"/>
        </w:rPr>
        <w:t>. The articles of association of Merger Sub, as in effect immediately prior to the Effective Time, shall be the articles of association of the Surviving Company, until such articles of association are thereafter duly changed or amended as provided therein or by applicable Law.</w:t>
      </w:r>
    </w:p>
    <w:p>
      <w:pPr>
        <w:spacing w:after="0" w:line="2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Officers and Directors of the Surviving Company</w:t>
      </w:r>
      <w:r>
        <w:rPr>
          <w:rFonts w:ascii="Arial" w:cs="Arial" w:eastAsia="Arial" w:hAnsi="Arial"/>
          <w:sz w:val="22"/>
          <w:szCs w:val="22"/>
          <w:color w:val="auto"/>
        </w:rPr>
        <w:t>. The Parties shall take all actions necessary so that from and after the Effective Time, the individuals designated by Parent no later than ten (10) days prior to the Closing Date shall become the officers and directors of the Surviving Company, until their respective successors have been duly elected, designated or qualified, or until their earlier death, resignation or removal in accordance with the articles of association of the Surviving Company.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TREATMENT OF SECURITIES</w:t>
      </w:r>
    </w:p>
    <w:p>
      <w:pPr>
        <w:spacing w:after="0" w:line="26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Treatment of Securities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1" w:lineRule="auto"/>
        <w:tabs>
          <w:tab w:leader="none" w:pos="2116"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Treatment of Company Shares. At the Effective Time, by virtue of the Merger and without any action on the part of the Parties or holders of any securities of the Company or of Merger Sub, subject to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and except as provided in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each Company Share issued and outstanding immediately prior to the Effective Time (other than Company Shares to remain outstanding in accordance with </w:t>
      </w:r>
      <w:r>
        <w:rPr>
          <w:rFonts w:ascii="Arial" w:cs="Arial" w:eastAsia="Arial" w:hAnsi="Arial"/>
          <w:sz w:val="19"/>
          <w:szCs w:val="19"/>
          <w:u w:val="single" w:color="auto"/>
          <w:color w:val="auto"/>
        </w:rPr>
        <w:t>Section 2.1(b)</w:t>
      </w:r>
      <w:r>
        <w:rPr>
          <w:rFonts w:ascii="Arial" w:cs="Arial" w:eastAsia="Arial" w:hAnsi="Arial"/>
          <w:sz w:val="19"/>
          <w:szCs w:val="19"/>
          <w:color w:val="auto"/>
        </w:rPr>
        <w:t>) shall be deemed to have been transferred to Parent in exchange for the right to receive an amount in cash equal to $53.00 (the “</w:t>
      </w:r>
      <w:r>
        <w:rPr>
          <w:rFonts w:ascii="Arial" w:cs="Arial" w:eastAsia="Arial" w:hAnsi="Arial"/>
          <w:sz w:val="19"/>
          <w:szCs w:val="19"/>
          <w:u w:val="single" w:color="auto"/>
          <w:color w:val="auto"/>
        </w:rPr>
        <w:t>Per Share Merger Consideration</w:t>
      </w:r>
      <w:r>
        <w:rPr>
          <w:rFonts w:ascii="Arial" w:cs="Arial" w:eastAsia="Arial" w:hAnsi="Arial"/>
          <w:sz w:val="19"/>
          <w:szCs w:val="19"/>
          <w:color w:val="auto"/>
        </w:rPr>
        <w:t xml:space="preserve">”), in each case, payable as provided in Section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From and after the Effective Time, (a) except as provided in </w:t>
      </w:r>
      <w:r>
        <w:rPr>
          <w:rFonts w:ascii="Arial" w:cs="Arial" w:eastAsia="Arial" w:hAnsi="Arial"/>
          <w:sz w:val="19"/>
          <w:szCs w:val="19"/>
          <w:u w:val="single" w:color="auto"/>
          <w:color w:val="auto"/>
        </w:rPr>
        <w:t>Section 2.1(b)</w:t>
      </w:r>
      <w:r>
        <w:rPr>
          <w:rFonts w:ascii="Arial" w:cs="Arial" w:eastAsia="Arial" w:hAnsi="Arial"/>
          <w:sz w:val="19"/>
          <w:szCs w:val="19"/>
          <w:color w:val="auto"/>
        </w:rPr>
        <w:t>, the holders of all Company Shares issued and outstanding immediately prior to the Effective Time (including all uncertificated Company Shares represented by book-entry form (“</w:t>
      </w:r>
      <w:r>
        <w:rPr>
          <w:rFonts w:ascii="Arial" w:cs="Arial" w:eastAsia="Arial" w:hAnsi="Arial"/>
          <w:sz w:val="19"/>
          <w:szCs w:val="19"/>
          <w:u w:val="single" w:color="auto"/>
          <w:color w:val="auto"/>
        </w:rPr>
        <w:t>Book-Entry Shares</w:t>
      </w:r>
      <w:r>
        <w:rPr>
          <w:rFonts w:ascii="Arial" w:cs="Arial" w:eastAsia="Arial" w:hAnsi="Arial"/>
          <w:sz w:val="19"/>
          <w:szCs w:val="19"/>
          <w:color w:val="auto"/>
        </w:rPr>
        <w:t>”) and each certificate that, immediately prior to the Effective Time, represented any such Company Shares (each, a “</w:t>
      </w:r>
      <w:r>
        <w:rPr>
          <w:rFonts w:ascii="Arial" w:cs="Arial" w:eastAsia="Arial" w:hAnsi="Arial"/>
          <w:sz w:val="19"/>
          <w:szCs w:val="19"/>
          <w:u w:val="single" w:color="auto"/>
          <w:color w:val="auto"/>
        </w:rPr>
        <w:t>Certificate</w:t>
      </w:r>
      <w:r>
        <w:rPr>
          <w:rFonts w:ascii="Arial" w:cs="Arial" w:eastAsia="Arial" w:hAnsi="Arial"/>
          <w:sz w:val="19"/>
          <w:szCs w:val="19"/>
          <w:color w:val="auto"/>
        </w:rPr>
        <w:t>”)) shall cease to have any rights with respect thereto, except the right to receive the Per Share Merger Consideration applicable to such Company Shares, and (b) the share transfer books of the Company shall be closed with respect to all Company Shares outstanding and no further transfer of any such Company Shares shall be made on such share transfer books after the Effective Time, and Parent shall be registered as the sole owner of all Company Shares in the Company’s share register, as shall be reflected in an updated share register and share certificate to be delivered to Parent by the Company at the Effective Time.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both"/>
        <w:ind w:firstLine="1304"/>
        <w:spacing w:after="0" w:line="238" w:lineRule="auto"/>
        <w:tabs>
          <w:tab w:leader="none" w:pos="2155"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Company Shares held by Company, Company Subsidiary, Parent or Merger Sub</w:t>
      </w:r>
      <w:r>
        <w:rPr>
          <w:rFonts w:ascii="Arial" w:cs="Arial" w:eastAsia="Arial" w:hAnsi="Arial"/>
          <w:sz w:val="22"/>
          <w:szCs w:val="22"/>
          <w:color w:val="auto"/>
        </w:rPr>
        <w:t>. At the Effective Time, all Company Shares owned by the Company, any Company Subsidiary, Parent, Merger Sub or by any of their respective Subsidiaries or held in the Company’s treasury shall remain outstanding and no Per Share Merger Consideration or any other consideration shall be delivered in exchange therefor.</w:t>
      </w:r>
    </w:p>
    <w:p>
      <w:pPr>
        <w:spacing w:after="0" w:line="239" w:lineRule="exact"/>
        <w:rPr>
          <w:rFonts w:ascii="Arial" w:cs="Arial" w:eastAsia="Arial" w:hAnsi="Arial"/>
          <w:sz w:val="22"/>
          <w:szCs w:val="22"/>
          <w:color w:val="auto"/>
        </w:rPr>
      </w:pPr>
    </w:p>
    <w:p>
      <w:pPr>
        <w:jc w:val="both"/>
        <w:ind w:firstLine="1304"/>
        <w:spacing w:after="0"/>
        <w:tabs>
          <w:tab w:leader="none" w:pos="2089"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Treatment of Merger Sub Share Capital</w:t>
      </w:r>
      <w:r>
        <w:rPr>
          <w:rFonts w:ascii="Arial" w:cs="Arial" w:eastAsia="Arial" w:hAnsi="Arial"/>
          <w:sz w:val="22"/>
          <w:szCs w:val="22"/>
          <w:color w:val="auto"/>
        </w:rPr>
        <w:t>. At the Effective Time, each ordinary share of Merger Sub issued and outstanding immediately prior to the Effective Time shall be automatically and without further action be canceled and cease to exist.</w:t>
      </w:r>
    </w:p>
    <w:p>
      <w:pPr>
        <w:spacing w:after="0" w:line="240" w:lineRule="exact"/>
        <w:rPr>
          <w:rFonts w:ascii="Arial" w:cs="Arial" w:eastAsia="Arial" w:hAnsi="Arial"/>
          <w:sz w:val="22"/>
          <w:szCs w:val="22"/>
          <w:color w:val="auto"/>
        </w:rPr>
      </w:pPr>
    </w:p>
    <w:p>
      <w:pPr>
        <w:jc w:val="both"/>
        <w:ind w:firstLine="1304"/>
        <w:spacing w:after="0" w:line="277" w:lineRule="auto"/>
        <w:tabs>
          <w:tab w:leader="none" w:pos="2128"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Adjustment</w:t>
      </w:r>
      <w:r>
        <w:rPr>
          <w:rFonts w:ascii="Arial" w:cs="Arial" w:eastAsia="Arial" w:hAnsi="Arial"/>
          <w:sz w:val="19"/>
          <w:szCs w:val="19"/>
          <w:color w:val="auto"/>
        </w:rPr>
        <w:t xml:space="preserve">. If at any time during the period between the date of this Agreement and the Effective Time, any change in the outstanding share capital, or securities convertible or exchangeable into or exercisable for Company Shares shall occur as a result of any merger, business combination, reclassification, recapitalization, share split (including a reverse share split) or subdivision or combination, exchange or readjustment of shares, or any share dividend or share distribution with a record date during such period, the Per Share Merger Consideration, the Exchange Ratio and any other similarly dependent items shall be equitably adjusted, without duplication, to reflect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shall be construed to permit the Company to take any action with respect to its securities that is prohibited by the terms of this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660"/>
        <w:spacing w:after="0"/>
        <w:tabs>
          <w:tab w:leader="none" w:pos="214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Payment for Company Shares; Surrender of Certificates</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line="269" w:lineRule="auto"/>
        <w:tabs>
          <w:tab w:leader="none" w:pos="2157"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Payments with respect to Company Shares (other than Section 102 Shares)</w:t>
      </w:r>
      <w:r>
        <w:rPr>
          <w:rFonts w:ascii="Arial" w:cs="Arial" w:eastAsia="Arial" w:hAnsi="Arial"/>
          <w:sz w:val="19"/>
          <w:szCs w:val="19"/>
          <w:color w:val="auto"/>
        </w:rPr>
        <w:t>. On or prior to the Effective Time, Parent or Merger Sub shall (i) designate a bank or trust company reasonably acceptable to the Company to act as the exchange agent in connection with the Merger (including any Israeli agent, appointed at the sole and exclusive discretion of the Parent, required in order to execute the provisions of the Withholding Tax Ruling) (the “</w:t>
      </w:r>
      <w:r>
        <w:rPr>
          <w:rFonts w:ascii="Arial" w:cs="Arial" w:eastAsia="Arial" w:hAnsi="Arial"/>
          <w:sz w:val="19"/>
          <w:szCs w:val="19"/>
          <w:u w:val="single" w:color="auto"/>
          <w:color w:val="auto"/>
        </w:rPr>
        <w:t>Exchange Agent</w:t>
      </w:r>
      <w:r>
        <w:rPr>
          <w:rFonts w:ascii="Arial" w:cs="Arial" w:eastAsia="Arial" w:hAnsi="Arial"/>
          <w:sz w:val="19"/>
          <w:szCs w:val="19"/>
          <w:color w:val="auto"/>
        </w:rPr>
        <w:t>”) and (ii) to the extent necessary in light of the provisions of the Withholding Tax Ruling, an information agent reasonably acceptable to the Company (the “</w:t>
      </w:r>
      <w:r>
        <w:rPr>
          <w:rFonts w:ascii="Arial" w:cs="Arial" w:eastAsia="Arial" w:hAnsi="Arial"/>
          <w:sz w:val="19"/>
          <w:szCs w:val="19"/>
          <w:u w:val="single" w:color="auto"/>
          <w:color w:val="auto"/>
        </w:rPr>
        <w:t>Information Agent</w:t>
      </w:r>
      <w:r>
        <w:rPr>
          <w:rFonts w:ascii="Arial" w:cs="Arial" w:eastAsia="Arial" w:hAnsi="Arial"/>
          <w:sz w:val="19"/>
          <w:szCs w:val="19"/>
          <w:color w:val="auto"/>
        </w:rPr>
        <w:t>”) to assist in obtaining any requisite residency certificate and/or other declaration for Israeli Tax withholding purposes and/or a Valid Tax Certificate, as applicable, and, in connection therewith, shall enter into agreements with the Exchange Agent and the Information Agent in a form reasonably satisfactory to the Company. The Exchange Agent shall also act as the agent for the holders of Company Shares for the purpose of receiving and holding their Certificates and Book-Entry Shares and shall obtain no rights or interests in the shares represented thereby. At the Closing, Parent or Merger Sub shall initiate, or shall cause to be initiated, a wire transfer to deposit, or cause to be deposited, with the Exchange Agent, cash in immediately available funds in an amount sufficient to pay the aggregate amount of Per Share Merger Consideration (other than consideration to be paid with respect to Section 102 Shares, which payment shall be substantially concurrently transferred directly to the 102 Trustee) (the “</w:t>
      </w:r>
      <w:r>
        <w:rPr>
          <w:rFonts w:ascii="Arial" w:cs="Arial" w:eastAsia="Arial" w:hAnsi="Arial"/>
          <w:sz w:val="19"/>
          <w:szCs w:val="19"/>
          <w:u w:val="single" w:color="auto"/>
          <w:color w:val="auto"/>
        </w:rPr>
        <w:t>Exchange Fund</w:t>
      </w:r>
      <w:r>
        <w:rPr>
          <w:rFonts w:ascii="Arial" w:cs="Arial" w:eastAsia="Arial" w:hAnsi="Arial"/>
          <w:sz w:val="19"/>
          <w:szCs w:val="19"/>
          <w:color w:val="auto"/>
        </w:rPr>
        <w:t xml:space="preserve">”), in each case, for the sole benefit of the holders of Company Shares (other than the holders of Section 102 Shares), which funds shall be deposited with the Exchange Agent in any event within two (2) Business Days after the Effective Time. In the event that the Exchange Fund shall be insufficient to pay the aggregate amount of all Per Share Merger Consideration due to the Company Shareholders (other than the holders of Section 102 Shares), Parent shall, or shall cause Merger Sub to, promptly deposit additional funds with the Exchange Agent in an amount which is equal to the deficiency in the amount required to make such payment. Parent shall cause the Exchange Agent to make, and the Exchange Agent shall make, pursuant to irrevocable instructions, delivery of the Per Share Merger Consideration out of the Exchange Fund in accordance with this Agreement. The Exchange Fund shall not be used for any purpose that is not expressly provided for in this Agreement. The Exchange Fund shall be invested by the Exchange Agent as reasonably directed by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investment or loss thereon shall relieve Parent or the Exchange Agent from making the payments required by this Agreement, including the obligation to deposit additional funds with the Exchange Agent to cover any deficiency in the Exchange Fund, nor shall it affect the amounts payable to holders of a Certificate or Book-Entry Share pursuant to this </w:t>
      </w:r>
      <w:r>
        <w:rPr>
          <w:rFonts w:ascii="Arial" w:cs="Arial" w:eastAsia="Arial" w:hAnsi="Arial"/>
          <w:sz w:val="19"/>
          <w:szCs w:val="19"/>
          <w:u w:val="single" w:color="auto"/>
          <w:color w:val="auto"/>
        </w:rPr>
        <w:t>Article II</w:t>
      </w:r>
      <w:r>
        <w:rPr>
          <w:rFonts w:ascii="Arial" w:cs="Arial" w:eastAsia="Arial" w:hAnsi="Arial"/>
          <w:sz w:val="19"/>
          <w:szCs w:val="19"/>
          <w:color w:val="auto"/>
        </w:rPr>
        <w:t>. Upon release of the Exchange Fund to Parent, or Parent’s earlier request, any interest and other income resulting from such investments shall be paid to Parent or the Surviving Company (at the election of Parent) which shall bear, in either case, any Taxes applicable in connection with any such interest or other income.</w:t>
      </w:r>
    </w:p>
    <w:p>
      <w:pPr>
        <w:spacing w:after="0" w:line="200" w:lineRule="exact"/>
        <w:rPr>
          <w:rFonts w:ascii="Arial" w:cs="Arial" w:eastAsia="Arial" w:hAnsi="Arial"/>
          <w:sz w:val="19"/>
          <w:szCs w:val="19"/>
          <w:color w:val="auto"/>
        </w:rPr>
      </w:pPr>
    </w:p>
    <w:p>
      <w:pPr>
        <w:spacing w:after="0" w:line="262" w:lineRule="exact"/>
        <w:rPr>
          <w:rFonts w:ascii="Arial" w:cs="Arial" w:eastAsia="Arial" w:hAnsi="Arial"/>
          <w:sz w:val="19"/>
          <w:szCs w:val="19"/>
          <w:color w:val="auto"/>
        </w:rPr>
      </w:pPr>
    </w:p>
    <w:p>
      <w:pPr>
        <w:jc w:val="both"/>
        <w:ind w:firstLine="1304"/>
        <w:spacing w:after="0" w:line="274" w:lineRule="auto"/>
        <w:tabs>
          <w:tab w:leader="none" w:pos="2101"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Payments with respect to Section 102 Shares</w:t>
      </w:r>
      <w:r>
        <w:rPr>
          <w:rFonts w:ascii="Arial" w:cs="Arial" w:eastAsia="Arial" w:hAnsi="Arial"/>
          <w:sz w:val="19"/>
          <w:szCs w:val="19"/>
          <w:color w:val="auto"/>
        </w:rPr>
        <w:t>. At the Closing, Parent or Merger Sub shall initiate, or shall cause to be initiated, a wire transfer to deposit the aggregate Per Share Merger Consideration payable with respect to the Section 102 Shares to the 102 Trustee, on behalf of holders of Section 102 Shares, in accordance with Section 102 and the Options Tax Ruling, if obtained (the “</w:t>
      </w:r>
      <w:r>
        <w:rPr>
          <w:rFonts w:ascii="Arial" w:cs="Arial" w:eastAsia="Arial" w:hAnsi="Arial"/>
          <w:sz w:val="19"/>
          <w:szCs w:val="19"/>
          <w:u w:val="single" w:color="auto"/>
          <w:color w:val="auto"/>
        </w:rPr>
        <w:t>Section 102 Share Consideration</w:t>
      </w:r>
      <w:r>
        <w:rPr>
          <w:rFonts w:ascii="Arial" w:cs="Arial" w:eastAsia="Arial" w:hAnsi="Arial"/>
          <w:sz w:val="19"/>
          <w:szCs w:val="19"/>
          <w:color w:val="auto"/>
        </w:rPr>
        <w:t>”), which funds shall be deposited with the 102 Trustee in any event within two (2) Business Days after the Effective Time. The Section 102 Share Consideration shall be held in trust by the 102 Trustee pursuant to the applicable provisions of Section 102 and the Options Tax Ruling (or the Interim Options Tax Ruling, if applicable), if obtained, and shall be released by the 102 Trustee, together with any interest earned thereon by virtue of the investment of such amounts by the 102 Trustee, in accordance with the terms and conditions of Section 102 and the Options Tax Ruling (or the Interim Options Tax Ruling, if applicable), if obtained.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both"/>
        <w:ind w:firstLine="1304"/>
        <w:spacing w:after="0" w:line="268" w:lineRule="auto"/>
        <w:tabs>
          <w:tab w:leader="none" w:pos="2197"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Procedures for Surrender</w:t>
      </w:r>
      <w:r>
        <w:rPr>
          <w:rFonts w:ascii="Arial" w:cs="Arial" w:eastAsia="Arial" w:hAnsi="Arial"/>
          <w:sz w:val="19"/>
          <w:szCs w:val="19"/>
          <w:color w:val="auto"/>
        </w:rPr>
        <w:t xml:space="preserve">. As soon as reasonably practicable after the Effective Time, Parent shall, and shall cause the Surviving Company to, cause the Exchange Agent to mail to each holder of record of a Certificate or Book-Entry Share as of the Effective Time and whose Company Shares were exchanged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into the right to receive the Per Share Merger Consideration (i) a letter of transmittal, which shall specify that delivery shall be effected, and risk of loss and title to the Certificate shall pass, only upon delivery of the Certificate (or affidavit of loss in lieu thereof as provided in </w:t>
      </w:r>
      <w:r>
        <w:rPr>
          <w:rFonts w:ascii="Arial" w:cs="Arial" w:eastAsia="Arial" w:hAnsi="Arial"/>
          <w:sz w:val="19"/>
          <w:szCs w:val="19"/>
          <w:u w:val="single" w:color="auto"/>
          <w:color w:val="auto"/>
        </w:rPr>
        <w:t>Section 2.2(e)</w:t>
      </w:r>
      <w:r>
        <w:rPr>
          <w:rFonts w:ascii="Arial" w:cs="Arial" w:eastAsia="Arial" w:hAnsi="Arial"/>
          <w:sz w:val="19"/>
          <w:szCs w:val="19"/>
          <w:color w:val="auto"/>
        </w:rPr>
        <w:t xml:space="preserve">) or Book-Entry Share, as applicable, to the Exchange Agent and shall be in such customary form as Parent may reasonably specify and (ii) instructions for effecting the surrender of the Certificate (or affidavit of loss in lieu thereof as provided in </w:t>
      </w:r>
      <w:r>
        <w:rPr>
          <w:rFonts w:ascii="Arial" w:cs="Arial" w:eastAsia="Arial" w:hAnsi="Arial"/>
          <w:sz w:val="19"/>
          <w:szCs w:val="19"/>
          <w:u w:val="single" w:color="auto"/>
          <w:color w:val="auto"/>
        </w:rPr>
        <w:t>Section 2.2(e)</w:t>
      </w:r>
      <w:r>
        <w:rPr>
          <w:rFonts w:ascii="Arial" w:cs="Arial" w:eastAsia="Arial" w:hAnsi="Arial"/>
          <w:sz w:val="19"/>
          <w:szCs w:val="19"/>
          <w:color w:val="auto"/>
        </w:rPr>
        <w:t xml:space="preserve">) or Book-Entry Share in exchange for payment of the Per Share Merger Consideration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(iii) a declaration and/or Valid Tax Certificate (or such other forms as are required under any applicable Tax Law) in which the beneficial owner (and, if the beneficial owner is not the registered owner, the registered owner) of a Company Share provides certain information necessary for Parent or the Exchange Agent or the Information Agent, as applicable, to determine whether any amounts need to be withheld from the consideration payable to such beneficial owner (and, if the beneficial owner is not the registered owner, the registered owner) hereunder pursuant to the terms of the Ordinance (in each case, subject to the terms of the Withholding Tax Ruling, if obtained, the Code, or any provision of applicable Law). Subject to the Withholding Tax Ruling, upon surrender of a Certificate (or an affidavit of loss in lieu thereof) or Book-Entry Share for cancellation to the Exchange Agent, together with such letter of transmittal and declaration for Tax withholding purposes and/or a Valid Tax Certificate (or such other forms as are required under any applicable Tax Law), in each case, duly completed and validly executed in accordance with the respective instructions thereto, Parent shall pay or cause the Exchange Agent to pay to the holder of such Certificate or Book-Entry Share in exchange therefor the applicable Per Share Merger Consideration pursuant to the provisions of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for each Company Share formerly represented by such Certificate or Book-Entry Share, promptly (subject to the delay of up to one hundred and eighty (180) days contemplated by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following the later to occur of (x) the Effective Time or (y) the Exchange Agent’s receipt of such Certificate (or affidavit of loss in lieu thereof as provided in </w:t>
      </w:r>
      <w:r>
        <w:rPr>
          <w:rFonts w:ascii="Arial" w:cs="Arial" w:eastAsia="Arial" w:hAnsi="Arial"/>
          <w:sz w:val="19"/>
          <w:szCs w:val="19"/>
          <w:u w:val="single" w:color="auto"/>
          <w:color w:val="auto"/>
        </w:rPr>
        <w:t>Section 2.2(e)</w:t>
      </w:r>
      <w:r>
        <w:rPr>
          <w:rFonts w:ascii="Arial" w:cs="Arial" w:eastAsia="Arial" w:hAnsi="Arial"/>
          <w:sz w:val="19"/>
          <w:szCs w:val="19"/>
          <w:color w:val="auto"/>
        </w:rPr>
        <w:t xml:space="preserve">) or Book-Entry Share and Valid Tax Certificate, and the Certificate (or affidavit of loss in lieu thereof) or Book-Entry Share so surrendered shall be forthwith cancelled. The Exchange Agent shall accept such Certificate (or affidavit of loss in lieu thereof as provided in </w:t>
      </w:r>
      <w:r>
        <w:rPr>
          <w:rFonts w:ascii="Arial" w:cs="Arial" w:eastAsia="Arial" w:hAnsi="Arial"/>
          <w:sz w:val="19"/>
          <w:szCs w:val="19"/>
          <w:u w:val="single" w:color="auto"/>
          <w:color w:val="auto"/>
        </w:rPr>
        <w:t>Section 2.2(e)</w:t>
      </w:r>
      <w:r>
        <w:rPr>
          <w:rFonts w:ascii="Arial" w:cs="Arial" w:eastAsia="Arial" w:hAnsi="Arial"/>
          <w:sz w:val="19"/>
          <w:szCs w:val="19"/>
          <w:color w:val="auto"/>
        </w:rPr>
        <w:t xml:space="preserve">) or Book-Entry Share upon compliance with such reasonable terms and conditions as the Exchange Agent may impose to effect an orderly exchange thereof in accordance with normal exchange practices. If payment of the Per Share Merger Consideration is to be made to a Person other than the Person in whose name the surrendered Certificate is registered, it shall be a condition precedent of payment that (A) the Certificate so surrendered shall be properly endorsed or shall be otherwise in proper form for transfer and (B) the Person requesting such payment shall have paid any transfer and other Taxes required by reason of the payment of the Per Share Merger Consideration to a Person other than the registered holder of the Certificate surrendered or shall have established to the satisfaction of the Surviving Company that such Tax either has been paid or is not required to be paid. Payment of the applicable Per Share Merger Consideration with respect to a Book-Entry Share shall only be made to the Person in whose name such Book-Entry Share is registered. Until surrendered as contemplated by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each Certificate and Book-Entry Share shall be deemed at any time after the Effective Time to represent only the right to receive the applicable Per Share Merger Consideration as contemplated by this </w:t>
      </w:r>
      <w:r>
        <w:rPr>
          <w:rFonts w:ascii="Arial" w:cs="Arial" w:eastAsia="Arial" w:hAnsi="Arial"/>
          <w:sz w:val="19"/>
          <w:szCs w:val="19"/>
          <w:u w:val="single" w:color="auto"/>
          <w:color w:val="auto"/>
        </w:rPr>
        <w:t>Article II</w:t>
      </w:r>
      <w:r>
        <w:rPr>
          <w:rFonts w:ascii="Arial" w:cs="Arial" w:eastAsia="Arial" w:hAnsi="Arial"/>
          <w:sz w:val="19"/>
          <w:szCs w:val="19"/>
          <w:color w:val="auto"/>
        </w:rPr>
        <w:t>, without interest thereon.</w:t>
      </w:r>
    </w:p>
    <w:p>
      <w:pPr>
        <w:spacing w:after="0" w:line="200" w:lineRule="exact"/>
        <w:rPr>
          <w:rFonts w:ascii="Arial" w:cs="Arial" w:eastAsia="Arial" w:hAnsi="Arial"/>
          <w:sz w:val="19"/>
          <w:szCs w:val="19"/>
          <w:color w:val="auto"/>
        </w:rPr>
      </w:pPr>
    </w:p>
    <w:p>
      <w:pPr>
        <w:spacing w:after="0" w:line="280" w:lineRule="exact"/>
        <w:rPr>
          <w:rFonts w:ascii="Arial" w:cs="Arial" w:eastAsia="Arial" w:hAnsi="Arial"/>
          <w:sz w:val="19"/>
          <w:szCs w:val="19"/>
          <w:color w:val="auto"/>
        </w:rPr>
      </w:pPr>
    </w:p>
    <w:p>
      <w:pPr>
        <w:jc w:val="both"/>
        <w:ind w:firstLine="1304"/>
        <w:spacing w:after="0" w:line="234" w:lineRule="auto"/>
        <w:tabs>
          <w:tab w:leader="none" w:pos="229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Transfer Books; No Further Ownership Rights in Company Shares</w:t>
      </w:r>
      <w:r>
        <w:rPr>
          <w:rFonts w:ascii="Arial" w:cs="Arial" w:eastAsia="Arial" w:hAnsi="Arial"/>
          <w:sz w:val="22"/>
          <w:szCs w:val="22"/>
          <w:color w:val="auto"/>
        </w:rPr>
        <w:t>. At the Effective Time, the share transfer books or ledger of the Company shall be closed and thereafter there shall be no further registration of transfers of Company Shares on the records of the Company. From and after the Effective Time, the holder of a Certificate or Book-Entry Share outstanding immediately prior to the Effective Time shall cease to have any rights with respect to the Company Shares represented thereby except as otherwise provided for herein or by applicable Law. If, after the Effective Time, a Certificate or Book-Entry Share is presented to the Surviving Company for any reason, it shall be cancelled and exchanged as provided in this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both"/>
        <w:ind w:firstLine="1304"/>
        <w:spacing w:after="0" w:line="273" w:lineRule="auto"/>
        <w:tabs>
          <w:tab w:leader="none" w:pos="2346"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of Exchange Fund; No Liability</w:t>
      </w:r>
      <w:r>
        <w:rPr>
          <w:rFonts w:ascii="Arial" w:cs="Arial" w:eastAsia="Arial" w:hAnsi="Arial"/>
          <w:sz w:val="19"/>
          <w:szCs w:val="19"/>
          <w:color w:val="auto"/>
        </w:rPr>
        <w:t xml:space="preserve">. Unless otherwise determined in the Withholding Tax Ruling, at any time following twelve (12) months after the Effective Time, Parent shall be entitled to 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a Certificate or Book-Entry Share, and thereafter such holders shall be entitled to look only to the Surviving Company and Parent (subject to abandoned property, escheat or other similar Laws) as general creditors thereof with respect to the applicable Per Share Merger Consideration, payable upon due surrender of their Certificate or Book-Entry Share and compliance with the procedures in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(with Parent acting as the Exchange Agent), without any interest thereon. Notwithstanding the foregoing, none of the Surviving Company, Parent, Merger Sub, or the Exchange Agent shall be liable to any holder of a Certificate or Book-Entry Share for any Per Share Merger Consideration, dividends, or other amounts properly delivered to a public official pursuant to any applicable abandoned property, escheat or similar applicable Law.</w:t>
      </w:r>
    </w:p>
    <w:p>
      <w:pPr>
        <w:spacing w:after="0" w:line="209" w:lineRule="exact"/>
        <w:rPr>
          <w:rFonts w:ascii="Arial" w:cs="Arial" w:eastAsia="Arial" w:hAnsi="Arial"/>
          <w:sz w:val="19"/>
          <w:szCs w:val="19"/>
          <w:color w:val="auto"/>
        </w:rPr>
      </w:pPr>
    </w:p>
    <w:p>
      <w:pPr>
        <w:jc w:val="both"/>
        <w:ind w:firstLine="1304"/>
        <w:spacing w:after="0" w:line="276" w:lineRule="auto"/>
        <w:tabs>
          <w:tab w:leader="none" w:pos="2227"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Lost, Stolen or Destroyed Certificates</w:t>
      </w:r>
      <w:r>
        <w:rPr>
          <w:rFonts w:ascii="Arial" w:cs="Arial" w:eastAsia="Arial" w:hAnsi="Arial"/>
          <w:sz w:val="19"/>
          <w:szCs w:val="19"/>
          <w:color w:val="auto"/>
        </w:rPr>
        <w:t>. In the event that any Certificate shall have been lost, stolen or destroyed, Parent shall issue or cause the Exchange Agent to issue, in exchange for such lost, stolen or destroyed Certificate,</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upon the making of an affidavit of that fact by the holder thereof (such affidavit to be in a form reasonably satisfactory to Parent and the Exchange Agent), the Per Share Merger Consideration payable in respect thereof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Parent or the Exchange Agent may, in its discretion and as a condition precedent to the issuance thereof, require the owner of such lost, stolen or destroyed Certificate to deliver a bond in such reasonable and customary amount as Parent or the Exchange Agent may direct as indemnity against any claim that may be made against Parent, Merger Sub or the Exchange Agent with respect to the Certificate alleged to have been lost, stolen or destroyed.</w:t>
      </w:r>
    </w:p>
    <w:p>
      <w:pPr>
        <w:spacing w:after="0" w:line="20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Treatment of Company Equity Awards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6" w:lineRule="auto"/>
        <w:tabs>
          <w:tab w:leader="none" w:pos="2130"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Cashed-Out Company Options</w:t>
      </w:r>
      <w:r>
        <w:rPr>
          <w:rFonts w:ascii="Arial" w:cs="Arial" w:eastAsia="Arial" w:hAnsi="Arial"/>
          <w:sz w:val="19"/>
          <w:szCs w:val="19"/>
          <w:color w:val="auto"/>
        </w:rPr>
        <w:t>. At the Effective Time, each option to purchase Company Shares granted by the Company (a “</w:t>
      </w:r>
      <w:r>
        <w:rPr>
          <w:rFonts w:ascii="Arial" w:cs="Arial" w:eastAsia="Arial" w:hAnsi="Arial"/>
          <w:sz w:val="19"/>
          <w:szCs w:val="19"/>
          <w:u w:val="single" w:color="auto"/>
          <w:color w:val="auto"/>
        </w:rPr>
        <w:t>Company Option</w:t>
      </w:r>
      <w:r>
        <w:rPr>
          <w:rFonts w:ascii="Arial" w:cs="Arial" w:eastAsia="Arial" w:hAnsi="Arial"/>
          <w:sz w:val="19"/>
          <w:szCs w:val="19"/>
          <w:color w:val="auto"/>
        </w:rPr>
        <w:t>”) that is outstanding and unexercised immediately prior to the Effective Time, and either</w:t>
      </w:r>
    </w:p>
    <w:p>
      <w:pPr>
        <w:spacing w:after="0" w:line="1" w:lineRule="exact"/>
        <w:rPr>
          <w:rFonts w:ascii="Arial" w:cs="Arial" w:eastAsia="Arial" w:hAnsi="Arial"/>
          <w:sz w:val="19"/>
          <w:szCs w:val="19"/>
          <w:color w:val="auto"/>
        </w:rPr>
      </w:pPr>
    </w:p>
    <w:p>
      <w:pPr>
        <w:jc w:val="both"/>
        <w:ind w:firstLine="8"/>
        <w:spacing w:after="0" w:line="266" w:lineRule="auto"/>
        <w:tabs>
          <w:tab w:leader="none" w:pos="281"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has fully vested as of immediately prior to the Effective Time in accordance with its terms as in effect on the date of this Agreement or (ii) except as otherwise set forth on </w:t>
      </w:r>
      <w:r>
        <w:rPr>
          <w:rFonts w:ascii="Arial" w:cs="Arial" w:eastAsia="Arial" w:hAnsi="Arial"/>
          <w:sz w:val="19"/>
          <w:szCs w:val="19"/>
          <w:u w:val="single" w:color="auto"/>
          <w:color w:val="auto"/>
        </w:rPr>
        <w:t>Schedule 2.3</w:t>
      </w:r>
      <w:r>
        <w:rPr>
          <w:rFonts w:ascii="Arial" w:cs="Arial" w:eastAsia="Arial" w:hAnsi="Arial"/>
          <w:sz w:val="19"/>
          <w:szCs w:val="19"/>
          <w:color w:val="auto"/>
        </w:rPr>
        <w:t>, is held by a member of the Company Board of Directors who is not an employee of the Company or any Company Subsidiary or otherwise is held by an individual who is not a Continuing Employee (whether vested or unvested) (each, a “</w:t>
      </w:r>
      <w:r>
        <w:rPr>
          <w:rFonts w:ascii="Arial" w:cs="Arial" w:eastAsia="Arial" w:hAnsi="Arial"/>
          <w:sz w:val="19"/>
          <w:szCs w:val="19"/>
          <w:u w:val="single" w:color="auto"/>
          <w:color w:val="auto"/>
        </w:rPr>
        <w:t>Cashed-Out Company Option</w:t>
      </w:r>
      <w:r>
        <w:rPr>
          <w:rFonts w:ascii="Arial" w:cs="Arial" w:eastAsia="Arial" w:hAnsi="Arial"/>
          <w:sz w:val="19"/>
          <w:szCs w:val="19"/>
          <w:color w:val="auto"/>
        </w:rPr>
        <w:t>”), shall, and without any action on the part of Parent, Merger Sub, the Company, the holder of such Cashed-Out Company Option or any other Person, be cancelled and converted at the Effective Time into the right to receive from the Surviving Company an amount in cash equal to the product of</w:t>
      </w:r>
    </w:p>
    <w:p>
      <w:pPr>
        <w:spacing w:after="0" w:line="5" w:lineRule="exact"/>
        <w:rPr>
          <w:rFonts w:ascii="Arial" w:cs="Arial" w:eastAsia="Arial" w:hAnsi="Arial"/>
          <w:sz w:val="19"/>
          <w:szCs w:val="19"/>
          <w:color w:val="auto"/>
        </w:rPr>
      </w:pPr>
    </w:p>
    <w:p>
      <w:pPr>
        <w:jc w:val="both"/>
        <w:ind w:firstLine="8"/>
        <w:spacing w:after="0" w:line="275" w:lineRule="auto"/>
        <w:tabs>
          <w:tab w:leader="none" w:pos="328"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number of Company Shares subject to such Cashed-Out Company Option, and (y) the excess, if any, of the Per Share Merger Consideration over the applicable per share exercise price under such Cashed-Out Company Option (the “</w:t>
      </w:r>
      <w:r>
        <w:rPr>
          <w:rFonts w:ascii="Arial" w:cs="Arial" w:eastAsia="Arial" w:hAnsi="Arial"/>
          <w:sz w:val="19"/>
          <w:szCs w:val="19"/>
          <w:u w:val="single" w:color="auto"/>
          <w:color w:val="auto"/>
        </w:rPr>
        <w:t>Vested Option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 Notwithstanding the foregoing, each Company Option that is vested, outstanding and unexercised as of the Effective Time with a per share exercise price that is equal to or greater than the Per Share Merger Consideration, if any, will, as of the Effective Time, be canceled without the payment of any consideration therefor. Any such payment with respect to a Cashed-Out Company Option shall be subject to all applicable federal, state and local tax withholding requirements.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both"/>
        <w:ind w:firstLine="1304"/>
        <w:spacing w:after="0" w:line="271" w:lineRule="auto"/>
        <w:tabs>
          <w:tab w:leader="none" w:pos="2425"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Assumed Company Options</w:t>
      </w:r>
      <w:r>
        <w:rPr>
          <w:rFonts w:ascii="Arial" w:cs="Arial" w:eastAsia="Arial" w:hAnsi="Arial"/>
          <w:sz w:val="19"/>
          <w:szCs w:val="19"/>
          <w:color w:val="auto"/>
        </w:rPr>
        <w:t>. At the Effective Time, each Company Option held by a Continuing Employee that is outstanding immediately prior to the Effective Time and is not a Cashed-Out Company Option will be assumed by Ultimate Parent and converted automatically at the Effective Time into a stock option covering common shares of Ultimate Parent having, except to the extent required to be modified under applicable Laws, substantially the same terms and conditions as the Company Option, including the applicable vesting schedule and payment timing as in effect on the date of this Agreement (each, an “</w:t>
      </w:r>
      <w:r>
        <w:rPr>
          <w:rFonts w:ascii="Arial" w:cs="Arial" w:eastAsia="Arial" w:hAnsi="Arial"/>
          <w:sz w:val="19"/>
          <w:szCs w:val="19"/>
          <w:u w:val="single" w:color="auto"/>
          <w:color w:val="auto"/>
        </w:rPr>
        <w:t>Assumed Option</w:t>
      </w:r>
      <w:r>
        <w:rPr>
          <w:rFonts w:ascii="Arial" w:cs="Arial" w:eastAsia="Arial" w:hAnsi="Arial"/>
          <w:sz w:val="19"/>
          <w:szCs w:val="19"/>
          <w:color w:val="auto"/>
        </w:rPr>
        <w:t>”), except that (i) each such Assumed Option will entitle the holder, upon exercise, to that number of whole common shares of Ultimate Parent equal to the product of (A) the number of Company Shares that were subject to such Company Option immediately prior to the Effective Time, multiplied by (B) a fraction (such ratio, the “</w:t>
      </w:r>
      <w:r>
        <w:rPr>
          <w:rFonts w:ascii="Arial" w:cs="Arial" w:eastAsia="Arial" w:hAnsi="Arial"/>
          <w:sz w:val="19"/>
          <w:szCs w:val="19"/>
          <w:u w:val="single" w:color="auto"/>
          <w:color w:val="auto"/>
        </w:rPr>
        <w:t>Exchange Ratio</w:t>
      </w:r>
      <w:r>
        <w:rPr>
          <w:rFonts w:ascii="Arial" w:cs="Arial" w:eastAsia="Arial" w:hAnsi="Arial"/>
          <w:sz w:val="19"/>
          <w:szCs w:val="19"/>
          <w:color w:val="auto"/>
        </w:rPr>
        <w:t>”), the numerator of which is the Per Share Merger Consideration and the denominator of which is the volume weighted average price for a common share of Ultimate Parent on Nasdaq, calculated to four decimal places and determined without regard to after-hours trading or any other trading outside of the regular trading session trading hours, for the ten (10) consecutive trading days ending on the third complete trading day prior to (and excluding) the Closing Date, as reported by Bloomberg, L.P., and rounding such product down to the nearest whole number of common shares of Ultimate Parent, with an exercise price per share subject to the Assumed Option equal to the exercise price per share for which the Company Option was exercisable immediately prior to the Effective Time divided by the Exchange Ratio, and rounded up to the nearest whole cent and (ii) all references to the “</w:t>
      </w:r>
      <w:r>
        <w:rPr>
          <w:rFonts w:ascii="Arial" w:cs="Arial" w:eastAsia="Arial" w:hAnsi="Arial"/>
          <w:sz w:val="19"/>
          <w:szCs w:val="19"/>
          <w:u w:val="single" w:color="auto"/>
          <w:color w:val="auto"/>
        </w:rPr>
        <w:t>Company</w:t>
      </w:r>
      <w:r>
        <w:rPr>
          <w:rFonts w:ascii="Arial" w:cs="Arial" w:eastAsia="Arial" w:hAnsi="Arial"/>
          <w:sz w:val="19"/>
          <w:szCs w:val="19"/>
          <w:color w:val="auto"/>
        </w:rPr>
        <w:t>” in the applicable Company Equity Plans and the Company Option award agreements will be references to Ultimate Parent.</w:t>
      </w:r>
    </w:p>
    <w:p>
      <w:pPr>
        <w:spacing w:after="0" w:line="211" w:lineRule="exact"/>
        <w:rPr>
          <w:rFonts w:ascii="Arial" w:cs="Arial" w:eastAsia="Arial" w:hAnsi="Arial"/>
          <w:sz w:val="19"/>
          <w:szCs w:val="19"/>
          <w:color w:val="auto"/>
        </w:rPr>
      </w:pPr>
    </w:p>
    <w:p>
      <w:pPr>
        <w:jc w:val="both"/>
        <w:ind w:firstLine="1304"/>
        <w:spacing w:after="0" w:line="269" w:lineRule="auto"/>
        <w:tabs>
          <w:tab w:leader="none" w:pos="2089"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Cashed-Out Company RSUs</w:t>
      </w:r>
      <w:r>
        <w:rPr>
          <w:rFonts w:ascii="Arial" w:cs="Arial" w:eastAsia="Arial" w:hAnsi="Arial"/>
          <w:sz w:val="19"/>
          <w:szCs w:val="19"/>
          <w:color w:val="auto"/>
        </w:rPr>
        <w:t xml:space="preserve">. At the Effective Time, each Company RSU that is outstanding immediately prior to the Effective Time and either (i) has fully vested as of immediately prior to the Effective Time in accordance with its terms as in effect on the date of this Agreement, but has not been settled in Company Shares prior to the Effective Time or (ii) except as otherwise set forth on </w:t>
      </w:r>
      <w:r>
        <w:rPr>
          <w:rFonts w:ascii="Arial" w:cs="Arial" w:eastAsia="Arial" w:hAnsi="Arial"/>
          <w:sz w:val="19"/>
          <w:szCs w:val="19"/>
          <w:u w:val="single" w:color="auto"/>
          <w:color w:val="auto"/>
        </w:rPr>
        <w:t>Schedule 2.3</w:t>
      </w:r>
      <w:r>
        <w:rPr>
          <w:rFonts w:ascii="Arial" w:cs="Arial" w:eastAsia="Arial" w:hAnsi="Arial"/>
          <w:sz w:val="19"/>
          <w:szCs w:val="19"/>
          <w:color w:val="auto"/>
        </w:rPr>
        <w:t>, is held by a member of the Company Board of Directors who is not an employee of the Company or a Company Subsidiary (whether vested or unvested) (each, a “</w:t>
      </w:r>
      <w:r>
        <w:rPr>
          <w:rFonts w:ascii="Arial" w:cs="Arial" w:eastAsia="Arial" w:hAnsi="Arial"/>
          <w:sz w:val="19"/>
          <w:szCs w:val="19"/>
          <w:u w:val="single" w:color="auto"/>
          <w:color w:val="auto"/>
        </w:rPr>
        <w:t>Cashed-Out Company RSU</w:t>
      </w:r>
      <w:r>
        <w:rPr>
          <w:rFonts w:ascii="Arial" w:cs="Arial" w:eastAsia="Arial" w:hAnsi="Arial"/>
          <w:sz w:val="19"/>
          <w:szCs w:val="19"/>
          <w:color w:val="auto"/>
        </w:rPr>
        <w:t>”), shall without any action on the part of Parent, Merger Sub, the Company, the holder of such Company RSU or any other Person, be canceled and converted at the Effective Time into the right of the holder to receive from the Surviving Company immediately following the Effective Time an amount in cash equal to the product of (x) the number of Company Shares subject to such Company RSU, and</w:t>
      </w:r>
    </w:p>
    <w:p>
      <w:pPr>
        <w:spacing w:after="0" w:line="2" w:lineRule="exact"/>
        <w:rPr>
          <w:rFonts w:ascii="Arial" w:cs="Arial" w:eastAsia="Arial" w:hAnsi="Arial"/>
          <w:sz w:val="19"/>
          <w:szCs w:val="19"/>
          <w:color w:val="auto"/>
        </w:rPr>
      </w:pPr>
    </w:p>
    <w:p>
      <w:pPr>
        <w:ind w:firstLine="8"/>
        <w:spacing w:after="0" w:line="236" w:lineRule="auto"/>
        <w:tabs>
          <w:tab w:leader="none" w:pos="319"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Per Share Merger Consideration. Any such payment with respect to a Cashed-Out Company RSU shall be subject to all applicable federal, state and local tax withholding requirements.</w:t>
      </w:r>
    </w:p>
    <w:p>
      <w:pPr>
        <w:spacing w:after="0" w:line="240" w:lineRule="exact"/>
        <w:rPr>
          <w:rFonts w:ascii="Arial" w:cs="Arial" w:eastAsia="Arial" w:hAnsi="Arial"/>
          <w:sz w:val="22"/>
          <w:szCs w:val="22"/>
          <w:color w:val="auto"/>
        </w:rPr>
      </w:pPr>
    </w:p>
    <w:p>
      <w:pPr>
        <w:jc w:val="both"/>
        <w:ind w:firstLine="1304"/>
        <w:spacing w:after="0" w:line="273" w:lineRule="auto"/>
        <w:tabs>
          <w:tab w:leader="none" w:pos="2182"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Assumed Company RSUs</w:t>
      </w:r>
      <w:r>
        <w:rPr>
          <w:rFonts w:ascii="Arial" w:cs="Arial" w:eastAsia="Arial" w:hAnsi="Arial"/>
          <w:sz w:val="19"/>
          <w:szCs w:val="19"/>
          <w:color w:val="auto"/>
        </w:rPr>
        <w:t>. At the Effective Time, each Company RSU held by a Continuing Employee that is outstanding immediately prior to the Effective Time and is not a Cashed-Out Company RSU will be assumed by Ultimate Parent and converted automatically at the Effective Time into a restricted stock unit covering common shares of Ultimate Parent having, except to the extent required to be modified under applicable Laws, substantially the same terms and conditions as the Company RSU, including the applicable vesting schedule and payment timing as in effect on the date of this Agreement (each, an “</w:t>
      </w:r>
      <w:r>
        <w:rPr>
          <w:rFonts w:ascii="Arial" w:cs="Arial" w:eastAsia="Arial" w:hAnsi="Arial"/>
          <w:sz w:val="19"/>
          <w:szCs w:val="19"/>
          <w:u w:val="single" w:color="auto"/>
          <w:color w:val="auto"/>
        </w:rPr>
        <w:t>Assumed RSU</w:t>
      </w:r>
      <w:r>
        <w:rPr>
          <w:rFonts w:ascii="Arial" w:cs="Arial" w:eastAsia="Arial" w:hAnsi="Arial"/>
          <w:sz w:val="19"/>
          <w:szCs w:val="19"/>
          <w:color w:val="auto"/>
        </w:rPr>
        <w:t>”), except that (i) each such Assumed RSU will entitle the holder, upon settlement, to that number of whole common shares of Ultimate Parent equal to the product of (A) the number of Company Shares that were issuable with regard to such Company RSU immediately prior to the Effective Time, multiplied by (B) the Exchange Ratio and rounding such product down to the nearest whole number of common shares of Ultimate Parent, and (ii) all references to the “</w:t>
      </w:r>
      <w:r>
        <w:rPr>
          <w:rFonts w:ascii="Arial" w:cs="Arial" w:eastAsia="Arial" w:hAnsi="Arial"/>
          <w:sz w:val="19"/>
          <w:szCs w:val="19"/>
          <w:u w:val="single" w:color="auto"/>
          <w:color w:val="auto"/>
        </w:rPr>
        <w:t>Company</w:t>
      </w:r>
      <w:r>
        <w:rPr>
          <w:rFonts w:ascii="Arial" w:cs="Arial" w:eastAsia="Arial" w:hAnsi="Arial"/>
          <w:sz w:val="19"/>
          <w:szCs w:val="19"/>
          <w:color w:val="auto"/>
        </w:rPr>
        <w:t>” in the applicable Company Equity Plans and the Company RSU award agreements will be references to Ultimate Parent.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both"/>
        <w:ind w:firstLine="1304"/>
        <w:spacing w:after="0" w:line="271" w:lineRule="auto"/>
        <w:tabs>
          <w:tab w:leader="none" w:pos="2184"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Assumed Company PSUs</w:t>
      </w:r>
      <w:r>
        <w:rPr>
          <w:rFonts w:ascii="Arial" w:cs="Arial" w:eastAsia="Arial" w:hAnsi="Arial"/>
          <w:sz w:val="19"/>
          <w:szCs w:val="19"/>
          <w:color w:val="auto"/>
        </w:rPr>
        <w:t>. Immediately prior to the Effective Time, the level at which the performance goals are satisfied with respect to each Company PSU that is outstanding immediately prior to the Effective Time shall be determined in good faith and approved by the Company Board of Directors (or a committee thereof, as applicable) based on its determination of the greater of (i) the average performance results for the two most recently completed years prior to the year in which the Closing Date occurs and (ii) actual performance as of the Closing Date (determined in accordance with the applicable Company PSU award agreement) (such final amount, the “</w:t>
      </w:r>
      <w:r>
        <w:rPr>
          <w:rFonts w:ascii="Arial" w:cs="Arial" w:eastAsia="Arial" w:hAnsi="Arial"/>
          <w:sz w:val="19"/>
          <w:szCs w:val="19"/>
          <w:u w:val="single" w:color="auto"/>
          <w:color w:val="auto"/>
        </w:rPr>
        <w:t>Performance Satisfied PSUs</w:t>
      </w:r>
      <w:r>
        <w:rPr>
          <w:rFonts w:ascii="Arial" w:cs="Arial" w:eastAsia="Arial" w:hAnsi="Arial"/>
          <w:sz w:val="19"/>
          <w:szCs w:val="19"/>
          <w:color w:val="auto"/>
        </w:rPr>
        <w:t>”). The resulting Performance Satisfied PSUs shall be assumed by Ultimate Parent and converted automatically at the Effective Time into a restricted stock unit covering common shares of Ultimate Parent having, except to the extent required to be modified under applicable Laws, substantially the same terms and conditions as the Company PSU, other than the performance goals, including the applicable time-based vesting schedule as in effect on the date of this Agreement (each, an “</w:t>
      </w:r>
      <w:r>
        <w:rPr>
          <w:rFonts w:ascii="Arial" w:cs="Arial" w:eastAsia="Arial" w:hAnsi="Arial"/>
          <w:sz w:val="19"/>
          <w:szCs w:val="19"/>
          <w:u w:val="single" w:color="auto"/>
          <w:color w:val="auto"/>
        </w:rPr>
        <w:t>Assumed PSU</w:t>
      </w:r>
      <w:r>
        <w:rPr>
          <w:rFonts w:ascii="Arial" w:cs="Arial" w:eastAsia="Arial" w:hAnsi="Arial"/>
          <w:sz w:val="19"/>
          <w:szCs w:val="19"/>
          <w:color w:val="auto"/>
        </w:rPr>
        <w:t>”), except that (A) each such Assumed PSU shall entitle the holder, upon settlement, to that number of whole common shares of Ultimate Parent equal to the product of (x) the number of Company Shares that were issuable with regard to the Performance Satisfied PSUs, multiplied by (y) the Exchange Ratio and rounding such product down to the nearest whole number of common shares of Ultimate Parent, and (B) all references to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in the applicable Company Equity Plans and the Company PSU award agreements shall be references to Ultimate Parent. For the avoidance of doubt, any Company PSUs that do not become Performance Satisfied PSUs pursuant to this </w:t>
      </w:r>
      <w:r>
        <w:rPr>
          <w:rFonts w:ascii="Arial" w:cs="Arial" w:eastAsia="Arial" w:hAnsi="Arial"/>
          <w:sz w:val="19"/>
          <w:szCs w:val="19"/>
          <w:u w:val="single" w:color="auto"/>
          <w:color w:val="auto"/>
        </w:rPr>
        <w:t>Section 2.3(e)</w:t>
      </w:r>
      <w:r>
        <w:rPr>
          <w:rFonts w:ascii="Arial" w:cs="Arial" w:eastAsia="Arial" w:hAnsi="Arial"/>
          <w:sz w:val="19"/>
          <w:szCs w:val="19"/>
          <w:color w:val="auto"/>
        </w:rPr>
        <w:t xml:space="preserve"> shall be forfeited and cancelled without the payment of any consideration therefor.</w:t>
      </w:r>
    </w:p>
    <w:p>
      <w:pPr>
        <w:spacing w:after="0" w:line="211" w:lineRule="exact"/>
        <w:rPr>
          <w:rFonts w:ascii="Arial" w:cs="Arial" w:eastAsia="Arial" w:hAnsi="Arial"/>
          <w:sz w:val="19"/>
          <w:szCs w:val="19"/>
          <w:color w:val="auto"/>
        </w:rPr>
      </w:pPr>
    </w:p>
    <w:p>
      <w:pPr>
        <w:ind w:firstLine="1304"/>
        <w:spacing w:after="0" w:line="250" w:lineRule="auto"/>
        <w:tabs>
          <w:tab w:leader="none" w:pos="2092"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Payments with respect to Cashed-Out Company Options and Cashed-Out Company RSUs</w:t>
      </w:r>
      <w:r>
        <w:rPr>
          <w:rFonts w:ascii="Arial" w:cs="Arial" w:eastAsia="Arial" w:hAnsi="Arial"/>
          <w:sz w:val="22"/>
          <w:szCs w:val="22"/>
          <w:color w:val="auto"/>
        </w:rPr>
        <w:t>. Promptly, but in any event within five (5) Business Days after the Effective Time, Parent shall cause:</w:t>
      </w:r>
    </w:p>
    <w:p>
      <w:pPr>
        <w:spacing w:after="0" w:line="242" w:lineRule="exact"/>
        <w:rPr>
          <w:rFonts w:ascii="Arial" w:cs="Arial" w:eastAsia="Arial" w:hAnsi="Arial"/>
          <w:sz w:val="22"/>
          <w:szCs w:val="22"/>
          <w:color w:val="auto"/>
        </w:rPr>
      </w:pPr>
    </w:p>
    <w:p>
      <w:pPr>
        <w:jc w:val="both"/>
        <w:ind w:left="660" w:firstLine="1292"/>
        <w:spacing w:after="0" w:line="305" w:lineRule="auto"/>
        <w:tabs>
          <w:tab w:leader="none" w:pos="2956"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transfer of the aggregate amount of funds payable with respect to Cashed-Out Company Options and Cashed-Out Company RSUs that are Section 102 Awards to the 102 Trustee, on behalf of holders of Section 102 Awards, in accordance with Section 102 and the Options Tax Ruling (or the Interim Options Tax Ruling, if applicable), if obtained (the “</w:t>
      </w:r>
      <w:r>
        <w:rPr>
          <w:rFonts w:ascii="Arial" w:cs="Arial" w:eastAsia="Arial" w:hAnsi="Arial"/>
          <w:sz w:val="19"/>
          <w:szCs w:val="19"/>
          <w:u w:val="single" w:color="auto"/>
          <w:color w:val="auto"/>
        </w:rPr>
        <w:t>Section 102 Award Consideration</w:t>
      </w:r>
      <w:r>
        <w:rPr>
          <w:rFonts w:ascii="Arial" w:cs="Arial" w:eastAsia="Arial" w:hAnsi="Arial"/>
          <w:sz w:val="19"/>
          <w:szCs w:val="19"/>
          <w:color w:val="auto"/>
        </w:rPr>
        <w:t>”). The Section 102 Award Consideration shall be held in trust by the 102 Trustee pursuant to the applicable provisions of Section 102 and the Options Tax Ruling (or the Interim Options Tax Ruling, if applicable), if obtained, and shall be released by the 102 Trustee, together with any interest earned thereon by virtue of the investment of such amounts by the 102 Trustee, in accordance with the terms and conditions of Section 102 and the Options Tax Ruling (or the Interim Options Tax Ruling, if applicable), if obtained;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both"/>
        <w:ind w:left="660" w:firstLine="1292"/>
        <w:spacing w:after="0" w:line="260" w:lineRule="auto"/>
        <w:tabs>
          <w:tab w:leader="none" w:pos="3016"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deposit of the aggregate amount of funds payable with respect to Cashed-Out Company Options and Cashed-Out Company RSUs (in each case, other than Section 102 Awards) with the Company at one or more accounts designated by the Company prior to Closing for the benefit of the holders of Cashed-Out Company Options and Cashed-Out Company RSUs (in each case, other than Section 102 Awards), which amounts shall be paid by the Company to the respective holders thereof through the Company’s payroll systems, subject to applicable withholdings, promptly following the Closing.</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Notwithstanding the foregoing, in the event that any Cashed-Out Company Option or Cashed-Out Company RSU is subject to Section 409A of the Code, the payment of the amount of cash with respect thereto shall be delayed and paid in accordance with the timing requirements of the definitive grant agreement related to such award, to the extent necessary to comply with Section 409A of the Code.</w:t>
      </w:r>
    </w:p>
    <w:p>
      <w:pPr>
        <w:spacing w:after="0" w:line="239" w:lineRule="exact"/>
        <w:rPr>
          <w:sz w:val="20"/>
          <w:szCs w:val="20"/>
          <w:color w:val="auto"/>
        </w:rPr>
      </w:pPr>
    </w:p>
    <w:p>
      <w:pPr>
        <w:jc w:val="both"/>
        <w:ind w:firstLine="1304"/>
        <w:spacing w:after="0" w:line="257" w:lineRule="auto"/>
        <w:tabs>
          <w:tab w:leader="none" w:pos="2425"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Parties’ Obligations</w:t>
      </w:r>
      <w:r>
        <w:rPr>
          <w:rFonts w:ascii="Arial" w:cs="Arial" w:eastAsia="Arial" w:hAnsi="Arial"/>
          <w:sz w:val="21"/>
          <w:szCs w:val="21"/>
          <w:color w:val="auto"/>
        </w:rPr>
        <w:t xml:space="preserve">. As soon as reasonably practicable following the date of this Agreement, the Company, Merger Sub, Ultimate Parent and Parent will take all actions and adopt such resolutions as may be required to provide for the treatment of the Company Equity Awards in the manner contemplated by this </w:t>
      </w:r>
      <w:r>
        <w:rPr>
          <w:rFonts w:ascii="Arial" w:cs="Arial" w:eastAsia="Arial" w:hAnsi="Arial"/>
          <w:sz w:val="21"/>
          <w:szCs w:val="21"/>
          <w:u w:val="single" w:color="auto"/>
          <w:color w:val="auto"/>
        </w:rPr>
        <w:t>Section 2.3</w:t>
      </w:r>
      <w:r>
        <w:rPr>
          <w:rFonts w:ascii="Arial" w:cs="Arial" w:eastAsia="Arial" w:hAnsi="Arial"/>
          <w:sz w:val="21"/>
          <w:szCs w:val="21"/>
          <w:color w:val="auto"/>
        </w:rPr>
        <w:t>.</w:t>
      </w:r>
    </w:p>
    <w:p>
      <w:pPr>
        <w:spacing w:after="0" w:line="223" w:lineRule="exact"/>
        <w:rPr>
          <w:rFonts w:ascii="Arial" w:cs="Arial" w:eastAsia="Arial" w:hAnsi="Arial"/>
          <w:sz w:val="21"/>
          <w:szCs w:val="21"/>
          <w:color w:val="auto"/>
        </w:rPr>
      </w:pPr>
    </w:p>
    <w:p>
      <w:pPr>
        <w:jc w:val="both"/>
        <w:ind w:firstLine="1304"/>
        <w:spacing w:after="0" w:line="271" w:lineRule="auto"/>
        <w:tabs>
          <w:tab w:leader="none" w:pos="2142"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Ultimate Parent’s and Parent’s Obligations</w:t>
      </w:r>
      <w:r>
        <w:rPr>
          <w:rFonts w:ascii="Arial" w:cs="Arial" w:eastAsia="Arial" w:hAnsi="Arial"/>
          <w:sz w:val="19"/>
          <w:szCs w:val="19"/>
          <w:color w:val="auto"/>
        </w:rPr>
        <w:t xml:space="preserve">. Parent shall, or shall cause the Surviving Company to, make the payments due under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Parent shall take all actions necessary to ensure that, if applicable, the Surviving Company and the 102 Trustee have cash sufficient to satisfy the payment obligations set forth in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including, to the extent necessary, depositing with the Surviving Company and the 102 Trustee the amounts due under this </w:t>
      </w:r>
      <w:r>
        <w:rPr>
          <w:rFonts w:ascii="Arial" w:cs="Arial" w:eastAsia="Arial" w:hAnsi="Arial"/>
          <w:sz w:val="19"/>
          <w:szCs w:val="19"/>
          <w:u w:val="single" w:color="auto"/>
          <w:color w:val="auto"/>
        </w:rPr>
        <w:t>Section 2.3</w:t>
      </w:r>
      <w:r>
        <w:rPr>
          <w:rFonts w:ascii="Arial" w:cs="Arial" w:eastAsia="Arial" w:hAnsi="Arial"/>
          <w:sz w:val="19"/>
          <w:szCs w:val="19"/>
          <w:color w:val="auto"/>
        </w:rPr>
        <w:t>. Ultimate Parent shall take all corporate action necessary to reserve for issuance a sufficient number of common shares of Ultimate Parent for delivery with respect to all Assumed Options, Assumed RSUs and Assumed PSUs. No later than the Closing Date, Ultimate Parent will file an appropriate Registration Statement on Form S-8 or other appropriate form with respect to the offering of common shares of Ultimate Parent issuable upon vesting of the Assumed Options, Assumed RSUs and Assumed PSUs and shall file a request with the Israel Securities Authority for an exemption from prospectus requirements pursuant to Section 15D of the Israeli Securities Law 1968, with respect to such offering. Subject to the receipt of the Options Tax Ruling, Ultimate Parent shall use all reasonable commercial efforts in order to maintain the tax beneficial treatment of the Assumed Options, Assumed RSUs and Assumed PSUs which are Section 102 Awards pursuant to Section 102(b)(3) of the Ordinance. Ultimate Parent shall use reasonable best efforts to keep such Form S-8 effective for as long as the Assumed Options, Assumed RSUs and Assumed PSUs remain outstanding.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jc w:val="both"/>
        <w:ind w:firstLine="1304"/>
        <w:spacing w:after="0" w:line="271" w:lineRule="auto"/>
        <w:tabs>
          <w:tab w:leader="none" w:pos="2283"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After the Effective Time, no holder of a Company Equity Award will have any right to acquire any Company Shares. As soon as reasonably practicable following the date of this Agreement, and in any event prior to the Effective Time, the Company, the Compensation Committee of the Company Board of Directors and the Company Board of Directors, as applicable, shall adopt any resolutions and amendments as may be necessary to effectuate the provisions of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(such resolutions and amendments to be effective as of, and contingent upon, the Effective Time), provide such notice, if any, to the extent required under the terms of any Company Equity Plan, obtain any necessary consents and take all other necessary or appropriate actions to (i) give effect to the transactions contemplated herein; (ii) ensure that after the Effective Time, no holder of any Company Option, Company RSU or Company PSU, any beneficiary thereof nor any other participant in any Company Equity Plan shall have any right thereunder to acquire any Company Shares or to receive any payment or benefit with respect to any award previously granted under any Company Equity Plan, except as provided in this </w:t>
      </w:r>
      <w:r>
        <w:rPr>
          <w:rFonts w:ascii="Arial" w:cs="Arial" w:eastAsia="Arial" w:hAnsi="Arial"/>
          <w:sz w:val="19"/>
          <w:szCs w:val="19"/>
          <w:u w:val="single" w:color="auto"/>
          <w:color w:val="auto"/>
        </w:rPr>
        <w:t>Section 2.3</w:t>
      </w:r>
      <w:r>
        <w:rPr>
          <w:rFonts w:ascii="Arial" w:cs="Arial" w:eastAsia="Arial" w:hAnsi="Arial"/>
          <w:sz w:val="19"/>
          <w:szCs w:val="19"/>
          <w:color w:val="auto"/>
        </w:rPr>
        <w:t>; and (iii) provide that each Company Option that does not constitute an Assumed Option, each Company RSU that does not constitute an Assumed RSU and each Company PSU that does not constitute an Assumed PSU, shall be terminated for no consideration as of immediately prior to the Effective Time. The Company shall provide Parent with documentation evidencing the completion of the foregoing actions (the form and substance of such documentation shall be subject to review and approval by Parent, such approval not to be unreasonably withheld) no later than three (3) Business Days preceding the Effective Time.</w:t>
      </w:r>
    </w:p>
    <w:p>
      <w:pPr>
        <w:spacing w:after="0" w:line="2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Withholding</w:t>
      </w:r>
      <w:r>
        <w:rPr>
          <w:rFonts w:ascii="Arial" w:cs="Arial" w:eastAsia="Arial" w:hAnsi="Arial"/>
          <w:sz w:val="19"/>
          <w:szCs w:val="19"/>
          <w:color w:val="auto"/>
        </w:rPr>
        <w:t>. Parent, Merger Sub, the Surviving Company, the 102 Trustee, the Exchange Agent and any other third-party paying agent (each a “</w:t>
      </w:r>
      <w:r>
        <w:rPr>
          <w:rFonts w:ascii="Arial" w:cs="Arial" w:eastAsia="Arial" w:hAnsi="Arial"/>
          <w:sz w:val="19"/>
          <w:szCs w:val="19"/>
          <w:u w:val="single" w:color="auto"/>
          <w:color w:val="auto"/>
        </w:rPr>
        <w:t>Payor</w:t>
      </w:r>
      <w:r>
        <w:rPr>
          <w:rFonts w:ascii="Arial" w:cs="Arial" w:eastAsia="Arial" w:hAnsi="Arial"/>
          <w:sz w:val="19"/>
          <w:szCs w:val="19"/>
          <w:color w:val="auto"/>
        </w:rPr>
        <w:t xml:space="preserve">”) shall each be entitled to deduct and withhold, or cause to be deducted and withheld, from any amounts otherwise payable pursuant to this Agreement, any amounts that are required to be withheld or deducted with respect to such amounts under the Withholding Tax Ruling and the Options Tax Ruling (or the Interim Options Tax Ruling, if applicable), if obtained, the Code, the Ordinance or any other applicable Law relating to Taxes. If the Withholding Tax Ruling and/or the Options Tax Ruling (or the Interim Options Tax Ruling, if applicable) are not obtained prior to the date when payment is due, Parent shall reasonably determine the amounts that are required to be withheld or deducted with respect to such payment under applicable Tax Law; however, with respect to Israeli withholding Taxes, if Parent is provided with a Valid Tax Certificate no less than three (3) Business Days before the payment is due, then the payment and subsequent withholding of Israeli Tax (or lack thereof) shall be made in accordance with such Valid Tax Certificate (for the avoidance of doubt, in the absence of a Withholding Tax Ruling and/or an Options Tax Ruling (or the Interim Options Tax Ruling), the provisions of this Section 2.4, including the Withholding Drop Date mechanism, shall apply). To the extent that amounts are withheld in accordance with the foregoing sentences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timely remitted to the appropriate Governmental Authority, such withheld amounts shall be treated for all purposes of this Agreement as having been paid to the Person in respect of whom such deduction and withholding was made. Notwithstanding the provisions of this Agreement relating to the timing of payment of consideration, and subject to any other provision to the contrary in the Withholding Tax Ruling, with respect to the payment of consideration that would be subject to withholding of Israeli Taxes, the consideration otherwise payable to each Company Shareholder pursuant to this Agreement (other than holders of Section 102 Shares) shall, unless Parent or Exchange Agent is otherwise instructed explicitly by the ITA, be retained by the Exchange Agent for the benefit of each such Company Shareholder for a period of up to one hundred and eighty (180) days from Closing (the “</w:t>
      </w:r>
      <w:r>
        <w:rPr>
          <w:rFonts w:ascii="Arial" w:cs="Arial" w:eastAsia="Arial" w:hAnsi="Arial"/>
          <w:sz w:val="19"/>
          <w:szCs w:val="19"/>
          <w:u w:val="single" w:color="auto"/>
          <w:color w:val="auto"/>
        </w:rPr>
        <w:t>Withholding Drop Date</w:t>
      </w:r>
      <w:r>
        <w:rPr>
          <w:rFonts w:ascii="Arial" w:cs="Arial" w:eastAsia="Arial" w:hAnsi="Arial"/>
          <w:sz w:val="19"/>
          <w:szCs w:val="19"/>
          <w:color w:val="auto"/>
        </w:rPr>
        <w:t xml:space="preserve">”), and until the Withholding Drop Date no Payor shall make any such payments to any Company Shareholder and withhold any amounts for Israeli Taxes from the payment deliverable pursuant to this Agreement, except as provided below and during which time each Company Shareholder may seek to obtain a Valid Tax Certificate. If a Company Shareholder delivers, no later than three (3) Business Days prior to the Withholding Drop Date a declaration for Israeli Tax withholding purposes or a Valid Tax Certificate to a Payor (or such other forms as are required under any applicable Tax Law) all in accordance with </w:t>
      </w:r>
      <w:r>
        <w:rPr>
          <w:rFonts w:ascii="Arial" w:cs="Arial" w:eastAsia="Arial" w:hAnsi="Arial"/>
          <w:sz w:val="19"/>
          <w:szCs w:val="19"/>
          <w:u w:val="single" w:color="auto"/>
          <w:color w:val="auto"/>
        </w:rPr>
        <w:t>Section 2.2(c)(iii)</w:t>
      </w:r>
      <w:r>
        <w:rPr>
          <w:rFonts w:ascii="Arial" w:cs="Arial" w:eastAsia="Arial" w:hAnsi="Arial"/>
          <w:sz w:val="19"/>
          <w:szCs w:val="19"/>
          <w:color w:val="auto"/>
        </w:rPr>
        <w:t>, then the Per Share Merger Consideration due to such Company Shareholder shall be paid to such Company Shareholder, subject to any non-Israeli withholding which is applicable to the payment, and the deduction and withholding of any Israeli Taxes shall be made only in accordance with the declaration for Israeli Tax withholding purposes or the Valid Tax Certificate. Subject to the Withholding Tax Ruling, if any Company Shareholder (i) does not provide Payor with a declaration for Israeli Tax withholding purposes or a Valid Tax Certificate (or such other forms as are required under any applicable Tax Law), by no later than three (3) Business Days before the Withholding Drop Date, or (ii) submits a written request with Payor to release such Person’s applicable consideration prior to the Withholding Drop Date but fails to submit a declaration for Israeli Tax withholding purposes or a Valid Tax Certificate (or such other forms as are required under any applicable Tax Law) at or before such time, then the amount to be withheld from such consideration shall be calculated according to the applicable withholding rate as reasonably determined by the Parent or (if the Withholding Tax Ruling imposes responsibility for withholding solely on the Exchange Agent) by the Exchange Agent. If so provided in the Withholding Tax Ruling, any withholding made in New Israeli Shekels with respect to payments made hereunder in U.S. dollars shall be calculated based on a conversion rate on the date the payment is actually made to any recipient and any currency conversion commissions will be borne by the applicable payment recipient and deducted from payments to be made to such payment recipient.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jc w:val="both"/>
        <w:ind w:firstLine="648"/>
        <w:spacing w:after="0" w:line="235"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Further Assurances</w:t>
      </w:r>
      <w:r>
        <w:rPr>
          <w:rFonts w:ascii="Arial" w:cs="Arial" w:eastAsia="Arial" w:hAnsi="Arial"/>
          <w:sz w:val="22"/>
          <w:szCs w:val="22"/>
          <w:color w:val="auto"/>
        </w:rPr>
        <w:t>. At and after the Effective Time, the officers and directors of the Surviving Company will be authorized to execute and deliver, in the name and on behalf of the Company, Merger Sub or otherwise, any deeds, bills of sale, assignments or assurances and to take and do, in the name and on behalf of the Company or Merger Sub, any other actions and things to vest, perfect or confirm of record or otherwise in the Surviving Company any and all right, title and interest in, to and under any of the rights, properties or assets acquired or to be acquired by the Surviving Company as a result of, or in connection with, the Merger.</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 OF THE COMPANY</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Except as disclosed in (i) the Company Reports, to the extent filed or furnished prior to the date of this Agreement (excluding any forward looking disclosures or “risk factors” set forth therein, in each case, to the extent that such statements are predictive, cautionary, protective or forward-looking in nature), or (ii) the correspondingly numbered section of the disclosure letter delivered by the Company to Parent and Merger Sub concurrent with the execution of this Agreement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Disclosure Letter</w:t>
      </w:r>
      <w:r>
        <w:rPr>
          <w:rFonts w:ascii="Arial" w:cs="Arial" w:eastAsia="Arial" w:hAnsi="Arial"/>
          <w:sz w:val="21"/>
          <w:szCs w:val="21"/>
          <w:color w:val="auto"/>
        </w:rPr>
        <w:t xml:space="preserve">”) (it being agreed that disclosure of any item in any section or subsection of the Company Disclosure Letter shall be deemed disclosure with respect to any other section or subsection of this Agreement to which the relevance of such item is reasonably apparent on the face of such disclosure), the Company represents and warrants to Parent and Merger Sub as set forth below in this </w:t>
      </w:r>
      <w:r>
        <w:rPr>
          <w:rFonts w:ascii="Arial" w:cs="Arial" w:eastAsia="Arial" w:hAnsi="Arial"/>
          <w:sz w:val="21"/>
          <w:szCs w:val="21"/>
          <w:u w:val="single" w:color="auto"/>
          <w:color w:val="auto"/>
        </w:rPr>
        <w:t>Article III</w:t>
      </w:r>
      <w:r>
        <w:rPr>
          <w:rFonts w:ascii="Arial" w:cs="Arial" w:eastAsia="Arial" w:hAnsi="Arial"/>
          <w:sz w:val="21"/>
          <w:szCs w:val="21"/>
          <w:color w:val="auto"/>
        </w:rPr>
        <w:t>.</w:t>
      </w:r>
    </w:p>
    <w:p>
      <w:pPr>
        <w:spacing w:after="0" w:line="21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Qualification, Organization, Subsidiaries, Joint Ventures, etc.</w:t>
      </w:r>
    </w:p>
    <w:p>
      <w:pPr>
        <w:spacing w:after="0" w:line="260" w:lineRule="exact"/>
        <w:rPr>
          <w:sz w:val="20"/>
          <w:szCs w:val="20"/>
          <w:color w:val="auto"/>
        </w:rPr>
      </w:pPr>
    </w:p>
    <w:p>
      <w:pPr>
        <w:jc w:val="both"/>
        <w:ind w:firstLine="1304"/>
        <w:spacing w:after="0" w:line="279" w:lineRule="auto"/>
        <w:tabs>
          <w:tab w:leader="none" w:pos="2157"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is a corporation duly organized and validly existing under the Laws of the State of Israel and has the requisite corporate power and authority to own, lease and operate all of its properties and assets and to carry on its business as it is now being conducted. The Company is in good standing (to the extent such concept is recognized under applicable Law) in each jurisdiction where the character of the properties owned, leased or operated by it or the nature of its business makes such qualification or licensing necessary, except where the failure to be so duly qualified or licensed and in good standing would not have, individually or in the aggregate, a Company Material Adverse Effect.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both"/>
        <w:ind w:firstLine="1304"/>
        <w:spacing w:after="0" w:line="245" w:lineRule="auto"/>
        <w:tabs>
          <w:tab w:leader="none" w:pos="2115"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Section 3.1(b)</w:t>
      </w:r>
      <w:r>
        <w:rPr>
          <w:rFonts w:ascii="Arial" w:cs="Arial" w:eastAsia="Arial" w:hAnsi="Arial"/>
          <w:sz w:val="21"/>
          <w:szCs w:val="21"/>
          <w:color w:val="auto"/>
        </w:rPr>
        <w:t xml:space="preserve"> of the Company Disclosure Letter, each Subsidiary of the Company (each, a “</w:t>
      </w:r>
      <w:r>
        <w:rPr>
          <w:rFonts w:ascii="Arial" w:cs="Arial" w:eastAsia="Arial" w:hAnsi="Arial"/>
          <w:sz w:val="21"/>
          <w:szCs w:val="21"/>
          <w:u w:val="single" w:color="auto"/>
          <w:color w:val="auto"/>
        </w:rPr>
        <w:t>Company Subsidiary</w:t>
      </w:r>
      <w:r>
        <w:rPr>
          <w:rFonts w:ascii="Arial" w:cs="Arial" w:eastAsia="Arial" w:hAnsi="Arial"/>
          <w:sz w:val="21"/>
          <w:szCs w:val="21"/>
          <w:color w:val="auto"/>
        </w:rPr>
        <w:t xml:space="preserve">”) is a direct, or indirect, wholly owned Subsidiary of the Company. Each Company Subsidiary is duly organized, validly existing and, to the extent applicable, in good standing under the Laws of the jurisdiction of its organization and has the requisite power and authority to own, lease and operate all of its properties and assets and to carry on its business as it is now being conducted, except when the failure to be so duly organized, validly existing, in good standing or have such power and authority would not have, individually or in the aggregate, a Company Material Adverse Effect. Except as set forth on </w:t>
      </w:r>
      <w:r>
        <w:rPr>
          <w:rFonts w:ascii="Arial" w:cs="Arial" w:eastAsia="Arial" w:hAnsi="Arial"/>
          <w:sz w:val="21"/>
          <w:szCs w:val="21"/>
          <w:u w:val="single" w:color="auto"/>
          <w:color w:val="auto"/>
        </w:rPr>
        <w:t>Section 3.1(b)</w:t>
      </w:r>
      <w:r>
        <w:rPr>
          <w:rFonts w:ascii="Arial" w:cs="Arial" w:eastAsia="Arial" w:hAnsi="Arial"/>
          <w:sz w:val="21"/>
          <w:szCs w:val="21"/>
          <w:color w:val="auto"/>
        </w:rPr>
        <w:t xml:space="preserve"> of the Company Disclosure Letter, the Company does not directly or indirectly own any equity or similar interest in, or any interest convertible into or exchangeable or exercisable for, any equity or similar interest in, any Person, excluding securities in any publicly traded company held for investment and comprising less than 2% of the outstanding stock of such company.</w:t>
      </w:r>
    </w:p>
    <w:p>
      <w:pPr>
        <w:spacing w:after="0" w:line="235" w:lineRule="exact"/>
        <w:rPr>
          <w:rFonts w:ascii="Arial" w:cs="Arial" w:eastAsia="Arial" w:hAnsi="Arial"/>
          <w:sz w:val="21"/>
          <w:szCs w:val="21"/>
          <w:color w:val="auto"/>
        </w:rPr>
      </w:pPr>
    </w:p>
    <w:p>
      <w:pPr>
        <w:jc w:val="both"/>
        <w:ind w:firstLine="1304"/>
        <w:spacing w:after="0" w:line="282" w:lineRule="auto"/>
        <w:tabs>
          <w:tab w:leader="none" w:pos="2116" w:val="left"/>
        </w:tabs>
        <w:numPr>
          <w:ilvl w:val="0"/>
          <w:numId w:val="19"/>
        </w:numPr>
        <w:rPr>
          <w:rFonts w:ascii="Arial" w:cs="Arial" w:eastAsia="Arial" w:hAnsi="Arial"/>
          <w:sz w:val="19"/>
          <w:szCs w:val="19"/>
          <w:color w:val="auto"/>
        </w:rPr>
      </w:pPr>
      <w:r>
        <w:rPr>
          <w:rFonts w:ascii="Arial" w:cs="Arial" w:eastAsia="Arial" w:hAnsi="Arial"/>
          <w:sz w:val="19"/>
          <w:szCs w:val="19"/>
          <w:color w:val="auto"/>
        </w:rPr>
        <w:t>All of the outstanding share capital of, or other equity or voting interest in, each Company Subsidiary (i) have been duly authorized, validly issued and are fully paid and nonassessable and (ii) are owned, directly or indirectly, by the Company, free and clear of all Liens (other than Liens under applicable securities Laws) and free of any other restriction (including any restriction on the right to vote, sell or otherwise dispose of such share stock or other equity or voting interest) that would prevent the operation by the Surviving Company of such Subsidiary’s business as presently conducted.</w:t>
      </w:r>
    </w:p>
    <w:p>
      <w:pPr>
        <w:spacing w:after="0" w:line="201" w:lineRule="exact"/>
        <w:rPr>
          <w:rFonts w:ascii="Arial" w:cs="Arial" w:eastAsia="Arial" w:hAnsi="Arial"/>
          <w:sz w:val="19"/>
          <w:szCs w:val="19"/>
          <w:color w:val="auto"/>
        </w:rPr>
      </w:pPr>
    </w:p>
    <w:p>
      <w:pPr>
        <w:jc w:val="both"/>
        <w:ind w:firstLine="1304"/>
        <w:spacing w:after="0" w:line="244" w:lineRule="auto"/>
        <w:tabs>
          <w:tab w:leader="none" w:pos="2304"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There are no outstanding (i) securities of the Company or any of its Subsidiaries convertible into or exchangeable for shares of, or other equity or voting interest in, any Company Subsidiary, (ii) options, warrants, rights or other commitments or agreements to acquire from the Company or any of its Subsidiaries, or that obligate the Company or any of its Subsidiaries to issue, any share capital of, or other equity or voting interest in, or any securities convertible into or exchangeable for shares of, or other equity or voting interest in, any Company Subsidiary, (iii) obligations of the Company to grant, extend or enter into any subscription, warrant, right, convertible or exchangeable security or other similar agreement or commitment relating to any share capital of, or other equity or voting interest (including any voting debt) in, any Company Subsidiary (the items in clauses (i), (ii) and (iii), together with the share capital of the Company Subsidiaries, being referred to collectively as “</w:t>
      </w:r>
      <w:r>
        <w:rPr>
          <w:rFonts w:ascii="Arial" w:cs="Arial" w:eastAsia="Arial" w:hAnsi="Arial"/>
          <w:sz w:val="21"/>
          <w:szCs w:val="21"/>
          <w:u w:val="single" w:color="auto"/>
          <w:color w:val="auto"/>
        </w:rPr>
        <w:t>Subsidiary Securities</w:t>
      </w:r>
      <w:r>
        <w:rPr>
          <w:rFonts w:ascii="Arial" w:cs="Arial" w:eastAsia="Arial" w:hAnsi="Arial"/>
          <w:sz w:val="21"/>
          <w:szCs w:val="21"/>
          <w:color w:val="auto"/>
        </w:rPr>
        <w:t>”), or (iv) other obligations by the Company or any of its Subsidiaries to make any payments based on the price or value of any shares of any Company Subsidiary. Neither the Company nor any of its Subsidiaries is a party to any Contract which obligates the Company or any of its Subsidiaries to repurchase, redeem or otherwise acquire any outstanding Subsidiary Securities.</w:t>
      </w:r>
    </w:p>
    <w:p>
      <w:pPr>
        <w:spacing w:after="0" w:line="239" w:lineRule="exact"/>
        <w:rPr>
          <w:rFonts w:ascii="Arial" w:cs="Arial" w:eastAsia="Arial" w:hAnsi="Arial"/>
          <w:sz w:val="21"/>
          <w:szCs w:val="21"/>
          <w:color w:val="auto"/>
        </w:rPr>
      </w:pPr>
    </w:p>
    <w:p>
      <w:pPr>
        <w:jc w:val="both"/>
        <w:ind w:firstLine="1304"/>
        <w:spacing w:after="0" w:line="277" w:lineRule="auto"/>
        <w:tabs>
          <w:tab w:leader="none" w:pos="2197"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3.1(e)</w:t>
      </w:r>
      <w:r>
        <w:rPr>
          <w:rFonts w:ascii="Arial" w:cs="Arial" w:eastAsia="Arial" w:hAnsi="Arial"/>
          <w:sz w:val="19"/>
          <w:szCs w:val="19"/>
          <w:color w:val="auto"/>
        </w:rPr>
        <w:t xml:space="preserve"> of the Company Disclosure Letter sets forth a true and complete list of all share capital, membership interests, partnership interests, Joint Venture Interests and other equity interests in any Person (other than a Company Subsidiary) owned, directly or indirectly, by the Company or any Company Subsidiary as of the date of this Agreement. The term “Joint Venture Interests” means interests in any corporation or other entity (including partnership, limited liability company and other business association) that is not a Company Subsidiary and in which the Company or one or more of its Subsidiaries owns an equity interest (other than equity interests held for passive investment purposes which are less than 5% of any class of the outstanding voting securities or other equity of any such entity).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both"/>
        <w:ind w:firstLine="648"/>
        <w:spacing w:after="0" w:line="249"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Articles of Association</w:t>
      </w:r>
      <w:r>
        <w:rPr>
          <w:rFonts w:ascii="Arial" w:cs="Arial" w:eastAsia="Arial" w:hAnsi="Arial"/>
          <w:sz w:val="21"/>
          <w:szCs w:val="21"/>
          <w:color w:val="auto"/>
        </w:rPr>
        <w:t>. The Company has made available to Parent a complete and correct copy of its articles of association (as amended to date, the “</w:t>
      </w:r>
      <w:r>
        <w:rPr>
          <w:rFonts w:ascii="Arial" w:cs="Arial" w:eastAsia="Arial" w:hAnsi="Arial"/>
          <w:sz w:val="21"/>
          <w:szCs w:val="21"/>
          <w:u w:val="single" w:color="auto"/>
          <w:color w:val="auto"/>
        </w:rPr>
        <w:t>Articles of Association</w:t>
      </w:r>
      <w:r>
        <w:rPr>
          <w:rFonts w:ascii="Arial" w:cs="Arial" w:eastAsia="Arial" w:hAnsi="Arial"/>
          <w:sz w:val="21"/>
          <w:szCs w:val="21"/>
          <w:color w:val="auto"/>
        </w:rPr>
        <w:t>”) and the Charter Documents of each Company Subsidiary that is a “significant subsidiary” (as defined in Rule 1-02(w) of Regulation S-X of the SEC). Such Articles of Association and Charter Documents are in full force and effect. Neither the Company nor any Company Subsidiary is in material violation of any of the provisions of its Articles of Association or Charter Documents.</w:t>
      </w:r>
    </w:p>
    <w:p>
      <w:pPr>
        <w:spacing w:after="0" w:line="23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7" w:lineRule="auto"/>
        <w:tabs>
          <w:tab w:leader="none" w:pos="211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registered (authorized) share capital of the Company is NIS 2,250,000,000 divided into 150,000,000 Company Shares. All outstanding Company Shares are validly issued, fully paid and nonassessable and are issued free of any preemptive rights or any similar right with respect to issuances of Company Shares by the Company under any provision of the ICL or otherwise. All Company Shares subject to issuance upon the exercise, vesting or conversion of any convertible security will, upon issuance on the terms and conditions specified in the instruments pursuant to which they are issuable, be duly authorized, validly issued, fully paid and nonassessable and free of any preemptive rights or any similar right with respect to issuances of Company Shares by the Company under any provision of the ICL or otherwise.</w:t>
      </w:r>
    </w:p>
    <w:p>
      <w:pPr>
        <w:spacing w:after="0" w:line="205" w:lineRule="exact"/>
        <w:rPr>
          <w:rFonts w:ascii="Arial" w:cs="Arial" w:eastAsia="Arial" w:hAnsi="Arial"/>
          <w:sz w:val="19"/>
          <w:szCs w:val="19"/>
          <w:color w:val="auto"/>
        </w:rPr>
      </w:pPr>
    </w:p>
    <w:p>
      <w:pPr>
        <w:ind w:left="2100" w:hanging="796"/>
        <w:spacing w:after="0"/>
        <w:tabs>
          <w:tab w:leader="none" w:pos="21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As of the close of business on February 14, 2022 (the “</w:t>
      </w:r>
      <w:r>
        <w:rPr>
          <w:rFonts w:ascii="Arial" w:cs="Arial" w:eastAsia="Arial" w:hAnsi="Arial"/>
          <w:sz w:val="22"/>
          <w:szCs w:val="22"/>
          <w:u w:val="single" w:color="auto"/>
          <w:color w:val="auto"/>
        </w:rPr>
        <w:t>Capitalization Date</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2800" w:hanging="848"/>
        <w:spacing w:after="0"/>
        <w:tabs>
          <w:tab w:leader="none" w:pos="28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108,884,998 Company Shares were issued and outstanding;</w:t>
      </w:r>
    </w:p>
    <w:p>
      <w:pPr>
        <w:spacing w:after="0" w:line="287" w:lineRule="exact"/>
        <w:rPr>
          <w:rFonts w:ascii="Arial" w:cs="Arial" w:eastAsia="Arial" w:hAnsi="Arial"/>
          <w:sz w:val="22"/>
          <w:szCs w:val="22"/>
          <w:color w:val="auto"/>
        </w:rPr>
      </w:pPr>
    </w:p>
    <w:p>
      <w:pPr>
        <w:ind w:left="2800" w:hanging="848"/>
        <w:spacing w:after="0"/>
        <w:tabs>
          <w:tab w:leader="none" w:pos="28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No Company Shares were held by any Company Subsidiary;</w:t>
      </w:r>
    </w:p>
    <w:p>
      <w:pPr>
        <w:spacing w:after="0" w:line="287" w:lineRule="exact"/>
        <w:rPr>
          <w:rFonts w:ascii="Arial" w:cs="Arial" w:eastAsia="Arial" w:hAnsi="Arial"/>
          <w:sz w:val="22"/>
          <w:szCs w:val="22"/>
          <w:color w:val="auto"/>
        </w:rPr>
      </w:pPr>
    </w:p>
    <w:p>
      <w:pPr>
        <w:ind w:left="2820" w:hanging="868"/>
        <w:spacing w:after="0"/>
        <w:tabs>
          <w:tab w:leader="none" w:pos="2820" w:val="left"/>
        </w:tabs>
        <w:numPr>
          <w:ilvl w:val="1"/>
          <w:numId w:val="20"/>
        </w:numPr>
        <w:rPr>
          <w:rFonts w:ascii="Arial" w:cs="Arial" w:eastAsia="Arial" w:hAnsi="Arial"/>
          <w:sz w:val="22"/>
          <w:szCs w:val="22"/>
          <w:color w:val="auto"/>
        </w:rPr>
      </w:pPr>
      <w:r>
        <w:rPr>
          <w:rFonts w:ascii="Arial" w:cs="Arial" w:eastAsia="Arial" w:hAnsi="Arial"/>
          <w:sz w:val="22"/>
          <w:szCs w:val="22"/>
          <w:color w:val="auto"/>
        </w:rPr>
        <w:t>86,667 Company Shares were held in the treasury of the Company;</w:t>
      </w:r>
    </w:p>
    <w:p>
      <w:pPr>
        <w:spacing w:after="0" w:line="287" w:lineRule="exact"/>
        <w:rPr>
          <w:rFonts w:ascii="Arial" w:cs="Arial" w:eastAsia="Arial" w:hAnsi="Arial"/>
          <w:sz w:val="22"/>
          <w:szCs w:val="22"/>
          <w:color w:val="auto"/>
        </w:rPr>
      </w:pPr>
    </w:p>
    <w:p>
      <w:pPr>
        <w:ind w:left="2800" w:hanging="848"/>
        <w:spacing w:after="0"/>
        <w:tabs>
          <w:tab w:leader="none" w:pos="28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2,558 Company Shares were subject to outstanding Company Options;</w:t>
      </w:r>
    </w:p>
    <w:p>
      <w:pPr>
        <w:spacing w:after="0" w:line="287" w:lineRule="exact"/>
        <w:rPr>
          <w:rFonts w:ascii="Arial" w:cs="Arial" w:eastAsia="Arial" w:hAnsi="Arial"/>
          <w:sz w:val="22"/>
          <w:szCs w:val="22"/>
          <w:color w:val="auto"/>
        </w:rPr>
      </w:pPr>
    </w:p>
    <w:p>
      <w:pPr>
        <w:ind w:left="2740" w:hanging="788"/>
        <w:spacing w:after="0"/>
        <w:tabs>
          <w:tab w:leader="none" w:pos="2740" w:val="left"/>
        </w:tabs>
        <w:numPr>
          <w:ilvl w:val="1"/>
          <w:numId w:val="20"/>
        </w:numPr>
        <w:rPr>
          <w:rFonts w:ascii="Arial" w:cs="Arial" w:eastAsia="Arial" w:hAnsi="Arial"/>
          <w:sz w:val="21"/>
          <w:szCs w:val="21"/>
          <w:color w:val="auto"/>
        </w:rPr>
      </w:pPr>
      <w:r>
        <w:rPr>
          <w:rFonts w:ascii="Arial" w:cs="Arial" w:eastAsia="Arial" w:hAnsi="Arial"/>
          <w:sz w:val="21"/>
          <w:szCs w:val="21"/>
          <w:color w:val="auto"/>
        </w:rPr>
        <w:t>1,439,681 Company Shares were issuable pursuant to outstanding Company RSUs; and</w:t>
      </w:r>
    </w:p>
    <w:p>
      <w:pPr>
        <w:spacing w:after="0" w:line="298" w:lineRule="exact"/>
        <w:rPr>
          <w:rFonts w:ascii="Arial" w:cs="Arial" w:eastAsia="Arial" w:hAnsi="Arial"/>
          <w:sz w:val="21"/>
          <w:szCs w:val="21"/>
          <w:color w:val="auto"/>
        </w:rPr>
      </w:pPr>
    </w:p>
    <w:p>
      <w:pPr>
        <w:ind w:left="2860" w:hanging="908"/>
        <w:spacing w:after="0"/>
        <w:tabs>
          <w:tab w:leader="none" w:pos="28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up to a maximum of 762,931 Company Shares were issuable pursuant to outstanding Company</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PSUs.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both"/>
        <w:ind w:firstLine="1304"/>
        <w:spacing w:after="0" w:line="298" w:lineRule="auto"/>
        <w:tabs>
          <w:tab w:leader="none" w:pos="2292"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of the Company Disclosure Letter sets forth, as of the date of this Agreement, a true, complete, and correct list of (i) each Company Option, Company RSU and Company PSU outstanding as of the Capitalization Date, (ii) the Company Equity Plan under which such Company Option, Company RSU or Company PSU was issued, (iii) whether each Company Option is currently intended to qualify as a nonqualified stock option or incentive stock option pursuant to the Code, or otherwise, (iv) the name of the holder thereof, the country in which the holder thereof provides services to the Company or any Company Subsidiary, the grant date, expiration date, the number of Company Shares issuable thereunder, the exercise price (if applicable), the applicable vesting schedule (including whether such Company Equity Award is subject to any double trigger vesting or other accelerated vesting), (v) whether each such Company Option, Company RSU or Company PSU is a Section 102 Award, and (vi) for Section 102 Awards a 102 Trustee certificate for on-time deposit of such Section 102 Awards with the 102 Trustee. All Company Equity Awards intended to qualify under the capital gains track set forth in Section 102(b)(2) of the Ordinance and/or presented to the recipient of such Company Equity Awards as intending to so qualify have been made in accordance with and comply in all material respects with the requirements of Section 102 of the Ordinance and the rules and regulations promulgated and qualify for treatment under the capital gains track thereunder and applicable laws in order to so qualify, including having been deposited with the 102 Trustee in a timely manner, in compliance with the provisions of Section 102 of the Ordinance and the guidance of the ITA published by the ITA on July 24, 2012, and clarification dated November 6, 2012, with the 102 Trustee. The terms of the Company Equity Plans covering all Company Equity Awards permit the treatment of the Company Equity Awards as provided in this Agreement, without notice to, and without the consent or approval of, the holders of such securities, the shareholders of the Company, or otherwise. Each grant of a Company Option was duly authorized no later than the date on which the grant of such Company Option was by its terms to be effective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 Grant Date</w:t>
      </w:r>
      <w:r>
        <w:rPr>
          <w:rFonts w:ascii="Arial" w:cs="Arial" w:eastAsia="Arial" w:hAnsi="Arial"/>
          <w:sz w:val="19"/>
          <w:szCs w:val="19"/>
          <w:color w:val="auto"/>
        </w:rPr>
        <w:t>”) by all necessary corporate action, including, as applicable, approval by the Company Board of Directors (or a duly constituted and authorized committee thereof or other authorized designee) and any required stockholder approval by the necessary number of votes or written consents. No outstanding Company Option was granted with a per share exercise price that was less than the fair market value of a Company Share on the applicable Company Option Grant Date, and the Company has not granted any Company Options, Company RSUs or Company PSUs that constitute “nonqualified deferred compensation” subject to the provisions of Section 409A of the Code. Each grant of a Company Option, Company RSU and Company PSU was made in accordance with (i) the terms of an applicable Company Equity Plan, (ii) all applicable securities Laws, (iii) the Code and (iv) all other applicable Laws. Each Company Equity Award was granted under one of the Company Equity Plans.</w:t>
      </w:r>
    </w:p>
    <w:p>
      <w:pPr>
        <w:spacing w:after="0" w:line="221" w:lineRule="exact"/>
        <w:rPr>
          <w:rFonts w:ascii="Arial" w:cs="Arial" w:eastAsia="Arial" w:hAnsi="Arial"/>
          <w:sz w:val="19"/>
          <w:szCs w:val="19"/>
          <w:color w:val="auto"/>
        </w:rPr>
      </w:pPr>
    </w:p>
    <w:p>
      <w:pPr>
        <w:jc w:val="both"/>
        <w:ind w:firstLine="1304"/>
        <w:spacing w:after="0" w:line="272" w:lineRule="auto"/>
        <w:tabs>
          <w:tab w:leader="none" w:pos="2250"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Except for changes since the date specified in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resulting from the exercise of Company Options, the vesting and settlement of Company RSUs and Company PSUs outstanding on such date or actions taken after the date of this Agreement in compliance with this Agreement, neither the Company nor any Company Subsidiary has issued or is subject to any (i) options, warrants or other rights, Contracts, arrangements or commitments of any character relating to the issued or unissued share capital of the Company or any Company Subsidiary or obligating the Company or any Company Subsidiary to issue, grant or sell any shares of, or other equity interests in, the Company or any Company Subsidiary, (ii) shares of, or other voting securities or ownership interests in, the Company, (iii) shares of, or other voting securities or other ownership interests in, any Company Subsidiary, or (iv) restricted shares, restricted share units, stock appreciation rights, performance shares, contingent value rights, “phantom” stock or similar securities or rights that are derivative of or provide economic benefits based, directly or indirectly, on the value or price of any shares or other voting securities (including any bonds, debentures, notes or other Indebtedness having voting rights or convertible into securities having voting rights) or ownership interests in the Company or any Company Subsidiary (the items in clauses (i) through (iii) being referred to collectively as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Securities</w:t>
      </w:r>
      <w:r>
        <w:rPr>
          <w:rFonts w:ascii="Arial" w:cs="Arial" w:eastAsia="Arial" w:hAnsi="Arial"/>
          <w:sz w:val="19"/>
          <w:szCs w:val="19"/>
          <w:color w:val="auto"/>
        </w:rPr>
        <w:t xml:space="preserve">”), other than as described in Section </w:t>
      </w:r>
      <w:r>
        <w:rPr>
          <w:rFonts w:ascii="Arial" w:cs="Arial" w:eastAsia="Arial" w:hAnsi="Arial"/>
          <w:sz w:val="19"/>
          <w:szCs w:val="19"/>
          <w:u w:val="single" w:color="auto"/>
          <w:color w:val="auto"/>
        </w:rPr>
        <w:t>3.3(b)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jc w:val="both"/>
        <w:ind w:firstLine="1304"/>
        <w:spacing w:after="0" w:line="249" w:lineRule="auto"/>
        <w:tabs>
          <w:tab w:leader="none" w:pos="2251"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There are no voting trusts or other Contracts to which the Company or any Company Subsidiary is a party or, to the knowledge of the Company to which any other Person is a party, with respect to the voting or registration of any shares of, or other equity interest in, the Company or any Company Subsidiary, or restricting any Person from selling, pledging or otherwise disposing of any Company Shares. There is no shareholder rights plan or similar plan such as a “poison pill” to which the Company or any Company Subsidiary is a party.</w:t>
      </w:r>
    </w:p>
    <w:p>
      <w:pPr>
        <w:spacing w:after="0" w:line="232" w:lineRule="exact"/>
        <w:rPr>
          <w:rFonts w:ascii="Arial" w:cs="Arial" w:eastAsia="Arial" w:hAnsi="Arial"/>
          <w:sz w:val="21"/>
          <w:szCs w:val="21"/>
          <w:color w:val="auto"/>
        </w:rPr>
      </w:pPr>
    </w:p>
    <w:p>
      <w:pPr>
        <w:jc w:val="both"/>
        <w:ind w:firstLine="1304"/>
        <w:spacing w:after="0" w:line="234" w:lineRule="auto"/>
        <w:tabs>
          <w:tab w:leader="none" w:pos="2416"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There are no outstanding contractual obligations of the Company or any Company Subsidiary to repurchase, redeem or otherwise acquire any Company Shares or any other Company Securities or any shares of any Company Subsidiary or to provide funds to, or make any investment (in the form of a loan, capital contribution or otherwise) in, any Company Subsidiary or any other Person. Each outstanding share of each Company Subsidiary is duly authorized, validly issued, fully paid and nonassessable and was issued free of any preemptive rights, and each such share is owned by the Company or another Company Subsidiary free and clear of all Liens or Contracts or other limitations on the Company’s or any Company Subsidiary’s voting rights.</w:t>
      </w:r>
    </w:p>
    <w:p>
      <w:pPr>
        <w:spacing w:after="0" w:line="24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Authority Relative to this Agreement</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2" w:lineRule="auto"/>
        <w:tabs>
          <w:tab w:leader="none" w:pos="2130"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Company has all necessary corporate power and authority to execute and deliver this Agreement, to perform its obligations hereunder and, subject to receipt of the Company Shareholder Approval, to consummate the Transactions. The execution, delivery and performance of this Agreement by the Company and the consummation by the Company of the Transactions have been duly and validly authorized by all necessary corporate action, and no other corporate proceedings on the part of the Company are necessary to authorize this Agreement or to consummate the Transactions (except for (i) receipt of the Company Shareholder Approval and (ii) the filing of the Merger Proposal and Merger Notice with the Companies Registrar and all such other notices or filings required under the ICL with respect to the consummation of the Merger). This Agreement has been duly and validly executed and delivered by the Company and, assuming the due authorization, execution and delivery by Ultimate Parent, Parent and Merger Sub, constitutes a legal, valid and binding obligation of the Company, enforceable against the Company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209" w:lineRule="exact"/>
        <w:rPr>
          <w:rFonts w:ascii="Arial" w:cs="Arial" w:eastAsia="Arial" w:hAnsi="Arial"/>
          <w:sz w:val="19"/>
          <w:szCs w:val="19"/>
          <w:color w:val="auto"/>
        </w:rPr>
      </w:pPr>
    </w:p>
    <w:p>
      <w:pPr>
        <w:jc w:val="both"/>
        <w:ind w:firstLine="1304"/>
        <w:spacing w:after="0" w:line="270" w:lineRule="auto"/>
        <w:tabs>
          <w:tab w:leader="none" w:pos="2101"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Company Board of Directors, at a meeting duly called and held in compliance with the requirements of ICL and the Articles of Association, adopted resolutions (i) resolving that this Agreement and the Transactions are fair to, and in the best interests of, the Company and the Company Shareholders and that, considering the financial position of the merging companies, no reasonable concern exists that the Surviving Company will be unable to fulfill the obligations of the Company to its creditors, (ii) approving this Agreement and the Transactions on the terms and subject to the conditions set forth herein, and</w:t>
      </w:r>
    </w:p>
    <w:p>
      <w:pPr>
        <w:spacing w:after="0" w:line="4" w:lineRule="exact"/>
        <w:rPr>
          <w:rFonts w:ascii="Arial" w:cs="Arial" w:eastAsia="Arial" w:hAnsi="Arial"/>
          <w:sz w:val="19"/>
          <w:szCs w:val="19"/>
          <w:color w:val="auto"/>
        </w:rPr>
      </w:pPr>
    </w:p>
    <w:p>
      <w:pPr>
        <w:ind w:left="380" w:hanging="372"/>
        <w:spacing w:after="0"/>
        <w:tabs>
          <w:tab w:leader="none" w:pos="3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resolving to make, subject to </w:t>
      </w:r>
      <w:r>
        <w:rPr>
          <w:rFonts w:ascii="Arial" w:cs="Arial" w:eastAsia="Arial" w:hAnsi="Arial"/>
          <w:sz w:val="22"/>
          <w:szCs w:val="22"/>
          <w:u w:val="single" w:color="auto"/>
          <w:color w:val="auto"/>
        </w:rPr>
        <w:t>Section 5.2</w:t>
      </w:r>
      <w:r>
        <w:rPr>
          <w:rFonts w:ascii="Arial" w:cs="Arial" w:eastAsia="Arial" w:hAnsi="Arial"/>
          <w:sz w:val="22"/>
          <w:szCs w:val="22"/>
          <w:color w:val="auto"/>
        </w:rPr>
        <w:t>, the Company Board Recommendation.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660"/>
        <w:spacing w:after="0"/>
        <w:tabs>
          <w:tab w:leader="none" w:pos="214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No Conflict; Required Filings and Consents</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line="270" w:lineRule="auto"/>
        <w:tabs>
          <w:tab w:leader="none" w:pos="2238"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The execution and delivery of this Agreement by the Company does not, and the performance of this Agreement by the Company will not, (i) conflict with or violate the Articles of Association or the Charter Documents of the Company or any Company Subsidiary, (ii) subject to obtaining the Company Required Approvals and the Company Shareholder Approval, conflict with or violate any Law or Order applicable to the Company or any Company Subsidiary or by which any property or asset of the Company or any Company Subsidiary is bound or affected, (iii) subject to filing the IIA Notice and the IIA Undertaking and obtaining the Investment Center Approval, conflict with or violate any of the terms or requirements of, or give a Governmental Authority the right to revoke, withdraw, suspend, cancel, terminate, modify or exercise any right or remedy, or require any refund or recapture with respect to, any Government Grant or other Permit, or any benefit provided or available under any Government Grant or other Permit that is held by the Company or any Company Subsidiary, (iv) subject to obtaining the consents listed in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of the Company Disclosure Letter, result in any breach of, constitute a default (or an event that, with notice or lapse of time or both, would become a default or breach) under, result in the acceleration of any obligation or loss of a benefit of the Company or a Company Subsidiary pursuant to, result in the creation of a Lien on any property or asset of the Company or any Company Subsidiary pursuant to, or give rise to a right of termination or cancellation pursuant to, any Company Material Contract, Company Real Property Lease or Company Plan, or (v) result in the imposition or creation of any Lien (other than Permitted Liens) upon any asset owned or used by the Company or any Company Subsidiary, except, in the case of clauses (ii), (iii), (iv) and (v), for any such conflicts, violations, breaches, defaults, Liens or other occurrences that, individually or in the aggregate, would not reasonably be expected to have a Company Material Adverse Effect.</w:t>
      </w:r>
    </w:p>
    <w:p>
      <w:pPr>
        <w:spacing w:after="0" w:line="222" w:lineRule="exact"/>
        <w:rPr>
          <w:rFonts w:ascii="Arial" w:cs="Arial" w:eastAsia="Arial" w:hAnsi="Arial"/>
          <w:sz w:val="19"/>
          <w:szCs w:val="19"/>
          <w:color w:val="auto"/>
        </w:rPr>
      </w:pPr>
    </w:p>
    <w:p>
      <w:pPr>
        <w:jc w:val="both"/>
        <w:ind w:firstLine="1304"/>
        <w:spacing w:after="0" w:line="272" w:lineRule="auto"/>
        <w:tabs>
          <w:tab w:leader="none" w:pos="2317"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execution and delivery of this Agreement by the Company do not, and the performance of this Agreement by the Company will not, require any consent, approval, authorization or permit of, or filing with, or notification to, any Governmental Authority, except (i) the Investment Center Approval, IIA Notice and IIA Undertaking, (ii) the filing of the Merger Proposal and Merger Notice with the Companies Registrar and all such other notices or filings required under the ICL with respect to the consummation of the Merger and the issuance of the Certificate of Merger by the Companies Registrar, (iii) the receipt of the Options Tax Ruling and the Withholding Tax Ruling, (iv) any filings as may be required under the rules and regulations of Nasdaq or TASE, (v) the filing of the Proxy Statement as a Form 6-K with the SEC, (vi) applicable requirements, if any, of the Securities Act, the Exchange Act and state securities or “blue sky” Laws (“</w:t>
      </w:r>
      <w:r>
        <w:rPr>
          <w:rFonts w:ascii="Arial" w:cs="Arial" w:eastAsia="Arial" w:hAnsi="Arial"/>
          <w:sz w:val="19"/>
          <w:szCs w:val="19"/>
          <w:u w:val="single" w:color="auto"/>
          <w:color w:val="auto"/>
        </w:rPr>
        <w:t>Blue Sky Laws</w:t>
      </w:r>
      <w:r>
        <w:rPr>
          <w:rFonts w:ascii="Arial" w:cs="Arial" w:eastAsia="Arial" w:hAnsi="Arial"/>
          <w:sz w:val="19"/>
          <w:szCs w:val="19"/>
          <w:color w:val="auto"/>
        </w:rPr>
        <w:t>”), (vii) the pre-merger notification requirements of the HSR Act and similar requirements under other applicable Regulatory Laws (collectively, the “</w:t>
      </w:r>
      <w:r>
        <w:rPr>
          <w:rFonts w:ascii="Arial" w:cs="Arial" w:eastAsia="Arial" w:hAnsi="Arial"/>
          <w:sz w:val="19"/>
          <w:szCs w:val="19"/>
          <w:u w:val="single" w:color="auto"/>
          <w:color w:val="auto"/>
        </w:rPr>
        <w:t>Company Required Approvals</w:t>
      </w:r>
      <w:r>
        <w:rPr>
          <w:rFonts w:ascii="Arial" w:cs="Arial" w:eastAsia="Arial" w:hAnsi="Arial"/>
          <w:sz w:val="19"/>
          <w:szCs w:val="19"/>
          <w:color w:val="auto"/>
        </w:rPr>
        <w:t>”) and (viii) where the failure to obtain such consents, approvals, authorizations or permits of, or to make such filings, registrations with or notifications to, any Governmental Authority, would not reasonably be expected to have, individually or in the aggregate, a Company Material Adverse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left="660"/>
        <w:spacing w:after="0"/>
        <w:tabs>
          <w:tab w:leader="none" w:pos="214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Permits; Compliance</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line="245" w:lineRule="auto"/>
        <w:tabs>
          <w:tab w:leader="none" w:pos="2305" w:val="left"/>
        </w:tabs>
        <w:numPr>
          <w:ilvl w:val="1"/>
          <w:numId w:val="26"/>
        </w:numPr>
        <w:rPr>
          <w:rFonts w:ascii="Arial" w:cs="Arial" w:eastAsia="Arial" w:hAnsi="Arial"/>
          <w:sz w:val="21"/>
          <w:szCs w:val="21"/>
          <w:color w:val="auto"/>
        </w:rPr>
      </w:pPr>
      <w:r>
        <w:rPr>
          <w:rFonts w:ascii="Arial" w:cs="Arial" w:eastAsia="Arial" w:hAnsi="Arial"/>
          <w:sz w:val="21"/>
          <w:szCs w:val="21"/>
          <w:color w:val="auto"/>
        </w:rPr>
        <w:t>Each of the Company and the Company Subsidiaries is in possession of all authorizations, licenses, permits, certificates, variances, exemptions, approvals, orders, registrations and clearances of any Governmental Authority necessary for each of the Company or the Company Subsidiaries to own, lease and operate its properties or to carry on its business as it is now being conducted (the “</w:t>
      </w:r>
      <w:r>
        <w:rPr>
          <w:rFonts w:ascii="Arial" w:cs="Arial" w:eastAsia="Arial" w:hAnsi="Arial"/>
          <w:sz w:val="21"/>
          <w:szCs w:val="21"/>
          <w:u w:val="single" w:color="auto"/>
          <w:color w:val="auto"/>
        </w:rPr>
        <w:t>Permits</w:t>
      </w:r>
      <w:r>
        <w:rPr>
          <w:rFonts w:ascii="Arial" w:cs="Arial" w:eastAsia="Arial" w:hAnsi="Arial"/>
          <w:sz w:val="21"/>
          <w:szCs w:val="21"/>
          <w:color w:val="auto"/>
        </w:rPr>
        <w:t>”), except where the failure to hold or to comply with, or the suspension or cancellation of, or failure to be valid or to be in full force and effect of, any of the Permits, would not reasonably be expected to have, individually or in the aggregate, a Company Material Adverse Effect. Neither the Company nor any Company Subsidiary is or, since January 1, 2019 has been, in conflict with, default under or violation of, any Law applicable to the Company or any Company Subsidiary or by which any property or asset of the Company or any Company Subsidiary is bound or affected, except for any conflicts, defaults or violations as would not reasonably be expected to have, individually or in the aggregate, a Company Material Adverse Effect.</w:t>
      </w:r>
    </w:p>
    <w:p>
      <w:pPr>
        <w:spacing w:after="0" w:line="234" w:lineRule="exact"/>
        <w:rPr>
          <w:rFonts w:ascii="Arial" w:cs="Arial" w:eastAsia="Arial" w:hAnsi="Arial"/>
          <w:sz w:val="21"/>
          <w:szCs w:val="21"/>
          <w:color w:val="auto"/>
        </w:rPr>
      </w:pPr>
    </w:p>
    <w:p>
      <w:pPr>
        <w:jc w:val="both"/>
        <w:ind w:firstLine="1304"/>
        <w:spacing w:after="0" w:line="270" w:lineRule="auto"/>
        <w:tabs>
          <w:tab w:leader="none" w:pos="2169" w:val="left"/>
        </w:tabs>
        <w:numPr>
          <w:ilvl w:val="1"/>
          <w:numId w:val="26"/>
        </w:numPr>
        <w:rPr>
          <w:rFonts w:ascii="Arial" w:cs="Arial" w:eastAsia="Arial" w:hAnsi="Arial"/>
          <w:sz w:val="19"/>
          <w:szCs w:val="19"/>
          <w:color w:val="auto"/>
        </w:rPr>
      </w:pPr>
      <w:r>
        <w:rPr>
          <w:rFonts w:ascii="Arial" w:cs="Arial" w:eastAsia="Arial" w:hAnsi="Arial"/>
          <w:sz w:val="19"/>
          <w:szCs w:val="19"/>
          <w:color w:val="auto"/>
        </w:rPr>
        <w:t>Since January 1, 2017, none of the Company, any of the Company Subsidiaries or, to the knowledge of the Company, any Representative of the Company or any of the Company Subsidiaries (including consultants, distributors, resellers and other business intermediaries) has, directly or indirectly, taken any action which would cause the Company or the Company Subsidiaries to be in material violation of: (i) the Foreign Corrupt Practices Act of 1977, as amended, or any rules or regulations thereunder; (ii) the UK Bribery Act 2010; (iii) Title 5 of the Israeli Penalty Law (Bribery Transactions) and the Israeli Prohibition on Money Laundering Law, 2000; (iv) Article 18 of the Unfair Competition Prevention Law of Japan, as amended; or</w:t>
      </w:r>
    </w:p>
    <w:p>
      <w:pPr>
        <w:spacing w:after="0" w:line="1" w:lineRule="exact"/>
        <w:rPr>
          <w:rFonts w:ascii="Arial" w:cs="Arial" w:eastAsia="Arial" w:hAnsi="Arial"/>
          <w:sz w:val="19"/>
          <w:szCs w:val="19"/>
          <w:color w:val="auto"/>
        </w:rPr>
      </w:pPr>
    </w:p>
    <w:p>
      <w:pPr>
        <w:ind w:firstLine="8"/>
        <w:spacing w:after="0" w:line="236" w:lineRule="auto"/>
        <w:tabs>
          <w:tab w:leader="none" w:pos="317"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other applicable anticorruption and/or anti-bribery Laws (whether by virtue of jurisdiction or organization or conduct of business) (collectively, the “</w:t>
      </w:r>
      <w:r>
        <w:rPr>
          <w:rFonts w:ascii="Arial" w:cs="Arial" w:eastAsia="Arial" w:hAnsi="Arial"/>
          <w:sz w:val="22"/>
          <w:szCs w:val="22"/>
          <w:u w:val="single" w:color="auto"/>
          <w:color w:val="auto"/>
        </w:rPr>
        <w:t>Applicable Anticorruption Laws</w:t>
      </w:r>
      <w:r>
        <w:rPr>
          <w:rFonts w:ascii="Arial" w:cs="Arial" w:eastAsia="Arial" w:hAnsi="Arial"/>
          <w:sz w:val="22"/>
          <w:szCs w:val="22"/>
          <w:color w:val="auto"/>
        </w:rPr>
        <w:t>”).</w:t>
      </w:r>
    </w:p>
    <w:p>
      <w:pPr>
        <w:spacing w:after="0" w:line="240" w:lineRule="exact"/>
        <w:rPr>
          <w:rFonts w:ascii="Arial" w:cs="Arial" w:eastAsia="Arial" w:hAnsi="Arial"/>
          <w:sz w:val="22"/>
          <w:szCs w:val="22"/>
          <w:color w:val="auto"/>
        </w:rPr>
      </w:pPr>
    </w:p>
    <w:p>
      <w:pPr>
        <w:jc w:val="both"/>
        <w:ind w:firstLine="1304"/>
        <w:spacing w:after="0" w:line="268" w:lineRule="auto"/>
        <w:tabs>
          <w:tab w:leader="none" w:pos="2170" w:val="left"/>
        </w:tabs>
        <w:numPr>
          <w:ilvl w:val="1"/>
          <w:numId w:val="27"/>
        </w:numPr>
        <w:rPr>
          <w:rFonts w:ascii="Arial" w:cs="Arial" w:eastAsia="Arial" w:hAnsi="Arial"/>
          <w:sz w:val="19"/>
          <w:szCs w:val="19"/>
          <w:color w:val="auto"/>
        </w:rPr>
      </w:pPr>
      <w:r>
        <w:rPr>
          <w:rFonts w:ascii="Arial" w:cs="Arial" w:eastAsia="Arial" w:hAnsi="Arial"/>
          <w:sz w:val="19"/>
          <w:szCs w:val="19"/>
          <w:color w:val="auto"/>
        </w:rPr>
        <w:t>Since January 1, 2017, none of the Company, any of the Company Subsidiaries or, to the knowledge of the Company, any Representative of the Company or any of the Company Subsidiaries (including consultants, distributors, resellers and other business intermediaries), or any other Person acting on behalf of the Company or any of the Company Subsidiaries (including consultants, distributors, resellers, and any other business intermediaries), has, directly or indirectly, offered, paid, promised to pay, or authorized a payment, of any money or other thing of value (including any fee, gift, sample, commission payment, discount, travel expense, or entertainment) to any of the following persons for the purpose of influencing any act or decision of such person in his official capacity, inducing such person to do or omit to do any act in violation of the lawful duty of such official, securing any improper advantage, or inducing such person to use his influence with a Governmental Authority or instrumentality thereof to affect or to influence any act or decision of such Governmental Authority or instrumentality, in order to assist the Company or a Company Subsidiary in obtaining or retaining business for or with, or directing the business to, any Person: (i) any person who is an agent, representative, official, officer, director, or employee of any Governmental Authority or any department, agency, or instrumentality thereof (including officers, directors, and employees of state-owned, operated or controlled entities) or of a public international organization; (ii) any person acting in an official capacity for or on behalf of any such Governmental Authority, department, agency, instrumentality, or public international organization;</w:t>
      </w:r>
    </w:p>
    <w:p>
      <w:pPr>
        <w:spacing w:after="0" w:line="4" w:lineRule="exact"/>
        <w:rPr>
          <w:rFonts w:ascii="Arial" w:cs="Arial" w:eastAsia="Arial" w:hAnsi="Arial"/>
          <w:sz w:val="19"/>
          <w:szCs w:val="19"/>
          <w:color w:val="auto"/>
        </w:rPr>
      </w:pPr>
    </w:p>
    <w:p>
      <w:pPr>
        <w:jc w:val="both"/>
        <w:ind w:firstLine="8"/>
        <w:spacing w:after="0" w:line="233" w:lineRule="auto"/>
        <w:tabs>
          <w:tab w:leader="none" w:pos="392"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political party or official thereof; (iv) any candidate for political or political party office (such recipients in paragraphs (i), (ii), (iii) and (iv) of this subsection (c) collectively, “Government Officials”); or (v) any other individual or entity while knowing or having reason to believe that all or any portion of such money or thing of value would be offered, given, or promised, directly or indirectly, to any Government Official.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both"/>
        <w:ind w:firstLine="1304"/>
        <w:spacing w:after="0" w:line="272" w:lineRule="auto"/>
        <w:tabs>
          <w:tab w:leader="none" w:pos="2317"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There are no current, pending, or to the knowledge of the Company, threatened Actions against the Company, any of the Company Subsidiaries or any Representative or affiliate of the Company or any of the Company Subsidiaries (in each case as it relates to the Company or the Company Subsidiaries) with respect to any Applicable Anticorruption Laws. Since January 1, 2017, neither the Company, the Company Subsidiaries nor, to the knowledge of the Company, any Representatives of the Company or any of the Company Subsidiaries (including consultants, distributors, resellers, and any other business intermediaries), has received notice of (i) any investigation by or request for information from a Governmental Authority relating to any actual or possible violation of Applicable Anticorruption Laws by the Company, any of the Company Subsidiaries or any Representatives of the Company or any of the Company Subsidiaries (including consultants, distributors, resellers, and other business intermediaries) (in each case as it relates to the Company or the Company Subsidiaries), or (ii) any other allegation, investigation or inquiry regarding any actual or possible violation of the Applicable Anticorruption Laws by the Company, any of the Company Subsidiaries or any Representatives of the Company or any of the Company Subsidiaries (including consultants, distributors, resellers, and any other business intermediaries) (in each case as it relates to the Company or the Company Subsidiaries).</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firstLine="1304"/>
        <w:spacing w:after="0" w:line="238" w:lineRule="auto"/>
        <w:tabs>
          <w:tab w:leader="none" w:pos="2089"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Company has instituted and maintains internal controls, policies and procedures reasonably designed to ensure compliance with Applicable Anticorruption Laws. Since January 1, 2017, the Company and each of the Company Subsidiaries has kept books and records of their businesses in reasonable detail that accurately and fairly reflect the transactions and assets of such businesses.</w:t>
      </w:r>
    </w:p>
    <w:p>
      <w:pPr>
        <w:spacing w:after="0" w:line="238" w:lineRule="exact"/>
        <w:rPr>
          <w:rFonts w:ascii="Arial" w:cs="Arial" w:eastAsia="Arial" w:hAnsi="Arial"/>
          <w:sz w:val="22"/>
          <w:szCs w:val="22"/>
          <w:color w:val="auto"/>
        </w:rPr>
      </w:pPr>
    </w:p>
    <w:p>
      <w:pPr>
        <w:jc w:val="both"/>
        <w:ind w:firstLine="1304"/>
        <w:spacing w:after="0" w:line="273" w:lineRule="auto"/>
        <w:tabs>
          <w:tab w:leader="none" w:pos="2430" w:val="left"/>
        </w:tabs>
        <w:numPr>
          <w:ilvl w:val="1"/>
          <w:numId w:val="29"/>
        </w:numPr>
        <w:rPr>
          <w:rFonts w:ascii="Arial" w:cs="Arial" w:eastAsia="Arial" w:hAnsi="Arial"/>
          <w:sz w:val="19"/>
          <w:szCs w:val="19"/>
          <w:color w:val="auto"/>
        </w:rPr>
      </w:pPr>
      <w:r>
        <w:rPr>
          <w:rFonts w:ascii="Arial" w:cs="Arial" w:eastAsia="Arial" w:hAnsi="Arial"/>
          <w:sz w:val="19"/>
          <w:szCs w:val="19"/>
          <w:color w:val="auto"/>
        </w:rPr>
        <w:t>Since January 1, 2017, and in each case with respect to the Company and any of the Company Subsidiaries, all of their respective directors, officers, and, to the knowledge of the Company, employees or agents, have at all times been in compliance in all material respects with applicable United States, Israeli, and Japanese, EU and Italian Customs and Trade Laws, as well as Customs and Trade Laws of any other jurisdiction in which the Company or Company Subsidiaries do business, including: (i) the United States Export Control Reform Act of 2018 and implementing Export Administration Regulations; (ii) the Arms Export Control Act and implementing International Traffic in Arms Regulations; (iii) the Israel Defense Export Control Law – 2007 and all regulations and orders promulgated thereunder, including without limitation all orders and procedures of the Israeli Ministry of Defense, the Israeli Defense Export Controls Agency and the Israeli Ministry of the Economy, the Law Governing the Control of Commodities and Services – 1957, and the Import and Export Order (Control of Dual-Purpose Goods, Services and Technology Exports) – 2006; (iv) the Israel Control of Products and Services Declaration (Engagement in Encryption), 1974, as amended; and (v) the Foreign Exchange and Foreign Trade Act of Japan.</w:t>
      </w:r>
    </w:p>
    <w:p>
      <w:pPr>
        <w:spacing w:after="0" w:line="209" w:lineRule="exact"/>
        <w:rPr>
          <w:rFonts w:ascii="Arial" w:cs="Arial" w:eastAsia="Arial" w:hAnsi="Arial"/>
          <w:sz w:val="19"/>
          <w:szCs w:val="19"/>
          <w:color w:val="auto"/>
        </w:rPr>
      </w:pPr>
    </w:p>
    <w:p>
      <w:pPr>
        <w:jc w:val="both"/>
        <w:ind w:firstLine="1304"/>
        <w:spacing w:after="0" w:line="271" w:lineRule="auto"/>
        <w:tabs>
          <w:tab w:leader="none" w:pos="2317" w:val="left"/>
        </w:tabs>
        <w:numPr>
          <w:ilvl w:val="1"/>
          <w:numId w:val="29"/>
        </w:numPr>
        <w:rPr>
          <w:rFonts w:ascii="Arial" w:cs="Arial" w:eastAsia="Arial" w:hAnsi="Arial"/>
          <w:sz w:val="19"/>
          <w:szCs w:val="19"/>
          <w:color w:val="auto"/>
        </w:rPr>
      </w:pPr>
      <w:r>
        <w:rPr>
          <w:rFonts w:ascii="Arial" w:cs="Arial" w:eastAsia="Arial" w:hAnsi="Arial"/>
          <w:sz w:val="19"/>
          <w:szCs w:val="19"/>
          <w:color w:val="auto"/>
        </w:rPr>
        <w:t>Neither the Company nor any of the Company Subsidiaries have(i) made any voluntary, directed or involuntary disclosure to any Governmental Authority or similar agency with respect to any alleged act or omission arising under or relating to any non-compliance with any Customs and Trade Laws, (ii) to the knowledge of the Company, been the subject of a current, pending or threatened investigation, inquiry or enforcement proceedings for violations of Customs and Trade Laws or</w:t>
      </w:r>
    </w:p>
    <w:p>
      <w:pPr>
        <w:spacing w:after="0" w:line="3" w:lineRule="exact"/>
        <w:rPr>
          <w:rFonts w:ascii="Arial" w:cs="Arial" w:eastAsia="Arial" w:hAnsi="Arial"/>
          <w:sz w:val="19"/>
          <w:szCs w:val="19"/>
          <w:color w:val="auto"/>
        </w:rPr>
      </w:pPr>
    </w:p>
    <w:p>
      <w:pPr>
        <w:ind w:left="380" w:hanging="372"/>
        <w:spacing w:after="0"/>
        <w:tabs>
          <w:tab w:leader="none" w:pos="3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received any notice, request, penalty or citation for any actual or potential non-compliance with Customs and Trade Laws.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both"/>
        <w:ind w:firstLine="1304"/>
        <w:spacing w:after="0" w:line="245" w:lineRule="auto"/>
        <w:tabs>
          <w:tab w:leader="none" w:pos="2209" w:val="left"/>
        </w:tabs>
        <w:numPr>
          <w:ilvl w:val="0"/>
          <w:numId w:val="31"/>
        </w:numPr>
        <w:rPr>
          <w:rFonts w:ascii="Arial" w:cs="Arial" w:eastAsia="Arial" w:hAnsi="Arial"/>
          <w:sz w:val="21"/>
          <w:szCs w:val="21"/>
          <w:color w:val="auto"/>
        </w:rPr>
      </w:pPr>
      <w:r>
        <w:rPr>
          <w:rFonts w:ascii="Arial" w:cs="Arial" w:eastAsia="Arial" w:hAnsi="Arial"/>
          <w:sz w:val="21"/>
          <w:szCs w:val="21"/>
          <w:color w:val="auto"/>
        </w:rPr>
        <w:t>Since January 1, 2017, the Company and each Company Subsidiary has obtained all applicable import and export licenses and all other necessary consents, notices, waivers, approvals, orders, authorizations and declarations, and has completed all necessary registrations and filings, required under applicable Customs and Trade Laws, except as would not reasonably be expected to result in a material violation of Customs and Trade Laws. The Company has provided the Parent with copies of all currently active export licenses that the Company and each Company Subsidiary has received, and the Company and each Company Subsidiary, as applicable, is in compliance with all such export licenses, except as would not reasonably be expected to result in a material violation of Customs and Trade Laws. The Company and the Company Subsidiaries have not within the past five (5) years been subject to any audits by any Governmental Authority relating to Customs and Trade Laws, including audits by the Israeli Ministry of Defense, the Israeli Defense Export Controls Agency and the Israeli Ministry of the Economy.</w:t>
      </w:r>
    </w:p>
    <w:p>
      <w:pPr>
        <w:spacing w:after="0" w:line="235" w:lineRule="exact"/>
        <w:rPr>
          <w:rFonts w:ascii="Arial" w:cs="Arial" w:eastAsia="Arial" w:hAnsi="Arial"/>
          <w:sz w:val="21"/>
          <w:szCs w:val="21"/>
          <w:color w:val="auto"/>
        </w:rPr>
      </w:pPr>
    </w:p>
    <w:p>
      <w:pPr>
        <w:jc w:val="both"/>
        <w:ind w:firstLine="1304"/>
        <w:spacing w:after="0"/>
        <w:tabs>
          <w:tab w:leader="none" w:pos="2148" w:val="left"/>
        </w:tabs>
        <w:numPr>
          <w:ilvl w:val="0"/>
          <w:numId w:val="31"/>
        </w:numPr>
        <w:rPr>
          <w:rFonts w:ascii="Arial" w:cs="Arial" w:eastAsia="Arial" w:hAnsi="Arial"/>
          <w:sz w:val="22"/>
          <w:szCs w:val="22"/>
          <w:color w:val="auto"/>
        </w:rPr>
      </w:pPr>
      <w:r>
        <w:rPr>
          <w:rFonts w:ascii="Arial" w:cs="Arial" w:eastAsia="Arial" w:hAnsi="Arial"/>
          <w:sz w:val="22"/>
          <w:szCs w:val="22"/>
          <w:color w:val="auto"/>
        </w:rPr>
        <w:t>Since January 1, 2017, the Company and each Company Subsidiary has not engaged in any dealings or transactions in or with any Restricted Person in violation of applicable Customs and Trade Laws, or in violation of Sanctions, nor is the Company or any Company Subsidiary currently engaged in any such activities.</w:t>
      </w:r>
    </w:p>
    <w:p>
      <w:pPr>
        <w:spacing w:after="0" w:line="240" w:lineRule="exact"/>
        <w:rPr>
          <w:rFonts w:ascii="Arial" w:cs="Arial" w:eastAsia="Arial" w:hAnsi="Arial"/>
          <w:sz w:val="22"/>
          <w:szCs w:val="22"/>
          <w:color w:val="auto"/>
        </w:rPr>
      </w:pPr>
    </w:p>
    <w:p>
      <w:pPr>
        <w:jc w:val="both"/>
        <w:ind w:right="20" w:firstLine="1304"/>
        <w:spacing w:after="0"/>
        <w:tabs>
          <w:tab w:leader="none" w:pos="2431"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Company and each Company Subsidiary has in place written policies, controls and systems reasonably designed to maintain compliance in all respects with applicable Customs and Trade Laws in each jurisdiction in which the Company and each Company Subsidiary conducts business.</w:t>
      </w:r>
    </w:p>
    <w:p>
      <w:pPr>
        <w:spacing w:after="0" w:line="240" w:lineRule="exact"/>
        <w:rPr>
          <w:rFonts w:ascii="Arial" w:cs="Arial" w:eastAsia="Arial" w:hAnsi="Arial"/>
          <w:sz w:val="22"/>
          <w:szCs w:val="22"/>
          <w:color w:val="auto"/>
        </w:rPr>
      </w:pPr>
    </w:p>
    <w:p>
      <w:pPr>
        <w:jc w:val="both"/>
        <w:ind w:firstLine="1304"/>
        <w:spacing w:after="0" w:line="270" w:lineRule="auto"/>
        <w:tabs>
          <w:tab w:leader="none" w:pos="2142" w:val="left"/>
        </w:tabs>
        <w:numPr>
          <w:ilvl w:val="0"/>
          <w:numId w:val="31"/>
        </w:numPr>
        <w:rPr>
          <w:rFonts w:ascii="Arial" w:cs="Arial" w:eastAsia="Arial" w:hAnsi="Arial"/>
          <w:sz w:val="19"/>
          <w:szCs w:val="19"/>
          <w:color w:val="auto"/>
        </w:rPr>
      </w:pPr>
      <w:r>
        <w:rPr>
          <w:rFonts w:ascii="Arial" w:cs="Arial" w:eastAsia="Arial" w:hAnsi="Arial"/>
          <w:sz w:val="19"/>
          <w:szCs w:val="19"/>
          <w:color w:val="auto"/>
        </w:rPr>
        <w:t>Since January 1, 2019, neither the Company nor any Company Subsidiary has (i) materially breached or violated any Law, or any material certification, representation, clause, provision or requirement pertaining to any Government Contract; (ii) been audited (except in the ordinary course of business) or investigated by any Governmental Authority with respect to any Government Contract; (iii) conducted or initiated any internal investigation (for which the assistance of outside counsel or an accounting firm was required) or made any disclosure with respect to any alleged or potential irregularity, misstatement, omission or actual or potential violation of Law arising under or relating to a Government Contract; (iv) received any written notice of breach, cure, show cause or default that remains unresolved with respect to a Government Contract; (v) had any Government Contract terminated for cause, default or failure to perform; (vi) represented as qualifying for any small business or preferred bidder status, received any small business set-aside Government Contract, nor received any other Government Contract based in part or in whole on any preferred bidder status; or (vii) entered into any Government Contracts payable on a cost-reimbursement basis. The Company and each Company Subsidiary has established and maintained adequate internal controls for compliance with their respective Government Contracts. Neither the Company nor any Company Subsidiary nor any of their respective directors, officers, principals, or, to the knowledge of the Company, any current employee, is or has been suspended or debarred, proposed for debarment or suspension, declared ineligible or determined non-responsive from holding, performing or bidding on any Government Contract, and no such proceeding regarding suspension, debarment, ineligibility or non-responsibility has been commenced or threatened. There are no material outstanding claims or disputes in connection with any of the Company’s or any Company Subsidiary’s Government Contracts. To the knowledge of the Company, there are no outstanding or unsettled allegations of fraud, false claims or significant overpayments, nor any investigations or audits by any Governmental Authority or Person with regard to any of the Government Contracts.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both"/>
        <w:ind w:firstLine="1304"/>
        <w:spacing w:after="0" w:line="273" w:lineRule="auto"/>
        <w:tabs>
          <w:tab w:leader="none" w:pos="2134" w:val="left"/>
        </w:tabs>
        <w:numPr>
          <w:ilvl w:val="0"/>
          <w:numId w:val="32"/>
        </w:numPr>
        <w:rPr>
          <w:rFonts w:ascii="Arial" w:cs="Arial" w:eastAsia="Arial" w:hAnsi="Arial"/>
          <w:sz w:val="19"/>
          <w:szCs w:val="19"/>
          <w:color w:val="auto"/>
        </w:rPr>
      </w:pPr>
      <w:r>
        <w:rPr>
          <w:rFonts w:ascii="Arial" w:cs="Arial" w:eastAsia="Arial" w:hAnsi="Arial"/>
          <w:sz w:val="19"/>
          <w:szCs w:val="19"/>
          <w:color w:val="auto"/>
        </w:rPr>
        <w:t>Since January 1, 2017, (i) the Company, each Company Subsidiary, and all of their respective directors, officers, and, to the knowledge of the Company, employees and agents, have been in compliance with applicable Sanctions; (ii) neither the Company nor any Company Subsidiary has conducted, directly or indirectly, any business in any Sanctioned Jurisdiction or with any Sanctioned Person; and (iii) neither the Company nor any Company Subsidiary, nor any of their directors, officers, employees or agents is a Sanctioned Person. The Company and each Company Subsidiary has in place written policies, controls, and systems reasonably designed to maintain compliance with all applicable Sanctions. Neither the Company nor any Company Subsidiary has within the past five (5) years (x) made any voluntary, directed or involuntary disclosure to any Governmental Authority with respect to any alleged act or omission arising under or relating to any non-compliance with any Sanctions, (y) been the subject of a past, current, pending or, to the knowledge of the Company, threatened investigation, inquiry or enforcement proceeding for a violation of Sanctions or (z) received any notice, request, penalty, or citation for any actual or potential non-compliance with Sanctions.</w:t>
      </w:r>
    </w:p>
    <w:p>
      <w:pPr>
        <w:spacing w:after="0" w:line="209" w:lineRule="exact"/>
        <w:rPr>
          <w:rFonts w:ascii="Arial" w:cs="Arial" w:eastAsia="Arial" w:hAnsi="Arial"/>
          <w:sz w:val="19"/>
          <w:szCs w:val="19"/>
          <w:color w:val="auto"/>
        </w:rPr>
      </w:pPr>
    </w:p>
    <w:p>
      <w:pPr>
        <w:jc w:val="both"/>
        <w:ind w:firstLine="1304"/>
        <w:spacing w:after="0" w:line="246" w:lineRule="auto"/>
        <w:tabs>
          <w:tab w:leader="none" w:pos="2431"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Company and each Company Subsidiary and, to the knowledge of the Company, each of the employees who hold security clearances are in compliance with all applicable national security obligations, including those specified in the NISPOM, and any supplements, amendments or revised editions thereof. To the knowledge of the Company, there has been no audit or similar Action relating to the Company’s or any Company Subsidiary’s compliance with the requirements of the National Industrial Security Program that resulted in material adverse findings against the Company or any Company Subsidiary nor has the Company or any Company Subsidiary made any disclosures to applicable Governmental Authority regarding any events of non-compliance with the NISPOM.</w:t>
      </w:r>
    </w:p>
    <w:p>
      <w:pPr>
        <w:spacing w:after="0" w:line="238" w:lineRule="exact"/>
        <w:rPr>
          <w:rFonts w:ascii="Arial" w:cs="Arial" w:eastAsia="Arial" w:hAnsi="Arial"/>
          <w:sz w:val="21"/>
          <w:szCs w:val="21"/>
          <w:color w:val="auto"/>
        </w:rPr>
      </w:pPr>
    </w:p>
    <w:p>
      <w:pPr>
        <w:jc w:val="both"/>
        <w:ind w:firstLine="1304"/>
        <w:spacing w:after="0" w:line="275" w:lineRule="auto"/>
        <w:tabs>
          <w:tab w:leader="none" w:pos="2196"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applicable Company Subsidiary has at all times been in material compliance with all requirements and contractual obligations in connection with the Trusted Foundry Program managed by the Defense Microelectronics Activity (“</w:t>
      </w:r>
      <w:r>
        <w:rPr>
          <w:rFonts w:ascii="Arial" w:cs="Arial" w:eastAsia="Arial" w:hAnsi="Arial"/>
          <w:sz w:val="19"/>
          <w:szCs w:val="19"/>
          <w:u w:val="single" w:color="auto"/>
          <w:color w:val="auto"/>
        </w:rPr>
        <w:t>DMEA</w:t>
      </w:r>
      <w:r>
        <w:rPr>
          <w:rFonts w:ascii="Arial" w:cs="Arial" w:eastAsia="Arial" w:hAnsi="Arial"/>
          <w:sz w:val="19"/>
          <w:szCs w:val="19"/>
          <w:color w:val="auto"/>
        </w:rPr>
        <w:t>”) including all material assurances and requirements related to required notices, information security, quality assurance, information protection, and all other material requirements maintained or imposed in connection with the Company Subsidiary's accreditation as a Trusted Foundry. To the knowledge of the Company and Company Subsidiary there are no facts or events that would materially jeopardize the Company and Company Subsidiary's accreditation or otherwise restrict or prevent the Company Subsidiary from continuing to operate upon Closing as a result of the transactions contemplated in this Agreement including, but limited to, any change of control notice or consent by applicable Governmental Authority.</w:t>
      </w:r>
    </w:p>
    <w:p>
      <w:pPr>
        <w:spacing w:after="0" w:line="21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u w:val="single" w:color="auto"/>
          <w:color w:val="auto"/>
        </w:rPr>
        <w:t>SEC Filings; TASE Filings; Financial Statements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44" w:lineRule="auto"/>
        <w:tabs>
          <w:tab w:leader="none" w:pos="2103"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Company has timely filed or furnished all forms, reports and other documents required to be filed or furnished by it with the SEC, the TASE, and the ISA, since January 1, 2019 (all such documents filed or furnished since January 1, 2019 by the Company, the “</w:t>
      </w:r>
      <w:r>
        <w:rPr>
          <w:rFonts w:ascii="Arial" w:cs="Arial" w:eastAsia="Arial" w:hAnsi="Arial"/>
          <w:sz w:val="21"/>
          <w:szCs w:val="21"/>
          <w:u w:val="single" w:color="auto"/>
          <w:color w:val="auto"/>
        </w:rPr>
        <w:t>Company Reports</w:t>
      </w:r>
      <w:r>
        <w:rPr>
          <w:rFonts w:ascii="Arial" w:cs="Arial" w:eastAsia="Arial" w:hAnsi="Arial"/>
          <w:sz w:val="21"/>
          <w:szCs w:val="21"/>
          <w:color w:val="auto"/>
        </w:rPr>
        <w:t>”). At the time it was filed or furnished (or, if amended or superseded by a filing prior to the date of this Agreement, then on the date of such amended or superseded filing), each Company Report (i) complied as to form in all material respects with the applicable requirements of the Securities Act, the Exchange Act, the Sarbanes-Oxley Act of 2002 (“</w:t>
      </w:r>
      <w:r>
        <w:rPr>
          <w:rFonts w:ascii="Arial" w:cs="Arial" w:eastAsia="Arial" w:hAnsi="Arial"/>
          <w:sz w:val="21"/>
          <w:szCs w:val="21"/>
          <w:u w:val="single" w:color="auto"/>
          <w:color w:val="auto"/>
        </w:rPr>
        <w:t>SOX</w:t>
      </w:r>
      <w:r>
        <w:rPr>
          <w:rFonts w:ascii="Arial" w:cs="Arial" w:eastAsia="Arial" w:hAnsi="Arial"/>
          <w:sz w:val="21"/>
          <w:szCs w:val="21"/>
          <w:color w:val="auto"/>
        </w:rPr>
        <w:t xml:space="preserve">”), the TASE, ISA and Israeli Securities Law, as the case may be, and the applicable rules and regulations promulgated thereunder, each as in effect on the date such Company Report was filed, and (ii) did not, at the time it was filed or furnished (or, if amended or superseded by a filing prior to the date of this Agreement, as of the date of such filing) or, with respect to Company Reports filed or furnished after the date of this Agreement, will not, subject to the last sentence of </w:t>
      </w:r>
      <w:r>
        <w:rPr>
          <w:rFonts w:ascii="Arial" w:cs="Arial" w:eastAsia="Arial" w:hAnsi="Arial"/>
          <w:sz w:val="21"/>
          <w:szCs w:val="21"/>
          <w:u w:val="single" w:color="auto"/>
          <w:color w:val="auto"/>
        </w:rPr>
        <w:t>Section 3.12</w:t>
      </w:r>
      <w:r>
        <w:rPr>
          <w:rFonts w:ascii="Arial" w:cs="Arial" w:eastAsia="Arial" w:hAnsi="Arial"/>
          <w:sz w:val="21"/>
          <w:szCs w:val="21"/>
          <w:color w:val="auto"/>
        </w:rPr>
        <w:t>, contain any untrue statement of a material fact, or omit to state a material fact, required to be stated therein or necessary in order to make the statements made therein, in light of the circumstances under which they were made, not misleading. The Company is in compliance in all material respects with the applicable provisions of the Israeli Securities Law. None of the Company’s Subsidiaries is required to file or furnish any forms, reports or other documents with the SEC, the TASE or ISA.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left="2100" w:hanging="796"/>
        <w:spacing w:after="0"/>
        <w:tabs>
          <w:tab w:leader="none" w:pos="21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As of the date of this Agreement, the Company is a “foreign private issuer” as such term is defined under</w:t>
      </w:r>
    </w:p>
    <w:p>
      <w:pPr>
        <w:spacing w:after="0" w:line="4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Exchange Act.</w:t>
      </w:r>
    </w:p>
    <w:p>
      <w:pPr>
        <w:spacing w:after="0" w:line="242" w:lineRule="exact"/>
        <w:rPr>
          <w:rFonts w:ascii="Arial" w:cs="Arial" w:eastAsia="Arial" w:hAnsi="Arial"/>
          <w:sz w:val="19"/>
          <w:szCs w:val="19"/>
          <w:color w:val="auto"/>
        </w:rPr>
      </w:pPr>
    </w:p>
    <w:p>
      <w:pPr>
        <w:jc w:val="both"/>
        <w:ind w:firstLine="1304"/>
        <w:spacing w:after="0" w:line="245" w:lineRule="auto"/>
        <w:tabs>
          <w:tab w:leader="none" w:pos="2251" w:val="left"/>
        </w:tabs>
        <w:numPr>
          <w:ilvl w:val="1"/>
          <w:numId w:val="34"/>
        </w:numPr>
        <w:rPr>
          <w:rFonts w:ascii="Arial" w:cs="Arial" w:eastAsia="Arial" w:hAnsi="Arial"/>
          <w:sz w:val="21"/>
          <w:szCs w:val="21"/>
          <w:color w:val="auto"/>
        </w:rPr>
      </w:pPr>
      <w:r>
        <w:rPr>
          <w:rFonts w:ascii="Arial" w:cs="Arial" w:eastAsia="Arial" w:hAnsi="Arial"/>
          <w:sz w:val="21"/>
          <w:szCs w:val="21"/>
          <w:color w:val="auto"/>
        </w:rPr>
        <w:t>Each of the consolidated financial statements (including the notes thereto) contained in the Company Reports (i) complied as of their respective dates of filing with the SEC and TASE, as the case may be, in all material respects with applicable accounting requirements and the published rules and regulations of the SEC, ISA and TASE, as the case may be, with respect thereto, (ii) was prepared in accordance with U.S. generally accepted accounting principles (“</w:t>
      </w:r>
      <w:r>
        <w:rPr>
          <w:rFonts w:ascii="Arial" w:cs="Arial" w:eastAsia="Arial" w:hAnsi="Arial"/>
          <w:sz w:val="21"/>
          <w:szCs w:val="21"/>
          <w:u w:val="single" w:color="auto"/>
          <w:color w:val="auto"/>
        </w:rPr>
        <w:t>GAAP</w:t>
      </w:r>
      <w:r>
        <w:rPr>
          <w:rFonts w:ascii="Arial" w:cs="Arial" w:eastAsia="Arial" w:hAnsi="Arial"/>
          <w:sz w:val="21"/>
          <w:szCs w:val="21"/>
          <w:color w:val="auto"/>
        </w:rPr>
        <w:t>”) applied on a consistent basis with the Company’s past practices throughout the periods indicated (except as may be indicated in the notes thereto or, in the case of unaudited statements, as permitted by the ISA or the rules and regulations of the SEC or under the Israeli Securities Law, as the case may be), and (iii) fairly presents, in all material respects, the consolidated financial position, results of operations and cash flows of the Company and its consolidated Company Subsidiaries as at the respective dates thereof and for the respective periods indicated therein (subject, in the case of unaudited interim statements, to normal year-end audit adjustments).</w:t>
      </w:r>
    </w:p>
    <w:p>
      <w:pPr>
        <w:spacing w:after="0" w:line="234" w:lineRule="exact"/>
        <w:rPr>
          <w:rFonts w:ascii="Arial" w:cs="Arial" w:eastAsia="Arial" w:hAnsi="Arial"/>
          <w:sz w:val="21"/>
          <w:szCs w:val="21"/>
          <w:color w:val="auto"/>
        </w:rPr>
      </w:pPr>
    </w:p>
    <w:p>
      <w:pPr>
        <w:jc w:val="both"/>
        <w:ind w:firstLine="1304"/>
        <w:spacing w:after="0" w:line="270" w:lineRule="auto"/>
        <w:tabs>
          <w:tab w:leader="none" w:pos="2479" w:val="left"/>
        </w:tabs>
        <w:numPr>
          <w:ilvl w:val="1"/>
          <w:numId w:val="34"/>
        </w:numPr>
        <w:rPr>
          <w:rFonts w:ascii="Arial" w:cs="Arial" w:eastAsia="Arial" w:hAnsi="Arial"/>
          <w:sz w:val="19"/>
          <w:szCs w:val="19"/>
          <w:color w:val="auto"/>
        </w:rPr>
      </w:pPr>
      <w:r>
        <w:rPr>
          <w:rFonts w:ascii="Arial" w:cs="Arial" w:eastAsia="Arial" w:hAnsi="Arial"/>
          <w:sz w:val="19"/>
          <w:szCs w:val="19"/>
          <w:color w:val="auto"/>
        </w:rPr>
        <w:t>Except as and to the extent set forth in the consolidated balance sheet of the Company and its consolidated Company Subsidiaries as of June 30, 2021, including the notes thereto (the “</w:t>
      </w:r>
      <w:r>
        <w:rPr>
          <w:rFonts w:ascii="Arial" w:cs="Arial" w:eastAsia="Arial" w:hAnsi="Arial"/>
          <w:sz w:val="19"/>
          <w:szCs w:val="19"/>
          <w:u w:val="single" w:color="auto"/>
          <w:color w:val="auto"/>
        </w:rPr>
        <w:t>Most Recent Company Balance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Sheet</w:t>
      </w:r>
      <w:r>
        <w:rPr>
          <w:rFonts w:ascii="Arial" w:cs="Arial" w:eastAsia="Arial" w:hAnsi="Arial"/>
          <w:sz w:val="19"/>
          <w:szCs w:val="19"/>
          <w:color w:val="auto"/>
        </w:rPr>
        <w:t>”), neither the Company nor any Company Subsidiary has any liability or obligation of any nature (whether accrued, absolute, contingent or otherwise) required to be disclosed by GAAP, except for liabilities and obligations (i) incurred since June 30, 2021, in the ordinary course of business consistent with past practice, (ii) in the form of executory obligations under any Contract to which the Company is a party or is bound and that are not in the nature of material breaches of such Contracts, and</w:t>
      </w:r>
    </w:p>
    <w:p>
      <w:pPr>
        <w:spacing w:after="0" w:line="1" w:lineRule="exact"/>
        <w:rPr>
          <w:rFonts w:ascii="Arial" w:cs="Arial" w:eastAsia="Arial" w:hAnsi="Arial"/>
          <w:sz w:val="19"/>
          <w:szCs w:val="19"/>
          <w:color w:val="auto"/>
        </w:rPr>
      </w:pPr>
    </w:p>
    <w:p>
      <w:pPr>
        <w:ind w:firstLine="8"/>
        <w:spacing w:after="0" w:line="236" w:lineRule="auto"/>
        <w:tabs>
          <w:tab w:leader="none" w:pos="378"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incurred in connection with the preparation and negotiation of this Agreement or pursuant to this Agreement or in connection with the Transactions.</w:t>
      </w:r>
    </w:p>
    <w:p>
      <w:pPr>
        <w:spacing w:after="0" w:line="240" w:lineRule="exact"/>
        <w:rPr>
          <w:rFonts w:ascii="Arial" w:cs="Arial" w:eastAsia="Arial" w:hAnsi="Arial"/>
          <w:sz w:val="22"/>
          <w:szCs w:val="22"/>
          <w:color w:val="auto"/>
        </w:rPr>
      </w:pPr>
    </w:p>
    <w:p>
      <w:pPr>
        <w:jc w:val="both"/>
        <w:ind w:firstLine="1304"/>
        <w:spacing w:after="0" w:line="275" w:lineRule="auto"/>
        <w:tabs>
          <w:tab w:leader="none" w:pos="2076"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Each of the principal executive officer of the Company and the principal financial officer of the Company has made all certifications required by Rule 13a-14 or 15d-14 under the Exchange Act or Sections 302 and 906 of SOX and the rules and regulations of the SEC promulgated thereunder with respect to the Company Reports filed with the SEC, and prior to the date of this Agreement, neither the Company nor any of its executive officers has received written notice from any Governmental Authority challenging or questioning the accuracy, completeness, form or manner of filing such certifications. For purposes of this </w:t>
      </w:r>
      <w:r>
        <w:rPr>
          <w:rFonts w:ascii="Arial" w:cs="Arial" w:eastAsia="Arial" w:hAnsi="Arial"/>
          <w:sz w:val="19"/>
          <w:szCs w:val="19"/>
          <w:u w:val="single" w:color="auto"/>
          <w:color w:val="auto"/>
        </w:rPr>
        <w:t>Section 3.7(e)</w:t>
      </w:r>
      <w:r>
        <w:rPr>
          <w:rFonts w:ascii="Arial" w:cs="Arial" w:eastAsia="Arial" w:hAnsi="Arial"/>
          <w:sz w:val="19"/>
          <w:szCs w:val="19"/>
          <w:color w:val="auto"/>
        </w:rPr>
        <w:t>, “principal executive officer” and “principal financial officer” have the meanings given to such terms in SOX. Neither the Company nor any of the Company Subsidiaries has outstanding, or has arranged any outstanding, “extensions of credit” to directors or executive officers within the meaning of Section 402 of SOX.</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both"/>
        <w:ind w:firstLine="1304"/>
        <w:spacing w:after="0" w:line="245" w:lineRule="auto"/>
        <w:tabs>
          <w:tab w:leader="none" w:pos="2295"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Company has implemented, and at all times since January 1, 2019, has maintained a system of internal controls over financial reporting designed to provide reasonable assurances regarding the reliability of financial reporting and the preparation of financial statements for external purposes, including to provide reasonable assurance: (i) that transactions are executed in accordance with management’s general or specific authorizations; (ii) that transactions are recorded as necessary to permit preparation of financial statements in conformity with GAAP; (iii) regarding prevention or timely detection of unauthorized acquisition, use or disposition of the assets of the Company and its Subsidiaries, as applicable, that could have a material effect on the Company’s financial statements; (iv) that the maintenance of records in reasonable detail accurately and fairly reflect the transactions and dispositions of the assets of the Company on a consolidated basis; and (v) that the recorded accountability for assets is compared with the existing assets at reasonable intervals and appropriate action is taken with respect to any differences.</w:t>
      </w:r>
    </w:p>
    <w:p>
      <w:pPr>
        <w:spacing w:after="0" w:line="235" w:lineRule="exact"/>
        <w:rPr>
          <w:rFonts w:ascii="Arial" w:cs="Arial" w:eastAsia="Arial" w:hAnsi="Arial"/>
          <w:sz w:val="21"/>
          <w:szCs w:val="21"/>
          <w:color w:val="auto"/>
        </w:rPr>
      </w:pPr>
    </w:p>
    <w:p>
      <w:pPr>
        <w:jc w:val="both"/>
        <w:ind w:firstLine="1304"/>
        <w:spacing w:after="0" w:line="271" w:lineRule="auto"/>
        <w:tabs>
          <w:tab w:leader="none" w:pos="22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The Company has (i) implemented and maintained “disclosure controls and procedures” (as defined in Rules 13a-15(e) and 15d-15(e) of the Exchange Act) that are designed to ensure that material information that is required to be disclosed by the Company in the reports that it files or submits under the Exchange Act or Israeli Securities Law or the rules and regulations of the TASE, as the case may be, is recorded, processed, summarized and reported within the time periods specified in the rules and forms of the SEC, ISA and TASE, as the case may be, and is accumulated and made known to its principal executive officer and principal financial officer as appropriate to allow timely decisions regarding required disclosure and (ii) disclosed, based on its most recent evaluation prior to the date of this Agreement to the Company’s outside auditors and the audit committee of the Company Board of Directors, (A) any significant deficiencies and material weaknesses in the design or operation of “internal control over financial reporting” that would be reasonably likely to adversely affect in any material way the Company’s ability to record, process, summarize and report financial information and (B) any fraud, whether or not material, that involves management or other employees who have a significant role in the Company’s “internal control over financial reporting.” Any material change in internal control over financial reporting required to be disclosed in any Company SEC or ISA document on or prior to the date of this Agreement has been so disclosed. The Company has made available to Parent and Merger Sub true and complete copies of any such disclosure contemplated as of the date of this Agreement by clauses (A) and (B) in this </w:t>
      </w:r>
      <w:r>
        <w:rPr>
          <w:rFonts w:ascii="Arial" w:cs="Arial" w:eastAsia="Arial" w:hAnsi="Arial"/>
          <w:sz w:val="19"/>
          <w:szCs w:val="19"/>
          <w:u w:val="single" w:color="auto"/>
          <w:color w:val="auto"/>
        </w:rPr>
        <w:t>Section 3.7(g)</w:t>
      </w:r>
      <w:r>
        <w:rPr>
          <w:rFonts w:ascii="Arial" w:cs="Arial" w:eastAsia="Arial" w:hAnsi="Arial"/>
          <w:sz w:val="19"/>
          <w:szCs w:val="19"/>
          <w:color w:val="auto"/>
        </w:rPr>
        <w:t xml:space="preserve"> made by management to the Company’s independent auditors and to the audit committee of the Company Board of Directors.</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1304"/>
        <w:spacing w:after="0" w:line="282" w:lineRule="auto"/>
        <w:tabs>
          <w:tab w:leader="none" w:pos="2182" w:val="left"/>
        </w:tabs>
        <w:numPr>
          <w:ilvl w:val="0"/>
          <w:numId w:val="36"/>
        </w:numPr>
        <w:rPr>
          <w:rFonts w:ascii="Arial" w:cs="Arial" w:eastAsia="Arial" w:hAnsi="Arial"/>
          <w:sz w:val="19"/>
          <w:szCs w:val="19"/>
          <w:color w:val="auto"/>
        </w:rPr>
      </w:pPr>
      <w:r>
        <w:rPr>
          <w:rFonts w:ascii="Arial" w:cs="Arial" w:eastAsia="Arial" w:hAnsi="Arial"/>
          <w:sz w:val="19"/>
          <w:szCs w:val="19"/>
          <w:color w:val="auto"/>
        </w:rPr>
        <w:t>As of the date of this Agreement, (i) there are no outstanding unresolved comments with respect to the Company or the Company Reports filed with the SEC, TASE or ISA noted in comment letters or, to the knowledge of the Company, other correspondence received by the Company or its attorneys from the SEC, TASE or ISA and (ii) to the knowledge of the Company, there are no pending (A) formal or informal investigations of the Company by the SEC, TASE or ISA or (B) inspection of an audit of the Company’s financial statements by the Public Company Accounting Oversight Board.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both"/>
        <w:ind w:firstLine="1304"/>
        <w:spacing w:after="0" w:line="238" w:lineRule="auto"/>
        <w:tabs>
          <w:tab w:leader="none" w:pos="2094"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has adopted a code of ethics, as defined by Item 16B of Form 20-F of the SEC, for senior financial officers, applicable to its principal financial officer, comptroller or principal accounting officer, or persons performing similar functions. The Company has promptly disclosed any change in or waiver of the Company’s code of ethics with respect to any such persons, as required by Item 16B of Form 20-F.</w:t>
      </w:r>
    </w:p>
    <w:p>
      <w:pPr>
        <w:spacing w:after="0" w:line="239" w:lineRule="exact"/>
        <w:rPr>
          <w:rFonts w:ascii="Arial" w:cs="Arial" w:eastAsia="Arial" w:hAnsi="Arial"/>
          <w:sz w:val="22"/>
          <w:szCs w:val="22"/>
          <w:color w:val="auto"/>
        </w:rPr>
      </w:pPr>
    </w:p>
    <w:p>
      <w:pPr>
        <w:jc w:val="both"/>
        <w:ind w:firstLine="1304"/>
        <w:spacing w:after="0" w:line="246" w:lineRule="auto"/>
        <w:tabs>
          <w:tab w:leader="none" w:pos="2269" w:val="left"/>
        </w:tabs>
        <w:numPr>
          <w:ilvl w:val="0"/>
          <w:numId w:val="37"/>
        </w:numPr>
        <w:rPr>
          <w:rFonts w:ascii="Arial" w:cs="Arial" w:eastAsia="Arial" w:hAnsi="Arial"/>
          <w:sz w:val="21"/>
          <w:szCs w:val="21"/>
          <w:color w:val="auto"/>
        </w:rPr>
      </w:pPr>
      <w:r>
        <w:rPr>
          <w:rFonts w:ascii="Arial" w:cs="Arial" w:eastAsia="Arial" w:hAnsi="Arial"/>
          <w:sz w:val="21"/>
          <w:szCs w:val="21"/>
          <w:color w:val="auto"/>
        </w:rPr>
        <w:t>Neither the Company nor any of the Company Subsidiaries is a party to, or has any commitment to become a party to, any joint venture, off-balance sheet partnership or any similar Contract (including any Contract or arrangement relating to any transaction or relationship between or among the Company and any of the Company Subsidiaries, on the one hand, and any unconsolidated affiliate, including any structured finance, special purpose or limited purpose entity or Person, on the other hand, or any “off-balance sheet arrangements” (as defined in Item 303(a) of Regulation S-K under the Exchange Act)), where the result, purpose or intended effect of such Contract is to avoid disclosure of any material transaction involving, or material liabilities of, the Company or any of the Company Subsidiaries in the Company’s or such Company Subsidiary’s published financial statements or the Company Reports.</w:t>
      </w:r>
    </w:p>
    <w:p>
      <w:pPr>
        <w:spacing w:after="0" w:line="233" w:lineRule="exact"/>
        <w:rPr>
          <w:rFonts w:ascii="Arial" w:cs="Arial" w:eastAsia="Arial" w:hAnsi="Arial"/>
          <w:sz w:val="21"/>
          <w:szCs w:val="21"/>
          <w:color w:val="auto"/>
        </w:rPr>
      </w:pPr>
    </w:p>
    <w:p>
      <w:pPr>
        <w:jc w:val="both"/>
        <w:ind w:firstLine="1304"/>
        <w:spacing w:after="0" w:line="249" w:lineRule="auto"/>
        <w:tabs>
          <w:tab w:leader="none" w:pos="2115" w:val="left"/>
        </w:tabs>
        <w:numPr>
          <w:ilvl w:val="0"/>
          <w:numId w:val="37"/>
        </w:numPr>
        <w:rPr>
          <w:rFonts w:ascii="Arial" w:cs="Arial" w:eastAsia="Arial" w:hAnsi="Arial"/>
          <w:sz w:val="21"/>
          <w:szCs w:val="21"/>
          <w:color w:val="auto"/>
        </w:rPr>
      </w:pPr>
      <w:r>
        <w:rPr>
          <w:rFonts w:ascii="Arial" w:cs="Arial" w:eastAsia="Arial" w:hAnsi="Arial"/>
          <w:sz w:val="21"/>
          <w:szCs w:val="21"/>
          <w:color w:val="auto"/>
        </w:rPr>
        <w:t>Since January 1, 2019, none of the Company, the Company Board of Directors or the audit committee of the Company Board of Directors has received any oral or written notification of any (A) “significant deficiency” in the internal controls over financial reporting of the Company, (B) “material weakness” in the internal controls over financial reporting of the Company or (C) fraud, whether or not material, that involves management or other employees of the Company who have a significant role in the internal controls over financial reporting of the Company.</w:t>
      </w:r>
    </w:p>
    <w:p>
      <w:pPr>
        <w:spacing w:after="0" w:line="232" w:lineRule="exact"/>
        <w:rPr>
          <w:rFonts w:ascii="Arial" w:cs="Arial" w:eastAsia="Arial" w:hAnsi="Arial"/>
          <w:sz w:val="21"/>
          <w:szCs w:val="21"/>
          <w:color w:val="auto"/>
        </w:rPr>
      </w:pPr>
    </w:p>
    <w:p>
      <w:pPr>
        <w:jc w:val="both"/>
        <w:ind w:firstLine="1304"/>
        <w:spacing w:after="0" w:line="273" w:lineRule="auto"/>
        <w:tabs>
          <w:tab w:leader="none" w:pos="2215" w:val="left"/>
        </w:tabs>
        <w:numPr>
          <w:ilvl w:val="0"/>
          <w:numId w:val="37"/>
        </w:numPr>
        <w:rPr>
          <w:rFonts w:ascii="Arial" w:cs="Arial" w:eastAsia="Arial" w:hAnsi="Arial"/>
          <w:sz w:val="19"/>
          <w:szCs w:val="19"/>
          <w:color w:val="auto"/>
        </w:rPr>
      </w:pPr>
      <w:r>
        <w:rPr>
          <w:rFonts w:ascii="Arial" w:cs="Arial" w:eastAsia="Arial" w:hAnsi="Arial"/>
          <w:sz w:val="19"/>
          <w:szCs w:val="19"/>
          <w:color w:val="auto"/>
        </w:rPr>
        <w:t>To the knowledge of the Company, since January 1, 2019, (i) neither the Company nor any Company Subsidiary or any of their respective Representatives has received any complaint, allegation, assertion or claim, whether written or oral, regarding the accounting or auditing practices, procedures, methodologies or methods of the Company or any of the Company Subsidiaries or their respective internal accounting controls, including any complaint, allegation, assertion or claim that the Company or any of the Company Subsidiaries has engaged in questionable accounting or auditing practices, in each case which set forth allegations of circumstances that if determined to be true, would be material to the Company and the Company Subsidiaries, taken as a whole, and (ii) no attorney representing the Company or any of the Company Subsidiaries has reported evidence of a material violation of securities Laws, breach of fiduciary duty or similar violation by the Company or any of its Representatives to the Company Board of Directors or any committee thereof or to any non-employee director or the Chief Legal Counsel or Chief Executive Officer of the Company pursuant to Section 307 of the Sarbanes-Oxley Act of 2002.</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u w:val="single" w:color="auto"/>
          <w:color w:val="auto"/>
        </w:rPr>
        <w:t>Absence of Certain Changes or Events</w:t>
      </w:r>
      <w:r>
        <w:rPr>
          <w:rFonts w:ascii="Arial" w:cs="Arial" w:eastAsia="Arial" w:hAnsi="Arial"/>
          <w:sz w:val="19"/>
          <w:szCs w:val="19"/>
          <w:color w:val="auto"/>
        </w:rPr>
        <w:t xml:space="preserve">. Since the date of the Most Recent Company Balance Sheet through the date of this Agreement, (a) except as contemplated or permitted by this Agreement, the Company and the Company Subsidiaries have conducted their businesses, in all material respects, in the ordinary course and in a manner consistent with past practice, (b) there has not been any event, condition, circumstance, development, change or effect having, or that would reasonably be expected to have, individually or in the aggregate, a Company Material Adverse Effect and (c) except as set forth on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of the Company Disclosure Letter, there has not occurred any other action or event that would have required the consent of Parent pursuant to subsections (a), (b), (d), (e), (g), (i), (k), (r), (t) or (y) (to the extent related to (a), (b), (d), (e), (g), (i), (k), (r) or (t)) of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if such action or event occurred after the date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both"/>
        <w:ind w:firstLine="648"/>
        <w:spacing w:after="0" w:line="245" w:lineRule="auto"/>
        <w:rPr>
          <w:sz w:val="20"/>
          <w:szCs w:val="20"/>
          <w:color w:val="auto"/>
        </w:rPr>
      </w:pPr>
      <w:r>
        <w:rPr>
          <w:rFonts w:ascii="Arial" w:cs="Arial" w:eastAsia="Arial" w:hAnsi="Arial"/>
          <w:sz w:val="21"/>
          <w:szCs w:val="21"/>
          <w:color w:val="auto"/>
        </w:rPr>
        <w:t xml:space="preserve">Section 3.9 </w:t>
      </w:r>
      <w:r>
        <w:rPr>
          <w:rFonts w:ascii="Arial" w:cs="Arial" w:eastAsia="Arial" w:hAnsi="Arial"/>
          <w:sz w:val="21"/>
          <w:szCs w:val="21"/>
          <w:u w:val="single" w:color="auto"/>
          <w:color w:val="auto"/>
        </w:rPr>
        <w:t>Absence of Litigation</w:t>
      </w:r>
      <w:r>
        <w:rPr>
          <w:rFonts w:ascii="Arial" w:cs="Arial" w:eastAsia="Arial" w:hAnsi="Arial"/>
          <w:sz w:val="21"/>
          <w:szCs w:val="21"/>
          <w:color w:val="auto"/>
        </w:rPr>
        <w:t xml:space="preserve">. Other than as specified in </w:t>
      </w: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of the Company Disclosure Letter, as of the date of this Agreement, there is (a) no Action pending, and (b) to the knowledge of the Company, (i) no inquiry, audit or investigation by any Governmental Authority pending and (ii) no Action threatened in writing against the Company or any Company Subsidiary, or any officer or director of the Company or any Company Subsidiary, each in their capacity as such, or any property or asset of the Company or any Company Subsidiary that would reasonably be expected to have, individually or in the aggregate, a Company Material Adverse Effect. As of the date of this Agreement, none of the Company, any Company Subsidiary or any property or asset of the Company or any Company Subsidiary is subject to any continuing Order, settlement agreement or similar written agreement with any Governmental Authority, or any Order, determination or award of any Governmental Authority, in each case that contains ongoing obligations that would reasonably be expected to have, individually or in the aggregate, a Company Material Adverse Effect.</w:t>
      </w:r>
    </w:p>
    <w:p>
      <w:pPr>
        <w:spacing w:after="0" w:line="23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Employee Benefit Plans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2" w:lineRule="auto"/>
        <w:tabs>
          <w:tab w:leader="none" w:pos="233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Section 3.10(a)</w:t>
      </w:r>
      <w:r>
        <w:rPr>
          <w:rFonts w:ascii="Arial" w:cs="Arial" w:eastAsia="Arial" w:hAnsi="Arial"/>
          <w:sz w:val="19"/>
          <w:szCs w:val="19"/>
          <w:color w:val="auto"/>
        </w:rPr>
        <w:t xml:space="preserve"> of the Company Disclosure Letter lists all material Company Plans (except that for individual employment agreements, offer letters, equity award agreements, severance agreements and similar agreements or arrangements, only the forms of such agreements or arrangements shall be listed along with the forms of any agreements that materially differ from such general forms) and indicates the primary geographic location of the employees or service providers covered by such Company Plan. The Company has made available to Parent with respect to each Company Plan that is required to be listed on </w:t>
      </w:r>
      <w:r>
        <w:rPr>
          <w:rFonts w:ascii="Arial" w:cs="Arial" w:eastAsia="Arial" w:hAnsi="Arial"/>
          <w:sz w:val="19"/>
          <w:szCs w:val="19"/>
          <w:u w:val="single" w:color="auto"/>
          <w:color w:val="auto"/>
        </w:rPr>
        <w:t>Section 3.10(a)</w:t>
      </w:r>
      <w:r>
        <w:rPr>
          <w:rFonts w:ascii="Arial" w:cs="Arial" w:eastAsia="Arial" w:hAnsi="Arial"/>
          <w:sz w:val="19"/>
          <w:szCs w:val="19"/>
          <w:color w:val="auto"/>
        </w:rPr>
        <w:t xml:space="preserve"> of the Company Disclosure Letter (in each case to the extent applicable): (A) a copy of the Company Plan document, including all currently effective amendments thereto, and in the case of an unwritten Company Plan, a written description thereof; (B) the most recent summary plan description and all currently effective summaries of material modifications with respect to the Company Plan; (C) the most recently filed annual report on Form 5500; (D) the most recently received IRS determination or opinion letter; (E) the current trust agreement, insurance contract or any other similar material document relating to the funding or payment of benefits; (F) all material correspondence to or from any Governmental Authority relating to any Company Plan received by the Company within the three (3) year period ending as of the date of this Agreement; and (G) all discrimination tests for each Company Plan for the three (3) most recent plan years.</w:t>
      </w:r>
    </w:p>
    <w:p>
      <w:pPr>
        <w:spacing w:after="0" w:line="209" w:lineRule="exact"/>
        <w:rPr>
          <w:rFonts w:ascii="Arial" w:cs="Arial" w:eastAsia="Arial" w:hAnsi="Arial"/>
          <w:sz w:val="19"/>
          <w:szCs w:val="19"/>
          <w:color w:val="auto"/>
        </w:rPr>
      </w:pPr>
    </w:p>
    <w:p>
      <w:pPr>
        <w:jc w:val="both"/>
        <w:ind w:firstLine="1304"/>
        <w:spacing w:after="0" w:line="272" w:lineRule="auto"/>
        <w:tabs>
          <w:tab w:leader="none" w:pos="2331" w:val="left"/>
        </w:tabs>
        <w:numPr>
          <w:ilvl w:val="0"/>
          <w:numId w:val="38"/>
        </w:numPr>
        <w:rPr>
          <w:rFonts w:ascii="Arial" w:cs="Arial" w:eastAsia="Arial" w:hAnsi="Arial"/>
          <w:sz w:val="19"/>
          <w:szCs w:val="19"/>
          <w:color w:val="auto"/>
        </w:rPr>
      </w:pPr>
      <w:r>
        <w:rPr>
          <w:rFonts w:ascii="Arial" w:cs="Arial" w:eastAsia="Arial" w:hAnsi="Arial"/>
          <w:sz w:val="19"/>
          <w:szCs w:val="19"/>
          <w:color w:val="auto"/>
        </w:rPr>
        <w:t>Except as would not reasonably be expected to be, individually or in the aggregate, material to the Company or any Company Subsidiary, (i) each Company Plan is and has been, operated in accordance with its terms and the requirements of all applicable Laws including ERISA and the Code and all contributions or other amounts payable by the Company or any of its Subsidiaries pursuant to each Company Plan in respect of current or prior plan years have been timely paid or accrued in accordance with GAAP or applicable international accounting standards, (ii) each Company Plan (A) if intended to be qualified under Section 401(a) of the Code either has received a favorable determination letter from the IRS or may rely upon a favorable prototype opinion letter from the IRS as to its qualified status, and each trust created thereunder has been determined by the IRS to be exempt from Tax under the provisions of Section 501(a) of the Code, and, to the knowledge of the Company, nothing has occurred since the date of any such determination or opinion letter that could reasonably be expected to adversely affect the qualification of such Company Plan and (B) if required to be funded, book-reserved or secured by an insurance policy, is, as of the date of this Agreement, fully funded, book-reserved or secured by an insurance policy, as applicable, based on reasonable actuarial assumptions in accordance with applicable Law and accounting principles.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both"/>
        <w:ind w:firstLine="1304"/>
        <w:spacing w:after="0" w:line="245" w:lineRule="auto"/>
        <w:tabs>
          <w:tab w:leader="none" w:pos="2332" w:val="left"/>
        </w:tabs>
        <w:numPr>
          <w:ilvl w:val="0"/>
          <w:numId w:val="39"/>
        </w:numPr>
        <w:rPr>
          <w:rFonts w:ascii="Arial" w:cs="Arial" w:eastAsia="Arial" w:hAnsi="Arial"/>
          <w:sz w:val="21"/>
          <w:szCs w:val="21"/>
          <w:color w:val="auto"/>
        </w:rPr>
      </w:pPr>
      <w:r>
        <w:rPr>
          <w:rFonts w:ascii="Arial" w:cs="Arial" w:eastAsia="Arial" w:hAnsi="Arial"/>
          <w:sz w:val="21"/>
          <w:szCs w:val="21"/>
          <w:color w:val="auto"/>
        </w:rPr>
        <w:t>Except as would not reasonably be expected to be, individually or in the aggregate, material to the Company or any Company Subsidiary, (i) other than routine claims for benefits, there are no Actions, pending or, to the knowledge of the Company, threatened, with respect to any Company Plan; and (ii) there have been no prohibited transactions (within the meaning of Section 4975 of the Code or Section 406 of ERISA) or breaches of any of the duties imposed on “fiduciaries” (within the meaning of Section 3(21) of ERISA) by ERISA with respect to any of the Company Plans. No Company Plan is or at any time was funded through a “welfare benefit fund” as defined in Section 419(e) of the Code, and no benefits under any Company Plan are or at any time have been provided through a voluntary employees’ beneficiary association (within the meaning of Section 501(c)(9) of the Code) or a supplemental unemployment benefit plan (within the meaning of Section 501(c)(17) of the Code).</w:t>
      </w:r>
    </w:p>
    <w:p>
      <w:pPr>
        <w:spacing w:after="0" w:line="238" w:lineRule="exact"/>
        <w:rPr>
          <w:rFonts w:ascii="Arial" w:cs="Arial" w:eastAsia="Arial" w:hAnsi="Arial"/>
          <w:sz w:val="21"/>
          <w:szCs w:val="21"/>
          <w:color w:val="auto"/>
        </w:rPr>
      </w:pPr>
    </w:p>
    <w:p>
      <w:pPr>
        <w:jc w:val="both"/>
        <w:ind w:firstLine="1304"/>
        <w:spacing w:after="0" w:line="272" w:lineRule="auto"/>
        <w:tabs>
          <w:tab w:leader="none" w:pos="2155" w:val="left"/>
        </w:tabs>
        <w:numPr>
          <w:ilvl w:val="0"/>
          <w:numId w:val="39"/>
        </w:numPr>
        <w:rPr>
          <w:rFonts w:ascii="Arial" w:cs="Arial" w:eastAsia="Arial" w:hAnsi="Arial"/>
          <w:sz w:val="19"/>
          <w:szCs w:val="19"/>
          <w:color w:val="auto"/>
        </w:rPr>
      </w:pPr>
      <w:r>
        <w:rPr>
          <w:rFonts w:ascii="Arial" w:cs="Arial" w:eastAsia="Arial" w:hAnsi="Arial"/>
          <w:sz w:val="19"/>
          <w:szCs w:val="19"/>
          <w:color w:val="auto"/>
        </w:rPr>
        <w:t>Neither the Company nor any Company Subsidiary nor any Company ERISA Affiliate currently has, or within the six-year period preceding the date of this Agreement, had, an obligation to contribute to a “defined benefit plan” as defined in Section 3(35) of ERISA, a pension plan subject to the funding standards of Section 302 of ERISA or Section 412 of the Code, or a “multiemployer plan” as defined in Section 3(37) of ERISA or Section 414(f) of the Code. No liability under Title IV or Section 302 of ERISA has been incurred by the Company, any Company Subsidiary or any Company ERISA Affiliate that has not been satisfied in full. Neither the Company nor any Company Subsidiary has an obligation to contribute to a “multiple employer plan” within the meaning of Section 210(a) of ERISA or Section 413(c) of the Code or a “multiple employer welfare arrangement” as defined in Section 3(40) of ERISA. Except as would not reasonably be expected to be, individually or in the aggregate, material to the Company or any Company Subsidiary, with respect to each group health plan benefiting any current or former employee of the Company, any Company Subsidiary or any Company ERISA Affiliate that is subject to Section 4980B of the Code, the Company, each Company Subsidiary and each Company ERISA Affiliate have complied with the continuation coverage requirements of Section 4980B of the Code and Part 6 of Subtitle B of Title I of ERISA.</w:t>
      </w:r>
    </w:p>
    <w:p>
      <w:pPr>
        <w:spacing w:after="0" w:line="214" w:lineRule="exact"/>
        <w:rPr>
          <w:rFonts w:ascii="Arial" w:cs="Arial" w:eastAsia="Arial" w:hAnsi="Arial"/>
          <w:sz w:val="19"/>
          <w:szCs w:val="19"/>
          <w:color w:val="auto"/>
        </w:rPr>
      </w:pPr>
    </w:p>
    <w:p>
      <w:pPr>
        <w:jc w:val="both"/>
        <w:ind w:firstLine="1304"/>
        <w:spacing w:after="0" w:line="238" w:lineRule="auto"/>
        <w:tabs>
          <w:tab w:leader="none" w:pos="2170"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 Company Plan provides for post-retirement or other post-employment payments or welfare benefits (other than (i) health care continuation coverage required by Section 4980B of the Code or similar state or local Law, (ii) health care coverage through the end of the calendar month in which a termination of employment occurs, or (iii) other payments or benefits required under applicable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jc w:val="both"/>
        <w:ind w:firstLine="1304"/>
        <w:spacing w:after="0" w:line="271" w:lineRule="auto"/>
        <w:tabs>
          <w:tab w:leader="none" w:pos="2052" w:val="left"/>
        </w:tabs>
        <w:numPr>
          <w:ilvl w:val="0"/>
          <w:numId w:val="40"/>
        </w:numPr>
        <w:rPr>
          <w:rFonts w:ascii="Arial" w:cs="Arial" w:eastAsia="Arial" w:hAnsi="Arial"/>
          <w:sz w:val="19"/>
          <w:szCs w:val="19"/>
          <w:color w:val="auto"/>
        </w:rPr>
      </w:pPr>
      <w:r>
        <w:rPr>
          <w:rFonts w:ascii="Arial" w:cs="Arial" w:eastAsia="Arial" w:hAnsi="Arial"/>
          <w:sz w:val="19"/>
          <w:szCs w:val="19"/>
          <w:color w:val="auto"/>
        </w:rPr>
        <w:t>Except as contemplated by this Agreement, the consummation of the Transactions will not, either alone or in combination with another event that is linked contractually to the Transactions: (i) entitle any current or former employee, director, officer or individual independent contractor of the Company or any Company Subsidiary to any severance pay, incentive compensation or other material compensatory payment; (ii) accelerate the time of payment, vesting or funding of any compensatory amount or employee benefit under any Company Plan, or increase the amount of compensation due under any Company Plan; (iii) directly or indirectly cause the Company or any Company Subsidiary to transfer or set aside any assets to fund any benefits under any Company Plan; (iv) limit or restrict the right to merge, amend, terminate or transfer the assets of any Company Plan on or following the Effective Time; or (v) result in the payment of any amount or benefit to any such employee or other person under a Company Plan or otherwise that would, individually or in combination with any other such payment, constitute an “excess parachute payment” as defined in Section 280G(b)(1) of the Code and the imposition of an excise tax on such person under Section 4999 of the Code. There is no Contract, plan or arrangement by which the Company or any of the Company Subsidiaries are bound to compensate any individual for excise or other Taxes payable pursuant to Section 4999 of the Code or Section 409A of the Code. Each Company Plan subject to Section 409A of the Code is in material compliance in form and operation with Section 409A of the Code and the applicable guidance and regulations thereunder.</w:t>
      </w:r>
    </w:p>
    <w:p>
      <w:pPr>
        <w:spacing w:after="0" w:line="218" w:lineRule="exact"/>
        <w:rPr>
          <w:rFonts w:ascii="Arial" w:cs="Arial" w:eastAsia="Arial" w:hAnsi="Arial"/>
          <w:sz w:val="19"/>
          <w:szCs w:val="19"/>
          <w:color w:val="auto"/>
        </w:rPr>
      </w:pPr>
    </w:p>
    <w:p>
      <w:pPr>
        <w:jc w:val="both"/>
        <w:ind w:firstLine="1304"/>
        <w:spacing w:after="0" w:line="245" w:lineRule="auto"/>
        <w:tabs>
          <w:tab w:leader="none" w:pos="2331" w:val="left"/>
        </w:tabs>
        <w:numPr>
          <w:ilvl w:val="0"/>
          <w:numId w:val="40"/>
        </w:numPr>
        <w:rPr>
          <w:rFonts w:ascii="Arial" w:cs="Arial" w:eastAsia="Arial" w:hAnsi="Arial"/>
          <w:sz w:val="21"/>
          <w:szCs w:val="21"/>
          <w:color w:val="auto"/>
        </w:rPr>
      </w:pPr>
      <w:r>
        <w:rPr>
          <w:rFonts w:ascii="Arial" w:cs="Arial" w:eastAsia="Arial" w:hAnsi="Arial"/>
          <w:sz w:val="21"/>
          <w:szCs w:val="21"/>
          <w:color w:val="auto"/>
        </w:rPr>
        <w:t>Except as would not reasonably be expected to be, individually or in the aggregate, material to the Company or any Company Subsidiary, with respect to each Company Plan that is maintained outside of the United States primarily for the benefit of any current or former employees or individual service providers who are or were employed or providing services outside of the United States to the Company or any Company Subsidiary (each, a “</w:t>
      </w:r>
      <w:r>
        <w:rPr>
          <w:rFonts w:ascii="Arial" w:cs="Arial" w:eastAsia="Arial" w:hAnsi="Arial"/>
          <w:sz w:val="21"/>
          <w:szCs w:val="21"/>
          <w:u w:val="single" w:color="auto"/>
          <w:color w:val="auto"/>
        </w:rPr>
        <w:t>Foreign Plan</w:t>
      </w:r>
      <w:r>
        <w:rPr>
          <w:rFonts w:ascii="Arial" w:cs="Arial" w:eastAsia="Arial" w:hAnsi="Arial"/>
          <w:sz w:val="21"/>
          <w:szCs w:val="21"/>
          <w:color w:val="auto"/>
        </w:rPr>
        <w:t>”), (i) all employer and employee contributions to each Foreign Plan required by Law or by the terms of such Foreign Plan have been made, or, if applicable, accrued in accordance with applicable accounting practices, (ii) each Foreign Plan required to be registered has been registered and has been maintained in good standing with applicable regulatory authorities, (iii) each Foreign Plan has been established, maintained, funded and administered in accordance with its terms and all applicable Laws, and (iv) no Foreign Plan is a defined benefit plan (as defined in ERISA, whether or not subject to ERISA) or has any unfunded or underfunded liabilities.</w:t>
      </w:r>
    </w:p>
    <w:p>
      <w:pPr>
        <w:spacing w:after="0" w:line="235"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Labor and Employment Matters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tabs>
          <w:tab w:leader="none" w:pos="24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3.11(a)</w:t>
      </w:r>
      <w:r>
        <w:rPr>
          <w:rFonts w:ascii="Arial" w:cs="Arial" w:eastAsia="Arial" w:hAnsi="Arial"/>
          <w:sz w:val="22"/>
          <w:szCs w:val="22"/>
          <w:color w:val="auto"/>
        </w:rPr>
        <w:t xml:space="preserve"> of the Company Disclosure Letter, the employment of the Company’s or any Company Subsidiaries’ employees in the United States is terminable by the Company or Company Subsidiary at will.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jc w:val="both"/>
        <w:ind w:firstLine="1304"/>
        <w:spacing w:after="0" w:line="268" w:lineRule="auto"/>
        <w:tabs>
          <w:tab w:leader="none" w:pos="2196" w:val="left"/>
        </w:tabs>
        <w:numPr>
          <w:ilvl w:val="0"/>
          <w:numId w:val="42"/>
        </w:numPr>
        <w:rPr>
          <w:rFonts w:ascii="Arial" w:cs="Arial" w:eastAsia="Arial" w:hAnsi="Arial"/>
          <w:sz w:val="19"/>
          <w:szCs w:val="19"/>
          <w:color w:val="auto"/>
        </w:rPr>
      </w:pPr>
      <w:r>
        <w:rPr>
          <w:rFonts w:ascii="Arial" w:cs="Arial" w:eastAsia="Arial" w:hAnsi="Arial"/>
          <w:sz w:val="19"/>
          <w:szCs w:val="19"/>
          <w:color w:val="auto"/>
        </w:rPr>
        <w:t>Solely with respect to employees who reside or work in Israel or to whom Israeli Law applies (“</w:t>
      </w:r>
      <w:r>
        <w:rPr>
          <w:rFonts w:ascii="Arial" w:cs="Arial" w:eastAsia="Arial" w:hAnsi="Arial"/>
          <w:sz w:val="19"/>
          <w:szCs w:val="19"/>
          <w:u w:val="single" w:color="auto"/>
          <w:color w:val="auto"/>
        </w:rPr>
        <w:t>Israeli</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Employees</w:t>
      </w:r>
      <w:r>
        <w:rPr>
          <w:rFonts w:ascii="Arial" w:cs="Arial" w:eastAsia="Arial" w:hAnsi="Arial"/>
          <w:sz w:val="19"/>
          <w:szCs w:val="19"/>
          <w:color w:val="auto"/>
        </w:rPr>
        <w:t>”) and except as would not reasonably be expected to be, individually or in the aggregate, material to the Company or any Company Subsidiary: (i) neither the Company nor any Company Subsidiary has or is subject to, and no Israeli Employee of the Company or any Company Subsidiary benefits from, any extension order (</w:t>
      </w:r>
      <w:r>
        <w:rPr>
          <w:rFonts w:ascii="Arial" w:cs="Arial" w:eastAsia="Arial" w:hAnsi="Arial"/>
          <w:sz w:val="19"/>
          <w:szCs w:val="19"/>
          <w:i w:val="1"/>
          <w:iCs w:val="1"/>
          <w:color w:val="auto"/>
        </w:rPr>
        <w:t>tzavei harchava</w:t>
      </w:r>
      <w:r>
        <w:rPr>
          <w:rFonts w:ascii="Arial" w:cs="Arial" w:eastAsia="Arial" w:hAnsi="Arial"/>
          <w:sz w:val="19"/>
          <w:szCs w:val="19"/>
          <w:color w:val="auto"/>
        </w:rPr>
        <w:t xml:space="preserve">) (other than extension orders applicable to all employees in Israel); (ii) the Company’s or any applicable Company Subsidiary’s obligations to provide statutory severance pay to its Israeli Employees pursuant to the Severance Pay Law-1963 (with respect to the period from commencement date of employment to the present and on the basis of “entire salary,” as defined under such Law), vacation pursuant to the Israeli Annual Leave Law-1951, and contributions to any funds, including all pension arrangements and any personal employment agreement or any other binding source, have been satisfied in all material respects or have been fully funded by contributions to appropriate funds or if not required to be fully funded under any source are fully accrued on the relevant consolidated financial statements in accordance with GAAP; and (iii) the Company and the Company Subsidiaries are in compliance with all applicable Law, regulations, permits and Contracts relating to employment, wages and other compensation matters and terms and conditions of employment related to its Israeli Employees, including The Advance Notice of Discharge and Resignation Law, (5761-2001), The Notice to Employee (Terms of Employment) Law (5762-2002), The Prevention of Sexual Harassment Law (5758-1998), the Hours of Work and Rest Law, 1951, the Annual Leave Law, 1951, the Salary Protection Law, 1958, Law for Increased Enforcement of Labor Laws, 2011, Foreign Employees Law-1991, and The Employment of Employee by Manpower Contractors Law (5756-1996). Except as required by Law or as set forth in the Company Plans listed on </w:t>
      </w:r>
      <w:r>
        <w:rPr>
          <w:rFonts w:ascii="Arial" w:cs="Arial" w:eastAsia="Arial" w:hAnsi="Arial"/>
          <w:sz w:val="19"/>
          <w:szCs w:val="19"/>
          <w:u w:val="single" w:color="auto"/>
          <w:color w:val="auto"/>
        </w:rPr>
        <w:t>Section 3.10(a)</w:t>
      </w:r>
      <w:r>
        <w:rPr>
          <w:rFonts w:ascii="Arial" w:cs="Arial" w:eastAsia="Arial" w:hAnsi="Arial"/>
          <w:sz w:val="19"/>
          <w:szCs w:val="19"/>
          <w:color w:val="auto"/>
        </w:rPr>
        <w:t xml:space="preserve"> of the Company Disclosure Letter, the employment of each of the Israeli Employees of the Company and the Company Subsidiaries is terminable by the Company (or by the relevant Company Subsidiary) with no more than 30 days prior written notice. To the knowledge of the Company, the Company and the Company Subsidiaries have not engaged any Israeli Employees whose employment would require special licenses, permits or approvals from any Governmental Authority. No Israeli Employee is on a statutory or non-statutory leave of absence or has given notice of his or her intention to go on a leave of absence. The termination of the employment of no Israeli Employee is prohibited or requires a special permit under applicable Laws as a result of his or personal or leave status or otherwise. To the extent that the Company or Company Subsidiaries engage minors, students, interns or foreign employees in Israel, they have confirmed that both the Company and Company Subsidiaries, as well as such employees, maintain all applicable governmental licenses, permits and approvals. Except as would not reasonably be expected to be, individually or in the aggregate, material to the Company or any Company Subsidiary, (A) the Company is in compliance with applicable COVID-19 Measures, (B) all amounts that the Company and the Company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Authority as required by the Ordinance and Israeli National Insurance Law, 1953, or otherwise have, in each case, been duly deducted, transferred, withheld and paid (other than routine payments, deductions or withholdings to be timely made in the normal course of business consistent with past practice); (C) the Company and the Company Subsidiaries do not have any outstanding obligations to make any such deduction, transfer, withholding or payment (other than such that has not yet become due). Except as set forth in </w:t>
      </w:r>
      <w:r>
        <w:rPr>
          <w:rFonts w:ascii="Arial" w:cs="Arial" w:eastAsia="Arial" w:hAnsi="Arial"/>
          <w:sz w:val="19"/>
          <w:szCs w:val="19"/>
          <w:u w:val="single" w:color="auto"/>
          <w:color w:val="auto"/>
        </w:rPr>
        <w:t>Section 3.11(b)</w:t>
      </w:r>
      <w:r>
        <w:rPr>
          <w:rFonts w:ascii="Arial" w:cs="Arial" w:eastAsia="Arial" w:hAnsi="Arial"/>
          <w:sz w:val="19"/>
          <w:szCs w:val="19"/>
          <w:color w:val="auto"/>
        </w:rPr>
        <w:t xml:space="preserve"> of the Company Disclosure Letter, there are no unwritten policies, practices or customs of the Company that entitle any Israeli Employee to benefits in addition to what such Israeli Employee is entitled to by applicable Law or under the terms of such Israeli Employee’s employment agreement, including without limitation unwritten customs or practices concerning bonuses, extra time off, or other payments, benefits or entitlements, whether during the course of employment or upon termination of employment or otherwise, that are not otherwise required under applicable Law or by written contract or written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jc w:val="both"/>
        <w:ind w:firstLine="1304"/>
        <w:spacing w:after="0" w:line="272" w:lineRule="auto"/>
        <w:tabs>
          <w:tab w:leader="none" w:pos="2386"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There are no, and since January 1, 2019, there have not been any, proceedings pending or, to the knowledge of the Company, threatened against the Company or any Company Subsidiary, except as would not reasonably be expected to be, individually or in the aggregate, material to the Company or any Company Subsidiary, between the Company or any of the Company Subsidiaries and any employee of the Company or any of the Company Subsidiaries or any individual who performs services for the Company or any of the Company Subsidiaries who is classified as an independent contractor (each, a “</w:t>
      </w:r>
      <w:r>
        <w:rPr>
          <w:rFonts w:ascii="Arial" w:cs="Arial" w:eastAsia="Arial" w:hAnsi="Arial"/>
          <w:sz w:val="19"/>
          <w:szCs w:val="19"/>
          <w:u w:val="single" w:color="auto"/>
          <w:color w:val="auto"/>
        </w:rPr>
        <w:t>Worker</w:t>
      </w:r>
      <w:r>
        <w:rPr>
          <w:rFonts w:ascii="Arial" w:cs="Arial" w:eastAsia="Arial" w:hAnsi="Arial"/>
          <w:sz w:val="19"/>
          <w:szCs w:val="19"/>
          <w:color w:val="auto"/>
        </w:rPr>
        <w:t>”) or group of Workers, including before the U.S. Equal Employment Opportunity Commission, the National Labor Relations Board, the U.S. Department of Labor, the U.S. Occupational Health and Safety Administration, the Workers Compensation Appeals Board, or any Governmental Authority concerning employment, employment practices, harassment, discrimination, retaliation, terms and conditions of employment, immigration, workers’ compensation, long term disability, occupational safety, plant closings, compensation and benefits, wages and hours, proper classification of employees and independent contractors, payment of social security and similar taxes, income tax withholding or occupational safety and health, and/or any other tax issues relating to a Worker (“</w:t>
      </w:r>
      <w:r>
        <w:rPr>
          <w:rFonts w:ascii="Arial" w:cs="Arial" w:eastAsia="Arial" w:hAnsi="Arial"/>
          <w:sz w:val="19"/>
          <w:szCs w:val="19"/>
          <w:u w:val="single" w:color="auto"/>
          <w:color w:val="auto"/>
        </w:rPr>
        <w:t>Employment Practices</w:t>
      </w:r>
      <w:r>
        <w:rPr>
          <w:rFonts w:ascii="Arial" w:cs="Arial" w:eastAsia="Arial" w:hAnsi="Arial"/>
          <w:sz w:val="19"/>
          <w:szCs w:val="19"/>
          <w:color w:val="auto"/>
        </w:rPr>
        <w:t>”).</w:t>
      </w:r>
    </w:p>
    <w:p>
      <w:pPr>
        <w:spacing w:after="0" w:line="215" w:lineRule="exact"/>
        <w:rPr>
          <w:rFonts w:ascii="Arial" w:cs="Arial" w:eastAsia="Arial" w:hAnsi="Arial"/>
          <w:sz w:val="19"/>
          <w:szCs w:val="19"/>
          <w:color w:val="auto"/>
        </w:rPr>
      </w:pPr>
    </w:p>
    <w:p>
      <w:pPr>
        <w:jc w:val="both"/>
        <w:ind w:firstLine="1304"/>
        <w:spacing w:after="0" w:line="268" w:lineRule="auto"/>
        <w:tabs>
          <w:tab w:leader="none" w:pos="2169" w:val="left"/>
        </w:tabs>
        <w:numPr>
          <w:ilvl w:val="1"/>
          <w:numId w:val="43"/>
        </w:numPr>
        <w:rPr>
          <w:rFonts w:ascii="Arial" w:cs="Arial" w:eastAsia="Arial" w:hAnsi="Arial"/>
          <w:sz w:val="19"/>
          <w:szCs w:val="19"/>
          <w:color w:val="auto"/>
        </w:rPr>
      </w:pPr>
      <w:r>
        <w:rPr>
          <w:rFonts w:ascii="Arial" w:cs="Arial" w:eastAsia="Arial" w:hAnsi="Arial"/>
          <w:sz w:val="19"/>
          <w:szCs w:val="19"/>
          <w:color w:val="auto"/>
        </w:rPr>
        <w:t>Neither the Company nor any Company Subsidiary is a party to any collective bargaining agreement or any similar labor agreement with any Labor Organization (each a “</w:t>
      </w:r>
      <w:r>
        <w:rPr>
          <w:rFonts w:ascii="Arial" w:cs="Arial" w:eastAsia="Arial" w:hAnsi="Arial"/>
          <w:sz w:val="19"/>
          <w:szCs w:val="19"/>
          <w:u w:val="single" w:color="auto"/>
          <w:color w:val="auto"/>
        </w:rPr>
        <w:t>Collective Bargaining Agreement</w:t>
      </w:r>
      <w:r>
        <w:rPr>
          <w:rFonts w:ascii="Arial" w:cs="Arial" w:eastAsia="Arial" w:hAnsi="Arial"/>
          <w:sz w:val="19"/>
          <w:szCs w:val="19"/>
          <w:color w:val="auto"/>
        </w:rPr>
        <w:t>”). Neither the Company nor any Company Subsidiary is currently negotiating a Collective Bargaining Agreement. Since January 1, 2019: (i) no Labor Organization has made a written demand for recognition as the bargaining unit representative of any employees of the Company or any Company Subsidiary, (ii) there have not been petitions seeking a representation proceeding, nor, to the knowledge of the Company, are any such petitions pending or threatened to be brought or filed with the Israeli labor courts, National Labor Relations Board or any other labor relations tribunal, (iii) there have been no labor organizing activities with respect to the employees of the Company or any Company Subsidiary in connection with their employment therewith and who are not already organized, or material claims of interference or other unlawful activity in connection with such organizing activities or otherwise under collective labor relations statutes and/or seeking monetary damages in connection with such claims or alleged activity, and</w:t>
      </w:r>
    </w:p>
    <w:p>
      <w:pPr>
        <w:spacing w:after="0" w:line="8" w:lineRule="exact"/>
        <w:rPr>
          <w:rFonts w:ascii="Arial" w:cs="Arial" w:eastAsia="Arial" w:hAnsi="Arial"/>
          <w:sz w:val="19"/>
          <w:szCs w:val="19"/>
          <w:color w:val="auto"/>
        </w:rPr>
      </w:pPr>
    </w:p>
    <w:p>
      <w:pPr>
        <w:jc w:val="both"/>
        <w:ind w:firstLine="8"/>
        <w:spacing w:after="0" w:line="233" w:lineRule="auto"/>
        <w:tabs>
          <w:tab w:leader="none" w:pos="389"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there have been no actual or, to the knowledge of the Company, threatened unfair labor practice court claims or charges, labor strikes, slowdowns, work stoppages, lockouts, or any similar activity, affecting the Company or any Company Subsidiary. The Company and the Company Subsidiaries have satisfied any legal or contractual requirement to provide notice to, enter into any consultation procedure with or seek or obtain the approval of any Labor Organization in connection with the execution of this Agreement or the Transactions.</w:t>
      </w:r>
    </w:p>
    <w:p>
      <w:pPr>
        <w:spacing w:after="0" w:line="239" w:lineRule="exact"/>
        <w:rPr>
          <w:rFonts w:ascii="Arial" w:cs="Arial" w:eastAsia="Arial" w:hAnsi="Arial"/>
          <w:sz w:val="22"/>
          <w:szCs w:val="22"/>
          <w:color w:val="auto"/>
        </w:rPr>
      </w:pPr>
    </w:p>
    <w:p>
      <w:pPr>
        <w:jc w:val="both"/>
        <w:ind w:firstLine="1304"/>
        <w:spacing w:after="0" w:line="272" w:lineRule="auto"/>
        <w:tabs>
          <w:tab w:leader="none" w:pos="2332" w:val="left"/>
        </w:tabs>
        <w:numPr>
          <w:ilvl w:val="1"/>
          <w:numId w:val="44"/>
        </w:numPr>
        <w:rPr>
          <w:rFonts w:ascii="Arial" w:cs="Arial" w:eastAsia="Arial" w:hAnsi="Arial"/>
          <w:sz w:val="19"/>
          <w:szCs w:val="19"/>
          <w:color w:val="auto"/>
        </w:rPr>
      </w:pPr>
      <w:r>
        <w:rPr>
          <w:rFonts w:ascii="Arial" w:cs="Arial" w:eastAsia="Arial" w:hAnsi="Arial"/>
          <w:sz w:val="19"/>
          <w:szCs w:val="19"/>
          <w:color w:val="auto"/>
        </w:rPr>
        <w:t>Except as would not reasonably be expected to be, individually or in the aggregate, material to the Company or any Company Subsidiary, the Company and the Company Subsidiaries are, and since January 1, 2019, have been, in compliance with all applicable Laws respecting any Employment Practices. Except as would not reasonably be expected to be, individually or in the aggregate, material to the Company or any Company Subsidiary, neither the Company nor any Company Subsidiary is liable for any payment to any trust or other fund or to any Governmental Authority, with respect to provident fund, social security or other benefits or obligations for employees (other than routine payments to be made in the ordinary course of business). Except as would not reasonably be expected to be, individually or in the aggregate, material to the Company or any Company Subsidiary, to the knowledge of the Company, as of the date of this Agreement, (x) there are no audits or investigations pending, or to the knowledge of the Company, threatened, by any Governmental Authority pertaining to the Employment Practices of the Company or any Company Subsidiary; and (y) no complaints relating to Employment Practices of the Company or any Company Subsidiary have been, since January 1, 2019, filed with any Governmental Authority or submitted in writing to the Company or any Company Subsidiary.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jc w:val="both"/>
        <w:ind w:firstLine="1304"/>
        <w:spacing w:after="0" w:line="245" w:lineRule="auto"/>
        <w:tabs>
          <w:tab w:leader="none" w:pos="2308" w:val="left"/>
        </w:tabs>
        <w:numPr>
          <w:ilvl w:val="0"/>
          <w:numId w:val="45"/>
        </w:numPr>
        <w:rPr>
          <w:rFonts w:ascii="Arial" w:cs="Arial" w:eastAsia="Arial" w:hAnsi="Arial"/>
          <w:sz w:val="21"/>
          <w:szCs w:val="21"/>
          <w:color w:val="auto"/>
        </w:rPr>
      </w:pPr>
      <w:r>
        <w:rPr>
          <w:rFonts w:ascii="Arial" w:cs="Arial" w:eastAsia="Arial" w:hAnsi="Arial"/>
          <w:sz w:val="21"/>
          <w:szCs w:val="21"/>
          <w:color w:val="auto"/>
        </w:rPr>
        <w:t>Except as would not reasonably be expected to be, individually or in the aggregate, material to the Company or any Company Subsidiary, to the knowledge of the Company, no Worker is, or since January 1, 2019 has been, (i) in violation of any term of any employment or service Contract, non-disclosure or confidentiality agreement, noncompetition agreement, or any restrictive covenant to the Company or any Company Subsidiary or (ii) in connection with his or her service with the Company or any Company Subsidiary, in violation of any term of employment or service Contracts, non-disclosure or confidentiality agreement, noncompetition agreement or any restrictive covenant to a former employer relating to the right of any such person to be employed or retained by the Company or any Company Subsidiary by which the individual is employed or engaged because of the nature of the business conducted or presently proposed to be conducted by it or to the use of Trade Secrets or proprietary information of others.</w:t>
      </w:r>
    </w:p>
    <w:p>
      <w:pPr>
        <w:spacing w:after="0" w:line="238" w:lineRule="exact"/>
        <w:rPr>
          <w:rFonts w:ascii="Arial" w:cs="Arial" w:eastAsia="Arial" w:hAnsi="Arial"/>
          <w:sz w:val="21"/>
          <w:szCs w:val="21"/>
          <w:color w:val="auto"/>
        </w:rPr>
      </w:pPr>
    </w:p>
    <w:p>
      <w:pPr>
        <w:jc w:val="both"/>
        <w:ind w:firstLine="1304"/>
        <w:spacing w:after="0" w:line="234" w:lineRule="auto"/>
        <w:tabs>
          <w:tab w:leader="none" w:pos="2182"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3.11(g)</w:t>
      </w:r>
      <w:r>
        <w:rPr>
          <w:rFonts w:ascii="Arial" w:cs="Arial" w:eastAsia="Arial" w:hAnsi="Arial"/>
          <w:sz w:val="22"/>
          <w:szCs w:val="22"/>
          <w:color w:val="auto"/>
        </w:rPr>
        <w:t xml:space="preserve"> of the Company Disclosure Letter, since January 1, 2019, neither the Company nor any Company Subsidiary has engaged in or implemented any redundancies, reductions in force, layoffs, or plant closings that would trigger requirements under the Worker Adjustment and Retraining Notification Act of 1988, as amended (“</w:t>
      </w:r>
      <w:r>
        <w:rPr>
          <w:rFonts w:ascii="Arial" w:cs="Arial" w:eastAsia="Arial" w:hAnsi="Arial"/>
          <w:sz w:val="22"/>
          <w:szCs w:val="22"/>
          <w:u w:val="single" w:color="auto"/>
          <w:color w:val="auto"/>
        </w:rPr>
        <w:t>WARN</w:t>
      </w:r>
      <w:r>
        <w:rPr>
          <w:rFonts w:ascii="Arial" w:cs="Arial" w:eastAsia="Arial" w:hAnsi="Arial"/>
          <w:sz w:val="22"/>
          <w:szCs w:val="22"/>
          <w:color w:val="auto"/>
        </w:rPr>
        <w:t>”) or any similar applicable state laws or other applicable Laws and neither the Company nor any Company Subsidiary has any plans to engage in or implement any redundancies, reductions in force, layoffs, or plant closings that would trigger requirements under WARN or any similar applicable state laws or other applicable Laws before or in connection with the Closing.</w:t>
      </w:r>
    </w:p>
    <w:p>
      <w:pPr>
        <w:spacing w:after="0" w:line="244" w:lineRule="exact"/>
        <w:rPr>
          <w:rFonts w:ascii="Arial" w:cs="Arial" w:eastAsia="Arial" w:hAnsi="Arial"/>
          <w:sz w:val="22"/>
          <w:szCs w:val="22"/>
          <w:color w:val="auto"/>
        </w:rPr>
      </w:pPr>
    </w:p>
    <w:p>
      <w:pPr>
        <w:jc w:val="both"/>
        <w:ind w:firstLine="1304"/>
        <w:spacing w:after="0" w:line="279" w:lineRule="auto"/>
        <w:tabs>
          <w:tab w:leader="none" w:pos="2128" w:val="left"/>
        </w:tabs>
        <w:numPr>
          <w:ilvl w:val="0"/>
          <w:numId w:val="45"/>
        </w:numPr>
        <w:rPr>
          <w:rFonts w:ascii="Arial" w:cs="Arial" w:eastAsia="Arial" w:hAnsi="Arial"/>
          <w:sz w:val="19"/>
          <w:szCs w:val="19"/>
          <w:color w:val="auto"/>
        </w:rPr>
      </w:pPr>
      <w:r>
        <w:rPr>
          <w:rFonts w:ascii="Arial" w:cs="Arial" w:eastAsia="Arial" w:hAnsi="Arial"/>
          <w:sz w:val="19"/>
          <w:szCs w:val="19"/>
          <w:color w:val="auto"/>
        </w:rPr>
        <w:t>Since January 1, 2019, neither the Company nor any Company Subsidiary has been party to a settlement agreement with a current or former officer or Worker that involves allegations of discrimination, harassment or sexual misconduct by a current officer, director, or employee of the Company or any Company Subsidiary at the level of manager or above. To the knowledge of the Company, there are no, and since January 1, 2019, there have not been any, allegations of discrimination, harassment or sexual misconduct by or against any current officer, director or employee of the Company or any of Company Subsidiary at the level of manager or above, nor, to the knowledge of the Company, any grounds for such allegations.</w:t>
      </w:r>
    </w:p>
    <w:p>
      <w:pPr>
        <w:spacing w:after="0" w:line="204" w:lineRule="exact"/>
        <w:rPr>
          <w:rFonts w:ascii="Arial" w:cs="Arial" w:eastAsia="Arial" w:hAnsi="Arial"/>
          <w:sz w:val="19"/>
          <w:szCs w:val="19"/>
          <w:color w:val="auto"/>
        </w:rPr>
      </w:pPr>
    </w:p>
    <w:p>
      <w:pPr>
        <w:jc w:val="both"/>
        <w:ind w:firstLine="1304"/>
        <w:spacing w:after="0" w:line="238" w:lineRule="auto"/>
        <w:tabs>
          <w:tab w:leader="none" w:pos="2256" w:val="left"/>
        </w:tabs>
        <w:numPr>
          <w:ilvl w:val="0"/>
          <w:numId w:val="45"/>
        </w:numPr>
        <w:rPr>
          <w:rFonts w:ascii="Arial" w:cs="Arial" w:eastAsia="Arial" w:hAnsi="Arial"/>
          <w:sz w:val="22"/>
          <w:szCs w:val="22"/>
          <w:color w:val="auto"/>
        </w:rPr>
      </w:pPr>
      <w:r>
        <w:rPr>
          <w:rFonts w:ascii="Arial" w:cs="Arial" w:eastAsia="Arial" w:hAnsi="Arial"/>
          <w:sz w:val="22"/>
          <w:szCs w:val="22"/>
          <w:color w:val="auto"/>
        </w:rPr>
        <w:t>As of the date of this Agreement, no officer, director or employee of the Company or any Company Subsidiary at the level of director or above has given the Company or any Company Subsidiary (and not withdrawn) notice in writing of his or her intention to terminate his or her relationship or status with the Company or any Company Subsidiary for any reason, including because of the consummation of the Transactions.</w:t>
      </w:r>
    </w:p>
    <w:p>
      <w:pPr>
        <w:spacing w:after="0" w:line="238" w:lineRule="exact"/>
        <w:rPr>
          <w:rFonts w:ascii="Arial" w:cs="Arial" w:eastAsia="Arial" w:hAnsi="Arial"/>
          <w:sz w:val="22"/>
          <w:szCs w:val="22"/>
          <w:color w:val="auto"/>
        </w:rPr>
      </w:pPr>
    </w:p>
    <w:p>
      <w:pPr>
        <w:jc w:val="both"/>
        <w:ind w:firstLine="1304"/>
        <w:spacing w:after="0" w:line="282" w:lineRule="auto"/>
        <w:tabs>
          <w:tab w:leader="none" w:pos="20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There are no outstanding loans or advances from the Company or the Company Subsidiaries to employees of the Company or the Company Subsidiaries. There are no sums earned and due to any current or former employee, officer, director, or other service provider of the Company or the Company Subsidiaries other than for reimbursement of expenses, social payments and wages (or with respect to non-employee service providers, fees) for the current salary (or with respect to non-employee service providers, fee) period and holiday pay for the current holiday year, if applicable.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jc w:val="both"/>
        <w:ind w:firstLine="648"/>
        <w:spacing w:after="0" w:line="244"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u w:val="single" w:color="auto"/>
          <w:color w:val="auto"/>
        </w:rPr>
        <w:t>Proxy Statement</w:t>
      </w:r>
      <w:r>
        <w:rPr>
          <w:rFonts w:ascii="Arial" w:cs="Arial" w:eastAsia="Arial" w:hAnsi="Arial"/>
          <w:sz w:val="21"/>
          <w:szCs w:val="21"/>
          <w:color w:val="auto"/>
        </w:rPr>
        <w:t>. The information supplied by the Company and its Representatives for inclusion or incorporation by reference in the Proxy Statement will not contain any untrue statement of a material fact or omit to state any material fact required to be stated therein or necessary to make the statements therein, in light of the circumstances under which it is made, not misleading at the date it is first mailed to the Company Shareholders and at the time of the Company Special Meeting and at the time of any amendment or supplement thereof. The Proxy Statement will, when filed with the ISA, the TASE, the SEC, or any other Governmental Authority, as applicable, comply as to form in all material respects with all applicable Laws. The Proxy Statement shall contain (or incorporate by reference) all material information relating to the Company Shareholders’ decision to adopt and approve this Agreement and the Merger that is required by applicable Law. Notwithstanding the foregoing, no representation or warranty is made by the Company with respect to information supplied by Parent or Merger Sub or any of their directors, officers, employees, affiliates, agents or other representatives for inclusion or incorporation by reference in any such document.</w:t>
      </w:r>
    </w:p>
    <w:p>
      <w:pPr>
        <w:spacing w:after="0" w:line="243"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8"/>
          <w:szCs w:val="18"/>
          <w:u w:val="single" w:color="auto"/>
          <w:color w:val="auto"/>
        </w:rPr>
        <w:t>Property and Leases</w:t>
      </w:r>
      <w:r>
        <w:rPr>
          <w:rFonts w:ascii="Arial" w:cs="Arial" w:eastAsia="Arial" w:hAnsi="Arial"/>
          <w:sz w:val="18"/>
          <w:szCs w:val="18"/>
          <w:color w:val="auto"/>
        </w:rPr>
        <w:t>.</w:t>
      </w:r>
    </w:p>
    <w:p>
      <w:pPr>
        <w:spacing w:after="0" w:line="260" w:lineRule="exact"/>
        <w:rPr>
          <w:sz w:val="20"/>
          <w:szCs w:val="20"/>
          <w:color w:val="auto"/>
        </w:rPr>
      </w:pPr>
    </w:p>
    <w:p>
      <w:pPr>
        <w:jc w:val="both"/>
        <w:ind w:firstLine="1304"/>
        <w:spacing w:after="0" w:line="234" w:lineRule="auto"/>
        <w:tabs>
          <w:tab w:leader="none" w:pos="2359" w:val="left"/>
        </w:tabs>
        <w:numPr>
          <w:ilvl w:val="1"/>
          <w:numId w:val="46"/>
        </w:numPr>
        <w:rPr>
          <w:rFonts w:ascii="Arial" w:cs="Arial" w:eastAsia="Arial" w:hAnsi="Arial"/>
          <w:sz w:val="22"/>
          <w:szCs w:val="22"/>
          <w:color w:val="auto"/>
        </w:rPr>
      </w:pPr>
      <w:r>
        <w:rPr>
          <w:rFonts w:ascii="Arial" w:cs="Arial" w:eastAsia="Arial" w:hAnsi="Arial"/>
          <w:sz w:val="22"/>
          <w:szCs w:val="22"/>
          <w:color w:val="auto"/>
        </w:rPr>
        <w:t>Except as would not reasonably be expected to have, individually or in the aggregate, a Company Material Adverse Effect, the Company or one of the Company Subsidiaries owns, and has good title to, each of the tangible assets reflected as owned by the Company or the Company Subsidiaries on the Most Recent Company Balance Sheet (except for tangible assets sold or disposed of since that date in the ordinary course of business), free of any Liens other than Permitted Liens. Except as would not reasonably be expected to have, individually or in the aggregate, a Company Material Adverse Effect, all of the machinery, equipment and other tangible personal property and assets owned or used by the Company and the Company Subsidiaries are usable in the ordinary course of business and are reasonably adequate and suitable for the uses to which they are being put.</w:t>
      </w:r>
    </w:p>
    <w:p>
      <w:pPr>
        <w:spacing w:after="0" w:line="240" w:lineRule="exact"/>
        <w:rPr>
          <w:rFonts w:ascii="Arial" w:cs="Arial" w:eastAsia="Arial" w:hAnsi="Arial"/>
          <w:sz w:val="22"/>
          <w:szCs w:val="22"/>
          <w:color w:val="auto"/>
        </w:rPr>
      </w:pPr>
    </w:p>
    <w:p>
      <w:pPr>
        <w:jc w:val="both"/>
        <w:ind w:firstLine="1304"/>
        <w:spacing w:after="0" w:line="269" w:lineRule="auto"/>
        <w:tabs>
          <w:tab w:leader="none" w:pos="2331"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Section 3.13(b)</w:t>
      </w:r>
      <w:r>
        <w:rPr>
          <w:rFonts w:ascii="Arial" w:cs="Arial" w:eastAsia="Arial" w:hAnsi="Arial"/>
          <w:sz w:val="19"/>
          <w:szCs w:val="19"/>
          <w:color w:val="auto"/>
        </w:rPr>
        <w:t xml:space="preserve"> of the Company Disclosure Letter sets forth a complete and accurate list of all real property owned by the Company or any of the Company Subsidiaries as of the date of this Agreement (“</w:t>
      </w:r>
      <w:r>
        <w:rPr>
          <w:rFonts w:ascii="Arial" w:cs="Arial" w:eastAsia="Arial" w:hAnsi="Arial"/>
          <w:sz w:val="19"/>
          <w:szCs w:val="19"/>
          <w:u w:val="single" w:color="auto"/>
          <w:color w:val="auto"/>
        </w:rPr>
        <w:t>Company Owned Real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Property</w:t>
      </w:r>
      <w:r>
        <w:rPr>
          <w:rFonts w:ascii="Arial" w:cs="Arial" w:eastAsia="Arial" w:hAnsi="Arial"/>
          <w:sz w:val="19"/>
          <w:szCs w:val="19"/>
          <w:color w:val="auto"/>
        </w:rPr>
        <w:t>”), and identifies the common address and Person owning such Company Owned Real Property. With respect to the Company Owned Property: (i) the Company or a Company Subsidiary, as applicable, is in possession of the Company Owned Real Property and has good and marketable indefeasible fee simple title to such Company Owned Real Property, free and clear of all Liens (other than Permitted Liens), (ii) except as would not reasonably be expected to have, individually or in the aggregate, a Company Material Adverse Effect, all of the buildings, fixtures and other improvements located on the Company Owned Real Property are reasonably adequate and suitable for the purpose of conducting the Company’s business as presently conducted, and</w:t>
      </w:r>
    </w:p>
    <w:p>
      <w:pPr>
        <w:spacing w:after="0" w:line="2" w:lineRule="exact"/>
        <w:rPr>
          <w:rFonts w:ascii="Arial" w:cs="Arial" w:eastAsia="Arial" w:hAnsi="Arial"/>
          <w:sz w:val="19"/>
          <w:szCs w:val="19"/>
          <w:color w:val="auto"/>
        </w:rPr>
      </w:pPr>
    </w:p>
    <w:p>
      <w:pPr>
        <w:ind w:firstLine="8"/>
        <w:spacing w:after="0" w:line="308" w:lineRule="auto"/>
        <w:tabs>
          <w:tab w:leader="none" w:pos="426"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Company has delivered or made available to Parent complete and accurate copies of each instrument evidencing ownership of the Company Owned Real Property by the Company or any of the Company Subsidiaries, as applicable.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jc w:val="both"/>
        <w:ind w:firstLine="1304"/>
        <w:spacing w:after="0" w:line="271" w:lineRule="auto"/>
        <w:tabs>
          <w:tab w:leader="none" w:pos="217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Section 3.13(c)</w:t>
      </w:r>
      <w:r>
        <w:rPr>
          <w:rFonts w:ascii="Arial" w:cs="Arial" w:eastAsia="Arial" w:hAnsi="Arial"/>
          <w:sz w:val="19"/>
          <w:szCs w:val="19"/>
          <w:color w:val="auto"/>
        </w:rPr>
        <w:t xml:space="preserve"> of the Company Disclosure Letter sets forth a complete and accurate list of all material leases, licenses, subleases and other occupancy agreements, together with any material amendments thereto, to which the Company or any Company Subsidiary is a party as lessee, sublessee, licensee or occupant of a similar nature (including head-leases from the Israel Lands Authority) (“</w:t>
      </w:r>
      <w:r>
        <w:rPr>
          <w:rFonts w:ascii="Arial" w:cs="Arial" w:eastAsia="Arial" w:hAnsi="Arial"/>
          <w:sz w:val="19"/>
          <w:szCs w:val="19"/>
          <w:u w:val="single" w:color="auto"/>
          <w:color w:val="auto"/>
        </w:rPr>
        <w:t>Company Real Property Leases</w:t>
      </w:r>
      <w:r>
        <w:rPr>
          <w:rFonts w:ascii="Arial" w:cs="Arial" w:eastAsia="Arial" w:hAnsi="Arial"/>
          <w:sz w:val="19"/>
          <w:szCs w:val="19"/>
          <w:color w:val="auto"/>
        </w:rPr>
        <w:t>”), with respect to all real property leased, subleased, licensed or otherwise used or occupied by the Company or any Company Subsidiary as of the date of this Agreement (“</w:t>
      </w:r>
      <w:r>
        <w:rPr>
          <w:rFonts w:ascii="Arial" w:cs="Arial" w:eastAsia="Arial" w:hAnsi="Arial"/>
          <w:sz w:val="19"/>
          <w:szCs w:val="19"/>
          <w:u w:val="single" w:color="auto"/>
          <w:color w:val="auto"/>
        </w:rPr>
        <w:t>Leased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Real Property</w:t>
      </w:r>
      <w:r>
        <w:rPr>
          <w:rFonts w:ascii="Arial" w:cs="Arial" w:eastAsia="Arial" w:hAnsi="Arial"/>
          <w:sz w:val="19"/>
          <w:szCs w:val="19"/>
          <w:color w:val="auto"/>
        </w:rPr>
        <w:t>” and, together with the Company Owned Real Property, the “</w:t>
      </w:r>
      <w:r>
        <w:rPr>
          <w:rFonts w:ascii="Arial" w:cs="Arial" w:eastAsia="Arial" w:hAnsi="Arial"/>
          <w:sz w:val="19"/>
          <w:szCs w:val="19"/>
          <w:u w:val="single" w:color="auto"/>
          <w:color w:val="auto"/>
        </w:rPr>
        <w:t>Real Property</w:t>
      </w:r>
      <w:r>
        <w:rPr>
          <w:rFonts w:ascii="Arial" w:cs="Arial" w:eastAsia="Arial" w:hAnsi="Arial"/>
          <w:sz w:val="19"/>
          <w:szCs w:val="19"/>
          <w:color w:val="auto"/>
        </w:rPr>
        <w:t xml:space="preserve">”), and identifies the common address of such Leased Real Property. With respect to the Leased Real Property: (i) except as would not reasonably be expected to have, individually or in the aggregate, a Company Material Adverse Effect, all of the fixtures and other improvements located on the premises subject to the Company Real Property Leases are reasonably adequate and suitable for the purpose of conducting the Company’s business as presently conducted; (ii) the Company Real Property Leases are in full force and effect, and either the Company or a Company Subsidiary holds a valid and existing leasehold interest under the Company Real Property Leases, subject to Permitted Liens; and (iii) the Company has delivered or made available to Parent complete and accurate copies of each of the Company Real Property Leases, and none of the Company Real Property Leases have been modified as of the date of this Agreement in any material respect, except as set forth on </w:t>
      </w:r>
      <w:r>
        <w:rPr>
          <w:rFonts w:ascii="Arial" w:cs="Arial" w:eastAsia="Arial" w:hAnsi="Arial"/>
          <w:sz w:val="19"/>
          <w:szCs w:val="19"/>
          <w:u w:val="single" w:color="auto"/>
          <w:color w:val="auto"/>
        </w:rPr>
        <w:t>Section 3.13(c)</w:t>
      </w:r>
      <w:r>
        <w:rPr>
          <w:rFonts w:ascii="Arial" w:cs="Arial" w:eastAsia="Arial" w:hAnsi="Arial"/>
          <w:sz w:val="19"/>
          <w:szCs w:val="19"/>
          <w:color w:val="auto"/>
        </w:rPr>
        <w:t xml:space="preserve"> of the Company Disclosure Letter.</w:t>
      </w:r>
    </w:p>
    <w:p>
      <w:pPr>
        <w:spacing w:after="0" w:line="218" w:lineRule="exact"/>
        <w:rPr>
          <w:rFonts w:ascii="Arial" w:cs="Arial" w:eastAsia="Arial" w:hAnsi="Arial"/>
          <w:sz w:val="19"/>
          <w:szCs w:val="19"/>
          <w:color w:val="auto"/>
        </w:rPr>
      </w:pPr>
    </w:p>
    <w:p>
      <w:pPr>
        <w:jc w:val="both"/>
        <w:ind w:firstLine="1304"/>
        <w:spacing w:after="0" w:line="236" w:lineRule="auto"/>
        <w:tabs>
          <w:tab w:leader="none" w:pos="2371"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There exists no material default under any Company Real Property Leases. The Company and the Company Subsidiaries have complied in all material respects with and timely performed in all material respects all conditions, covenants, undertakings and obligations on its part to be complied with or performed under each of the Company Real Property Leases. The Company and the Company Subsidiaries have paid all rents and other charges to the extent due and payable prior to the date hereof under the Company Real Property Leases.</w:t>
      </w:r>
    </w:p>
    <w:p>
      <w:pPr>
        <w:spacing w:after="0" w:line="241" w:lineRule="exact"/>
        <w:rPr>
          <w:rFonts w:ascii="Arial" w:cs="Arial" w:eastAsia="Arial" w:hAnsi="Arial"/>
          <w:sz w:val="22"/>
          <w:szCs w:val="22"/>
          <w:color w:val="auto"/>
        </w:rPr>
      </w:pPr>
    </w:p>
    <w:p>
      <w:pPr>
        <w:jc w:val="both"/>
        <w:ind w:firstLine="1304"/>
        <w:spacing w:after="0" w:line="236" w:lineRule="auto"/>
        <w:tabs>
          <w:tab w:leader="none" w:pos="2157"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None of the Company Owned Real Property or the Leased Real Property is subject to any easements or rights of way of third parties. There are no leases, subleases, concessions or any other Contract to which the Company or any Company Subsidiary is a party granting any Person the right of occupancy or use of any part of the Leased Real Property, and, to the knowledge of the Company, no Person (other than the Company and the Company Subsidiaries) is in possession of any such properties.</w:t>
      </w:r>
    </w:p>
    <w:p>
      <w:pPr>
        <w:spacing w:after="0" w:line="241" w:lineRule="exact"/>
        <w:rPr>
          <w:rFonts w:ascii="Arial" w:cs="Arial" w:eastAsia="Arial" w:hAnsi="Arial"/>
          <w:sz w:val="22"/>
          <w:szCs w:val="22"/>
          <w:color w:val="auto"/>
        </w:rPr>
      </w:pPr>
    </w:p>
    <w:p>
      <w:pPr>
        <w:jc w:val="both"/>
        <w:ind w:firstLine="1304"/>
        <w:spacing w:after="0" w:line="236" w:lineRule="auto"/>
        <w:tabs>
          <w:tab w:leader="none" w:pos="2214" w:val="left"/>
        </w:tabs>
        <w:numPr>
          <w:ilvl w:val="0"/>
          <w:numId w:val="48"/>
        </w:numPr>
        <w:rPr>
          <w:rFonts w:ascii="Arial" w:cs="Arial" w:eastAsia="Arial" w:hAnsi="Arial"/>
          <w:sz w:val="22"/>
          <w:szCs w:val="22"/>
          <w:color w:val="auto"/>
        </w:rPr>
      </w:pPr>
      <w:r>
        <w:rPr>
          <w:rFonts w:ascii="Arial" w:cs="Arial" w:eastAsia="Arial" w:hAnsi="Arial"/>
          <w:sz w:val="22"/>
          <w:szCs w:val="22"/>
          <w:color w:val="auto"/>
        </w:rPr>
        <w:t>As of the date of this Agreement, (i) neither the whole nor any portion of any Company Owned Real Property and/or the Leased Real Property has been condemned, requisitioned or otherwise taken by any public authority or Person or has been or is threatened in writing to be condemned, requisitioned, otherwise taken or rezoned by any public authority or Person and (ii) no written notice of any such condemnation, requisition, taking, rezoning proceedings or similar actions has been received by Company or the Company Subsidiaries.</w:t>
      </w:r>
    </w:p>
    <w:p>
      <w:pPr>
        <w:spacing w:after="0" w:line="241" w:lineRule="exact"/>
        <w:rPr>
          <w:rFonts w:ascii="Arial" w:cs="Arial" w:eastAsia="Arial" w:hAnsi="Arial"/>
          <w:sz w:val="22"/>
          <w:szCs w:val="22"/>
          <w:color w:val="auto"/>
        </w:rPr>
      </w:pPr>
    </w:p>
    <w:p>
      <w:pPr>
        <w:ind w:left="2140" w:hanging="836"/>
        <w:spacing w:after="0"/>
        <w:tabs>
          <w:tab w:leader="none" w:pos="21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 real property other than the Company Owned Real Property and the Leased Real Property is used by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242" w:lineRule="exact"/>
        <w:rPr>
          <w:rFonts w:ascii="Arial" w:cs="Arial" w:eastAsia="Arial" w:hAnsi="Arial"/>
          <w:sz w:val="19"/>
          <w:szCs w:val="19"/>
          <w:color w:val="auto"/>
        </w:rPr>
      </w:pPr>
    </w:p>
    <w:p>
      <w:pPr>
        <w:jc w:val="both"/>
        <w:ind w:firstLine="1304"/>
        <w:spacing w:after="0" w:line="233" w:lineRule="auto"/>
        <w:tabs>
          <w:tab w:leader="none" w:pos="2263" w:val="left"/>
        </w:tabs>
        <w:numPr>
          <w:ilvl w:val="0"/>
          <w:numId w:val="48"/>
        </w:numPr>
        <w:rPr>
          <w:rFonts w:ascii="Arial" w:cs="Arial" w:eastAsia="Arial" w:hAnsi="Arial"/>
          <w:sz w:val="22"/>
          <w:szCs w:val="22"/>
          <w:color w:val="auto"/>
        </w:rPr>
      </w:pPr>
      <w:r>
        <w:rPr>
          <w:rFonts w:ascii="Arial" w:cs="Arial" w:eastAsia="Arial" w:hAnsi="Arial"/>
          <w:sz w:val="22"/>
          <w:szCs w:val="22"/>
          <w:color w:val="auto"/>
        </w:rPr>
        <w:t>With respect to the Real Property: (i) neither the Company nor any of the Company Subsidiaries has granted or is obligated under any option, right of first offer, right of first refusal or other contractual right to purchase, acquire, sell or dispose of any Company Owned Real Property or any portion thereof or interest therein, and no Person other than the Company or one of the Company Subsidiaries holds a present or future right to occupy any portion of the Company Owned Real Property or Leased Real Property, whether pursuant to a lease, sublease, license or other occupancy agreement, purchase option, right of first offer, right of first refusal or other instrument or agreement and (ii) the Company or a Company Subsidiary, as applicable, has obtained all certificates of occupancy and other permits or approvals required with respect to the use and operation of the Real Property as conducted in the ordinary course of business, except where a failure to obtain such permit or approval would not materially disrupt the ordinary course operation of the business of the Company and the Company Subsidiaries.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ind w:left="660"/>
        <w:spacing w:after="0"/>
        <w:tabs>
          <w:tab w:leader="none" w:pos="226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Intellectual Property; Cybersecurity</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line="287" w:lineRule="auto"/>
        <w:tabs>
          <w:tab w:leader="none" w:pos="2265"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Section 3.14(a)</w:t>
      </w:r>
      <w:r>
        <w:rPr>
          <w:rFonts w:ascii="Arial" w:cs="Arial" w:eastAsia="Arial" w:hAnsi="Arial"/>
          <w:sz w:val="19"/>
          <w:szCs w:val="19"/>
          <w:color w:val="auto"/>
        </w:rPr>
        <w:t xml:space="preserve"> of the Company Disclosure Letter contains a list as of the date hereof of all material Company Registered Intellectual Property. The material Company Registered Intellectual Property (other than applications for Patents, Trademarks or Copyrights pending as of the date hereof) and all other material Company Owned Intellectual Property is, to the knowledge of the Company, valid, subsisting and enforceable in all material respects.</w:t>
      </w:r>
    </w:p>
    <w:p>
      <w:pPr>
        <w:spacing w:after="0" w:line="196" w:lineRule="exact"/>
        <w:rPr>
          <w:rFonts w:ascii="Arial" w:cs="Arial" w:eastAsia="Arial" w:hAnsi="Arial"/>
          <w:sz w:val="19"/>
          <w:szCs w:val="19"/>
          <w:color w:val="auto"/>
        </w:rPr>
      </w:pPr>
    </w:p>
    <w:p>
      <w:pPr>
        <w:jc w:val="both"/>
        <w:ind w:firstLine="1304"/>
        <w:spacing w:after="0" w:line="235" w:lineRule="auto"/>
        <w:tabs>
          <w:tab w:leader="none" w:pos="2115"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All of the Company Owned Intellectual Property, including Company Registered Intellectual Property, is exclusively owned by the Company or a Company Subsidiary free and clear of all Liens (other than (i) Permitted Liens, (ii) outbound nonexclusive licenses entered into in the ordinary course of business with suppliers, service providers and customers of the Company and the Company Subsidiaries and (iii) Contracts set forth on </w:t>
      </w:r>
      <w:r>
        <w:rPr>
          <w:rFonts w:ascii="Arial" w:cs="Arial" w:eastAsia="Arial" w:hAnsi="Arial"/>
          <w:sz w:val="22"/>
          <w:szCs w:val="22"/>
          <w:u w:val="single" w:color="auto"/>
          <w:color w:val="auto"/>
        </w:rPr>
        <w:t>Section 3.17(a)(ix)</w:t>
      </w:r>
      <w:r>
        <w:rPr>
          <w:rFonts w:ascii="Arial" w:cs="Arial" w:eastAsia="Arial" w:hAnsi="Arial"/>
          <w:sz w:val="22"/>
          <w:szCs w:val="22"/>
          <w:color w:val="auto"/>
        </w:rPr>
        <w:t xml:space="preserve"> of the Company Disclosure Letter), except as would not reasonably be expected to have, individually or in the aggregate, a Company Material Adverse Effect.</w:t>
      </w:r>
    </w:p>
    <w:p>
      <w:pPr>
        <w:spacing w:after="0" w:line="241" w:lineRule="exact"/>
        <w:rPr>
          <w:rFonts w:ascii="Arial" w:cs="Arial" w:eastAsia="Arial" w:hAnsi="Arial"/>
          <w:sz w:val="22"/>
          <w:szCs w:val="22"/>
          <w:color w:val="auto"/>
        </w:rPr>
      </w:pPr>
    </w:p>
    <w:p>
      <w:pPr>
        <w:jc w:val="both"/>
        <w:ind w:firstLine="1304"/>
        <w:spacing w:after="0" w:line="273" w:lineRule="auto"/>
        <w:tabs>
          <w:tab w:leader="none" w:pos="213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To the knowledge of the Company, (i) the operation by the Company and Company Subsidiaries of their business since January 1, 2019, including with respect to the Company Products and Technology, has not infringed, misappropriated or otherwise violated the Intellectual Property rights of any Person and (ii) no Person has infringed, misappropriated or otherwise violated Company Owned Intellectual Property, in each case (i) and (ii), in a manner that would reasonably be expected to have, individually or in the aggregate, a material adverse effect on the business of the Company and the Company Subsidiaries. Neither the Company nor any Company Subsidiary has received any written notice from any Person within the past two (2) years (x) claiming that the operation of their business, or any Company Product and Technology, infringes, misappropriates or otherwise violates the material Intellectual Property rights of any Person or (y) challenging the legality, validity, enforceability or ownership of material Company Registered Intellectual Property or other material Company Owned Intellectual Property. There are no material orders, judgments, holdings, consents, decrees, settlements or rulings with respect to Intellectual Property to which the Company or any Company Subsidiary.</w:t>
      </w:r>
    </w:p>
    <w:p>
      <w:pPr>
        <w:spacing w:after="0" w:line="209" w:lineRule="exact"/>
        <w:rPr>
          <w:rFonts w:ascii="Arial" w:cs="Arial" w:eastAsia="Arial" w:hAnsi="Arial"/>
          <w:sz w:val="19"/>
          <w:szCs w:val="19"/>
          <w:color w:val="auto"/>
        </w:rPr>
      </w:pPr>
    </w:p>
    <w:p>
      <w:pPr>
        <w:jc w:val="both"/>
        <w:ind w:firstLine="1304"/>
        <w:spacing w:after="0" w:line="268" w:lineRule="auto"/>
        <w:tabs>
          <w:tab w:leader="none" w:pos="2088" w:val="left"/>
        </w:tabs>
        <w:numPr>
          <w:ilvl w:val="1"/>
          <w:numId w:val="49"/>
        </w:numPr>
        <w:rPr>
          <w:rFonts w:ascii="Arial" w:cs="Arial" w:eastAsia="Arial" w:hAnsi="Arial"/>
          <w:sz w:val="19"/>
          <w:szCs w:val="19"/>
          <w:color w:val="auto"/>
        </w:rPr>
      </w:pPr>
      <w:r>
        <w:rPr>
          <w:rFonts w:ascii="Arial" w:cs="Arial" w:eastAsia="Arial" w:hAnsi="Arial"/>
          <w:sz w:val="19"/>
          <w:szCs w:val="19"/>
          <w:color w:val="auto"/>
        </w:rPr>
        <w:t>Each current employee and contractor, and, to the knowledge of the Company, each former employee and contractor or consultant who was employed by or has provided services to the Company since January 1, 2019, who is or has been involved in the development of any material Intellectual Property, excluding in the case of contractors and consultants, Intellectual Property that was contractually agreed with such contractor or consultant to be excluded from Company Owned Intellectual Property, on behalf of the Company or a Company Subsidiary, has executed and delivered to the Company or a Company Subsidiary agreements (and, to the knowledge of the Company, such current and former employees are in compliance therewith in all material respects) that (i) assign to the Company or one of the Company Subsidiaries all right, title and interest in and to any Intellectual Property arising from such Person’s work for or on behalf of the Company or such Company Subsidiary and (ii) for Israeli Employees, waive all rights for any additional compensation in connection with the foregoing assignment pursuant to Section 134 of the Israel Patent Law – 1967, except as would not reasonably be expected to have, in each of clauses</w:t>
      </w:r>
    </w:p>
    <w:p>
      <w:pPr>
        <w:spacing w:after="0" w:line="8" w:lineRule="exact"/>
        <w:rPr>
          <w:rFonts w:ascii="Arial" w:cs="Arial" w:eastAsia="Arial" w:hAnsi="Arial"/>
          <w:sz w:val="19"/>
          <w:szCs w:val="19"/>
          <w:color w:val="auto"/>
        </w:rPr>
      </w:pPr>
    </w:p>
    <w:p>
      <w:pPr>
        <w:ind w:firstLine="8"/>
        <w:spacing w:after="0" w:line="236" w:lineRule="auto"/>
        <w:tabs>
          <w:tab w:leader="none" w:pos="302"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and (ii), individually or in the aggregate, a material adverse effect on the business of the Company and the Company Subsidiaries.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both"/>
        <w:ind w:firstLine="1304"/>
        <w:spacing w:after="0" w:line="246" w:lineRule="auto"/>
        <w:tabs>
          <w:tab w:leader="none" w:pos="2116"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Company and each Company Subsidiary has taken commercially reasonable measures to protect the Company’s and such Company Subsidiaries’ rights in the material Trade Secrets owned by the Company or any such Company Subsidiary. For any such material Trade Secrets owned by the Company or any Company Subsidiary, to the knowledge of the Company, there has been no unauthorized use or disclosure thereof, and for any material Trade Secrets owned by any other Person that have been provided to the Company or such Company Subsidiary under Contract, to the knowledge of the Company, the Company and such Company Subsidiaries are not in material breach of the terms of such Contract with respect to the confidentiality of such Trade Secrets, except as would not reasonably be expected to have, individually or in the aggregate, a Company Material Adverse Effect.</w:t>
      </w:r>
    </w:p>
    <w:p>
      <w:pPr>
        <w:spacing w:after="0" w:line="234" w:lineRule="exact"/>
        <w:rPr>
          <w:rFonts w:ascii="Arial" w:cs="Arial" w:eastAsia="Arial" w:hAnsi="Arial"/>
          <w:sz w:val="21"/>
          <w:szCs w:val="21"/>
          <w:color w:val="auto"/>
        </w:rPr>
      </w:pPr>
    </w:p>
    <w:p>
      <w:pPr>
        <w:jc w:val="both"/>
        <w:ind w:firstLine="1304"/>
        <w:spacing w:after="0" w:line="249" w:lineRule="auto"/>
        <w:tabs>
          <w:tab w:leader="none" w:pos="21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Neither the Company nor any of the Company Subsidiaries is obligated to grant licenses or rights to or otherwise restrict the ability of the Company or any Company Subsidiary to enforce, license or exclude others from using or practicing, any material Company Owned Intellectual Property as a result of the Company’s or any Company Subsidiary’s membership or affiliation with any standards setting bodies or similar bodies, in each case, except as would not reasonably be expected to have, individually or in the aggregate, a Company Material Adverse Effect.</w:t>
      </w:r>
    </w:p>
    <w:p>
      <w:pPr>
        <w:spacing w:after="0" w:line="232" w:lineRule="exact"/>
        <w:rPr>
          <w:rFonts w:ascii="Arial" w:cs="Arial" w:eastAsia="Arial" w:hAnsi="Arial"/>
          <w:sz w:val="21"/>
          <w:szCs w:val="21"/>
          <w:color w:val="auto"/>
        </w:rPr>
      </w:pPr>
    </w:p>
    <w:p>
      <w:pPr>
        <w:jc w:val="both"/>
        <w:ind w:firstLine="1304"/>
        <w:spacing w:after="0" w:line="246" w:lineRule="auto"/>
        <w:tabs>
          <w:tab w:leader="none" w:pos="2101" w:val="left"/>
        </w:tabs>
        <w:numPr>
          <w:ilvl w:val="0"/>
          <w:numId w:val="51"/>
        </w:numPr>
        <w:rPr>
          <w:rFonts w:ascii="Arial" w:cs="Arial" w:eastAsia="Arial" w:hAnsi="Arial"/>
          <w:sz w:val="21"/>
          <w:szCs w:val="21"/>
          <w:color w:val="auto"/>
        </w:rPr>
      </w:pPr>
      <w:r>
        <w:rPr>
          <w:rFonts w:ascii="Arial" w:cs="Arial" w:eastAsia="Arial" w:hAnsi="Arial"/>
          <w:sz w:val="21"/>
          <w:szCs w:val="21"/>
          <w:color w:val="auto"/>
        </w:rPr>
        <w:t>To the knowledge of the Company, no material Company Registered Intellectual Property was developed using any facilities or resources of any universities, research institutions or under any Contract with any Governmental Authorities (including the IIA), nor does any such entity have ownership in or right to restrict the sale, licensing, distribution, transfer or other commercialization or exploitation of any such Company Registered Intellectual Property in any material respect. Employees, contractors and consultants have not retained ownership rights or similar interests, including ongoing or contingent compensation or remuneration, in Company Owned Intellectual Property, that are material, individually or in the aggregate, to the Company and the Company Subsidiaries.</w:t>
      </w:r>
    </w:p>
    <w:p>
      <w:pPr>
        <w:spacing w:after="0" w:line="238" w:lineRule="exact"/>
        <w:rPr>
          <w:rFonts w:ascii="Arial" w:cs="Arial" w:eastAsia="Arial" w:hAnsi="Arial"/>
          <w:sz w:val="21"/>
          <w:szCs w:val="21"/>
          <w:color w:val="auto"/>
        </w:rPr>
      </w:pPr>
    </w:p>
    <w:p>
      <w:pPr>
        <w:jc w:val="both"/>
        <w:ind w:firstLine="1304"/>
        <w:spacing w:after="0" w:line="275" w:lineRule="auto"/>
        <w:tabs>
          <w:tab w:leader="none" w:pos="2371" w:val="left"/>
        </w:tabs>
        <w:numPr>
          <w:ilvl w:val="0"/>
          <w:numId w:val="51"/>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no Open Source Materials are contained in, distributed with, or linked to by the Company or any Company Subsidiary to Company Products and Technology in a manner that imposes on such Company Products and Technology, or portion thereof, or would impose upon distribution thereof, a requirement or condition that any such Company Products and Technology or portion thereof (i) be disclosed or distributed in source code form, (ii) be licensed to allow third parties to make modifications or derivative works or (iii) be licensed as Open Source Materials ((i) through (iii), “</w:t>
      </w:r>
      <w:r>
        <w:rPr>
          <w:rFonts w:ascii="Arial" w:cs="Arial" w:eastAsia="Arial" w:hAnsi="Arial"/>
          <w:sz w:val="19"/>
          <w:szCs w:val="19"/>
          <w:u w:val="single" w:color="auto"/>
          <w:color w:val="auto"/>
        </w:rPr>
        <w:t>Copyleft</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Terms</w:t>
      </w:r>
      <w:r>
        <w:rPr>
          <w:rFonts w:ascii="Arial" w:cs="Arial" w:eastAsia="Arial" w:hAnsi="Arial"/>
          <w:sz w:val="19"/>
          <w:szCs w:val="19"/>
          <w:color w:val="auto"/>
        </w:rPr>
        <w:t>”), other than Company Products and Technology that are initially intended to be distributed by the Company as Open Source Materials and are expressly notified to third parties as being Open Source Materials.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jc w:val="both"/>
        <w:ind w:firstLine="1304"/>
        <w:spacing w:after="0" w:line="279" w:lineRule="auto"/>
        <w:tabs>
          <w:tab w:leader="none" w:pos="2107"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material adverse effect on the Company and the Company Subsidiaries, since January 1, 2019, there have been no failures, breakdowns, continued substandard performance or to the knowledge of the Company, cyberattacks, viruses, other malware or other adverse events affecting the computer and manufacturing systems, or the manufacturing processes, of the Company and the Company Subsidiaries that have caused or could reasonably be expected to cause the disruption or interruption in or to the use of such systems or processes or the conduct of the business of the Company or the Company Subsidiaries.</w:t>
      </w:r>
    </w:p>
    <w:p>
      <w:pPr>
        <w:spacing w:after="0" w:line="204" w:lineRule="exact"/>
        <w:rPr>
          <w:rFonts w:ascii="Arial" w:cs="Arial" w:eastAsia="Arial" w:hAnsi="Arial"/>
          <w:sz w:val="19"/>
          <w:szCs w:val="19"/>
          <w:color w:val="auto"/>
        </w:rPr>
      </w:pPr>
    </w:p>
    <w:p>
      <w:pPr>
        <w:jc w:val="both"/>
        <w:ind w:firstLine="1304"/>
        <w:spacing w:after="0" w:line="272" w:lineRule="auto"/>
        <w:tabs>
          <w:tab w:leader="none" w:pos="2053" w:val="left"/>
        </w:tabs>
        <w:numPr>
          <w:ilvl w:val="0"/>
          <w:numId w:val="52"/>
        </w:numPr>
        <w:rPr>
          <w:rFonts w:ascii="Arial" w:cs="Arial" w:eastAsia="Arial" w:hAnsi="Arial"/>
          <w:sz w:val="19"/>
          <w:szCs w:val="19"/>
          <w:color w:val="auto"/>
        </w:rPr>
      </w:pPr>
      <w:r>
        <w:rPr>
          <w:rFonts w:ascii="Arial" w:cs="Arial" w:eastAsia="Arial" w:hAnsi="Arial"/>
          <w:sz w:val="19"/>
          <w:szCs w:val="19"/>
          <w:color w:val="auto"/>
        </w:rPr>
        <w:t>With regard to material Software source code and material manufacturing processes and technologies that are included in the Company Products and Technology (“</w:t>
      </w:r>
      <w:r>
        <w:rPr>
          <w:rFonts w:ascii="Arial" w:cs="Arial" w:eastAsia="Arial" w:hAnsi="Arial"/>
          <w:sz w:val="19"/>
          <w:szCs w:val="19"/>
          <w:u w:val="single" w:color="auto"/>
          <w:color w:val="auto"/>
        </w:rPr>
        <w:t>Sensitive Technology</w:t>
      </w:r>
      <w:r>
        <w:rPr>
          <w:rFonts w:ascii="Arial" w:cs="Arial" w:eastAsia="Arial" w:hAnsi="Arial"/>
          <w:sz w:val="19"/>
          <w:szCs w:val="19"/>
          <w:color w:val="auto"/>
        </w:rPr>
        <w:t>”), (i) neither the Company nor any Company Subsidiary has assigned, delivered, licensed or made available, and does not have any obligation to assign, deliver, license or make available, the source code for or such Sensitive Technology to any Person, including any escrow arrangement or conditional contract right (except for disclosures to employees or service providers under contracts with reasonable confidentiality obligations, including to prohibit use or disclosure except in the performance of services to the Company or any of its Subsidiaries); and excluding, for clarity, customer agreements pursuant to which the Company or any of its Subsidiaries utilize (but do not disclose) Sensitive Technologies so as to manufacture semiconductor products for such customers in the ordinary course of business, and (ii) to the knowledge of the Company, there has been no unauthorized theft, reverse engineering, decompiling, disassembling or other unauthorized disclosure to or use by a Third Party of material Sensitive Technology owned by the Company or any Company Subsidiary; except as to each of (i) and (ii) would not reasonably be expected to have, individually or in the aggregate, a Company Material Adverse Effect.</w:t>
      </w:r>
    </w:p>
    <w:p>
      <w:pPr>
        <w:spacing w:after="0" w:line="200" w:lineRule="exact"/>
        <w:rPr>
          <w:rFonts w:ascii="Arial" w:cs="Arial" w:eastAsia="Arial" w:hAnsi="Arial"/>
          <w:sz w:val="19"/>
          <w:szCs w:val="19"/>
          <w:color w:val="auto"/>
        </w:rPr>
      </w:pPr>
    </w:p>
    <w:p>
      <w:pPr>
        <w:spacing w:after="0" w:line="262" w:lineRule="exact"/>
        <w:rPr>
          <w:rFonts w:ascii="Arial" w:cs="Arial" w:eastAsia="Arial" w:hAnsi="Arial"/>
          <w:sz w:val="19"/>
          <w:szCs w:val="19"/>
          <w:color w:val="auto"/>
        </w:rPr>
      </w:pPr>
    </w:p>
    <w:p>
      <w:pPr>
        <w:jc w:val="both"/>
        <w:ind w:firstLine="1304"/>
        <w:spacing w:after="0" w:line="270" w:lineRule="auto"/>
        <w:tabs>
          <w:tab w:leader="none" w:pos="2155"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Except as has not had and would not reasonably be expected to have, individually or in the aggregate, a material adverse effect on the Company and the Company Subsidiaries, since January 1, 2019, (i) the Company and the Company Subsidiaries have complied with all applicable Privacy Requirements, and have implemented and maintained an information security program comprising reasonable and appropriate organizational, physical, administrative, and technical safeguards that are reasonably consistent with information security programs standard in the semiconductor manufacturing industry and that are designed to protect Personal Information against unauthorized access, use, modification, disclosure or other misuse; (ii) to the knowledge of the Company, there has been no breach or unauthorized access or use of Personal Information or other material confidential data controlled by the Company or a Company Subsidiary on the Company’s and Company Subsidiaries’ IT systems and assets; (iii) the Company and the Company Subsidiaries have taken reasonable measures required by Privacy Requirements to ensure third parties that receive or otherwise process Personal Information on behalf of the Company or a Company Subsidiary comply with Privacy Requirements (iv) since January 1, 2019, the Company and the Company Subsidiaries have conducted commercially reasonable data security testing and audits at reasonable and appropriate intervals and have resolved or remediated any material data security issues or vulnerabilities identified and (v) neither the Company nor any of Company Subsidiaries has received any written notice of any claims, complaints, investigations (including investigations by a Governmental Authority) from any Governmental Authority or other Person, and no proceeding has been commenced or is pending or, to the knowledge of the Company, threatened against the Company or any of the Company Subsidiaries, alleging a violation of any Privacy Requirements or with respect to the security, confidentiality, availability, or integrity of the Company’s or Company Subsidiaries’ IT systems and assets.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both"/>
        <w:ind w:firstLine="1304"/>
        <w:spacing w:after="0" w:line="248" w:lineRule="auto"/>
        <w:tabs>
          <w:tab w:leader="none" w:pos="2310" w:val="left"/>
        </w:tabs>
        <w:numPr>
          <w:ilvl w:val="0"/>
          <w:numId w:val="53"/>
        </w:numPr>
        <w:rPr>
          <w:rFonts w:ascii="Arial" w:cs="Arial" w:eastAsia="Arial" w:hAnsi="Arial"/>
          <w:sz w:val="21"/>
          <w:szCs w:val="21"/>
          <w:color w:val="auto"/>
        </w:rPr>
      </w:pPr>
      <w:r>
        <w:rPr>
          <w:rFonts w:ascii="Arial" w:cs="Arial" w:eastAsia="Arial" w:hAnsi="Arial"/>
          <w:sz w:val="21"/>
          <w:szCs w:val="21"/>
          <w:color w:val="auto"/>
        </w:rPr>
        <w:t>Neither the execution of this Agreement nor the consummation of the Transactions will, under any Company Contract to which the Company or any Company Subsidiary is bound, cause (i) the granting to any Third Party of any material license or right to use or material immunity from suit or covenant not to assert, under or with respect to any material Company Owned Intellectual Property, or (ii) Parent, any such affiliate thereof, or Surviving Company being obligated to pay material royalties or amounts to any Person with respect to Intellectual Property, in excess of those payable by the Company or any Company Subsidiary in the absence of this Agreement or the Transactions.</w:t>
      </w:r>
    </w:p>
    <w:p>
      <w:pPr>
        <w:spacing w:after="0" w:line="231" w:lineRule="exact"/>
        <w:rPr>
          <w:rFonts w:ascii="Arial" w:cs="Arial" w:eastAsia="Arial" w:hAnsi="Arial"/>
          <w:sz w:val="21"/>
          <w:szCs w:val="21"/>
          <w:color w:val="auto"/>
        </w:rPr>
      </w:pPr>
    </w:p>
    <w:p>
      <w:pPr>
        <w:jc w:val="both"/>
        <w:ind w:firstLine="1304"/>
        <w:spacing w:after="0" w:line="234" w:lineRule="auto"/>
        <w:tabs>
          <w:tab w:leader="none" w:pos="2188"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Except as has not had and would not reasonably be expected to have, individually or in the aggregate, a material adverse effect on the Company and the Company Subsidiaries (i) the Company and Company Subsidiaries take reasonable actions to protect, maintain, audit, monitor and test the confidentiality, integrity, availability, redundancy, backup, continuous operation and security of the Company Products and Technology and material IT systems and assets used in their businesses and (ii) since January 1, 2019, there have been no breaches, violations, interruptions, outages, unauthorized uses of or unauthorized access to any of the foregoing, other than those that were resolved without material cost, liability or duty to notify any Person.</w:t>
      </w:r>
    </w:p>
    <w:p>
      <w:pPr>
        <w:spacing w:after="0" w:line="24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60" w:lineRule="exact"/>
        <w:rPr>
          <w:sz w:val="20"/>
          <w:szCs w:val="20"/>
          <w:color w:val="auto"/>
        </w:rPr>
      </w:pPr>
    </w:p>
    <w:p>
      <w:pPr>
        <w:jc w:val="both"/>
        <w:ind w:firstLine="1304"/>
        <w:spacing w:after="0" w:line="236" w:lineRule="auto"/>
        <w:tabs>
          <w:tab w:leader="none" w:pos="2157" w:val="left"/>
        </w:tabs>
        <w:numPr>
          <w:ilvl w:val="0"/>
          <w:numId w:val="54"/>
        </w:numPr>
        <w:rPr>
          <w:rFonts w:ascii="Arial" w:cs="Arial" w:eastAsia="Arial" w:hAnsi="Arial"/>
          <w:sz w:val="22"/>
          <w:szCs w:val="22"/>
          <w:color w:val="auto"/>
        </w:rPr>
      </w:pPr>
      <w:r>
        <w:rPr>
          <w:rFonts w:ascii="Arial" w:cs="Arial" w:eastAsia="Arial" w:hAnsi="Arial"/>
          <w:sz w:val="22"/>
          <w:szCs w:val="22"/>
          <w:color w:val="auto"/>
        </w:rPr>
        <w:t>Each of the Company and the Company Subsidiaries has timely filed all income and other material Tax Returns that it was required to file under applicable Laws and all such Tax Returns are true, correct and complete in all material respects. The Company and the Company Subsidiaries have paid all income and other material Taxes that are required to be paid by them (whether or not shown on any Tax Return), except for Taxes with respect to which adequate reserves are included in the Company Reports in accordance with GAAP.</w:t>
      </w:r>
    </w:p>
    <w:p>
      <w:pPr>
        <w:spacing w:after="0" w:line="241" w:lineRule="exact"/>
        <w:rPr>
          <w:rFonts w:ascii="Arial" w:cs="Arial" w:eastAsia="Arial" w:hAnsi="Arial"/>
          <w:sz w:val="22"/>
          <w:szCs w:val="22"/>
          <w:color w:val="auto"/>
        </w:rPr>
      </w:pPr>
    </w:p>
    <w:p>
      <w:pPr>
        <w:jc w:val="both"/>
        <w:ind w:firstLine="1304"/>
        <w:spacing w:after="0" w:line="236" w:lineRule="auto"/>
        <w:tabs>
          <w:tab w:leader="none" w:pos="2115" w:val="left"/>
        </w:tabs>
        <w:numPr>
          <w:ilvl w:val="0"/>
          <w:numId w:val="54"/>
        </w:numPr>
        <w:rPr>
          <w:rFonts w:ascii="Arial" w:cs="Arial" w:eastAsia="Arial" w:hAnsi="Arial"/>
          <w:sz w:val="22"/>
          <w:szCs w:val="22"/>
          <w:color w:val="auto"/>
        </w:rPr>
      </w:pPr>
      <w:r>
        <w:rPr>
          <w:rFonts w:ascii="Arial" w:cs="Arial" w:eastAsia="Arial" w:hAnsi="Arial"/>
          <w:sz w:val="22"/>
          <w:szCs w:val="22"/>
          <w:color w:val="auto"/>
        </w:rPr>
        <w:t>Neither the Company nor any Company Subsidiary is a party to or bound by any material Tax allocation, indemnification, or sharing agreement (other than (i) agreements entered into in the ordinary course of business, the primary purpose of which is unrelated to Tax, (ii) any agreement between or among any of the Company and the Company Subsidiaries, and (iii) agreements that will terminate as of the Closing) or any closing agreement within the meaning of Section 7121 of the Code (or any similar provision of state, local or foreign Law).</w:t>
      </w:r>
    </w:p>
    <w:p>
      <w:pPr>
        <w:spacing w:after="0" w:line="241" w:lineRule="exact"/>
        <w:rPr>
          <w:rFonts w:ascii="Arial" w:cs="Arial" w:eastAsia="Arial" w:hAnsi="Arial"/>
          <w:sz w:val="22"/>
          <w:szCs w:val="22"/>
          <w:color w:val="auto"/>
        </w:rPr>
      </w:pPr>
    </w:p>
    <w:p>
      <w:pPr>
        <w:jc w:val="both"/>
        <w:ind w:firstLine="1304"/>
        <w:spacing w:after="0" w:line="234" w:lineRule="auto"/>
        <w:tabs>
          <w:tab w:leader="none" w:pos="2494"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None of the Company or any non-U.S. Company Subsidiary (i) is or was a “surrogate foreign corporation” within the meaning of Section 7874(a)(2)(B) of the Code or should be treated as a U.S. corporation under Section 7874(b) of the Code, (ii) has ever been a “passive foreign investment company” within the meaning of Section 1297 of the Code or (iii) has ever been engaged in the conduct of a trade or business within the United States within the meaning of Section 864(b) or Section 882(a) of the Code. Neither the Company nor any Company Subsidiary has engaged in any “reportable transaction” or “listed transaction” within the meaning of Treasury Regulations Section 1.6011-4(b)(2) (or any similar provision of state, local or foreign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jc w:val="both"/>
        <w:ind w:firstLine="1304"/>
        <w:spacing w:after="0" w:line="252" w:lineRule="auto"/>
        <w:tabs>
          <w:tab w:leader="none" w:pos="2479" w:val="left"/>
        </w:tabs>
        <w:numPr>
          <w:ilvl w:val="0"/>
          <w:numId w:val="55"/>
        </w:numPr>
        <w:rPr>
          <w:rFonts w:ascii="Arial" w:cs="Arial" w:eastAsia="Arial" w:hAnsi="Arial"/>
          <w:sz w:val="21"/>
          <w:szCs w:val="21"/>
          <w:color w:val="auto"/>
        </w:rPr>
      </w:pPr>
      <w:r>
        <w:rPr>
          <w:rFonts w:ascii="Arial" w:cs="Arial" w:eastAsia="Arial" w:hAnsi="Arial"/>
          <w:sz w:val="21"/>
          <w:szCs w:val="21"/>
          <w:color w:val="auto"/>
        </w:rPr>
        <w:t>Neither the Company nor any Company Subsidiary has performed or was part of any action or transaction that requires special reporting in accordance with Section 131(g), 131D or 131E of the Ordinance or the regulations promulgated thereunder or Sections 67C and 6D of the Israeli Value Added Tax Law, 1975, as amended, Section 231(e) of the Customers Ordinance [New Version] 5717-1957 and Section 21(c) of Fuel Excise Law, 5718-1958.</w:t>
      </w:r>
    </w:p>
    <w:p>
      <w:pPr>
        <w:spacing w:after="0" w:line="228" w:lineRule="exact"/>
        <w:rPr>
          <w:rFonts w:ascii="Arial" w:cs="Arial" w:eastAsia="Arial" w:hAnsi="Arial"/>
          <w:sz w:val="21"/>
          <w:szCs w:val="21"/>
          <w:color w:val="auto"/>
        </w:rPr>
      </w:pPr>
    </w:p>
    <w:p>
      <w:pPr>
        <w:jc w:val="both"/>
        <w:ind w:firstLine="1304"/>
        <w:spacing w:after="0" w:line="238" w:lineRule="auto"/>
        <w:tabs>
          <w:tab w:leader="none" w:pos="2278"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and each of the Company Subsidiaries have complied in all material respects with all applicable Laws relating to withholding Taxes and have withheld and paid all material Taxes required to have been withheld and paid (whether paid in case, paid in kind, deemed paid or otherwise) in connection with any amounts paid or owing to any employee, independent contractor, creditor, shareholder or other Third Party.</w:t>
      </w:r>
    </w:p>
    <w:p>
      <w:pPr>
        <w:spacing w:after="0" w:line="238" w:lineRule="exact"/>
        <w:rPr>
          <w:rFonts w:ascii="Arial" w:cs="Arial" w:eastAsia="Arial" w:hAnsi="Arial"/>
          <w:sz w:val="22"/>
          <w:szCs w:val="22"/>
          <w:color w:val="auto"/>
        </w:rPr>
      </w:pPr>
    </w:p>
    <w:p>
      <w:pPr>
        <w:jc w:val="both"/>
        <w:ind w:firstLine="1304"/>
        <w:spacing w:after="0" w:line="275" w:lineRule="auto"/>
        <w:tabs>
          <w:tab w:leader="none" w:pos="2389" w:val="left"/>
        </w:tabs>
        <w:numPr>
          <w:ilvl w:val="0"/>
          <w:numId w:val="55"/>
        </w:numPr>
        <w:rPr>
          <w:rFonts w:ascii="Arial" w:cs="Arial" w:eastAsia="Arial" w:hAnsi="Arial"/>
          <w:sz w:val="19"/>
          <w:szCs w:val="19"/>
          <w:color w:val="auto"/>
        </w:rPr>
      </w:pPr>
      <w:r>
        <w:rPr>
          <w:rFonts w:ascii="Arial" w:cs="Arial" w:eastAsia="Arial" w:hAnsi="Arial"/>
          <w:sz w:val="19"/>
          <w:szCs w:val="19"/>
          <w:color w:val="auto"/>
        </w:rPr>
        <w:t>(i) No deficiencies or adjustments for any income or material Taxes against the Company or any Company Subsidiary have been claimed, proposed or assessed in writing by any Governmental Authority that remain unpaid or are otherwise outstanding against the Company or any Company Subsidiary (except for deficiencies with respect to which adequate reserves have been established in accordance with GAAP), (ii) there are no ongoing or pending, nor has the Company or any Company Subsidiary received written notice of the expected commencement of any, Actions or other review with respect to any income or other material Taxes of the Company or any Company Subsidiary, and no such Actions are, to the knowledge of the Company, threatened, and (iii) there are no waivers or extensions of any statute of limitations currently in effect with respect to any income or other material Taxes of the Company or any Company Subsidiary.</w:t>
      </w:r>
    </w:p>
    <w:p>
      <w:pPr>
        <w:spacing w:after="0" w:line="211" w:lineRule="exact"/>
        <w:rPr>
          <w:rFonts w:ascii="Arial" w:cs="Arial" w:eastAsia="Arial" w:hAnsi="Arial"/>
          <w:sz w:val="19"/>
          <w:szCs w:val="19"/>
          <w:color w:val="auto"/>
        </w:rPr>
      </w:pPr>
    </w:p>
    <w:p>
      <w:pPr>
        <w:jc w:val="both"/>
        <w:ind w:firstLine="1304"/>
        <w:spacing w:after="0" w:line="279" w:lineRule="auto"/>
        <w:tabs>
          <w:tab w:leader="none" w:pos="2128" w:val="left"/>
        </w:tabs>
        <w:numPr>
          <w:ilvl w:val="0"/>
          <w:numId w:val="55"/>
        </w:numPr>
        <w:rPr>
          <w:rFonts w:ascii="Arial" w:cs="Arial" w:eastAsia="Arial" w:hAnsi="Arial"/>
          <w:sz w:val="19"/>
          <w:szCs w:val="19"/>
          <w:color w:val="auto"/>
        </w:rPr>
      </w:pPr>
      <w:r>
        <w:rPr>
          <w:rFonts w:ascii="Arial" w:cs="Arial" w:eastAsia="Arial" w:hAnsi="Arial"/>
          <w:sz w:val="19"/>
          <w:szCs w:val="19"/>
          <w:color w:val="auto"/>
        </w:rPr>
        <w:t>Neither the Company nor any Company Subsidiary (i) is or has been in the past five (5) years a member of a group (other than a group the common parent of which is the Company or one of the Company Subsidiaries) filing a consolidated, combined, affiliated, unitary or similar income Tax Return or (ii) has any liability for material Taxes of any other Person (other than the Company or a Company Subsidiary) under Treasury Regulations Section 1.1502-6 or any similar provision of applicable Law or as a transferee or successor, by Contract or otherwise (in each case, other than agreements entered into in the ordinary course of business, the primary purposes of which is unrelated to Tax).</w:t>
      </w:r>
    </w:p>
    <w:p>
      <w:pPr>
        <w:spacing w:after="0" w:line="204" w:lineRule="exact"/>
        <w:rPr>
          <w:rFonts w:ascii="Arial" w:cs="Arial" w:eastAsia="Arial" w:hAnsi="Arial"/>
          <w:sz w:val="19"/>
          <w:szCs w:val="19"/>
          <w:color w:val="auto"/>
        </w:rPr>
      </w:pPr>
    </w:p>
    <w:p>
      <w:pPr>
        <w:jc w:val="both"/>
        <w:ind w:firstLine="1304"/>
        <w:spacing w:after="0" w:line="282" w:lineRule="auto"/>
        <w:tabs>
          <w:tab w:leader="none" w:pos="2263" w:val="left"/>
        </w:tabs>
        <w:numPr>
          <w:ilvl w:val="0"/>
          <w:numId w:val="55"/>
        </w:numPr>
        <w:rPr>
          <w:rFonts w:ascii="Arial" w:cs="Arial" w:eastAsia="Arial" w:hAnsi="Arial"/>
          <w:sz w:val="19"/>
          <w:szCs w:val="19"/>
          <w:color w:val="auto"/>
        </w:rPr>
      </w:pPr>
      <w:r>
        <w:rPr>
          <w:rFonts w:ascii="Arial" w:cs="Arial" w:eastAsia="Arial" w:hAnsi="Arial"/>
          <w:sz w:val="19"/>
          <w:szCs w:val="19"/>
          <w:color w:val="auto"/>
        </w:rPr>
        <w:t>No written claim has been made by any Governmental Authority that the Company or any Company Subsidiary is or may be subject to a material amount of Tax or required to file a material Tax Return in a jurisdiction where it does not file Tax Returns. Neither the Company nor any of the Company Subsidiaries has, or has had, a permanent establishment or become subject to income taxation in any country other than the country where such Company or any Company Subsidiary was organized, as determined pursuant to applicable Law and applicable Tax treaty.</w:t>
      </w:r>
    </w:p>
    <w:p>
      <w:pPr>
        <w:spacing w:after="0" w:line="201" w:lineRule="exact"/>
        <w:rPr>
          <w:rFonts w:ascii="Arial" w:cs="Arial" w:eastAsia="Arial" w:hAnsi="Arial"/>
          <w:sz w:val="19"/>
          <w:szCs w:val="19"/>
          <w:color w:val="auto"/>
        </w:rPr>
      </w:pPr>
    </w:p>
    <w:p>
      <w:pPr>
        <w:jc w:val="both"/>
        <w:ind w:firstLine="1304"/>
        <w:spacing w:after="0" w:line="297" w:lineRule="auto"/>
        <w:tabs>
          <w:tab w:leader="none" w:pos="2269"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 the last two (2) years, none of the Company or any Company Subsidiary has distributed stock of another Person or has had its stock distributed by another Person in a transaction that was purported or intended to be governed in whole or in part by Section 355 of the Code (or any similar applicable provision of state, local, or non-U.S. Law).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ind w:firstLine="1304"/>
        <w:spacing w:after="0" w:line="251" w:lineRule="auto"/>
        <w:tabs>
          <w:tab w:leader="none" w:pos="2323"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There are no Liens for material Taxes upon the assets of the Company or any Company Subsidiary, except for Permitted Liens.</w:t>
      </w:r>
    </w:p>
    <w:p>
      <w:pPr>
        <w:spacing w:after="0" w:line="227" w:lineRule="exact"/>
        <w:rPr>
          <w:rFonts w:ascii="Arial" w:cs="Arial" w:eastAsia="Arial" w:hAnsi="Arial"/>
          <w:sz w:val="22"/>
          <w:szCs w:val="22"/>
          <w:color w:val="auto"/>
        </w:rPr>
      </w:pPr>
    </w:p>
    <w:p>
      <w:pPr>
        <w:jc w:val="both"/>
        <w:ind w:firstLine="1304"/>
        <w:spacing w:after="0"/>
        <w:tabs>
          <w:tab w:leader="none" w:pos="2142"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Company or any of the Israeli Company Subsidiaries has not been a real property corporation (</w:t>
      </w:r>
      <w:r>
        <w:rPr>
          <w:rFonts w:ascii="Arial" w:cs="Arial" w:eastAsia="Arial" w:hAnsi="Arial"/>
          <w:sz w:val="22"/>
          <w:szCs w:val="22"/>
          <w:i w:val="1"/>
          <w:iCs w:val="1"/>
          <w:color w:val="auto"/>
        </w:rPr>
        <w:t>Igud</w:t>
      </w:r>
      <w:r>
        <w:rPr>
          <w:rFonts w:ascii="Arial" w:cs="Arial" w:eastAsia="Arial" w:hAnsi="Arial"/>
          <w:sz w:val="22"/>
          <w:szCs w:val="22"/>
          <w:color w:val="auto"/>
        </w:rPr>
        <w:t xml:space="preserve"> </w:t>
      </w:r>
      <w:r>
        <w:rPr>
          <w:rFonts w:ascii="Arial" w:cs="Arial" w:eastAsia="Arial" w:hAnsi="Arial"/>
          <w:sz w:val="22"/>
          <w:szCs w:val="22"/>
          <w:i w:val="1"/>
          <w:iCs w:val="1"/>
          <w:color w:val="auto"/>
        </w:rPr>
        <w:t>Mekarke’in</w:t>
      </w:r>
      <w:r>
        <w:rPr>
          <w:rFonts w:ascii="Arial" w:cs="Arial" w:eastAsia="Arial" w:hAnsi="Arial"/>
          <w:sz w:val="22"/>
          <w:szCs w:val="22"/>
          <w:color w:val="auto"/>
        </w:rPr>
        <w:t>) within the meaning of such term under Section 1 of the Israeli Land Taxation Law (Appreciation and Acquisition),</w:t>
      </w:r>
      <w:r>
        <w:rPr>
          <w:rFonts w:ascii="Arial" w:cs="Arial" w:eastAsia="Arial" w:hAnsi="Arial"/>
          <w:sz w:val="22"/>
          <w:szCs w:val="22"/>
          <w:i w:val="1"/>
          <w:iCs w:val="1"/>
          <w:color w:val="auto"/>
        </w:rPr>
        <w:t xml:space="preserve"> </w:t>
      </w:r>
      <w:r>
        <w:rPr>
          <w:rFonts w:ascii="Arial" w:cs="Arial" w:eastAsia="Arial" w:hAnsi="Arial"/>
          <w:sz w:val="22"/>
          <w:szCs w:val="22"/>
          <w:color w:val="auto"/>
        </w:rPr>
        <w:t>5723-1963 at any time since their incorporation.</w:t>
      </w:r>
    </w:p>
    <w:p>
      <w:pPr>
        <w:spacing w:after="0" w:line="240" w:lineRule="exact"/>
        <w:rPr>
          <w:rFonts w:ascii="Arial" w:cs="Arial" w:eastAsia="Arial" w:hAnsi="Arial"/>
          <w:sz w:val="22"/>
          <w:szCs w:val="22"/>
          <w:color w:val="auto"/>
        </w:rPr>
      </w:pPr>
    </w:p>
    <w:p>
      <w:pPr>
        <w:ind w:firstLine="1304"/>
        <w:spacing w:after="0" w:line="328" w:lineRule="auto"/>
        <w:tabs>
          <w:tab w:leader="none" w:pos="2269" w:val="left"/>
        </w:tabs>
        <w:numPr>
          <w:ilvl w:val="0"/>
          <w:numId w:val="56"/>
        </w:numPr>
        <w:rPr>
          <w:rFonts w:ascii="Arial" w:cs="Arial" w:eastAsia="Arial" w:hAnsi="Arial"/>
          <w:sz w:val="19"/>
          <w:szCs w:val="19"/>
          <w:color w:val="auto"/>
        </w:rPr>
      </w:pPr>
      <w:r>
        <w:rPr>
          <w:rFonts w:ascii="Arial" w:cs="Arial" w:eastAsia="Arial" w:hAnsi="Arial"/>
          <w:sz w:val="19"/>
          <w:szCs w:val="19"/>
          <w:color w:val="auto"/>
        </w:rPr>
        <w:t>Neither the Company nor any of the Company Subsidiaries is subject to any restrictions or limitations pursuant to Part E2 of the Ordinance or pursuant to any Tax ruling made with reference to the provisions of such Part E2.</w:t>
      </w:r>
    </w:p>
    <w:p>
      <w:pPr>
        <w:spacing w:after="0" w:line="158" w:lineRule="exact"/>
        <w:rPr>
          <w:rFonts w:ascii="Arial" w:cs="Arial" w:eastAsia="Arial" w:hAnsi="Arial"/>
          <w:sz w:val="19"/>
          <w:szCs w:val="19"/>
          <w:color w:val="auto"/>
        </w:rPr>
      </w:pPr>
    </w:p>
    <w:p>
      <w:pPr>
        <w:jc w:val="both"/>
        <w:ind w:firstLine="1304"/>
        <w:spacing w:after="0" w:line="275" w:lineRule="auto"/>
        <w:tabs>
          <w:tab w:leader="none" w:pos="2175"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Company and its Israeli Company Subsidiaries are duly registered for the purposes of Israeli value added tax (“</w:t>
      </w:r>
      <w:r>
        <w:rPr>
          <w:rFonts w:ascii="Arial" w:cs="Arial" w:eastAsia="Arial" w:hAnsi="Arial"/>
          <w:sz w:val="19"/>
          <w:szCs w:val="19"/>
          <w:u w:val="single" w:color="auto"/>
          <w:color w:val="auto"/>
        </w:rPr>
        <w:t>VAT</w:t>
      </w:r>
      <w:r>
        <w:rPr>
          <w:rFonts w:ascii="Arial" w:cs="Arial" w:eastAsia="Arial" w:hAnsi="Arial"/>
          <w:sz w:val="19"/>
          <w:szCs w:val="19"/>
          <w:color w:val="auto"/>
        </w:rPr>
        <w:t>”), and the Company and each of the Israeli Company Subsidiaries has complied in all material respects with all requirements concerning VAT. The Company and its Israeli Company Subsidiaries (i) have not made any exempt transactions (as defined in the Israel Value Added Tax Law of 1975) and there are no circumstances by reason of which there might not be an entitlement to full credit of all VAT chargeable or paid on inputs, supplies and other transactions and imports made by them, (ii) have collected and timely remitted to the relevant Governmental Authority all output VAT which are required to collect and remit under any applicable Law and (iii) have not received a refund for input VAT for which they are not entitled under any Law. No other non-Israeli Company Subsidiaries are required to effect Israeli VAT registration.</w:t>
      </w:r>
    </w:p>
    <w:p>
      <w:pPr>
        <w:spacing w:after="0" w:line="211" w:lineRule="exact"/>
        <w:rPr>
          <w:rFonts w:ascii="Arial" w:cs="Arial" w:eastAsia="Arial" w:hAnsi="Arial"/>
          <w:sz w:val="19"/>
          <w:szCs w:val="19"/>
          <w:color w:val="auto"/>
        </w:rPr>
      </w:pPr>
    </w:p>
    <w:p>
      <w:pPr>
        <w:jc w:val="both"/>
        <w:ind w:firstLine="1304"/>
        <w:spacing w:after="0" w:line="279" w:lineRule="auto"/>
        <w:tabs>
          <w:tab w:leader="none" w:pos="2142"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Company and each Company Subsidiary is and has been in compliance in all material respects with all applicable transfer pricing Laws, including the execution and maintenance of contemporaneous documentation substantiating the transfer pricing practice and methodology. The prices and terms for the provision of any loan, property or services provided by or to the Company and any Company Subsidiary are at arm’s length in all material respects and comply in all material respects with applicable transfer pricing Laws in all relevant jurisdictions. The Company and the Israeli Company Subsidiaries comply, and have always been compliant in all material respects with the requirements of Section 85A of the Ordinance.</w:t>
      </w:r>
    </w:p>
    <w:p>
      <w:pPr>
        <w:spacing w:after="0" w:line="204" w:lineRule="exact"/>
        <w:rPr>
          <w:rFonts w:ascii="Arial" w:cs="Arial" w:eastAsia="Arial" w:hAnsi="Arial"/>
          <w:sz w:val="19"/>
          <w:szCs w:val="19"/>
          <w:color w:val="auto"/>
        </w:rPr>
      </w:pPr>
    </w:p>
    <w:p>
      <w:pPr>
        <w:jc w:val="both"/>
        <w:ind w:firstLine="1304"/>
        <w:spacing w:after="0" w:line="273" w:lineRule="auto"/>
        <w:tabs>
          <w:tab w:leader="none" w:pos="2290"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Company has made available to Parent any Tax exemption, Tax holiday, or other Tax reduction agreement or Order, applied for or received by the Company or any Company Subsidiary in connection with Israeli Taxes, including any confirmation by the Investment Center of “Approved Enterprise” or “Benefitted Enterprise” status, and has been in compliance in all material respects with requirements under applicable Law and, if applicable, any ruling with respect to such exemption, holiday or other reduction agreement or Order. Furthermore, except as set forth on </w:t>
      </w:r>
      <w:r>
        <w:rPr>
          <w:rFonts w:ascii="Arial" w:cs="Arial" w:eastAsia="Arial" w:hAnsi="Arial"/>
          <w:sz w:val="19"/>
          <w:szCs w:val="19"/>
          <w:u w:val="single" w:color="auto"/>
          <w:color w:val="auto"/>
        </w:rPr>
        <w:t>Section 3.15(o)</w:t>
      </w:r>
      <w:r>
        <w:rPr>
          <w:rFonts w:ascii="Arial" w:cs="Arial" w:eastAsia="Arial" w:hAnsi="Arial"/>
          <w:sz w:val="19"/>
          <w:szCs w:val="19"/>
          <w:color w:val="auto"/>
        </w:rPr>
        <w:t xml:space="preserve"> of the Company Disclosure Letter, the Company and its Israeli Company Subsidiaries have not received any grants from the IIA or otherwise under the Law for the Encouragement of Industrial Research and Development, 1984; and there are no royalties, fees, repayments or other amounts due or payable by the Company or its Israeli Company Subsidiaries to any Governmental Authority with respect to any of the foregoing. Except with respect to grants as specified in the Company Disclosure Letter, no prior approval of any Governmental Authority related to Tax is required in order to consummate the Transactions, or to preserve entitlement of the Company or any of its Israeli Company Subsidiaries to any such incentive subsidy or benefit.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both"/>
        <w:ind w:firstLine="1304"/>
        <w:spacing w:after="0" w:line="272" w:lineRule="auto"/>
        <w:tabs>
          <w:tab w:leader="none" w:pos="2088"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of the Company share incentive plans that are intended to qualify as a capital gains route plan under Section 102(b)(2) or 102(b)(3) of the Ordinance (a “</w:t>
      </w:r>
      <w:r>
        <w:rPr>
          <w:rFonts w:ascii="Arial" w:cs="Arial" w:eastAsia="Arial" w:hAnsi="Arial"/>
          <w:sz w:val="19"/>
          <w:szCs w:val="19"/>
          <w:u w:val="single" w:color="auto"/>
          <w:color w:val="auto"/>
        </w:rPr>
        <w:t>102 Plan</w:t>
      </w:r>
      <w:r>
        <w:rPr>
          <w:rFonts w:ascii="Arial" w:cs="Arial" w:eastAsia="Arial" w:hAnsi="Arial"/>
          <w:sz w:val="19"/>
          <w:szCs w:val="19"/>
          <w:color w:val="auto"/>
        </w:rPr>
        <w:t>””) has received a favorable determination or approval letter from, or is otherwise approved by, or deemed approved by passage of time without objection by, the ITA. All Section 102 Awards which were issued under any 102 Plan were and are currently in material compliance with the applicable requirements of Section 102 (including the relevant sub-section of Section 102) and the written requirements and guidance of the ITA, including the filing of the necessary documents with the ITA, the grant of Section 102 Awards only following the lapse of the required 30 day period from the filing of the 102 Plan with the ITA, the receipt of the required signed award and/or grant agreements from holders of Section 102 Awards, the appointment of an authorized trustee to hold the Section 102 Awards, and the due deposit of such Section 102 Awards with such trustee pursuant to the terms of Section 102 of the Ordinance, and applicable regulations and rules and the guidance published by the ITA on July 24, 2012 and clarification dated November 6, 2012, as applicable, and will be entitled to capital gains treatment upon sale or cancelation thereof as part of the Transactions. All Tax rulings, opinions, correspondence, and filings with the ITA relating to the 102 Plan and any award thereunder have been made available to Parent.</w:t>
      </w:r>
    </w:p>
    <w:p>
      <w:pPr>
        <w:spacing w:after="0" w:line="215" w:lineRule="exact"/>
        <w:rPr>
          <w:rFonts w:ascii="Arial" w:cs="Arial" w:eastAsia="Arial" w:hAnsi="Arial"/>
          <w:sz w:val="19"/>
          <w:szCs w:val="19"/>
          <w:color w:val="auto"/>
        </w:rPr>
      </w:pPr>
    </w:p>
    <w:p>
      <w:pPr>
        <w:jc w:val="both"/>
        <w:ind w:firstLine="1304"/>
        <w:spacing w:after="0" w:line="282" w:lineRule="auto"/>
        <w:tabs>
          <w:tab w:leader="none" w:pos="2101"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Except with respect to shares of the Company as set forth in the Company Disclosure Letter, no shares of the Company were issued to any employee of the Company or any Company Subsidiaries or have at any time been subject to “reverse vesting” or a repurchase option (or any similar arrangement) in favor of the Company or any Company Subsidiaries, nor have any shares of the Company been issued to any Person which are the result of the conversion of any convertible instrument or are held for the benefit of any beneficiary by a third party (such as a trustee nominee or otherwise, other than the 102 Trustee).</w:t>
      </w:r>
    </w:p>
    <w:p>
      <w:pPr>
        <w:spacing w:after="0" w:line="201" w:lineRule="exact"/>
        <w:rPr>
          <w:rFonts w:ascii="Arial" w:cs="Arial" w:eastAsia="Arial" w:hAnsi="Arial"/>
          <w:sz w:val="19"/>
          <w:szCs w:val="19"/>
          <w:color w:val="auto"/>
        </w:rPr>
      </w:pPr>
    </w:p>
    <w:p>
      <w:pPr>
        <w:ind w:firstLine="1304"/>
        <w:spacing w:after="0" w:line="250" w:lineRule="auto"/>
        <w:tabs>
          <w:tab w:leader="none" w:pos="2133" w:val="left"/>
        </w:tabs>
        <w:numPr>
          <w:ilvl w:val="0"/>
          <w:numId w:val="57"/>
        </w:numPr>
        <w:rPr>
          <w:rFonts w:ascii="Arial" w:cs="Arial" w:eastAsia="Arial" w:hAnsi="Arial"/>
          <w:sz w:val="22"/>
          <w:szCs w:val="22"/>
          <w:color w:val="auto"/>
        </w:rPr>
      </w:pPr>
      <w:r>
        <w:rPr>
          <w:rFonts w:ascii="Arial" w:cs="Arial" w:eastAsia="Arial" w:hAnsi="Arial"/>
          <w:sz w:val="22"/>
          <w:szCs w:val="22"/>
          <w:color w:val="auto"/>
        </w:rPr>
        <w:t>None of the non-Israeli Company Subsidiaries is a controlled foreign corporation within the meaning of Section 75B of the Ordinance, nor has the Company ever held any interest in such corporation.</w:t>
      </w:r>
    </w:p>
    <w:p>
      <w:pPr>
        <w:spacing w:after="0" w:line="228" w:lineRule="exact"/>
        <w:rPr>
          <w:rFonts w:ascii="Arial" w:cs="Arial" w:eastAsia="Arial" w:hAnsi="Arial"/>
          <w:sz w:val="22"/>
          <w:szCs w:val="22"/>
          <w:color w:val="auto"/>
        </w:rPr>
      </w:pPr>
    </w:p>
    <w:p>
      <w:pPr>
        <w:jc w:val="both"/>
        <w:ind w:firstLine="1304"/>
        <w:spacing w:after="0"/>
        <w:tabs>
          <w:tab w:leader="none" w:pos="2064" w:val="left"/>
        </w:tabs>
        <w:numPr>
          <w:ilvl w:val="0"/>
          <w:numId w:val="57"/>
        </w:numPr>
        <w:rPr>
          <w:rFonts w:ascii="Arial" w:cs="Arial" w:eastAsia="Arial" w:hAnsi="Arial"/>
          <w:sz w:val="22"/>
          <w:szCs w:val="22"/>
          <w:color w:val="auto"/>
        </w:rPr>
      </w:pPr>
      <w:r>
        <w:rPr>
          <w:rFonts w:ascii="Arial" w:cs="Arial" w:eastAsia="Arial" w:hAnsi="Arial"/>
          <w:sz w:val="22"/>
          <w:szCs w:val="22"/>
          <w:color w:val="auto"/>
        </w:rPr>
        <w:t>Neither the Company nor any of the Company Subsidiaries has received any letter ruling or any other Tax ruling from any Governmental Authority, and no request for such a ruling is currently pending, except as specifically contemplated by this Agreement.</w:t>
      </w:r>
    </w:p>
    <w:p>
      <w:pPr>
        <w:spacing w:after="0" w:line="240" w:lineRule="exact"/>
        <w:rPr>
          <w:rFonts w:ascii="Arial" w:cs="Arial" w:eastAsia="Arial" w:hAnsi="Arial"/>
          <w:sz w:val="22"/>
          <w:szCs w:val="22"/>
          <w:color w:val="auto"/>
        </w:rPr>
      </w:pPr>
    </w:p>
    <w:p>
      <w:pPr>
        <w:jc w:val="both"/>
        <w:ind w:firstLine="1304"/>
        <w:spacing w:after="0" w:line="238" w:lineRule="auto"/>
        <w:tabs>
          <w:tab w:leader="none" w:pos="20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Company has made available to Parent: (i) accurate and complete copies of all material Tax Returns of the Company and the Company Subsidiaries relating to taxable periods ended on or after December 31, 2017; and (ii) any audit report issued by a Governmental Authority within the prior five years relating to any material Taxes due from or with respect to the Company or its Subsidiaries.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ind w:left="660"/>
        <w:spacing w:after="0"/>
        <w:tabs>
          <w:tab w:leader="none" w:pos="226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tabs>
          <w:tab w:leader="none" w:pos="2157"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Company and each Company Subsidiary is and, and since January 1, 2018 has at all times been, in compliance with all applicable Environmental Laws, except where the failure to comply would not reasonably be expected to have, individually or in the aggregate, a Company Material Adverse Effect.</w:t>
      </w:r>
    </w:p>
    <w:p>
      <w:pPr>
        <w:spacing w:after="0" w:line="240" w:lineRule="exact"/>
        <w:rPr>
          <w:rFonts w:ascii="Arial" w:cs="Arial" w:eastAsia="Arial" w:hAnsi="Arial"/>
          <w:sz w:val="22"/>
          <w:szCs w:val="22"/>
          <w:color w:val="auto"/>
        </w:rPr>
      </w:pPr>
    </w:p>
    <w:p>
      <w:pPr>
        <w:jc w:val="both"/>
        <w:ind w:firstLine="1304"/>
        <w:spacing w:after="0" w:line="275" w:lineRule="auto"/>
        <w:tabs>
          <w:tab w:leader="none" w:pos="2371"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none of the properties currently owned, leased or operated by the Company or any Company Subsidiary, or to the knowledge of the Company, any properties formerly owned, leased or operated by any Company Subsidiary (including soils and surface and ground waters), are contaminated with any Hazardous Substance that would be reasonably likely to cause the Company or any Company Subsidiary to incur liability or an obligation to investigate or remediate such Hazardous Substances, and to the knowledge of the Company, neither the Company nor any Company Subsidiary has disposed or arranged for the disposal of Hazardous Substances at any location that would be reasonably likely to cause the Company or any Company Subsidiary to incur liability pursuant to any Environmental Law.</w:t>
      </w:r>
    </w:p>
    <w:p>
      <w:pPr>
        <w:spacing w:after="0" w:line="211" w:lineRule="exact"/>
        <w:rPr>
          <w:rFonts w:ascii="Arial" w:cs="Arial" w:eastAsia="Arial" w:hAnsi="Arial"/>
          <w:sz w:val="19"/>
          <w:szCs w:val="19"/>
          <w:color w:val="auto"/>
        </w:rPr>
      </w:pPr>
    </w:p>
    <w:p>
      <w:pPr>
        <w:jc w:val="both"/>
        <w:ind w:firstLine="1304"/>
        <w:spacing w:after="0" w:line="279" w:lineRule="auto"/>
        <w:tabs>
          <w:tab w:leader="none" w:pos="2359"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neither the Company nor any Company Subsidiary has received any written notice, complaint, letter, request for information, notice of potential responsibility or other written communication regarding any actual or alleged noncompliance with or liability under Environmental Law or liability with respect to environmental matters pursuant to any Contract, excluding any matters where such notice or written communication was received prior to January 1, 2019 and such matter has been resolved with no further obligation or liability on the part of the Company or any Company Subsidiary.</w:t>
      </w:r>
    </w:p>
    <w:p>
      <w:pPr>
        <w:spacing w:after="0" w:line="204" w:lineRule="exact"/>
        <w:rPr>
          <w:rFonts w:ascii="Arial" w:cs="Arial" w:eastAsia="Arial" w:hAnsi="Arial"/>
          <w:sz w:val="19"/>
          <w:szCs w:val="19"/>
          <w:color w:val="auto"/>
        </w:rPr>
      </w:pPr>
    </w:p>
    <w:p>
      <w:pPr>
        <w:jc w:val="both"/>
        <w:ind w:firstLine="1304"/>
        <w:spacing w:after="0" w:line="249" w:lineRule="auto"/>
        <w:tabs>
          <w:tab w:leader="none" w:pos="2371" w:val="left"/>
        </w:tabs>
        <w:numPr>
          <w:ilvl w:val="0"/>
          <w:numId w:val="58"/>
        </w:numPr>
        <w:rPr>
          <w:rFonts w:ascii="Arial" w:cs="Arial" w:eastAsia="Arial" w:hAnsi="Arial"/>
          <w:sz w:val="21"/>
          <w:szCs w:val="21"/>
          <w:color w:val="auto"/>
        </w:rPr>
      </w:pPr>
      <w:r>
        <w:rPr>
          <w:rFonts w:ascii="Arial" w:cs="Arial" w:eastAsia="Arial" w:hAnsi="Arial"/>
          <w:sz w:val="21"/>
          <w:szCs w:val="21"/>
          <w:color w:val="auto"/>
        </w:rPr>
        <w:t>Except as would not reasonably be expected to have, individually or in the aggregate, a Company Material Adverse Effect, the Company and each Company Subsidiary possesses and is in compliance with all material permits, licenses, registrations, authorizations and approvals required under any Environmental Law (“</w:t>
      </w:r>
      <w:r>
        <w:rPr>
          <w:rFonts w:ascii="Arial" w:cs="Arial" w:eastAsia="Arial" w:hAnsi="Arial"/>
          <w:sz w:val="21"/>
          <w:szCs w:val="21"/>
          <w:u w:val="single" w:color="auto"/>
          <w:color w:val="auto"/>
        </w:rPr>
        <w:t>Environmental Permits</w:t>
      </w:r>
      <w:r>
        <w:rPr>
          <w:rFonts w:ascii="Arial" w:cs="Arial" w:eastAsia="Arial" w:hAnsi="Arial"/>
          <w:sz w:val="21"/>
          <w:szCs w:val="21"/>
          <w:color w:val="auto"/>
        </w:rPr>
        <w:t>”); all such Environmental Permits are in full force and effects; and there is no Action pending or, to the knowledge of the Company, threatening, to revoke, terminate, suspend or cancel any such Environmental Permits.</w:t>
      </w:r>
    </w:p>
    <w:p>
      <w:pPr>
        <w:spacing w:after="0" w:line="232" w:lineRule="exact"/>
        <w:rPr>
          <w:rFonts w:ascii="Arial" w:cs="Arial" w:eastAsia="Arial" w:hAnsi="Arial"/>
          <w:sz w:val="21"/>
          <w:szCs w:val="21"/>
          <w:color w:val="auto"/>
        </w:rPr>
      </w:pPr>
    </w:p>
    <w:p>
      <w:pPr>
        <w:jc w:val="both"/>
        <w:ind w:firstLine="1304"/>
        <w:spacing w:after="0" w:line="235" w:lineRule="auto"/>
        <w:tabs>
          <w:tab w:leader="none" w:pos="2170"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Except for Contracts entered into in the ordinary course of business (including Company Real Property Leases entered into in the ordinary course of business), to the knowledge of the Company and except as would not reasonably be expected to have, individually or in the aggregate, a Company Material Adverse Effect, neither the Company nor any Company Subsidiary has entered into any agreement that would reasonably be expected to require it to guarantee, reimburse, pledge, defend, hold harmless or indemnify any other party with respect to liabilities arising out of Environmental Laws or Hazardous Substances.</w:t>
      </w:r>
    </w:p>
    <w:p>
      <w:pPr>
        <w:spacing w:after="0" w:line="241" w:lineRule="exact"/>
        <w:rPr>
          <w:rFonts w:ascii="Arial" w:cs="Arial" w:eastAsia="Arial" w:hAnsi="Arial"/>
          <w:sz w:val="22"/>
          <w:szCs w:val="22"/>
          <w:color w:val="auto"/>
        </w:rPr>
      </w:pPr>
    </w:p>
    <w:p>
      <w:pPr>
        <w:jc w:val="both"/>
        <w:ind w:firstLine="1304"/>
        <w:spacing w:after="0" w:line="234" w:lineRule="auto"/>
        <w:tabs>
          <w:tab w:leader="none" w:pos="2349"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Except as would not reasonably be expected to have, individually or in the aggregate, a Company Material Adverse Effect, no claim, suit or proceeding arising under or pursuant to Environmental Laws is pending, or to the knowledge of the Company, threatened against the Company or any of its Company Subsidiaries, and neither the Company nor any Company Subsidiary is subject to any administrative, civil or criminal Order with respect to any Environmental Law or Hazardous Substances. No condition exists on any property, currently or formerly, owned or operated by the Company or any Company Subsidiary that has given rise to, or would reasonably be expected to give rise to, any liability or obligation under Environmental Laws, except as would not reasonably be expected to have, individually or in the aggregate, a Company Material Adverse Effect.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both"/>
        <w:ind w:firstLine="1304"/>
        <w:spacing w:after="0" w:line="279" w:lineRule="auto"/>
        <w:tabs>
          <w:tab w:leader="none" w:pos="2439"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Company has made available to Parent (i) the material assessments, reports, data, results of investigations or audits that are in its possession or reasonably available to it pertaining to environmental conditions at or relating to the Company Owned Real Property or real property leased by the Company or any Company Subsidiary; (ii) material documents and correspondence relating to (x) pending or threatened Actions or Orders pursuant to Environmental Law or with respect to Hazardous Substances and (y) material, unresolved violations of applicable Environmental Law; and (iii) current material Environmental Permits and pending applications for new or renewed Environmental Permits.</w:t>
      </w:r>
    </w:p>
    <w:p>
      <w:pPr>
        <w:spacing w:after="0" w:line="20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5" w:lineRule="auto"/>
        <w:tabs>
          <w:tab w:leader="none" w:pos="2089"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Section 3.17(a)</w:t>
      </w:r>
      <w:r>
        <w:rPr>
          <w:rFonts w:ascii="Arial" w:cs="Arial" w:eastAsia="Arial" w:hAnsi="Arial"/>
          <w:sz w:val="19"/>
          <w:szCs w:val="19"/>
          <w:color w:val="auto"/>
        </w:rPr>
        <w:t xml:space="preserve"> of the Company Disclosure Letter lists the following respective Contracts (other than any Company Plan) in effect as of the date of this Agreement (including all material amendments and supplements) to which the Company or any Company Subsidiary is a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Material Contracts will be deemed to include, without requirement of listing, any “material contract” (as such term is used in Item 601(b)(10) of Regulation S-K of the SEC) that is filed as an exhibit, without any redactions and including schedules and exhibits, to the Company Reports filed with the SEC prior to the date of this Agreement, other than any Company Plan) (“</w:t>
      </w:r>
      <w:r>
        <w:rPr>
          <w:rFonts w:ascii="Arial" w:cs="Arial" w:eastAsia="Arial" w:hAnsi="Arial"/>
          <w:sz w:val="19"/>
          <w:szCs w:val="19"/>
          <w:u w:val="single" w:color="auto"/>
          <w:color w:val="auto"/>
        </w:rPr>
        <w:t>Filed Company Contract</w:t>
      </w:r>
      <w:r>
        <w:rPr>
          <w:rFonts w:ascii="Arial" w:cs="Arial" w:eastAsia="Arial" w:hAnsi="Arial"/>
          <w:sz w:val="19"/>
          <w:szCs w:val="19"/>
          <w:color w:val="auto"/>
        </w:rPr>
        <w:t xml:space="preserve">”), such Contracts as are required to be set forth in </w:t>
      </w:r>
      <w:r>
        <w:rPr>
          <w:rFonts w:ascii="Arial" w:cs="Arial" w:eastAsia="Arial" w:hAnsi="Arial"/>
          <w:sz w:val="19"/>
          <w:szCs w:val="19"/>
          <w:u w:val="single" w:color="auto"/>
          <w:color w:val="auto"/>
        </w:rPr>
        <w:t>Section 3.17(a)</w:t>
      </w:r>
      <w:r>
        <w:rPr>
          <w:rFonts w:ascii="Arial" w:cs="Arial" w:eastAsia="Arial" w:hAnsi="Arial"/>
          <w:sz w:val="19"/>
          <w:szCs w:val="19"/>
          <w:color w:val="auto"/>
        </w:rPr>
        <w:t xml:space="preserve"> of the Company Disclosure Letter, any Company Real Property Lease and any Filed Company Contract, collectively being, the “</w:t>
      </w:r>
      <w:r>
        <w:rPr>
          <w:rFonts w:ascii="Arial" w:cs="Arial" w:eastAsia="Arial" w:hAnsi="Arial"/>
          <w:sz w:val="19"/>
          <w:szCs w:val="19"/>
          <w:u w:val="single" w:color="auto"/>
          <w:color w:val="auto"/>
        </w:rPr>
        <w:t>Company Material Contracts</w:t>
      </w:r>
      <w:r>
        <w:rPr>
          <w:rFonts w:ascii="Arial" w:cs="Arial" w:eastAsia="Arial" w:hAnsi="Arial"/>
          <w:sz w:val="19"/>
          <w:szCs w:val="19"/>
          <w:color w:val="auto"/>
        </w:rPr>
        <w:t>”:</w:t>
      </w:r>
    </w:p>
    <w:p>
      <w:pPr>
        <w:spacing w:after="0" w:line="224" w:lineRule="exact"/>
        <w:rPr>
          <w:rFonts w:ascii="Arial" w:cs="Arial" w:eastAsia="Arial" w:hAnsi="Arial"/>
          <w:sz w:val="19"/>
          <w:szCs w:val="19"/>
          <w:color w:val="auto"/>
        </w:rPr>
      </w:pPr>
    </w:p>
    <w:p>
      <w:pPr>
        <w:ind w:left="3020" w:hanging="1068"/>
        <w:spacing w:after="0"/>
        <w:tabs>
          <w:tab w:leader="none" w:pos="3020" w:val="left"/>
        </w:tabs>
        <w:numPr>
          <w:ilvl w:val="2"/>
          <w:numId w:val="60"/>
        </w:numPr>
        <w:rPr>
          <w:rFonts w:ascii="Arial" w:cs="Arial" w:eastAsia="Arial" w:hAnsi="Arial"/>
          <w:sz w:val="19"/>
          <w:szCs w:val="19"/>
          <w:color w:val="auto"/>
        </w:rPr>
      </w:pPr>
      <w:r>
        <w:rPr>
          <w:rFonts w:ascii="Arial" w:cs="Arial" w:eastAsia="Arial" w:hAnsi="Arial"/>
          <w:sz w:val="19"/>
          <w:szCs w:val="19"/>
          <w:color w:val="auto"/>
        </w:rPr>
        <w:t>each Contract with a Material Customer, a Material Supplier or a Material Reseller, excluding</w:t>
      </w:r>
    </w:p>
    <w:p>
      <w:pPr>
        <w:spacing w:after="0" w:line="55" w:lineRule="exact"/>
        <w:rPr>
          <w:rFonts w:ascii="Arial" w:cs="Arial" w:eastAsia="Arial" w:hAnsi="Arial"/>
          <w:sz w:val="19"/>
          <w:szCs w:val="19"/>
          <w:color w:val="auto"/>
        </w:rPr>
      </w:pPr>
    </w:p>
    <w:p>
      <w:pPr>
        <w:jc w:val="both"/>
        <w:ind w:left="660" w:hanging="4"/>
        <w:spacing w:after="0" w:line="275" w:lineRule="auto"/>
        <w:tabs>
          <w:tab w:leader="none" w:pos="1035" w:val="left"/>
        </w:tabs>
        <w:numPr>
          <w:ilvl w:val="0"/>
          <w:numId w:val="61"/>
        </w:numPr>
        <w:rPr>
          <w:rFonts w:ascii="Arial" w:cs="Arial" w:eastAsia="Arial" w:hAnsi="Arial"/>
          <w:sz w:val="21"/>
          <w:szCs w:val="21"/>
          <w:color w:val="auto"/>
        </w:rPr>
      </w:pPr>
      <w:r>
        <w:rPr>
          <w:rFonts w:ascii="Arial" w:cs="Arial" w:eastAsia="Arial" w:hAnsi="Arial"/>
          <w:sz w:val="21"/>
          <w:szCs w:val="21"/>
          <w:color w:val="auto"/>
        </w:rPr>
        <w:t>non-disclosure agreements, (B) sales acknowledgements, (C) purchase or service orders or statements of work that have been substantially satisfied and have no material ongoing obligations or liabilities, (D) Contracts under which the Company or any Company Subsidiary (1) paid less than $1,000,000 in fiscal year 2021 or (2) received less than $1,000,000 in fiscal year 2021 and (E) in the case of clauses (A) and (B), other similar documents entered into or provided in the ordinary course of business consistent with past practice;</w:t>
      </w:r>
    </w:p>
    <w:p>
      <w:pPr>
        <w:spacing w:after="0" w:line="232" w:lineRule="exact"/>
        <w:rPr>
          <w:rFonts w:ascii="Arial" w:cs="Arial" w:eastAsia="Arial" w:hAnsi="Arial"/>
          <w:sz w:val="21"/>
          <w:szCs w:val="21"/>
          <w:color w:val="auto"/>
        </w:rPr>
      </w:pPr>
    </w:p>
    <w:p>
      <w:pPr>
        <w:ind w:left="2980" w:hanging="1028"/>
        <w:spacing w:after="0"/>
        <w:tabs>
          <w:tab w:leader="none" w:pos="2980" w:val="left"/>
        </w:tabs>
        <w:numPr>
          <w:ilvl w:val="2"/>
          <w:numId w:val="61"/>
        </w:numPr>
        <w:rPr>
          <w:rFonts w:ascii="Arial" w:cs="Arial" w:eastAsia="Arial" w:hAnsi="Arial"/>
          <w:sz w:val="22"/>
          <w:szCs w:val="22"/>
          <w:color w:val="auto"/>
        </w:rPr>
      </w:pPr>
      <w:r>
        <w:rPr>
          <w:rFonts w:ascii="Arial" w:cs="Arial" w:eastAsia="Arial" w:hAnsi="Arial"/>
          <w:sz w:val="22"/>
          <w:szCs w:val="22"/>
          <w:color w:val="auto"/>
        </w:rPr>
        <w:t>any sole source supply Contract with one of the Material Suppliers;</w:t>
      </w:r>
    </w:p>
    <w:p>
      <w:pPr>
        <w:spacing w:after="0" w:line="287" w:lineRule="exact"/>
        <w:rPr>
          <w:rFonts w:ascii="Arial" w:cs="Arial" w:eastAsia="Arial" w:hAnsi="Arial"/>
          <w:sz w:val="22"/>
          <w:szCs w:val="22"/>
          <w:color w:val="auto"/>
        </w:rPr>
      </w:pPr>
    </w:p>
    <w:p>
      <w:pPr>
        <w:jc w:val="both"/>
        <w:ind w:left="660" w:firstLine="1292"/>
        <w:spacing w:after="0" w:line="327" w:lineRule="auto"/>
        <w:tabs>
          <w:tab w:leader="none" w:pos="3022" w:val="left"/>
        </w:tabs>
        <w:numPr>
          <w:ilvl w:val="2"/>
          <w:numId w:val="61"/>
        </w:numPr>
        <w:rPr>
          <w:rFonts w:ascii="Arial" w:cs="Arial" w:eastAsia="Arial" w:hAnsi="Arial"/>
          <w:sz w:val="19"/>
          <w:szCs w:val="19"/>
          <w:color w:val="auto"/>
        </w:rPr>
      </w:pPr>
      <w:r>
        <w:rPr>
          <w:rFonts w:ascii="Arial" w:cs="Arial" w:eastAsia="Arial" w:hAnsi="Arial"/>
          <w:sz w:val="19"/>
          <w:szCs w:val="19"/>
          <w:color w:val="auto"/>
        </w:rPr>
        <w:t>all Government Contracts, including any Contract providing for (A) Government Grants from the IIA or any other Israeli Governmental Authority, which Government Grant is extended to support the Company’s research and development operations, or (B) material Government Grants from any other Governmental Authority;</w:t>
      </w:r>
    </w:p>
    <w:p>
      <w:pPr>
        <w:spacing w:after="0" w:line="186" w:lineRule="exact"/>
        <w:rPr>
          <w:rFonts w:ascii="Arial" w:cs="Arial" w:eastAsia="Arial" w:hAnsi="Arial"/>
          <w:sz w:val="19"/>
          <w:szCs w:val="19"/>
          <w:color w:val="auto"/>
        </w:rPr>
      </w:pPr>
    </w:p>
    <w:p>
      <w:pPr>
        <w:jc w:val="both"/>
        <w:ind w:left="660" w:firstLine="1292"/>
        <w:spacing w:after="0" w:line="272" w:lineRule="auto"/>
        <w:tabs>
          <w:tab w:leader="none" w:pos="2997" w:val="left"/>
        </w:tabs>
        <w:numPr>
          <w:ilvl w:val="2"/>
          <w:numId w:val="61"/>
        </w:numPr>
        <w:rPr>
          <w:rFonts w:ascii="Arial" w:cs="Arial" w:eastAsia="Arial" w:hAnsi="Arial"/>
          <w:sz w:val="21"/>
          <w:szCs w:val="21"/>
          <w:color w:val="auto"/>
        </w:rPr>
      </w:pPr>
      <w:r>
        <w:rPr>
          <w:rFonts w:ascii="Arial" w:cs="Arial" w:eastAsia="Arial" w:hAnsi="Arial"/>
          <w:sz w:val="21"/>
          <w:szCs w:val="21"/>
          <w:color w:val="auto"/>
        </w:rPr>
        <w:t>all Contracts that (A) materially limit or purport to materially limit the ability of the Company or any Company Subsidiary or, upon the consummation of the Merger, Parent or any Parent Subsidiary, to compete with any Person, in any line of business, market or field, or develop, sell, supply, manufacture, market or distribute any material product, service or technology, in each case, in any geographic area or during any period of time on or after the date hereof, (B) pursuant to which a third party is granted exclusivity rights (other than customization work for customers in the ordinary course of business consistent with past practice), (C) materially limit or purport to materially limit the Company’s ability to make any products, services, or technology or (D) subject the Company or any Company Subsidiary or Parent or any of its Subsidiaries to any “most-favored nation” provision, “take or pay” or minimum purchase or supply requirements;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both"/>
        <w:ind w:left="-460" w:firstLine="1292"/>
        <w:spacing w:after="0" w:line="261" w:lineRule="auto"/>
        <w:tabs>
          <w:tab w:leader="none" w:pos="2033"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Contract providing for the disposition or acquisition by the Company or any Company Subsidiary directly or indirectly (by merger, license or otherwise) of assets or equity ownership interests for consideration in excess of $5,000,000 (other than acquisitions of inventory, equipment or raw materials in the ordinary course of business consistent with past practice) or containing material continuing indemnification obligations, “earn-out” provisions or other material contingent payment obligations;</w:t>
      </w:r>
    </w:p>
    <w:p>
      <w:pPr>
        <w:spacing w:after="0" w:line="244" w:lineRule="exact"/>
        <w:rPr>
          <w:rFonts w:ascii="Arial" w:cs="Arial" w:eastAsia="Arial" w:hAnsi="Arial"/>
          <w:sz w:val="22"/>
          <w:szCs w:val="22"/>
          <w:color w:val="auto"/>
        </w:rPr>
      </w:pPr>
    </w:p>
    <w:p>
      <w:pPr>
        <w:jc w:val="both"/>
        <w:ind w:left="-460" w:firstLine="1292"/>
        <w:spacing w:after="0" w:line="271" w:lineRule="auto"/>
        <w:tabs>
          <w:tab w:leader="none" w:pos="1863" w:val="left"/>
        </w:tabs>
        <w:numPr>
          <w:ilvl w:val="0"/>
          <w:numId w:val="62"/>
        </w:numPr>
        <w:rPr>
          <w:rFonts w:ascii="Arial" w:cs="Arial" w:eastAsia="Arial" w:hAnsi="Arial"/>
          <w:sz w:val="21"/>
          <w:szCs w:val="21"/>
          <w:color w:val="auto"/>
        </w:rPr>
      </w:pPr>
      <w:r>
        <w:rPr>
          <w:rFonts w:ascii="Arial" w:cs="Arial" w:eastAsia="Arial" w:hAnsi="Arial"/>
          <w:sz w:val="21"/>
          <w:szCs w:val="21"/>
          <w:color w:val="auto"/>
        </w:rPr>
        <w:t>each Contract that is (A) an indenture, credit agreement, loan agreement, security agreement, guarantee of, note, mortgage or other agreement providing for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in excess of $1,000,000, (B) materially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taken as a whole or (D) is an interest rate derivative, currency derivative, forward purchasing, swap or other hedging contract;</w:t>
      </w:r>
    </w:p>
    <w:p>
      <w:pPr>
        <w:spacing w:after="0" w:line="243" w:lineRule="exact"/>
        <w:rPr>
          <w:rFonts w:ascii="Arial" w:cs="Arial" w:eastAsia="Arial" w:hAnsi="Arial"/>
          <w:sz w:val="21"/>
          <w:szCs w:val="21"/>
          <w:color w:val="auto"/>
        </w:rPr>
      </w:pPr>
    </w:p>
    <w:p>
      <w:pPr>
        <w:jc w:val="both"/>
        <w:ind w:left="-460" w:firstLine="1292"/>
        <w:spacing w:after="0" w:line="266" w:lineRule="auto"/>
        <w:tabs>
          <w:tab w:leader="none" w:pos="2018"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Contracts establishing a partnership, joint venture or other similar organizational form or that relates to the formation, operation, management or control of any such partnership, joint venture or similar organizational form;</w:t>
      </w:r>
    </w:p>
    <w:p>
      <w:pPr>
        <w:spacing w:after="0" w:line="238" w:lineRule="exact"/>
        <w:rPr>
          <w:rFonts w:ascii="Arial" w:cs="Arial" w:eastAsia="Arial" w:hAnsi="Arial"/>
          <w:sz w:val="22"/>
          <w:szCs w:val="22"/>
          <w:color w:val="auto"/>
        </w:rPr>
      </w:pPr>
    </w:p>
    <w:p>
      <w:pPr>
        <w:jc w:val="both"/>
        <w:ind w:left="-460" w:firstLine="1292"/>
        <w:spacing w:after="0" w:line="311" w:lineRule="auto"/>
        <w:tabs>
          <w:tab w:leader="none" w:pos="1929" w:val="left"/>
        </w:tabs>
        <w:numPr>
          <w:ilvl w:val="0"/>
          <w:numId w:val="62"/>
        </w:numPr>
        <w:rPr>
          <w:rFonts w:ascii="Arial" w:cs="Arial" w:eastAsia="Arial" w:hAnsi="Arial"/>
          <w:sz w:val="19"/>
          <w:szCs w:val="19"/>
          <w:color w:val="auto"/>
        </w:rPr>
      </w:pPr>
      <w:r>
        <w:rPr>
          <w:rFonts w:ascii="Arial" w:cs="Arial" w:eastAsia="Arial" w:hAnsi="Arial"/>
          <w:sz w:val="19"/>
          <w:szCs w:val="19"/>
          <w:color w:val="auto"/>
        </w:rPr>
        <w:t>all Contracts (excluding licenses for commercially available components or Software that are generally available on nondiscriminatory pricing terms) under which the Company or any Company Subsidiary is assigned or granted any license, option or immunity (including a covenant not to be sued or right to enforce or prosecute any Patents) with respect to, any Intellectual Property of a Third Party that is material to the Company Products and Technology or otherwise material to the conduct of the business of the Company or any Company Subsidiary;</w:t>
      </w:r>
    </w:p>
    <w:p>
      <w:pPr>
        <w:spacing w:after="0" w:line="204" w:lineRule="exact"/>
        <w:rPr>
          <w:rFonts w:ascii="Arial" w:cs="Arial" w:eastAsia="Arial" w:hAnsi="Arial"/>
          <w:sz w:val="19"/>
          <w:szCs w:val="19"/>
          <w:color w:val="auto"/>
        </w:rPr>
      </w:pPr>
    </w:p>
    <w:p>
      <w:pPr>
        <w:jc w:val="both"/>
        <w:ind w:left="-460" w:firstLine="1292"/>
        <w:spacing w:after="0" w:line="259" w:lineRule="auto"/>
        <w:tabs>
          <w:tab w:leader="none" w:pos="189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Contracts (excluding non-exclusive licenses with respect to sales, testing and evaluation of Company Products and Technology (or products of third parties to the extent fabricated by the Company or a Company Subsidiary) in the ordinary course of business or licenses for commercially available components or Software that are generally available on nondiscriminatory pricing terms) under which the Company or any Company Subsidiary has assigned to a Third Party, or granted to a Third Party any material license, option, financial interest or immunity (including a covenant not to be sued or right to enforce or prosecute any Patents) with respect to material Company Owned Intellectual Property;</w:t>
      </w:r>
    </w:p>
    <w:p>
      <w:pPr>
        <w:spacing w:after="0" w:line="200" w:lineRule="exact"/>
        <w:rPr>
          <w:sz w:val="20"/>
          <w:szCs w:val="20"/>
          <w:color w:val="auto"/>
        </w:rPr>
      </w:pPr>
    </w:p>
    <w:p>
      <w:pPr>
        <w:spacing w:after="0" w:line="2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53" w:name="page54"/>
    <w:bookmarkEnd w:id="53"/>
    <w:p>
      <w:pPr>
        <w:jc w:val="both"/>
        <w:ind w:left="-460" w:firstLine="1292"/>
        <w:spacing w:after="0" w:line="262" w:lineRule="auto"/>
        <w:tabs>
          <w:tab w:leader="none" w:pos="1911" w:val="left"/>
        </w:tabs>
        <w:numPr>
          <w:ilvl w:val="0"/>
          <w:numId w:val="63"/>
        </w:numPr>
        <w:rPr>
          <w:rFonts w:ascii="Arial" w:cs="Arial" w:eastAsia="Arial" w:hAnsi="Arial"/>
          <w:sz w:val="22"/>
          <w:szCs w:val="22"/>
          <w:color w:val="auto"/>
        </w:rPr>
      </w:pPr>
      <w:r>
        <w:rPr>
          <w:rFonts w:ascii="Arial" w:cs="Arial" w:eastAsia="Arial" w:hAnsi="Arial"/>
          <w:sz w:val="22"/>
          <w:szCs w:val="22"/>
          <w:color w:val="auto"/>
        </w:rPr>
        <w:t>all Contracts, in connection with the settlement or other resolution of any Action that has any material continuing obligation (other than confidentiality obligations), liability or restriction on the part of the Company or the Company Subsidiaries or that would require the Company or any of its Subsidiaries to pay consideration of more than $1,000,000 after the date of this Agreement;</w:t>
      </w:r>
    </w:p>
    <w:p>
      <w:pPr>
        <w:spacing w:after="0" w:line="245" w:lineRule="exact"/>
        <w:rPr>
          <w:rFonts w:ascii="Arial" w:cs="Arial" w:eastAsia="Arial" w:hAnsi="Arial"/>
          <w:sz w:val="22"/>
          <w:szCs w:val="22"/>
          <w:color w:val="auto"/>
        </w:rPr>
      </w:pPr>
    </w:p>
    <w:p>
      <w:pPr>
        <w:ind w:left="-460" w:right="20" w:firstLine="1292"/>
        <w:spacing w:after="0" w:line="276" w:lineRule="auto"/>
        <w:tabs>
          <w:tab w:leader="none" w:pos="2228"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Contract for capital expenditures requiring future payments by the Company or the Company Subsidiaries in excess of $1,000,000 with respect to any project or series of projects;</w:t>
      </w:r>
    </w:p>
    <w:p>
      <w:pPr>
        <w:spacing w:after="0" w:line="228" w:lineRule="exact"/>
        <w:rPr>
          <w:rFonts w:ascii="Arial" w:cs="Arial" w:eastAsia="Arial" w:hAnsi="Arial"/>
          <w:sz w:val="22"/>
          <w:szCs w:val="22"/>
          <w:color w:val="auto"/>
        </w:rPr>
      </w:pPr>
    </w:p>
    <w:p>
      <w:pPr>
        <w:jc w:val="both"/>
        <w:ind w:left="-460" w:firstLine="1292"/>
        <w:spacing w:after="0" w:line="317" w:lineRule="auto"/>
        <w:tabs>
          <w:tab w:leader="none" w:pos="1761"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Contract that contains any provisions requiring the Company or any Company Subsidiary to indemnify any other party (excluding indemnities contained in agreements in connection with the purchase, sale or license of Company Products or indemnities in connection with receipt of products or services from vendors in the ordinary course of business), which indemnity is material to the Company and the Company Subsidiaries, taken as a whole;</w:t>
      </w:r>
    </w:p>
    <w:p>
      <w:pPr>
        <w:spacing w:after="0" w:line="195" w:lineRule="exact"/>
        <w:rPr>
          <w:rFonts w:ascii="Arial" w:cs="Arial" w:eastAsia="Arial" w:hAnsi="Arial"/>
          <w:sz w:val="19"/>
          <w:szCs w:val="19"/>
          <w:color w:val="auto"/>
        </w:rPr>
      </w:pPr>
    </w:p>
    <w:p>
      <w:pPr>
        <w:jc w:val="both"/>
        <w:ind w:left="-460" w:firstLine="1292"/>
        <w:spacing w:after="0" w:line="266" w:lineRule="auto"/>
        <w:tabs>
          <w:tab w:leader="none" w:pos="201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Contract with (A) any current or former officer or director of the Company or any of their immediate family members (other than any Company Plans), or (B) any “controlling shareholder” of the Company (as defined in the ICL);</w:t>
      </w:r>
    </w:p>
    <w:p>
      <w:pPr>
        <w:spacing w:after="0" w:line="238" w:lineRule="exact"/>
        <w:rPr>
          <w:rFonts w:ascii="Arial" w:cs="Arial" w:eastAsia="Arial" w:hAnsi="Arial"/>
          <w:sz w:val="22"/>
          <w:szCs w:val="22"/>
          <w:color w:val="auto"/>
        </w:rPr>
      </w:pPr>
    </w:p>
    <w:p>
      <w:pPr>
        <w:jc w:val="both"/>
        <w:ind w:left="-460" w:firstLine="1292"/>
        <w:spacing w:after="0" w:line="311" w:lineRule="auto"/>
        <w:tabs>
          <w:tab w:leader="none" w:pos="2268"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Contract (A) restricting or otherwise relating to the acquisition, issuance, voting, registration, sale or transfer of any securities, (B) providing any Person with any preemptive right, right of participation, right of maintenance or any similar right with respect to any Company Securities or (C) providing the Company or any of the Company Subsidiaries with any right of first refusal with respect to, or right to purchase or otherwise acquire, any securities, other than with respect to investments by the Company in an amount less than $1,000,000 in any Person;</w:t>
      </w:r>
    </w:p>
    <w:p>
      <w:pPr>
        <w:spacing w:after="0" w:line="204" w:lineRule="exact"/>
        <w:rPr>
          <w:rFonts w:ascii="Arial" w:cs="Arial" w:eastAsia="Arial" w:hAnsi="Arial"/>
          <w:sz w:val="19"/>
          <w:szCs w:val="19"/>
          <w:color w:val="auto"/>
        </w:rPr>
      </w:pPr>
    </w:p>
    <w:p>
      <w:pPr>
        <w:jc w:val="both"/>
        <w:ind w:left="-460" w:firstLine="1292"/>
        <w:spacing w:after="0" w:line="266" w:lineRule="auto"/>
        <w:tabs>
          <w:tab w:leader="none" w:pos="1803"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each Contract not otherwise described in any other subsection of this </w:t>
      </w:r>
      <w:r>
        <w:rPr>
          <w:rFonts w:ascii="Arial" w:cs="Arial" w:eastAsia="Arial" w:hAnsi="Arial"/>
          <w:sz w:val="22"/>
          <w:szCs w:val="22"/>
          <w:u w:val="single" w:color="auto"/>
          <w:color w:val="auto"/>
        </w:rPr>
        <w:t>Section 3.17(a)</w:t>
      </w:r>
      <w:r>
        <w:rPr>
          <w:rFonts w:ascii="Arial" w:cs="Arial" w:eastAsia="Arial" w:hAnsi="Arial"/>
          <w:sz w:val="22"/>
          <w:szCs w:val="22"/>
          <w:color w:val="auto"/>
        </w:rPr>
        <w:t xml:space="preserve"> that would constitute a “material contract” (as such term is defined in Item 601(b)(10) of Regulation S-K as promulgated by the SEC) with respect to the Company; and</w:t>
      </w:r>
    </w:p>
    <w:p>
      <w:pPr>
        <w:spacing w:after="0" w:line="238" w:lineRule="exact"/>
        <w:rPr>
          <w:rFonts w:ascii="Arial" w:cs="Arial" w:eastAsia="Arial" w:hAnsi="Arial"/>
          <w:sz w:val="22"/>
          <w:szCs w:val="22"/>
          <w:color w:val="auto"/>
        </w:rPr>
      </w:pPr>
    </w:p>
    <w:p>
      <w:pPr>
        <w:jc w:val="both"/>
        <w:ind w:left="-460" w:firstLine="1292"/>
        <w:spacing w:after="0" w:line="266" w:lineRule="auto"/>
        <w:tabs>
          <w:tab w:leader="none" w:pos="1904"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Contract, or group of related Contracts with a Person (or group of affiliated Persons), the termination or breach of which would or would reasonably be expected to have a Company Material Adverse Effect and is not disclosed pursuant to clauses (i) through (xv) above.</w:t>
      </w: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54" w:name="page55"/>
    <w:bookmarkEnd w:id="54"/>
    <w:p>
      <w:pPr>
        <w:jc w:val="both"/>
        <w:ind w:firstLine="1304"/>
        <w:spacing w:after="0" w:line="270" w:lineRule="auto"/>
        <w:tabs>
          <w:tab w:leader="none" w:pos="2506" w:val="left"/>
        </w:tabs>
        <w:numPr>
          <w:ilvl w:val="0"/>
          <w:numId w:val="64"/>
        </w:numPr>
        <w:rPr>
          <w:rFonts w:ascii="Arial" w:cs="Arial" w:eastAsia="Arial" w:hAnsi="Arial"/>
          <w:sz w:val="19"/>
          <w:szCs w:val="19"/>
          <w:color w:val="auto"/>
        </w:rPr>
      </w:pPr>
      <w:r>
        <w:rPr>
          <w:rFonts w:ascii="Arial" w:cs="Arial" w:eastAsia="Arial" w:hAnsi="Arial"/>
          <w:sz w:val="19"/>
          <w:szCs w:val="19"/>
          <w:color w:val="auto"/>
        </w:rPr>
        <w:t>Except as would not reasonably be expected to be material to the Company and the Company Subsidiaries, as a whole, each Company Material Contract is a legal, valid and binding agreement and, to the knowledge of the Company, is in full force and effect and enforceable against the Company or the applicable Company Subsidiary in accordance with its terms (except that (A) such enforcement may be subject to applicable bankruptcy, insolvency, reorganization, moratorium or other similar Laws, now or hereafter in effect, affecting creditors’ rights generally, and (B) the remedy of specific performance and injunctive and other forms of equitable relief may be subject to equitable defenses and to the discretion of the court before which any proceeding therefor may be brought). Except as would not reasonably be expected to be material to the Company and the Company Subsidiaries, as a whole, (i) the Company or the Company Subsidiary, as applicable, is not in default under any Company Material Contract, and has not committed or failed to perform any act that, and, to the knowledge of the Company, no circumstances exist and no event has occurred that, with or without notice, lapse of time, or both, would constitute a default under or would result in the acceleration of any obligation or loss of a benefit of the Company or a Company Subsidiary pursuant to, result in the creation of a Lien on any property or asset of the Company or any Company Subsidiary pursuant to, or give rise to a right of termination or cancellation pursuant to the Company Material Contract, (ii) to the knowledge of the Company, no other party is in breach or violation of, or default under, any Company Material Contract and (iii) as of the date of this Agreement, neither the Company nor any of its Subsidiaries has received any written notice from any other party to any such Company Material Contract that such party intends to terminate, or not renew, any such Company Material Contract. The Company has made available to Parent true and complete copies of all Company Material Contracts, including any material amendments and supplements thereto.</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Nasdaq and TASE; No Other Listing</w:t>
      </w:r>
      <w:r>
        <w:rPr>
          <w:rFonts w:ascii="Arial" w:cs="Arial" w:eastAsia="Arial" w:hAnsi="Arial"/>
          <w:sz w:val="19"/>
          <w:szCs w:val="19"/>
          <w:color w:val="auto"/>
        </w:rPr>
        <w:t>. The Company is in compliance in all material respects with the applicable criteria for continued listing of the Company Shares on Nasdaq and on TASE, including all applicable corporate governance rules and regulations. The Company Shares are not listed on any stock exchange other than Nasdaq and TASE.</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19"/>
          <w:szCs w:val="19"/>
          <w:u w:val="single" w:color="auto"/>
          <w:color w:val="auto"/>
        </w:rPr>
        <w:t>Material Customers, Suppliers and Resellers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35" w:lineRule="auto"/>
        <w:tabs>
          <w:tab w:leader="none" w:pos="2224"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Section 3.19(a)</w:t>
      </w:r>
      <w:r>
        <w:rPr>
          <w:rFonts w:ascii="Arial" w:cs="Arial" w:eastAsia="Arial" w:hAnsi="Arial"/>
          <w:sz w:val="22"/>
          <w:szCs w:val="22"/>
          <w:color w:val="auto"/>
        </w:rPr>
        <w:t xml:space="preserve"> of the Company Disclosure Letter sets forth a list of the top ten (10) customers of the Company and the Company Subsidiaries by revenue received during the twelve (12) month period ending December 31, 2021 (each, a “</w:t>
      </w:r>
      <w:r>
        <w:rPr>
          <w:rFonts w:ascii="Arial" w:cs="Arial" w:eastAsia="Arial" w:hAnsi="Arial"/>
          <w:sz w:val="22"/>
          <w:szCs w:val="22"/>
          <w:u w:val="single" w:color="auto"/>
          <w:color w:val="auto"/>
        </w:rPr>
        <w:t>Material Customer</w:t>
      </w:r>
      <w:r>
        <w:rPr>
          <w:rFonts w:ascii="Arial" w:cs="Arial" w:eastAsia="Arial" w:hAnsi="Arial"/>
          <w:sz w:val="22"/>
          <w:szCs w:val="22"/>
          <w:color w:val="auto"/>
        </w:rPr>
        <w:t>”). As of the date hereof, neither the Company nor any Company Subsidiary has received any written notice from any Material Customer that such Material Customer shall not continue as a customer of the Company or that such Material Customer intends to terminate or materially and adversely modify its existing Contracts with the Company or the Company Subsidiaries.</w:t>
      </w:r>
    </w:p>
    <w:p>
      <w:pPr>
        <w:spacing w:after="0" w:line="241" w:lineRule="exact"/>
        <w:rPr>
          <w:rFonts w:ascii="Arial" w:cs="Arial" w:eastAsia="Arial" w:hAnsi="Arial"/>
          <w:sz w:val="22"/>
          <w:szCs w:val="22"/>
          <w:color w:val="auto"/>
        </w:rPr>
      </w:pPr>
    </w:p>
    <w:p>
      <w:pPr>
        <w:jc w:val="both"/>
        <w:ind w:firstLine="1304"/>
        <w:spacing w:after="0" w:line="282" w:lineRule="auto"/>
        <w:tabs>
          <w:tab w:leader="none" w:pos="233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Section 3.19(b)</w:t>
      </w:r>
      <w:r>
        <w:rPr>
          <w:rFonts w:ascii="Arial" w:cs="Arial" w:eastAsia="Arial" w:hAnsi="Arial"/>
          <w:sz w:val="19"/>
          <w:szCs w:val="19"/>
          <w:color w:val="auto"/>
        </w:rPr>
        <w:t xml:space="preserve"> of the Company Disclosure Letter sets forth a list of the top ten (10) suppliers and vendors of the Company by spend during the twelve (12) month period ending December 31, 2021 (each, a “</w:t>
      </w:r>
      <w:r>
        <w:rPr>
          <w:rFonts w:ascii="Arial" w:cs="Arial" w:eastAsia="Arial" w:hAnsi="Arial"/>
          <w:sz w:val="19"/>
          <w:szCs w:val="19"/>
          <w:u w:val="single" w:color="auto"/>
          <w:color w:val="auto"/>
        </w:rPr>
        <w:t>Material Supplier</w:t>
      </w:r>
      <w:r>
        <w:rPr>
          <w:rFonts w:ascii="Arial" w:cs="Arial" w:eastAsia="Arial" w:hAnsi="Arial"/>
          <w:sz w:val="19"/>
          <w:szCs w:val="19"/>
          <w:color w:val="auto"/>
        </w:rPr>
        <w:t>”). As of the date hereof, neither the Company nor any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Subsidiaries.</w:t>
      </w:r>
    </w:p>
    <w:p>
      <w:pPr>
        <w:spacing w:after="0" w:line="201" w:lineRule="exact"/>
        <w:rPr>
          <w:rFonts w:ascii="Arial" w:cs="Arial" w:eastAsia="Arial" w:hAnsi="Arial"/>
          <w:sz w:val="19"/>
          <w:szCs w:val="19"/>
          <w:color w:val="auto"/>
        </w:rPr>
      </w:pPr>
    </w:p>
    <w:p>
      <w:pPr>
        <w:jc w:val="both"/>
        <w:ind w:firstLine="1304"/>
        <w:spacing w:after="0" w:line="234" w:lineRule="auto"/>
        <w:tabs>
          <w:tab w:leader="none" w:pos="2197"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Section 3.19(c)</w:t>
      </w:r>
      <w:r>
        <w:rPr>
          <w:rFonts w:ascii="Arial" w:cs="Arial" w:eastAsia="Arial" w:hAnsi="Arial"/>
          <w:sz w:val="22"/>
          <w:szCs w:val="22"/>
          <w:color w:val="auto"/>
        </w:rPr>
        <w:t xml:space="preserve"> of the Company Disclosure Letter sets forth a list of the resellers, distributors, or sales agents for the Company Products and Technology with revenue received therefrom by the Company or any Company Subsidiary during the twelve month period ending December 31, 2021 in excess of $250,000 (each, a “</w:t>
      </w:r>
      <w:r>
        <w:rPr>
          <w:rFonts w:ascii="Arial" w:cs="Arial" w:eastAsia="Arial" w:hAnsi="Arial"/>
          <w:sz w:val="22"/>
          <w:szCs w:val="22"/>
          <w:u w:val="single" w:color="auto"/>
          <w:color w:val="auto"/>
        </w:rPr>
        <w:t>Material Reseller</w:t>
      </w:r>
      <w:r>
        <w:rPr>
          <w:rFonts w:ascii="Arial" w:cs="Arial" w:eastAsia="Arial" w:hAnsi="Arial"/>
          <w:sz w:val="22"/>
          <w:szCs w:val="22"/>
          <w:color w:val="auto"/>
        </w:rPr>
        <w:t>”). As of the date hereof, neither the Company nor any Company Subsidiary has received any written notice from any Material Reseller that such Material Reseller shall not continue as a reseller, distributor, or sales agent, as applicable, to the Company or that such Material Reseller intends to terminate or materially and adversely modify its existing Contracts with the Company or the Company Subsidiaries.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ind w:left="660"/>
        <w:spacing w:after="0"/>
        <w:tabs>
          <w:tab w:leader="none" w:pos="2260" w:val="left"/>
        </w:tabs>
        <w:rPr>
          <w:sz w:val="20"/>
          <w:szCs w:val="20"/>
          <w:color w:val="auto"/>
        </w:rPr>
      </w:pPr>
      <w:r>
        <w:rPr>
          <w:rFonts w:ascii="Arial" w:cs="Arial" w:eastAsia="Arial" w:hAnsi="Arial"/>
          <w:sz w:val="22"/>
          <w:szCs w:val="22"/>
          <w:color w:val="auto"/>
        </w:rPr>
        <w:t>Section 3.20</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61" w:lineRule="exact"/>
        <w:rPr>
          <w:sz w:val="20"/>
          <w:szCs w:val="20"/>
          <w:color w:val="auto"/>
        </w:rPr>
      </w:pPr>
    </w:p>
    <w:p>
      <w:pPr>
        <w:jc w:val="both"/>
        <w:ind w:firstLine="1304"/>
        <w:spacing w:after="0" w:line="236" w:lineRule="auto"/>
        <w:tabs>
          <w:tab w:leader="none" w:pos="2076"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 and each Company Subsidiary are, and continually since the later of January 1, 2019 or the date of acquisition by the Company with respect to any Company Subsidiary have been, insured against such losses and risks and in such amounts as are customary in the businesses in which they are engaged and as required by applicable Law, except where the failure to be so insured would not reasonably be expected to have, individually or in the aggregate, a Company Material Adverse Effect.</w:t>
      </w:r>
    </w:p>
    <w:p>
      <w:pPr>
        <w:spacing w:after="0" w:line="241" w:lineRule="exact"/>
        <w:rPr>
          <w:rFonts w:ascii="Arial" w:cs="Arial" w:eastAsia="Arial" w:hAnsi="Arial"/>
          <w:sz w:val="22"/>
          <w:szCs w:val="22"/>
          <w:color w:val="auto"/>
        </w:rPr>
      </w:pPr>
    </w:p>
    <w:p>
      <w:pPr>
        <w:jc w:val="both"/>
        <w:ind w:firstLine="1304"/>
        <w:spacing w:after="0" w:line="246" w:lineRule="auto"/>
        <w:tabs>
          <w:tab w:leader="none" w:pos="2371" w:val="left"/>
        </w:tabs>
        <w:numPr>
          <w:ilvl w:val="0"/>
          <w:numId w:val="66"/>
        </w:numPr>
        <w:rPr>
          <w:rFonts w:ascii="Arial" w:cs="Arial" w:eastAsia="Arial" w:hAnsi="Arial"/>
          <w:sz w:val="21"/>
          <w:szCs w:val="21"/>
          <w:color w:val="auto"/>
        </w:rPr>
      </w:pPr>
      <w:r>
        <w:rPr>
          <w:rFonts w:ascii="Arial" w:cs="Arial" w:eastAsia="Arial" w:hAnsi="Arial"/>
          <w:sz w:val="21"/>
          <w:szCs w:val="21"/>
          <w:color w:val="auto"/>
        </w:rPr>
        <w:t>Except as would not reasonably be expected to have, individually or in the aggregate, a Company Material Adverse Effect, with respect to each such insurance policy: (i) the policy is legal, valid, binding and enforceable in accordance with its terms and, except for policies that have expired under their terms in the ordinary course, is in full force and effect; (ii) neither the Company nor any Company Subsidiary is in material breach or default (including any such breach or default with respect to the payment of premiums or the giving of notice or both); (iii) to the knowledge of the Company, no insurer on the policy has been declared insolvent or placed in receivership, conservatorship or liquidation; and (iv) as of the date of this Agreement, there is no claim pending under any insurance policies of the Company and its Subsidiaries as to which coverage has been denied by the underwriters of such policies.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3.21 </w:t>
      </w:r>
      <w:r>
        <w:rPr>
          <w:rFonts w:ascii="Arial" w:cs="Arial" w:eastAsia="Arial" w:hAnsi="Arial"/>
          <w:sz w:val="22"/>
          <w:szCs w:val="22"/>
          <w:u w:val="single" w:color="auto"/>
          <w:color w:val="auto"/>
        </w:rPr>
        <w:t>Brokers and Expenses</w:t>
      </w:r>
      <w:r>
        <w:rPr>
          <w:rFonts w:ascii="Arial" w:cs="Arial" w:eastAsia="Arial" w:hAnsi="Arial"/>
          <w:sz w:val="22"/>
          <w:szCs w:val="22"/>
          <w:color w:val="auto"/>
        </w:rPr>
        <w:t>. No agent, broker, finder or investment banker (other than the Company Financial Advisors) is entitled to any brokerage, finder’s or other fee or commission in connection with the Transactions based upon arrangements made by, or on behalf of, the Company or any Company Subsidiary.</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3.22 </w:t>
      </w:r>
      <w:r>
        <w:rPr>
          <w:rFonts w:ascii="Arial" w:cs="Arial" w:eastAsia="Arial" w:hAnsi="Arial"/>
          <w:sz w:val="22"/>
          <w:szCs w:val="22"/>
          <w:u w:val="single" w:color="auto"/>
          <w:color w:val="auto"/>
        </w:rPr>
        <w:t>Takeover Statutes</w:t>
      </w:r>
      <w:r>
        <w:rPr>
          <w:rFonts w:ascii="Arial" w:cs="Arial" w:eastAsia="Arial" w:hAnsi="Arial"/>
          <w:sz w:val="22"/>
          <w:szCs w:val="22"/>
          <w:color w:val="auto"/>
        </w:rPr>
        <w:t xml:space="preserve">. Assuming the accuracy of Parent’s representations and warranties in the first sentence of </w:t>
      </w:r>
      <w:r>
        <w:rPr>
          <w:rFonts w:ascii="Arial" w:cs="Arial" w:eastAsia="Arial" w:hAnsi="Arial"/>
          <w:sz w:val="22"/>
          <w:szCs w:val="22"/>
          <w:u w:val="single" w:color="auto"/>
          <w:color w:val="auto"/>
        </w:rPr>
        <w:t>Section 4.7</w:t>
      </w:r>
      <w:r>
        <w:rPr>
          <w:rFonts w:ascii="Arial" w:cs="Arial" w:eastAsia="Arial" w:hAnsi="Arial"/>
          <w:sz w:val="22"/>
          <w:szCs w:val="22"/>
          <w:color w:val="auto"/>
        </w:rPr>
        <w:t>, no “fair price,” “moratorium,” “control share acquisition” or other anti-takeover Law or any anti-takeover provision in the Articles of Association is applicable to this Agreement and the Transactions.</w:t>
      </w:r>
    </w:p>
    <w:p>
      <w:pPr>
        <w:spacing w:after="0" w:line="2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3.23 </w:t>
      </w:r>
      <w:r>
        <w:rPr>
          <w:rFonts w:ascii="Arial" w:cs="Arial" w:eastAsia="Arial" w:hAnsi="Arial"/>
          <w:sz w:val="22"/>
          <w:szCs w:val="22"/>
          <w:u w:val="single" w:color="auto"/>
          <w:color w:val="auto"/>
        </w:rPr>
        <w:t>Affiliate Transactions</w:t>
      </w:r>
      <w:r>
        <w:rPr>
          <w:rFonts w:ascii="Arial" w:cs="Arial" w:eastAsia="Arial" w:hAnsi="Arial"/>
          <w:sz w:val="22"/>
          <w:szCs w:val="22"/>
          <w:color w:val="auto"/>
        </w:rPr>
        <w:t>. Other than compensation payable to officers and directors and employee expense reimbursement obligations and except to the extent not required to be disclosed pursuant to Item 404 of Regulation S-K promulgated under the Securities Act, there are no existing Contracts, transactions, Indebtedness or other arrangements between the Company or any Company Subsidiary, on the one hand, and any of the directors or officers of the Company and the Company Subsidiaries, on the other hand.</w:t>
      </w:r>
    </w:p>
    <w:p>
      <w:pPr>
        <w:spacing w:after="0" w:line="2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3.24 </w:t>
      </w:r>
      <w:r>
        <w:rPr>
          <w:rFonts w:ascii="Arial" w:cs="Arial" w:eastAsia="Arial" w:hAnsi="Arial"/>
          <w:sz w:val="22"/>
          <w:szCs w:val="22"/>
          <w:u w:val="single" w:color="auto"/>
          <w:color w:val="auto"/>
        </w:rPr>
        <w:t>Vote Required</w:t>
      </w:r>
      <w:r>
        <w:rPr>
          <w:rFonts w:ascii="Arial" w:cs="Arial" w:eastAsia="Arial" w:hAnsi="Arial"/>
          <w:sz w:val="22"/>
          <w:szCs w:val="22"/>
          <w:color w:val="auto"/>
        </w:rPr>
        <w:t>. The Company Shareholder Approval is the only vote of the holders of any class or series of the Company’s share capital necessary to approve the Merger and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ind w:left="660"/>
        <w:spacing w:after="0"/>
        <w:tabs>
          <w:tab w:leader="none" w:pos="2260" w:val="left"/>
        </w:tabs>
        <w:rPr>
          <w:sz w:val="20"/>
          <w:szCs w:val="20"/>
          <w:color w:val="auto"/>
        </w:rPr>
      </w:pPr>
      <w:r>
        <w:rPr>
          <w:rFonts w:ascii="Arial" w:cs="Arial" w:eastAsia="Arial" w:hAnsi="Arial"/>
          <w:sz w:val="22"/>
          <w:szCs w:val="22"/>
          <w:color w:val="auto"/>
        </w:rPr>
        <w:t>Section 3.25</w:t>
      </w:r>
      <w:r>
        <w:rPr>
          <w:sz w:val="20"/>
          <w:szCs w:val="20"/>
          <w:color w:val="auto"/>
        </w:rPr>
        <w:tab/>
      </w:r>
      <w:r>
        <w:rPr>
          <w:rFonts w:ascii="Arial" w:cs="Arial" w:eastAsia="Arial" w:hAnsi="Arial"/>
          <w:sz w:val="19"/>
          <w:szCs w:val="19"/>
          <w:u w:val="single" w:color="auto"/>
          <w:color w:val="auto"/>
        </w:rPr>
        <w:t>Opinion of Financial Advisors</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line="248" w:lineRule="auto"/>
        <w:tabs>
          <w:tab w:leader="none" w:pos="2454" w:val="left"/>
        </w:tabs>
        <w:numPr>
          <w:ilvl w:val="0"/>
          <w:numId w:val="67"/>
        </w:numPr>
        <w:rPr>
          <w:rFonts w:ascii="Arial" w:cs="Arial" w:eastAsia="Arial" w:hAnsi="Arial"/>
          <w:sz w:val="21"/>
          <w:szCs w:val="21"/>
          <w:color w:val="auto"/>
        </w:rPr>
      </w:pPr>
      <w:r>
        <w:rPr>
          <w:rFonts w:ascii="Arial" w:cs="Arial" w:eastAsia="Arial" w:hAnsi="Arial"/>
          <w:sz w:val="21"/>
          <w:szCs w:val="21"/>
          <w:color w:val="auto"/>
        </w:rPr>
        <w:t>J.P. Morgan Securities LLC rendered to the Company Board of Directors its oral opinion, to be subsequently confirmed by delivery of a written opinion that, as of the date of such opinion and based upon and subject to the assumptions made, procedures followed, matters considered, and qualifications and limitations upon the review undertaken by J.P. Morgan Securities LLC in preparing its opinion, the Per Share Merger Consideration to be paid to the holders of the Company Shares (other than Company Shares held in treasury or owned by the Company, Parent, or any of their respective Subsidiaries) in the Merger is fair, from a financial point of view, to such holders.</w:t>
      </w:r>
    </w:p>
    <w:p>
      <w:pPr>
        <w:spacing w:after="0" w:line="230" w:lineRule="exact"/>
        <w:rPr>
          <w:rFonts w:ascii="Arial" w:cs="Arial" w:eastAsia="Arial" w:hAnsi="Arial"/>
          <w:sz w:val="21"/>
          <w:szCs w:val="21"/>
          <w:color w:val="auto"/>
        </w:rPr>
      </w:pPr>
    </w:p>
    <w:p>
      <w:pPr>
        <w:jc w:val="both"/>
        <w:ind w:firstLine="1304"/>
        <w:spacing w:after="0" w:line="235" w:lineRule="auto"/>
        <w:tabs>
          <w:tab w:leader="none" w:pos="2425" w:val="left"/>
        </w:tabs>
        <w:numPr>
          <w:ilvl w:val="0"/>
          <w:numId w:val="67"/>
        </w:numPr>
        <w:rPr>
          <w:rFonts w:ascii="Arial" w:cs="Arial" w:eastAsia="Arial" w:hAnsi="Arial"/>
          <w:sz w:val="22"/>
          <w:szCs w:val="22"/>
          <w:color w:val="auto"/>
        </w:rPr>
      </w:pPr>
      <w:r>
        <w:rPr>
          <w:rFonts w:ascii="Arial" w:cs="Arial" w:eastAsia="Arial" w:hAnsi="Arial"/>
          <w:sz w:val="22"/>
          <w:szCs w:val="22"/>
          <w:color w:val="auto"/>
        </w:rPr>
        <w:t>BDO Ziv Haft Consulting Group Ltd. (together with J.P. Morgan Securities LLC,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Financial Advisors</w:t>
      </w:r>
      <w:r>
        <w:rPr>
          <w:rFonts w:ascii="Arial" w:cs="Arial" w:eastAsia="Arial" w:hAnsi="Arial"/>
          <w:sz w:val="22"/>
          <w:szCs w:val="22"/>
          <w:color w:val="auto"/>
        </w:rPr>
        <w:t>”) rendered to the Company Board of Directors its written opinion to the effect that, as of the date of such opinion and based upon and subject to the various factors, qualifications, limitations and assumptions set forth therein, the Per Share Merger Consideration to be paid to holders of Company Shares (other than Company Shares held in treasury or owned by the Company or any Company Subsidiary or owned by the Parent, Merger Sub or any of their affiliates) in the Merger is fair, from a financial point of view, to such holders.</w:t>
      </w:r>
    </w:p>
    <w:p>
      <w:pPr>
        <w:spacing w:after="0" w:line="241" w:lineRule="exact"/>
        <w:rPr>
          <w:rFonts w:ascii="Arial" w:cs="Arial" w:eastAsia="Arial" w:hAnsi="Arial"/>
          <w:sz w:val="22"/>
          <w:szCs w:val="22"/>
          <w:color w:val="auto"/>
        </w:rPr>
      </w:pPr>
    </w:p>
    <w:p>
      <w:pPr>
        <w:jc w:val="both"/>
        <w:ind w:firstLine="1304"/>
        <w:spacing w:after="0" w:line="238" w:lineRule="auto"/>
        <w:tabs>
          <w:tab w:leader="none" w:pos="2184"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Company will make available to Parent on a non-reliance basis a copy of such written opinions as soon as practicable following the execution of this Agreement for informational purposes only (it being understood and agreed that such written opinions are for the benefit of the Company Board of Directors and may not be relied upon by Parent, Merger Sub or their respective affiliates).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3.26 </w:t>
      </w:r>
      <w:r>
        <w:rPr>
          <w:rFonts w:ascii="Arial" w:cs="Arial" w:eastAsia="Arial" w:hAnsi="Arial"/>
          <w:sz w:val="21"/>
          <w:szCs w:val="21"/>
          <w:u w:val="single" w:color="auto"/>
          <w:color w:val="auto"/>
        </w:rPr>
        <w:t>Series G Debentures</w:t>
      </w:r>
      <w:r>
        <w:rPr>
          <w:rFonts w:ascii="Arial" w:cs="Arial" w:eastAsia="Arial" w:hAnsi="Arial"/>
          <w:sz w:val="21"/>
          <w:szCs w:val="21"/>
          <w:color w:val="auto"/>
        </w:rPr>
        <w:t xml:space="preserve">. The Company has the authority and all requisite powers and is entitled to fully prepay the Debentures at its full discretion, in accordance with the provisions of Section 6.2 of the Deed of Trust. As of the date hereof, the full repayment amount is set forth in </w:t>
      </w:r>
      <w:r>
        <w:rPr>
          <w:rFonts w:ascii="Arial" w:cs="Arial" w:eastAsia="Arial" w:hAnsi="Arial"/>
          <w:sz w:val="21"/>
          <w:szCs w:val="21"/>
          <w:u w:val="single" w:color="auto"/>
          <w:color w:val="auto"/>
        </w:rPr>
        <w:t>Section 3.26</w:t>
      </w:r>
      <w:r>
        <w:rPr>
          <w:rFonts w:ascii="Arial" w:cs="Arial" w:eastAsia="Arial" w:hAnsi="Arial"/>
          <w:sz w:val="21"/>
          <w:szCs w:val="21"/>
          <w:color w:val="auto"/>
        </w:rPr>
        <w:t xml:space="preserve"> of the Company Disclosure Letter (it being understood and agreed, for the avoidance of doubt, that the full repayment amount will be determined as of the Effective Time in accordance with the provisions of Section 6.2 of the Deed of Trust). The Company will not be required to make any additional payments beyond the payments detailed in Section 6.2(i) of the Deed of Trust and that no additional approvals are required to be obtained in order to effectuate any prepayment of the Debentures.</w:t>
      </w: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3.27 </w:t>
      </w:r>
      <w:r>
        <w:rPr>
          <w:rFonts w:ascii="Arial" w:cs="Arial" w:eastAsia="Arial" w:hAnsi="Arial"/>
          <w:sz w:val="19"/>
          <w:szCs w:val="19"/>
          <w:u w:val="single" w:color="auto"/>
          <w:color w:val="auto"/>
        </w:rPr>
        <w:t>No Other Representations or Warranties</w:t>
      </w:r>
      <w:r>
        <w:rPr>
          <w:rFonts w:ascii="Arial" w:cs="Arial" w:eastAsia="Arial" w:hAnsi="Arial"/>
          <w:sz w:val="19"/>
          <w:szCs w:val="19"/>
          <w:color w:val="auto"/>
        </w:rPr>
        <w:t xml:space="preserve">. Except for the representations and warranties expressly set forth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(as qualified by the Company Disclosure Letter), none of the Company, any of its affiliates or any other Person on behalf of the Company makes any express or implied representation or warranty (and there is and has been no reliance by Parent, Merger Sub or any of their respective affiliates, officers, directors, employees, accountants, consultants, legal counsel, investment bankers, advisors, representatives or authorized agents on any such representation or warranty) with respect to the Company, the Company Subsidiaries or their respective businesses or with respect to any other information provided, or made available, to Parent, Merger Sub or their respective Representatives or affiliates in connection with the Transactions, including the accuracy or completeness thereof. Without limiting the foregoing,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the Company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 unless and to the extent any such information is expressly included in a representation or warranty contained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(as qualified by the Company Disclosure Letter).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 OF ULTIMATE PARENT, PARENT AND MERGER SUB</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Ultimate Parent, Parent and Merger Sub represent and warrant to the Company as set forth below in this </w:t>
      </w:r>
      <w:r>
        <w:rPr>
          <w:rFonts w:ascii="Arial" w:cs="Arial" w:eastAsia="Arial" w:hAnsi="Arial"/>
          <w:sz w:val="19"/>
          <w:szCs w:val="19"/>
          <w:u w:val="single" w:color="auto"/>
          <w:color w:val="auto"/>
        </w:rPr>
        <w:t>Article IV</w:t>
      </w:r>
      <w:r>
        <w:rPr>
          <w:rFonts w:ascii="Arial" w:cs="Arial" w:eastAsia="Arial" w:hAnsi="Arial"/>
          <w:sz w:val="19"/>
          <w:szCs w:val="19"/>
          <w:color w:val="auto"/>
        </w:rPr>
        <w:t>.</w:t>
      </w:r>
    </w:p>
    <w:p>
      <w:pPr>
        <w:spacing w:after="0" w:line="3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u w:val="single" w:color="auto"/>
          <w:color w:val="auto"/>
        </w:rPr>
        <w:t>Corporate Organization</w:t>
      </w:r>
      <w:r>
        <w:rPr>
          <w:rFonts w:ascii="Arial" w:cs="Arial" w:eastAsia="Arial" w:hAnsi="Arial"/>
          <w:sz w:val="21"/>
          <w:szCs w:val="21"/>
          <w:color w:val="auto"/>
        </w:rPr>
        <w:t>. Ultimate Parent is a corporation duly organized, validly existing and in good standing under the Laws of Delaware and has the requisite corporate power and authority to own, lease and operate all of its properties and assets and to carry on its business as it is now being conducted. Parent is a corporation duly organized, validly existing and in good standing under the Laws of Delaware, is wholly owned by Ultimate Parent, and has the requisite corporate power and authority to own, lease and operate all of its properties and assets and to carry on its business as it is now being conducted. Merger Sub is a corporation organized and validly existing, is wholly owned by Parent, and has the requisite corporate power and authority to own, lease and operate all of its properties and assets and to carry on its business as it is now being conducted. No proceedings have been commenced to strike Merger Sub from the registry of companies maintained by the Companies Registrar. Parent and Merger Sub are in good standing in each jurisdiction where the character of the properties owned, leased or operated by it or the nature of its business makes such qualification or licensing necessary, except where the failure to be so duly qualified or licensed and in good standing would not have, individually or in the aggregate, a Parent Material Adverse Effect.</w:t>
      </w:r>
    </w:p>
    <w:p>
      <w:pPr>
        <w:spacing w:after="0" w:line="240"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Authority Relative to this Agreement</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2" w:lineRule="auto"/>
        <w:tabs>
          <w:tab w:leader="none" w:pos="2305"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of Ultimate Parent, Parent and Merger Sub has all necessary corporate power and authority to execute and deliver this Agreement, to perform its obligations hereunder and to consummate the Transactions. The execution, delivery and performance of this Agreement by each of Ultimate Parent, Parent and Merger Sub and the consummation of the Transactions by each of Ultimate Parent, Parent and Merger Sub have been duly and validly authorized by all necessary corporate action, and no other corporate proceedings (including any actions of Ultimate Parent’s stockholders) on the part of Ultimate Parent, Parent and Merger Sub are necessary to authorize this Agreement or to consummate the Transactions. This Agreement has been duly and validly executed and delivered by Ultimate Parent, Parent and Merger Sub and, assuming the due authorization, execution and delivery by the Company, constitutes a legal, valid and binding obligation of each of Ultimate Parent, Parent and Merger Sub, enforceable against each of Ultimate Parent, Parent and Merger Sub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8" w:name="page59"/>
    <w:bookmarkEnd w:id="58"/>
    <w:p>
      <w:pPr>
        <w:jc w:val="both"/>
        <w:ind w:firstLine="1304"/>
        <w:spacing w:after="0" w:line="275" w:lineRule="auto"/>
        <w:tabs>
          <w:tab w:leader="none" w:pos="2385"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Parent Board of Directors and the Merger Sub Board of Directors has adopted resolutions (i) determining that this Agreement and the Transactions are fair to, and in the best interests of, Parent, Merger Sub and their respective shareholders or other equityholders, as applicable and (ii) approving the Merger, the execution of this Agreement and the consummation of the Transactions, and the Board of Directors of Merger Sub has further (iii) determined that, considering the financial position of the merging companies, no reasonable concern exists that the Surviving Company will be unable to fulfill the obligations of Merger Sub to its creditors and (iv) resolved to recommend that Parent, as the sole shareholder of Merger Sub, approve the Merger, this Agreement and the consummation of the Transactions. Parent, as the sole shareholder of Merger Sub, approved this Agreement, the Merger and the other Transactions.</w:t>
      </w:r>
    </w:p>
    <w:p>
      <w:pPr>
        <w:spacing w:after="0" w:line="211" w:lineRule="exact"/>
        <w:rPr>
          <w:rFonts w:ascii="Arial" w:cs="Arial" w:eastAsia="Arial" w:hAnsi="Arial"/>
          <w:sz w:val="19"/>
          <w:szCs w:val="19"/>
          <w:color w:val="auto"/>
        </w:rPr>
      </w:pPr>
    </w:p>
    <w:p>
      <w:pPr>
        <w:jc w:val="both"/>
        <w:ind w:firstLine="1304"/>
        <w:spacing w:after="0" w:line="238" w:lineRule="auto"/>
        <w:tabs>
          <w:tab w:leader="none" w:pos="2116" w:val="left"/>
        </w:tabs>
        <w:numPr>
          <w:ilvl w:val="0"/>
          <w:numId w:val="69"/>
        </w:numPr>
        <w:rPr>
          <w:rFonts w:ascii="Arial" w:cs="Arial" w:eastAsia="Arial" w:hAnsi="Arial"/>
          <w:sz w:val="22"/>
          <w:szCs w:val="22"/>
          <w:color w:val="auto"/>
        </w:rPr>
      </w:pPr>
      <w:r>
        <w:rPr>
          <w:rFonts w:ascii="Arial" w:cs="Arial" w:eastAsia="Arial" w:hAnsi="Arial"/>
          <w:sz w:val="22"/>
          <w:szCs w:val="22"/>
          <w:color w:val="auto"/>
        </w:rPr>
        <w:t>No vote of, or consent by, the holders of any equity interests of Ultimate Parent or Parent is necessary to authorize the execution, delivery and performance by Ultimate Parent or Parent of this Agreement and the consummation of the Transactions or to approve the Merger, or otherwise required by Ultimate Parent’s or Parent’s Charter Documents, applicable Law or any Governmental Authority in connection therewith.</w:t>
      </w:r>
    </w:p>
    <w:p>
      <w:pPr>
        <w:spacing w:after="0" w:line="23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No Conflict; Required Filings and Consents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3" w:lineRule="auto"/>
        <w:tabs>
          <w:tab w:leader="none" w:pos="2143"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The execution and delivery of this Agreement by Ultimate Parent, Parent and Merger Sub does not, and the performance of this Agreement by Ultimate Parent, Parent and Merger Sub will not, (i) conflict with or violate the Charter Documents of Ultimate Parent, Parent or Merger Sub, (ii) assuming that all consents, approvals, authorizations and other actions described in </w:t>
      </w:r>
      <w:r>
        <w:rPr>
          <w:rFonts w:ascii="Arial" w:cs="Arial" w:eastAsia="Arial" w:hAnsi="Arial"/>
          <w:sz w:val="19"/>
          <w:szCs w:val="19"/>
          <w:u w:val="single" w:color="auto"/>
          <w:color w:val="auto"/>
        </w:rPr>
        <w:t>Section 4.3(b)</w:t>
      </w:r>
      <w:r>
        <w:rPr>
          <w:rFonts w:ascii="Arial" w:cs="Arial" w:eastAsia="Arial" w:hAnsi="Arial"/>
          <w:sz w:val="19"/>
          <w:szCs w:val="19"/>
          <w:color w:val="auto"/>
        </w:rPr>
        <w:t xml:space="preserve"> have been obtained and all filings and obligations described in </w:t>
      </w:r>
      <w:r>
        <w:rPr>
          <w:rFonts w:ascii="Arial" w:cs="Arial" w:eastAsia="Arial" w:hAnsi="Arial"/>
          <w:sz w:val="19"/>
          <w:szCs w:val="19"/>
          <w:u w:val="single" w:color="auto"/>
          <w:color w:val="auto"/>
        </w:rPr>
        <w:t>Section 4.3(b)</w:t>
      </w:r>
      <w:r>
        <w:rPr>
          <w:rFonts w:ascii="Arial" w:cs="Arial" w:eastAsia="Arial" w:hAnsi="Arial"/>
          <w:sz w:val="19"/>
          <w:szCs w:val="19"/>
          <w:color w:val="auto"/>
        </w:rPr>
        <w:t xml:space="preserve"> have been made, conflict with or violate any Law or Order applicable to Parent or Merger Sub or by which any property or asset of either of them is bound or affected, or (iii) result in any breach of or any loss of any benefit under, constitute a default (or an event that, with notice or lapse of time or both, would become a default or breach) under, result in the acceleration of any obligation of Ultimate Parent, Parent or Merger Sub pursuant to, result in the creation of a Lien on a property or asset of Ultimate Parent, Parent or Merger Sub pursuant to, or give rise to a right of termination or cancellation pursuant to, any material Contract of Ultimate Parent, Parent or Merger Sub, except, in the case of clauses (ii) and (iii), for any such conflicts, violations, breaches, defaults or other occurrences that, individually or in the aggregate, would not have a Parent Material Adverse Effect.</w:t>
      </w:r>
    </w:p>
    <w:p>
      <w:pPr>
        <w:spacing w:after="0" w:line="209" w:lineRule="exact"/>
        <w:rPr>
          <w:rFonts w:ascii="Arial" w:cs="Arial" w:eastAsia="Arial" w:hAnsi="Arial"/>
          <w:sz w:val="19"/>
          <w:szCs w:val="19"/>
          <w:color w:val="auto"/>
        </w:rPr>
      </w:pPr>
    </w:p>
    <w:p>
      <w:pPr>
        <w:jc w:val="both"/>
        <w:ind w:firstLine="1304"/>
        <w:spacing w:after="0" w:line="270" w:lineRule="auto"/>
        <w:tabs>
          <w:tab w:leader="none" w:pos="2155"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execution and delivery of this Agreement by Ultimate Parent, Parent and Merger Sub does not, and the performance of this Agreement by Ultimate Parent, Parent and Merger Sub will not, require any consent, approval, authorization or permit of, or filing with, or notification to, any Governmental Authority, except (i) the filing of the Merger Proposal and Merger Notice with the Companies Registrar and all such other notices or filings required under the ICL, with respect to the consummation of the Merger and the issuance of the Certificate of Merger by the Companies Registrar, (ii) any filings as may be required under the rules and regulations of Nasdaq, (iii) the Securities Act, Exchange Act and Blue Sky Laws,</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pre-merger notification requirements of the HSR Act and similar requirements under other applicable Regulatory Laws,</w:t>
      </w:r>
    </w:p>
    <w:p>
      <w:pPr>
        <w:spacing w:after="0" w:line="24" w:lineRule="exact"/>
        <w:rPr>
          <w:rFonts w:ascii="Arial" w:cs="Arial" w:eastAsia="Arial" w:hAnsi="Arial"/>
          <w:sz w:val="19"/>
          <w:szCs w:val="19"/>
          <w:color w:val="auto"/>
        </w:rPr>
      </w:pPr>
    </w:p>
    <w:p>
      <w:pPr>
        <w:jc w:val="both"/>
        <w:ind w:firstLine="8"/>
        <w:spacing w:after="0" w:line="248" w:lineRule="auto"/>
        <w:tabs>
          <w:tab w:leader="none" w:pos="315" w:val="left"/>
        </w:tabs>
        <w:numPr>
          <w:ilvl w:val="0"/>
          <w:numId w:val="71"/>
        </w:numPr>
        <w:rPr>
          <w:rFonts w:ascii="Arial" w:cs="Arial" w:eastAsia="Arial" w:hAnsi="Arial"/>
          <w:sz w:val="21"/>
          <w:szCs w:val="21"/>
          <w:color w:val="auto"/>
        </w:rPr>
      </w:pPr>
      <w:r>
        <w:rPr>
          <w:rFonts w:ascii="Arial" w:cs="Arial" w:eastAsia="Arial" w:hAnsi="Arial"/>
          <w:sz w:val="21"/>
          <w:szCs w:val="21"/>
          <w:color w:val="auto"/>
        </w:rPr>
        <w:t>filing of the IIA Notice and IIA Undertaking, and (vi) where the failure to obtain such consents, approvals, authorizations or permits of, or to make such filings, registrations with or notifications to, any Governmental Authority, would not reasonably be expected to have, individually or in the aggregate, a Parent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both"/>
        <w:ind w:firstLine="648"/>
        <w:spacing w:after="0" w:line="233"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Absence of Litigation</w:t>
      </w:r>
      <w:r>
        <w:rPr>
          <w:rFonts w:ascii="Arial" w:cs="Arial" w:eastAsia="Arial" w:hAnsi="Arial"/>
          <w:sz w:val="22"/>
          <w:szCs w:val="22"/>
          <w:color w:val="auto"/>
        </w:rPr>
        <w:t>. As of the date of this Agreement, there is (a) no Action pending, and (b) to the knowledge of Parent, (i) no inquiry, audit or investigation by any Governmental Authority pending and (ii) no Action threatened against Ultimate Parent or any Subsidiary of Ultimate Parent (a “</w:t>
      </w:r>
      <w:r>
        <w:rPr>
          <w:rFonts w:ascii="Arial" w:cs="Arial" w:eastAsia="Arial" w:hAnsi="Arial"/>
          <w:sz w:val="22"/>
          <w:szCs w:val="22"/>
          <w:u w:val="single" w:color="auto"/>
          <w:color w:val="auto"/>
        </w:rPr>
        <w:t>Parent Subsidiary</w:t>
      </w:r>
      <w:r>
        <w:rPr>
          <w:rFonts w:ascii="Arial" w:cs="Arial" w:eastAsia="Arial" w:hAnsi="Arial"/>
          <w:sz w:val="22"/>
          <w:szCs w:val="22"/>
          <w:color w:val="auto"/>
        </w:rPr>
        <w:t>”), or any property or asset of Ultimate Parent or any Parent Subsidiary that would reasonably be expected to have, individually or in the aggregate, a Parent Material Adverse Effect. As of the date of this Agreement, neither Ultimate Parent nor any Parent Subsidiary nor any property or asset of Ultimate Parent or any Parent Subsidiary is subject to any continuing Order, settlement agreement or similar written agreement with any Governmental Authority, or any Order, determination or award of any Governmental Authority, in each case that contains ongoing obligations that would reasonably be expected to have, individually or in the aggregate, a Parent Material Adverse Effect.</w:t>
      </w:r>
    </w:p>
    <w:p>
      <w:pPr>
        <w:spacing w:after="0" w:line="24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Section 4.5 </w:t>
      </w:r>
      <w:r>
        <w:rPr>
          <w:rFonts w:ascii="Arial" w:cs="Arial" w:eastAsia="Arial" w:hAnsi="Arial"/>
          <w:sz w:val="21"/>
          <w:szCs w:val="21"/>
          <w:u w:val="single" w:color="auto"/>
          <w:color w:val="auto"/>
        </w:rPr>
        <w:t>Proxy Statement</w:t>
      </w:r>
      <w:r>
        <w:rPr>
          <w:rFonts w:ascii="Arial" w:cs="Arial" w:eastAsia="Arial" w:hAnsi="Arial"/>
          <w:sz w:val="21"/>
          <w:szCs w:val="21"/>
          <w:color w:val="auto"/>
        </w:rPr>
        <w:t>. The information supplied by Ultimate Parent, Parent, Merger Sub or any of their Representatives for inclusion or incorporation by reference in the Proxy Statement will not contain any untrue statement of a material fact or omit to state any material fact required to be stated therein or necessary to make the statements therein, in light of the circumstances under which they are made, not false or misleading at the date it is first mailed to the Company Shareholders and at the time of the Company Special Meeting and at the time of any amendment or supplement thereof. Any document that is required to be filed or furnished by Ultimate Parent, Parent, Merger Sub or any of their respective Affiliates with the ISA, the SEC or any other Governmental Authority in connection with the transactions contemplated by this Agreement will, when filed with or furnished to the SEC or such other Governmental Authority, comply as to form in all material respects with applicable Law. Notwithstanding the foregoing, no representation or warranty is made by Ultimate Parent, Parent or Merger Sub with respect to information supplied by the Company or any of its Representatives for inclusion or incorporation by reference in any such document.</w:t>
      </w:r>
    </w:p>
    <w:p>
      <w:pPr>
        <w:spacing w:after="0" w:line="24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Section 4.6 </w:t>
      </w:r>
      <w:r>
        <w:rPr>
          <w:rFonts w:ascii="Arial" w:cs="Arial" w:eastAsia="Arial" w:hAnsi="Arial"/>
          <w:sz w:val="21"/>
          <w:szCs w:val="21"/>
          <w:u w:val="single" w:color="auto"/>
          <w:color w:val="auto"/>
        </w:rPr>
        <w:t>Ownership of Company Share Capital</w:t>
      </w:r>
      <w:r>
        <w:rPr>
          <w:rFonts w:ascii="Arial" w:cs="Arial" w:eastAsia="Arial" w:hAnsi="Arial"/>
          <w:sz w:val="21"/>
          <w:szCs w:val="21"/>
          <w:color w:val="auto"/>
        </w:rPr>
        <w:t>. Neither Ultimate Parent, Parent, Merger Sub or any of their respective Subsidiaries owns, or at any time during the past three (3) years has owned, beneficially or otherwise, any Company Shares or Company Equity Awards or any outstanding securities of any Company Subsidiary (or any other economic interest through derivative securities or otherwise in the Company or any Company Subsidiary). None of the Persons referred to in Section 320(c) of the ICL with respect to Parent or Merger Sub owns any Company Shares.</w:t>
      </w:r>
    </w:p>
    <w:p>
      <w:pPr>
        <w:spacing w:after="0" w:line="23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4.7 </w:t>
      </w:r>
      <w:r>
        <w:rPr>
          <w:rFonts w:ascii="Arial" w:cs="Arial" w:eastAsia="Arial" w:hAnsi="Arial"/>
          <w:sz w:val="22"/>
          <w:szCs w:val="22"/>
          <w:u w:val="single" w:color="auto"/>
          <w:color w:val="auto"/>
        </w:rPr>
        <w:t>Sufficient Funds</w:t>
      </w:r>
      <w:r>
        <w:rPr>
          <w:rFonts w:ascii="Arial" w:cs="Arial" w:eastAsia="Arial" w:hAnsi="Arial"/>
          <w:sz w:val="22"/>
          <w:szCs w:val="22"/>
          <w:color w:val="auto"/>
        </w:rPr>
        <w:t>. At the Closing, Ultimate Parent, Parent and Merger Sub will have all of the funds available as and when needed that are necessary to consummate the Merger and to perform their respective obligations under this Agreement. The obligations of Ultimate Parent, Parent and Merger Sub hereunder are not subject to any condition regarding Ultimate Parent’s, Parent’s or Merger Sub’s ability to obtain financing for the Merger and the Transactions contemplated by this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both"/>
        <w:ind w:firstLine="648"/>
        <w:spacing w:after="0" w:line="238" w:lineRule="auto"/>
        <w:rPr>
          <w:sz w:val="20"/>
          <w:szCs w:val="20"/>
          <w:color w:val="auto"/>
        </w:rPr>
      </w:pPr>
      <w:r>
        <w:rPr>
          <w:rFonts w:ascii="Arial" w:cs="Arial" w:eastAsia="Arial" w:hAnsi="Arial"/>
          <w:sz w:val="22"/>
          <w:szCs w:val="22"/>
          <w:color w:val="auto"/>
        </w:rPr>
        <w:t xml:space="preserve">Section 4.8 </w:t>
      </w:r>
      <w:r>
        <w:rPr>
          <w:rFonts w:ascii="Arial" w:cs="Arial" w:eastAsia="Arial" w:hAnsi="Arial"/>
          <w:sz w:val="22"/>
          <w:szCs w:val="22"/>
          <w:u w:val="single" w:color="auto"/>
          <w:color w:val="auto"/>
        </w:rPr>
        <w:t>Brokers and Expenses</w:t>
      </w:r>
      <w:r>
        <w:rPr>
          <w:rFonts w:ascii="Arial" w:cs="Arial" w:eastAsia="Arial" w:hAnsi="Arial"/>
          <w:sz w:val="22"/>
          <w:szCs w:val="22"/>
          <w:color w:val="auto"/>
        </w:rPr>
        <w:t>. Except for Goldman Sachs &amp; Co. LLC, whose fees will be paid by either Ultimate Parent or Parent, no agent, broker, finder or investment banker is entitled to any brokerage, finder’s or other fee or commission in connection with the Transactions based upon arrangements made by, or on behalf of, Ultimate Parent or any Parent Subsidiary.</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4.9 </w:t>
      </w:r>
      <w:r>
        <w:rPr>
          <w:rFonts w:ascii="Arial" w:cs="Arial" w:eastAsia="Arial" w:hAnsi="Arial"/>
          <w:sz w:val="19"/>
          <w:szCs w:val="19"/>
          <w:u w:val="single" w:color="auto"/>
          <w:color w:val="auto"/>
        </w:rPr>
        <w:t>Operations of Merger Sub</w:t>
      </w:r>
      <w:r>
        <w:rPr>
          <w:rFonts w:ascii="Arial" w:cs="Arial" w:eastAsia="Arial" w:hAnsi="Arial"/>
          <w:sz w:val="19"/>
          <w:szCs w:val="19"/>
          <w:color w:val="auto"/>
        </w:rPr>
        <w:t>. The authorized share capital of Merger Sub consists solely of 1,000 ordinary shares, par value Israeli Agora (NIS 0.01) per share, ten of which are issued and outstanding. All of the issued and outstanding shares of Merger Sub are, as of the date of this Agreement, and at the Effective Time will be, owned directly or indirectly by Parent. Merger Sub was formed solely for the purpose of engaging in the Transactions, including the Merger. Except for obligations or liabilities incurred in connection with its formation, this Agreement and the Transactions, Merger Sub has not and will not prior to the Effective Time have incurred, directly or indirectly, any obligations or liabilities or engaged in any business activities of any type or kind whatsoever or entered into any agreements or arrangements with any Person.</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No Other Representations or Warranties</w:t>
      </w:r>
      <w:r>
        <w:rPr>
          <w:rFonts w:ascii="Arial" w:cs="Arial" w:eastAsia="Arial" w:hAnsi="Arial"/>
          <w:sz w:val="19"/>
          <w:szCs w:val="19"/>
          <w:color w:val="auto"/>
        </w:rPr>
        <w:t xml:space="preserve">. Except for the representations and warranties expressly set forth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none of Ultimate Parent, Parent nor Merger Sub, any of their affiliates or any other Person on behalf of Parent or Merger Sub makes any express or implied representation or warranty (and there is and has been no reliance by the Company or any of its respective affiliates, officers, directors, employees, accountants, consultants, legal counsel, investment bankers, advisors, representatives or authorized agents on any such representation or warranty) with respect to Ultimate Parent, Parent, Merger Sub, the Parent Subsidiaries or their respective businesses or with respect to any other information provided, or made available, to the Company or its respective Representatives or affiliates in connection with the Transactions, including the accuracy or completeness thereof. Without limiting the foregoing, none of Ultimate Parent, Parent nor any other Person will have or be subject to any liability or other obligation to the Company or its Representatives or affiliates or any other Person resulting from the Company or its Representatives’ or affiliates’ use of any information, documents, projections, forecasts or other material made available to the Company or its Representatives or affiliates, including any information made available in teasers, marketing materials, consulting reports or materials, confidential information memoranda, management presentations, functional “break-out” discussions, responses to questions submitted on behalf of the Company or its respective Representatives or in any other form in connection with the Transactions, unless and to the extent any such information is expressly included in a representation or warranty contained in this </w:t>
      </w:r>
      <w:r>
        <w:rPr>
          <w:rFonts w:ascii="Arial" w:cs="Arial" w:eastAsia="Arial" w:hAnsi="Arial"/>
          <w:sz w:val="19"/>
          <w:szCs w:val="19"/>
          <w:u w:val="single" w:color="auto"/>
          <w:color w:val="auto"/>
        </w:rPr>
        <w:t>Article IV</w:t>
      </w:r>
      <w:r>
        <w:rPr>
          <w:rFonts w:ascii="Arial" w:cs="Arial" w:eastAsia="Arial" w:hAnsi="Arial"/>
          <w:sz w:val="19"/>
          <w:szCs w:val="19"/>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 RELATING TO CONDUCT OF BUSINESS PENDING THE MERGER</w:t>
      </w:r>
    </w:p>
    <w:p>
      <w:pPr>
        <w:spacing w:after="0" w:line="2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Conduct of Business by the Company Pending the Closing</w:t>
      </w:r>
      <w:r>
        <w:rPr>
          <w:rFonts w:ascii="Arial" w:cs="Arial" w:eastAsia="Arial" w:hAnsi="Arial"/>
          <w:sz w:val="19"/>
          <w:szCs w:val="19"/>
          <w:color w:val="auto"/>
        </w:rPr>
        <w:t xml:space="preserve">. The Company agrees that between the date of this Agreement and the Effective Time or the date, if any, on which this Agreement is terminated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except (1) as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of the Company Disclosure Letter, (2) as specifically permitted or required by this Agreement, (3) as required by Law or Order (including any COVID-19 Measures) or (4) as consented to in writing by Parent (which consent shall not be unreasonably withheld, delayed or conditioned for purposes of subsections (c), (e), (h), (j)-(n), (p), (r), (t), (v)-(x) of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the Company shall and shall cause each Company Subsidiary to conduct its business, in all material respects, in the ordinary course of business consistent with past practice, including, to the extent consistent therewith, using commercially reasonable efforts to preserve intact its and their present business organizations and to preserve its and their present relationships with customers, suppliers and other Persons with whom it and they have material business relations. Without limiting the generality of the foregoing, except (i) as expressly permitted or required by this Agreement, (ii) as set forth in the subsection of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of the Company Disclosure Letter corresponding to the applicable subsection of this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7" w:lineRule="exact"/>
        <w:rPr>
          <w:sz w:val="20"/>
          <w:szCs w:val="20"/>
          <w:color w:val="auto"/>
        </w:rPr>
      </w:pPr>
    </w:p>
    <w:p>
      <w:pPr>
        <w:jc w:val="both"/>
        <w:ind w:firstLine="8"/>
        <w:spacing w:after="0" w:line="266" w:lineRule="auto"/>
        <w:tabs>
          <w:tab w:leader="none" w:pos="39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as required by Law or final Order (including any COVID-19 Measures) or (iv) as consented to in writing by Parent (which consent shall not be unreasonably withheld, delayed or conditioned for purposes of subsections (c), (e), (h), (j)-(n), (p), (r), (t),</w:t>
      </w:r>
    </w:p>
    <w:p>
      <w:pPr>
        <w:spacing w:after="0" w:line="1"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 xml:space="preserve">(v)-(x) of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until the Effective Time or the date, if any, on which this Agreement is terminated pursuant to </w:t>
      </w:r>
      <w:r>
        <w:rPr>
          <w:rFonts w:ascii="Arial" w:cs="Arial" w:eastAsia="Arial" w:hAnsi="Arial"/>
          <w:sz w:val="22"/>
          <w:szCs w:val="22"/>
          <w:u w:val="single" w:color="auto"/>
          <w:color w:val="auto"/>
        </w:rPr>
        <w:t>Section 8.1</w:t>
      </w:r>
      <w:r>
        <w:rPr>
          <w:rFonts w:ascii="Arial" w:cs="Arial" w:eastAsia="Arial" w:hAnsi="Arial"/>
          <w:sz w:val="22"/>
          <w:szCs w:val="22"/>
          <w:color w:val="auto"/>
        </w:rPr>
        <w:t>, the Company shall not and shall not permit any Company Subsidiary to:</w:t>
      </w:r>
    </w:p>
    <w:p>
      <w:pPr>
        <w:spacing w:after="0" w:line="240" w:lineRule="exact"/>
        <w:rPr>
          <w:rFonts w:ascii="Arial" w:cs="Arial" w:eastAsia="Arial" w:hAnsi="Arial"/>
          <w:sz w:val="19"/>
          <w:szCs w:val="19"/>
          <w:color w:val="auto"/>
        </w:rPr>
      </w:pPr>
    </w:p>
    <w:p>
      <w:pPr>
        <w:jc w:val="both"/>
        <w:ind w:firstLine="1304"/>
        <w:spacing w:after="0" w:line="238" w:lineRule="auto"/>
        <w:tabs>
          <w:tab w:leader="none" w:pos="2089" w:val="left"/>
        </w:tabs>
        <w:numPr>
          <w:ilvl w:val="1"/>
          <w:numId w:val="72"/>
        </w:numPr>
        <w:rPr>
          <w:rFonts w:ascii="Arial" w:cs="Arial" w:eastAsia="Arial" w:hAnsi="Arial"/>
          <w:sz w:val="22"/>
          <w:szCs w:val="22"/>
          <w:color w:val="auto"/>
        </w:rPr>
      </w:pPr>
      <w:r>
        <w:rPr>
          <w:rFonts w:ascii="Arial" w:cs="Arial" w:eastAsia="Arial" w:hAnsi="Arial"/>
          <w:sz w:val="22"/>
          <w:szCs w:val="22"/>
          <w:color w:val="auto"/>
        </w:rPr>
        <w:t>declare, accrue, set aside or pay any dividends on or make any distribution with respect to its outstanding shares (whether in cash, assets, property, shares or other securities of the Company or any Company Subsidiary), except dividends and distributions by a wholly owned Company Subsidiary to the Company or another wholly owned Company Subsidiary;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1" w:name="page62"/>
    <w:bookmarkEnd w:id="61"/>
    <w:p>
      <w:pPr>
        <w:ind w:right="20" w:firstLine="1304"/>
        <w:spacing w:after="0" w:line="329" w:lineRule="auto"/>
        <w:tabs>
          <w:tab w:leader="none" w:pos="2182" w:val="left"/>
        </w:tabs>
        <w:numPr>
          <w:ilvl w:val="0"/>
          <w:numId w:val="73"/>
        </w:numPr>
        <w:rPr>
          <w:rFonts w:ascii="Arial" w:cs="Arial" w:eastAsia="Arial" w:hAnsi="Arial"/>
          <w:sz w:val="19"/>
          <w:szCs w:val="19"/>
          <w:color w:val="auto"/>
        </w:rPr>
      </w:pPr>
      <w:r>
        <w:rPr>
          <w:rFonts w:ascii="Arial" w:cs="Arial" w:eastAsia="Arial" w:hAnsi="Arial"/>
          <w:sz w:val="19"/>
          <w:szCs w:val="19"/>
          <w:color w:val="auto"/>
        </w:rPr>
        <w:t>split, combine, reduce or reclassify any of its share capital, except for any such transaction by a wholly owned Company Subsidiary that remains a wholly owned Company Subsidiary after consummation of such transaction;</w:t>
      </w:r>
    </w:p>
    <w:p>
      <w:pPr>
        <w:spacing w:after="0" w:line="157" w:lineRule="exact"/>
        <w:rPr>
          <w:rFonts w:ascii="Arial" w:cs="Arial" w:eastAsia="Arial" w:hAnsi="Arial"/>
          <w:sz w:val="19"/>
          <w:szCs w:val="19"/>
          <w:color w:val="auto"/>
        </w:rPr>
      </w:pPr>
    </w:p>
    <w:p>
      <w:pPr>
        <w:ind w:right="20" w:firstLine="1304"/>
        <w:spacing w:after="0" w:line="274" w:lineRule="auto"/>
        <w:tabs>
          <w:tab w:leader="none" w:pos="2265"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except as required by the terms of this Agreement or any Company Plan in effect on the date of this Agreement and disclosed on </w:t>
      </w:r>
      <w:r>
        <w:rPr>
          <w:rFonts w:ascii="Arial" w:cs="Arial" w:eastAsia="Arial" w:hAnsi="Arial"/>
          <w:sz w:val="21"/>
          <w:szCs w:val="21"/>
          <w:u w:val="single" w:color="auto"/>
          <w:color w:val="auto"/>
        </w:rPr>
        <w:t>Section 3.10(a)</w:t>
      </w:r>
      <w:r>
        <w:rPr>
          <w:rFonts w:ascii="Arial" w:cs="Arial" w:eastAsia="Arial" w:hAnsi="Arial"/>
          <w:sz w:val="21"/>
          <w:szCs w:val="21"/>
          <w:color w:val="auto"/>
        </w:rPr>
        <w:t xml:space="preserve"> of the Company Disclosure Letter or as is required by applicable Law:</w:t>
      </w:r>
    </w:p>
    <w:p>
      <w:pPr>
        <w:spacing w:after="0" w:line="218" w:lineRule="exact"/>
        <w:rPr>
          <w:rFonts w:ascii="Arial" w:cs="Arial" w:eastAsia="Arial" w:hAnsi="Arial"/>
          <w:sz w:val="21"/>
          <w:szCs w:val="21"/>
          <w:color w:val="auto"/>
        </w:rPr>
      </w:pPr>
    </w:p>
    <w:p>
      <w:pPr>
        <w:ind w:left="660" w:firstLine="1292"/>
        <w:spacing w:after="0" w:line="276" w:lineRule="auto"/>
        <w:tabs>
          <w:tab w:leader="none" w:pos="3132" w:val="left"/>
        </w:tabs>
        <w:numPr>
          <w:ilvl w:val="1"/>
          <w:numId w:val="73"/>
        </w:numPr>
        <w:rPr>
          <w:rFonts w:ascii="Arial" w:cs="Arial" w:eastAsia="Arial" w:hAnsi="Arial"/>
          <w:sz w:val="22"/>
          <w:szCs w:val="22"/>
          <w:color w:val="auto"/>
        </w:rPr>
      </w:pPr>
      <w:r>
        <w:rPr>
          <w:rFonts w:ascii="Arial" w:cs="Arial" w:eastAsia="Arial" w:hAnsi="Arial"/>
          <w:sz w:val="22"/>
          <w:szCs w:val="22"/>
          <w:color w:val="auto"/>
        </w:rPr>
        <w:t>grant, provide, amend or increase any retention or change in control payments or benefits to any current or former employee, director or individual independent contractor;</w:t>
      </w:r>
    </w:p>
    <w:p>
      <w:pPr>
        <w:spacing w:after="0" w:line="228" w:lineRule="exact"/>
        <w:rPr>
          <w:rFonts w:ascii="Arial" w:cs="Arial" w:eastAsia="Arial" w:hAnsi="Arial"/>
          <w:sz w:val="22"/>
          <w:szCs w:val="22"/>
          <w:color w:val="auto"/>
        </w:rPr>
      </w:pPr>
    </w:p>
    <w:p>
      <w:pPr>
        <w:ind w:left="660" w:firstLine="1292"/>
        <w:spacing w:after="0" w:line="276" w:lineRule="auto"/>
        <w:tabs>
          <w:tab w:leader="none" w:pos="3030" w:val="left"/>
        </w:tabs>
        <w:numPr>
          <w:ilvl w:val="1"/>
          <w:numId w:val="73"/>
        </w:numPr>
        <w:rPr>
          <w:rFonts w:ascii="Arial" w:cs="Arial" w:eastAsia="Arial" w:hAnsi="Arial"/>
          <w:sz w:val="22"/>
          <w:szCs w:val="22"/>
          <w:color w:val="auto"/>
        </w:rPr>
      </w:pPr>
      <w:r>
        <w:rPr>
          <w:rFonts w:ascii="Arial" w:cs="Arial" w:eastAsia="Arial" w:hAnsi="Arial"/>
          <w:sz w:val="22"/>
          <w:szCs w:val="22"/>
          <w:color w:val="auto"/>
        </w:rPr>
        <w:t>grant, provide, amend or increase any severance payments or benefits to any current or former employee, director or individual independent contractor;</w:t>
      </w:r>
    </w:p>
    <w:p>
      <w:pPr>
        <w:spacing w:after="0" w:line="228" w:lineRule="exact"/>
        <w:rPr>
          <w:rFonts w:ascii="Arial" w:cs="Arial" w:eastAsia="Arial" w:hAnsi="Arial"/>
          <w:sz w:val="22"/>
          <w:szCs w:val="22"/>
          <w:color w:val="auto"/>
        </w:rPr>
      </w:pPr>
    </w:p>
    <w:p>
      <w:pPr>
        <w:jc w:val="both"/>
        <w:ind w:left="660" w:right="20" w:firstLine="1292"/>
        <w:spacing w:after="0" w:line="266" w:lineRule="auto"/>
        <w:tabs>
          <w:tab w:leader="none" w:pos="3265" w:val="left"/>
        </w:tabs>
        <w:numPr>
          <w:ilvl w:val="1"/>
          <w:numId w:val="73"/>
        </w:numPr>
        <w:rPr>
          <w:rFonts w:ascii="Arial" w:cs="Arial" w:eastAsia="Arial" w:hAnsi="Arial"/>
          <w:sz w:val="22"/>
          <w:szCs w:val="22"/>
          <w:color w:val="auto"/>
        </w:rPr>
      </w:pPr>
      <w:r>
        <w:rPr>
          <w:rFonts w:ascii="Arial" w:cs="Arial" w:eastAsia="Arial" w:hAnsi="Arial"/>
          <w:sz w:val="22"/>
          <w:szCs w:val="22"/>
          <w:color w:val="auto"/>
        </w:rPr>
        <w:t>grant, provide, amend or materially increase the cash or equity compensation or benefits payable or to become payable to any of its current or former employees, directors or individual independent contractors, including any bonus, discretionary cash payments or incentive compensation;</w:t>
      </w:r>
    </w:p>
    <w:p>
      <w:pPr>
        <w:spacing w:after="0" w:line="238" w:lineRule="exact"/>
        <w:rPr>
          <w:rFonts w:ascii="Arial" w:cs="Arial" w:eastAsia="Arial" w:hAnsi="Arial"/>
          <w:sz w:val="22"/>
          <w:szCs w:val="22"/>
          <w:color w:val="auto"/>
        </w:rPr>
      </w:pPr>
    </w:p>
    <w:p>
      <w:pPr>
        <w:jc w:val="both"/>
        <w:ind w:left="660" w:firstLine="1292"/>
        <w:spacing w:after="0" w:line="266" w:lineRule="auto"/>
        <w:tabs>
          <w:tab w:leader="none" w:pos="3213" w:val="left"/>
        </w:tabs>
        <w:numPr>
          <w:ilvl w:val="1"/>
          <w:numId w:val="73"/>
        </w:numPr>
        <w:rPr>
          <w:rFonts w:ascii="Arial" w:cs="Arial" w:eastAsia="Arial" w:hAnsi="Arial"/>
          <w:sz w:val="22"/>
          <w:szCs w:val="22"/>
          <w:color w:val="auto"/>
        </w:rPr>
      </w:pPr>
      <w:r>
        <w:rPr>
          <w:rFonts w:ascii="Arial" w:cs="Arial" w:eastAsia="Arial" w:hAnsi="Arial"/>
          <w:sz w:val="22"/>
          <w:szCs w:val="22"/>
          <w:color w:val="auto"/>
        </w:rPr>
        <w:t>establish, adopt, enter into, amend or terminate any Collective Bargaining Agreement, or recognize or certify any Labor Organization or group of employees as the bargaining representative for any employees of the Company or any Company Subsidiary;</w:t>
      </w:r>
    </w:p>
    <w:p>
      <w:pPr>
        <w:spacing w:after="0" w:line="238" w:lineRule="exact"/>
        <w:rPr>
          <w:rFonts w:ascii="Arial" w:cs="Arial" w:eastAsia="Arial" w:hAnsi="Arial"/>
          <w:sz w:val="22"/>
          <w:szCs w:val="22"/>
          <w:color w:val="auto"/>
        </w:rPr>
      </w:pPr>
    </w:p>
    <w:p>
      <w:pPr>
        <w:jc w:val="both"/>
        <w:ind w:left="660" w:firstLine="1292"/>
        <w:spacing w:after="0" w:line="308" w:lineRule="auto"/>
        <w:tabs>
          <w:tab w:leader="none" w:pos="3139" w:val="left"/>
        </w:tabs>
        <w:numPr>
          <w:ilvl w:val="1"/>
          <w:numId w:val="73"/>
        </w:numPr>
        <w:rPr>
          <w:rFonts w:ascii="Arial" w:cs="Arial" w:eastAsia="Arial" w:hAnsi="Arial"/>
          <w:sz w:val="19"/>
          <w:szCs w:val="19"/>
          <w:color w:val="auto"/>
        </w:rPr>
      </w:pPr>
      <w:r>
        <w:rPr>
          <w:rFonts w:ascii="Arial" w:cs="Arial" w:eastAsia="Arial" w:hAnsi="Arial"/>
          <w:sz w:val="19"/>
          <w:szCs w:val="19"/>
          <w:color w:val="auto"/>
        </w:rPr>
        <w:t>establish, adopt, enter into, amend or terminate any Company Plan (or any arrangement that would be a material Company Plan if in effect on the date of this Agreement), other than (x) employment agreements and offer letters entered into the ordinary course of business consistent with past practice that do not provide for severance or change in control benefits, and (y) annual renewals of or modifications to Company Plans in the ordinary course of business consistent with past practice that are health or welfare plans and that do not increase the cost to the Company or any Company Subsidiary of such Company Plan;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ind w:left="640" w:firstLine="1292"/>
        <w:spacing w:after="0" w:line="358" w:lineRule="auto"/>
        <w:tabs>
          <w:tab w:leader="none" w:pos="3260" w:val="left"/>
        </w:tabs>
        <w:numPr>
          <w:ilvl w:val="1"/>
          <w:numId w:val="74"/>
        </w:numPr>
        <w:rPr>
          <w:rFonts w:ascii="Arial" w:cs="Arial" w:eastAsia="Arial" w:hAnsi="Arial"/>
          <w:sz w:val="19"/>
          <w:szCs w:val="19"/>
          <w:color w:val="auto"/>
        </w:rPr>
      </w:pPr>
      <w:r>
        <w:rPr>
          <w:rFonts w:ascii="Arial" w:cs="Arial" w:eastAsia="Arial" w:hAnsi="Arial"/>
          <w:sz w:val="19"/>
          <w:szCs w:val="19"/>
          <w:color w:val="auto"/>
        </w:rPr>
        <w:t>accelerate the vesting or payment date of any Company Equity Awards or accelerate any payment or benefit, or the funding of any payment or benefit, payable or to become payable under a Company Plan;</w:t>
      </w:r>
    </w:p>
    <w:p>
      <w:pPr>
        <w:spacing w:after="0" w:line="158" w:lineRule="exact"/>
        <w:rPr>
          <w:rFonts w:ascii="Arial" w:cs="Arial" w:eastAsia="Arial" w:hAnsi="Arial"/>
          <w:sz w:val="19"/>
          <w:szCs w:val="19"/>
          <w:color w:val="auto"/>
        </w:rPr>
      </w:pPr>
    </w:p>
    <w:p>
      <w:pPr>
        <w:jc w:val="both"/>
        <w:ind w:left="640" w:firstLine="1292"/>
        <w:spacing w:after="0" w:line="261" w:lineRule="auto"/>
        <w:tabs>
          <w:tab w:leader="none" w:pos="33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(A) other than to directly replace an employee below the level of vice president whose employment with the Company terminates after the date hereof, hire or retain any person for employment with the Company or any Company Subsidiary or (B) promote, or, other than for cause (which, for the avoidance of doubt, shall include performance-related terminations), terminate the employment or engagement of an employee of the Company or any Company Subsidiary, at the level of manager or above;</w:t>
      </w:r>
    </w:p>
    <w:p>
      <w:pPr>
        <w:spacing w:after="0" w:line="244" w:lineRule="exact"/>
        <w:rPr>
          <w:rFonts w:ascii="Arial" w:cs="Arial" w:eastAsia="Arial" w:hAnsi="Arial"/>
          <w:sz w:val="22"/>
          <w:szCs w:val="22"/>
          <w:color w:val="auto"/>
        </w:rPr>
      </w:pPr>
    </w:p>
    <w:p>
      <w:pPr>
        <w:ind w:left="3080" w:hanging="1148"/>
        <w:spacing w:after="0"/>
        <w:tabs>
          <w:tab w:leader="none" w:pos="3080" w:val="left"/>
        </w:tabs>
        <w:numPr>
          <w:ilvl w:val="1"/>
          <w:numId w:val="74"/>
        </w:numPr>
        <w:rPr>
          <w:rFonts w:ascii="Arial" w:cs="Arial" w:eastAsia="Arial" w:hAnsi="Arial"/>
          <w:sz w:val="19"/>
          <w:szCs w:val="19"/>
          <w:color w:val="auto"/>
        </w:rPr>
      </w:pPr>
      <w:r>
        <w:rPr>
          <w:rFonts w:ascii="Arial" w:cs="Arial" w:eastAsia="Arial" w:hAnsi="Arial"/>
          <w:sz w:val="19"/>
          <w:szCs w:val="19"/>
          <w:color w:val="auto"/>
        </w:rPr>
        <w:t>waive, release or amend any restrictive covenants of any current or former employee or other</w:t>
      </w:r>
    </w:p>
    <w:p>
      <w:pPr>
        <w:spacing w:after="0" w:line="5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Worker; or</w:t>
      </w:r>
    </w:p>
    <w:p>
      <w:pPr>
        <w:spacing w:after="0" w:line="269" w:lineRule="exact"/>
        <w:rPr>
          <w:rFonts w:ascii="Arial" w:cs="Arial" w:eastAsia="Arial" w:hAnsi="Arial"/>
          <w:sz w:val="19"/>
          <w:szCs w:val="19"/>
          <w:color w:val="auto"/>
        </w:rPr>
      </w:pPr>
    </w:p>
    <w:p>
      <w:pPr>
        <w:ind w:left="-20" w:right="20" w:firstLine="1304"/>
        <w:spacing w:after="0" w:line="250" w:lineRule="auto"/>
        <w:tabs>
          <w:tab w:leader="none" w:pos="2284" w:val="left"/>
        </w:tabs>
        <w:numPr>
          <w:ilvl w:val="0"/>
          <w:numId w:val="75"/>
        </w:numPr>
        <w:rPr>
          <w:rFonts w:ascii="Arial" w:cs="Arial" w:eastAsia="Arial" w:hAnsi="Arial"/>
          <w:sz w:val="22"/>
          <w:szCs w:val="22"/>
          <w:color w:val="auto"/>
        </w:rPr>
      </w:pPr>
      <w:r>
        <w:rPr>
          <w:rFonts w:ascii="Arial" w:cs="Arial" w:eastAsia="Arial" w:hAnsi="Arial"/>
          <w:sz w:val="22"/>
          <w:szCs w:val="22"/>
          <w:color w:val="auto"/>
        </w:rPr>
        <w:t>make any material change in its financial accounting policies, practices or methodologies, except as required by Law, GAAP or SEC, Nasdaq or TASE policy;</w:t>
      </w:r>
    </w:p>
    <w:p>
      <w:pPr>
        <w:spacing w:after="0" w:line="228" w:lineRule="exact"/>
        <w:rPr>
          <w:rFonts w:ascii="Arial" w:cs="Arial" w:eastAsia="Arial" w:hAnsi="Arial"/>
          <w:sz w:val="22"/>
          <w:szCs w:val="22"/>
          <w:color w:val="auto"/>
        </w:rPr>
      </w:pPr>
    </w:p>
    <w:p>
      <w:pPr>
        <w:jc w:val="both"/>
        <w:ind w:left="-20" w:firstLine="1304"/>
        <w:spacing w:after="0" w:line="273" w:lineRule="auto"/>
        <w:tabs>
          <w:tab w:leader="none" w:pos="2069"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acquire or agree to acquire, directly or indirectly (including by merger, consolidation, operation of law, or acquisition of shares, other equity interests or assets or any other business combination), (i) any corporation, partnership, other business organization or any division, business, assets or properties of any other Person (other than (A) acquisitions by the Company from any wholly owned Subsidiary or among any wholly owned Subsidiaries of the Company, (B) the purchase of inventory, equipment, raw material or supplies in the ordinary course of business consistent with past practice, or (C) non-exclusive inbound licenses of Intellectual Property in the ordinary course of business) in an amount in excess of $2,500,000 individually or $10,000,000 in the aggregate or (ii) any investment in any other Person in an amount in excess of $2,500,000 individually or $10,000,000 in the aggregate, including by purchase of capital stock or securities, contributions to capital, property transfers (other than between the Company and a wholly owned Company Subsidiary or between wholly owned Company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shall prohibit capital expenditures permitted pursuant to </w:t>
      </w:r>
      <w:r>
        <w:rPr>
          <w:rFonts w:ascii="Arial" w:cs="Arial" w:eastAsia="Arial" w:hAnsi="Arial"/>
          <w:sz w:val="19"/>
          <w:szCs w:val="19"/>
          <w:u w:val="single" w:color="auto"/>
          <w:color w:val="auto"/>
        </w:rPr>
        <w:t>Section 5.1(p)</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20" w:firstLine="1304"/>
        <w:spacing w:after="0" w:line="250" w:lineRule="auto"/>
        <w:tabs>
          <w:tab w:leader="none" w:pos="2302" w:val="left"/>
        </w:tabs>
        <w:numPr>
          <w:ilvl w:val="0"/>
          <w:numId w:val="75"/>
        </w:numPr>
        <w:rPr>
          <w:rFonts w:ascii="Arial" w:cs="Arial" w:eastAsia="Arial" w:hAnsi="Arial"/>
          <w:sz w:val="22"/>
          <w:szCs w:val="22"/>
          <w:color w:val="auto"/>
        </w:rPr>
      </w:pPr>
      <w:r>
        <w:rPr>
          <w:rFonts w:ascii="Arial" w:cs="Arial" w:eastAsia="Arial" w:hAnsi="Arial"/>
          <w:sz w:val="22"/>
          <w:szCs w:val="22"/>
          <w:color w:val="auto"/>
        </w:rPr>
        <w:t>cause, permit or propose any amendment to, or otherwise amend the Articles of Association of the Company or the Charter Documents of any Company Subsidiary;</w:t>
      </w:r>
    </w:p>
    <w:p>
      <w:pPr>
        <w:spacing w:after="0" w:line="228" w:lineRule="exact"/>
        <w:rPr>
          <w:rFonts w:ascii="Arial" w:cs="Arial" w:eastAsia="Arial" w:hAnsi="Arial"/>
          <w:sz w:val="22"/>
          <w:szCs w:val="22"/>
          <w:color w:val="auto"/>
        </w:rPr>
      </w:pPr>
    </w:p>
    <w:p>
      <w:pPr>
        <w:jc w:val="both"/>
        <w:ind w:left="-20" w:firstLine="1304"/>
        <w:spacing w:after="0" w:line="238" w:lineRule="auto"/>
        <w:tabs>
          <w:tab w:leader="none" w:pos="223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adopt a plan of (i) complete or partial liquidation of the Company or any Company Subsidiary or (ii) dissolution, merger, consolidation, recapitalization, restructuring or other reorganization of the Company or any of the Company Subsidiaries other than (A) the Merger and (B) transactions between or among direct or indirect wholly owned Subsidiaries of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32" w:right="339" w:bottom="1440" w:gutter="0" w:footer="0" w:header="0"/>
        </w:sectPr>
      </w:pPr>
    </w:p>
    <w:bookmarkStart w:id="63" w:name="page64"/>
    <w:bookmarkEnd w:id="63"/>
    <w:p>
      <w:pPr>
        <w:jc w:val="both"/>
        <w:ind w:firstLine="1304"/>
        <w:spacing w:after="0" w:line="274" w:lineRule="auto"/>
        <w:tabs>
          <w:tab w:leader="none" w:pos="2331"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except as permitted by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issue, deliver, grant, sell, pledge, dispose of or encumber, or subject to any Lien (other than Permitted Liens) any shares or voting securities of the Company or any Company Subsidiary or any securities convertible into or exchangeable for any such shares or voting securities, or any rights, warrants or options to acquire any such shares or voting securities or any “phantom” stock, “phantom” stock rights, stock appreciation rights or stock based performance units, other than (i) issuances of Company Shares in respect of the exercise of purchase rights under the Company Equity Plans, upon the exercise of Company Options or the vesting and settlement of Company PSUs and Company RSUs, in each case in accordance with their respective terms and the terms of this Agreement, (ii) pursuant to the Company Equity Plans as set forth in </w:t>
      </w:r>
      <w:r>
        <w:rPr>
          <w:rFonts w:ascii="Arial" w:cs="Arial" w:eastAsia="Arial" w:hAnsi="Arial"/>
          <w:sz w:val="19"/>
          <w:szCs w:val="19"/>
          <w:u w:val="single" w:color="auto"/>
          <w:color w:val="auto"/>
        </w:rPr>
        <w:t>Section 5.1(c)</w:t>
      </w:r>
      <w:r>
        <w:rPr>
          <w:rFonts w:ascii="Arial" w:cs="Arial" w:eastAsia="Arial" w:hAnsi="Arial"/>
          <w:sz w:val="19"/>
          <w:szCs w:val="19"/>
          <w:color w:val="auto"/>
        </w:rPr>
        <w:t>, and (iii) transactions between the Company and a wholly owned Company Subsidiary or between wholly owned Company Subsidiaries;</w:t>
      </w:r>
    </w:p>
    <w:p>
      <w:pPr>
        <w:spacing w:after="0" w:line="212" w:lineRule="exact"/>
        <w:rPr>
          <w:rFonts w:ascii="Arial" w:cs="Arial" w:eastAsia="Arial" w:hAnsi="Arial"/>
          <w:sz w:val="19"/>
          <w:szCs w:val="19"/>
          <w:color w:val="auto"/>
        </w:rPr>
      </w:pPr>
    </w:p>
    <w:p>
      <w:pPr>
        <w:jc w:val="both"/>
        <w:ind w:firstLine="1304"/>
        <w:spacing w:after="0" w:line="277" w:lineRule="auto"/>
        <w:tabs>
          <w:tab w:leader="none" w:pos="2323"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directly or indirectly, purchase, redeem or otherwise acquire any shares in its capital or any rights, warrants or options to acquire any such shares in its capital, except for (i) acquisitions of Company Shares tendered by holders of Company Equity Awards in order to satisfy obligations to pay the exercise price and/or Tax withholding obligations with respect thereto, (ii) the acquisition by the Company of Company Equity Awards in connection with the forfeiture or cancellation of such awards, (iii) the acquisition of Company Shares pursuant to the mandatory exercise of repurchase rights binding on the Company existing prior to the date of this Agreement and disclosed on </w:t>
      </w:r>
      <w:r>
        <w:rPr>
          <w:rFonts w:ascii="Arial" w:cs="Arial" w:eastAsia="Arial" w:hAnsi="Arial"/>
          <w:sz w:val="19"/>
          <w:szCs w:val="19"/>
          <w:u w:val="single" w:color="auto"/>
          <w:color w:val="auto"/>
        </w:rPr>
        <w:t>Section 5.1(i)</w:t>
      </w:r>
      <w:r>
        <w:rPr>
          <w:rFonts w:ascii="Arial" w:cs="Arial" w:eastAsia="Arial" w:hAnsi="Arial"/>
          <w:sz w:val="19"/>
          <w:szCs w:val="19"/>
          <w:color w:val="auto"/>
        </w:rPr>
        <w:t xml:space="preserve"> of the Company Disclosure Letter, and (iv) transactions between the Company and a wholly owned Company Subsidiary or between wholly owned Company Subsidiaries;</w:t>
      </w:r>
    </w:p>
    <w:p>
      <w:pPr>
        <w:spacing w:after="0" w:line="205" w:lineRule="exact"/>
        <w:rPr>
          <w:rFonts w:ascii="Arial" w:cs="Arial" w:eastAsia="Arial" w:hAnsi="Arial"/>
          <w:sz w:val="19"/>
          <w:szCs w:val="19"/>
          <w:color w:val="auto"/>
        </w:rPr>
      </w:pPr>
    </w:p>
    <w:p>
      <w:pPr>
        <w:jc w:val="both"/>
        <w:ind w:firstLine="1304"/>
        <w:spacing w:after="0" w:line="272" w:lineRule="auto"/>
        <w:tabs>
          <w:tab w:leader="none" w:pos="2310" w:val="left"/>
        </w:tabs>
        <w:numPr>
          <w:ilvl w:val="0"/>
          <w:numId w:val="76"/>
        </w:numPr>
        <w:rPr>
          <w:rFonts w:ascii="Arial" w:cs="Arial" w:eastAsia="Arial" w:hAnsi="Arial"/>
          <w:sz w:val="19"/>
          <w:szCs w:val="19"/>
          <w:color w:val="auto"/>
        </w:rPr>
      </w:pPr>
      <w:r>
        <w:rPr>
          <w:rFonts w:ascii="Arial" w:cs="Arial" w:eastAsia="Arial" w:hAnsi="Arial"/>
          <w:sz w:val="19"/>
          <w:szCs w:val="19"/>
          <w:color w:val="auto"/>
        </w:rPr>
        <w:t>(i) redeem, repurchase, prepay (other than prepayments of revolving loans), defease, incur, assume, endorse, guarantee or otherwise become liable for or modify in any material respects the terms of any Indebtedness for borrowed money or issue or sell any debt securities or calls, options, warrants or other rights to acquire any debt securities (directly, contingently or otherwise), except for (A) any Indebtedness among the Company and its wholly owned Company Subsidiaries or among wholly owned Company Subsidiaries, (B) guarantees by the Company of Indebtedness of wholly owned Company Subsidiaries or guarantees by wholly owned Company Subsidiaries of Indebtedness of the Company or any wholly owned Company Subsidiary, which Indebtedness is incurred in compliance with this clause (j), (C) the incurrence of Indebtedness in an amount not to exceed $1,000,000 in aggregate principal amount, (D) purchase money financings and capital leases entered into in the ordinary course of business in an amount not to exceed $25,000,000 in the aggregate at any time outstanding, and (E) any hedging obligations of the Company or any Company Subsidiary in the ordinary course of business consistent with past practice, and (ii) make any loans or advances to any other Person or cancel any Indebtedness for borrowed money owed to the Company, other than (A) in wholly owned Company Subsidiaries and (B) in respect of travel or other business expenses in the ordinary course of business consistent with past practice;</w:t>
      </w:r>
    </w:p>
    <w:p>
      <w:pPr>
        <w:spacing w:after="0" w:line="209" w:lineRule="exact"/>
        <w:rPr>
          <w:rFonts w:ascii="Arial" w:cs="Arial" w:eastAsia="Arial" w:hAnsi="Arial"/>
          <w:sz w:val="19"/>
          <w:szCs w:val="19"/>
          <w:color w:val="auto"/>
        </w:rPr>
      </w:pPr>
    </w:p>
    <w:p>
      <w:pPr>
        <w:jc w:val="both"/>
        <w:ind w:firstLine="1304"/>
        <w:spacing w:after="0" w:line="277" w:lineRule="auto"/>
        <w:tabs>
          <w:tab w:leader="none" w:pos="2385" w:val="left"/>
        </w:tabs>
        <w:numPr>
          <w:ilvl w:val="0"/>
          <w:numId w:val="76"/>
        </w:numPr>
        <w:rPr>
          <w:rFonts w:ascii="Arial" w:cs="Arial" w:eastAsia="Arial" w:hAnsi="Arial"/>
          <w:sz w:val="19"/>
          <w:szCs w:val="19"/>
          <w:color w:val="auto"/>
        </w:rPr>
      </w:pPr>
      <w:r>
        <w:rPr>
          <w:rFonts w:ascii="Arial" w:cs="Arial" w:eastAsia="Arial" w:hAnsi="Arial"/>
          <w:sz w:val="19"/>
          <w:szCs w:val="19"/>
          <w:color w:val="auto"/>
        </w:rPr>
        <w:t>allow to lapse, encumber, sell, lease, license, transfer, assign, exchange, swap, abandon, pledge or otherwise waive or dispose of, or subject to any Lien (other than Permitted Liens), any of its properties, rights or assets, except for (A) sales of inventory or Company Products, or dispositions of obsolete or worthless equipment, in the ordinary course of business, (B) the licensing, sale, abandonment or allowance to lapse of Company Registered Intellectual Property that is not material Company Owned Intellectual Property; and (C) non-exclusive licenses of Intellectual Property in the ordinary course of business consistent with past practice; or (ii) release any Sensitive Technology under any Copyleft Terms or use any Open Source Material in such a way that would require the release of any Sensitive Technology under any Copyleft Terms;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both"/>
        <w:ind w:firstLine="1304"/>
        <w:spacing w:after="0" w:line="271" w:lineRule="auto"/>
        <w:tabs>
          <w:tab w:leader="none" w:pos="2053" w:val="left"/>
        </w:tabs>
        <w:numPr>
          <w:ilvl w:val="1"/>
          <w:numId w:val="77"/>
        </w:numPr>
        <w:rPr>
          <w:rFonts w:ascii="Arial" w:cs="Arial" w:eastAsia="Arial" w:hAnsi="Arial"/>
          <w:sz w:val="19"/>
          <w:szCs w:val="19"/>
          <w:color w:val="auto"/>
        </w:rPr>
      </w:pPr>
      <w:r>
        <w:rPr>
          <w:rFonts w:ascii="Arial" w:cs="Arial" w:eastAsia="Arial" w:hAnsi="Arial"/>
          <w:sz w:val="19"/>
          <w:szCs w:val="19"/>
          <w:color w:val="auto"/>
        </w:rPr>
        <w:t>(i) settle, pay, discharge or satisfy any Actions other than Actions that (A) involve the payment, discharge or satisfaction, in the ordinary course of business and consistent with past practice, of liabilities reflected or reserved against in the Most Recent Company Balance Sheet in an amount that is less than the amount reserved therefore as reflected therein, (B) do not involve the payment of money in excess of $2,500,000 individually or $8,000,000 in the aggregate, (C) do not involve the grant of equitable relief or otherwise impose any material restriction on the Company’s or any Company Subsidiaries’ business,</w:t>
      </w:r>
    </w:p>
    <w:p>
      <w:pPr>
        <w:jc w:val="both"/>
        <w:ind w:firstLine="8"/>
        <w:spacing w:after="0" w:line="233" w:lineRule="auto"/>
        <w:tabs>
          <w:tab w:leader="none" w:pos="365" w:val="left"/>
        </w:tabs>
        <w:numPr>
          <w:ilvl w:val="0"/>
          <w:numId w:val="78"/>
        </w:numPr>
        <w:rPr>
          <w:rFonts w:ascii="Arial" w:cs="Arial" w:eastAsia="Arial" w:hAnsi="Arial"/>
          <w:sz w:val="22"/>
          <w:szCs w:val="22"/>
          <w:color w:val="auto"/>
        </w:rPr>
      </w:pPr>
      <w:r>
        <w:rPr>
          <w:rFonts w:ascii="Arial" w:cs="Arial" w:eastAsia="Arial" w:hAnsi="Arial"/>
          <w:sz w:val="22"/>
          <w:szCs w:val="22"/>
          <w:color w:val="auto"/>
        </w:rPr>
        <w:t>do not relate to any Action brought by or on behalf of the Company Shareholders in connection with this Agreement or the Transactions and (E) do not include an admission of liability or fault on the part of the Company or any Company Subsidiary or (ii) institute any Action by the Company or any Company Subsidiary, other than in the ordinary course of business consistent with past practice;</w:t>
      </w:r>
    </w:p>
    <w:p>
      <w:pPr>
        <w:spacing w:after="0" w:line="241" w:lineRule="exact"/>
        <w:rPr>
          <w:rFonts w:ascii="Arial" w:cs="Arial" w:eastAsia="Arial" w:hAnsi="Arial"/>
          <w:sz w:val="22"/>
          <w:szCs w:val="22"/>
          <w:color w:val="auto"/>
        </w:rPr>
      </w:pPr>
    </w:p>
    <w:p>
      <w:pPr>
        <w:jc w:val="both"/>
        <w:ind w:firstLine="1304"/>
        <w:spacing w:after="0" w:line="244" w:lineRule="auto"/>
        <w:tabs>
          <w:tab w:leader="none" w:pos="2242" w:val="left"/>
        </w:tabs>
        <w:numPr>
          <w:ilvl w:val="1"/>
          <w:numId w:val="78"/>
        </w:numPr>
        <w:rPr>
          <w:rFonts w:ascii="Arial" w:cs="Arial" w:eastAsia="Arial" w:hAnsi="Arial"/>
          <w:sz w:val="21"/>
          <w:szCs w:val="21"/>
          <w:color w:val="auto"/>
        </w:rPr>
      </w:pPr>
      <w:r>
        <w:rPr>
          <w:rFonts w:ascii="Arial" w:cs="Arial" w:eastAsia="Arial" w:hAnsi="Arial"/>
          <w:sz w:val="21"/>
          <w:szCs w:val="21"/>
          <w:color w:val="auto"/>
        </w:rPr>
        <w:t>(i) make (except for elections made in the ordinary course of business consistent with past practice) or change any material Tax election; (ii) change any Tax accounting period with respect to a material Tax or material method of Tax accounting; (iii) file any amended Tax Return (other than any amended immaterial Tax Return which filing would reasonably be expected to be beneficial to the Company or any Company Subsidiary); (iv) settle or compromise any audit or proceeding relating to a material Tax or a material amount of Taxes; (v) except in the ordinary course of business consistent with past practice, agree to an extension or waiver of the statute of limitations with respect to a material amount of Taxes; (vi) enter into any “closing agreement” within the meaning of Section 7121 of the Code (or any similar provision of state, local, or non-U.S. Law) with respect to any material Tax or surrender any right to claim a material Tax refund; or (vii) request a Tax pre-ruling or ruling from any Governmental Authority (other than any such request (A) expressly contemplated by this Agreement or (B) that relates to an immaterial amount of Tax and that would reasonably be expected to be beneficial to the Company or any Company Subsidiary);</w:t>
      </w:r>
    </w:p>
    <w:p>
      <w:pPr>
        <w:spacing w:after="0" w:line="242" w:lineRule="exact"/>
        <w:rPr>
          <w:rFonts w:ascii="Arial" w:cs="Arial" w:eastAsia="Arial" w:hAnsi="Arial"/>
          <w:sz w:val="21"/>
          <w:szCs w:val="21"/>
          <w:color w:val="auto"/>
        </w:rPr>
      </w:pPr>
    </w:p>
    <w:p>
      <w:pPr>
        <w:jc w:val="both"/>
        <w:ind w:firstLine="1304"/>
        <w:spacing w:after="0" w:line="275" w:lineRule="auto"/>
        <w:tabs>
          <w:tab w:leader="none" w:pos="2169"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Except for renewals or extensions of any existing Company Material Contract in the ordinary course of business consistent with past practice (as long as the terms of such renewals or extensions are substantially consistent with the existing Company Material Contracts), (i) enter into any Contract that if entered into prior to the date of this Agreement would have been a Company Material Contract described in subsections (iii)-(ix), (xii), (xiii), (xiv) or (xvi) of </w:t>
      </w:r>
      <w:r>
        <w:rPr>
          <w:rFonts w:ascii="Arial" w:cs="Arial" w:eastAsia="Arial" w:hAnsi="Arial"/>
          <w:sz w:val="19"/>
          <w:szCs w:val="19"/>
          <w:u w:val="single" w:color="auto"/>
          <w:color w:val="auto"/>
        </w:rPr>
        <w:t>Section 3.17(a)</w:t>
      </w:r>
      <w:r>
        <w:rPr>
          <w:rFonts w:ascii="Arial" w:cs="Arial" w:eastAsia="Arial" w:hAnsi="Arial"/>
          <w:sz w:val="19"/>
          <w:szCs w:val="19"/>
          <w:color w:val="auto"/>
        </w:rPr>
        <w:t xml:space="preserve">, (ii) materially modify or amend to the extent related to, or waive, release or assign any rights or claims under any Company Material Contract described in subsections (iii)-(ix), (xii), (xiii), (xiv) or (xvi) of </w:t>
      </w:r>
      <w:r>
        <w:rPr>
          <w:rFonts w:ascii="Arial" w:cs="Arial" w:eastAsia="Arial" w:hAnsi="Arial"/>
          <w:sz w:val="19"/>
          <w:szCs w:val="19"/>
          <w:u w:val="single" w:color="auto"/>
          <w:color w:val="auto"/>
        </w:rPr>
        <w:t>Section 3.17(a)</w:t>
      </w:r>
      <w:r>
        <w:rPr>
          <w:rFonts w:ascii="Arial" w:cs="Arial" w:eastAsia="Arial" w:hAnsi="Arial"/>
          <w:sz w:val="19"/>
          <w:szCs w:val="19"/>
          <w:color w:val="auto"/>
        </w:rPr>
        <w:t xml:space="preserve">, or (iii) enter into, materially modify, amend, waive, release or assign any material rights or claims under any other Company Material Contract other than in the ordinary course of business consistent with past practice, but subject to any other restrictions imposed by this Section </w:t>
      </w:r>
      <w:r>
        <w:rPr>
          <w:rFonts w:ascii="Arial" w:cs="Arial" w:eastAsia="Arial" w:hAnsi="Arial"/>
          <w:sz w:val="19"/>
          <w:szCs w:val="19"/>
          <w:u w:val="single" w:color="auto"/>
          <w:color w:val="auto"/>
        </w:rPr>
        <w:t>5.1</w:t>
      </w:r>
      <w:r>
        <w:rPr>
          <w:rFonts w:ascii="Arial" w:cs="Arial" w:eastAsia="Arial" w:hAnsi="Arial"/>
          <w:sz w:val="19"/>
          <w:szCs w:val="19"/>
          <w:color w:val="auto"/>
        </w:rPr>
        <w:t>;</w:t>
      </w:r>
    </w:p>
    <w:p>
      <w:pPr>
        <w:spacing w:after="0" w:line="211" w:lineRule="exact"/>
        <w:rPr>
          <w:rFonts w:ascii="Arial" w:cs="Arial" w:eastAsia="Arial" w:hAnsi="Arial"/>
          <w:sz w:val="19"/>
          <w:szCs w:val="19"/>
          <w:color w:val="auto"/>
        </w:rPr>
      </w:pPr>
    </w:p>
    <w:p>
      <w:pPr>
        <w:ind w:firstLine="1304"/>
        <w:spacing w:after="0" w:line="328" w:lineRule="auto"/>
        <w:tabs>
          <w:tab w:leader="none" w:pos="2115" w:val="left"/>
        </w:tabs>
        <w:numPr>
          <w:ilvl w:val="1"/>
          <w:numId w:val="78"/>
        </w:numPr>
        <w:rPr>
          <w:rFonts w:ascii="Arial" w:cs="Arial" w:eastAsia="Arial" w:hAnsi="Arial"/>
          <w:sz w:val="19"/>
          <w:szCs w:val="19"/>
          <w:color w:val="auto"/>
        </w:rPr>
      </w:pPr>
      <w:r>
        <w:rPr>
          <w:rFonts w:ascii="Arial" w:cs="Arial" w:eastAsia="Arial" w:hAnsi="Arial"/>
          <w:sz w:val="19"/>
          <w:szCs w:val="19"/>
          <w:color w:val="auto"/>
        </w:rPr>
        <w:t>enter into or become bound by, or amend, modify, terminate or waive (or seek to do any of the foregoing with respect to) any Contract to purchase, sell or grant any security interest in any real property or any real property lease;</w:t>
      </w:r>
    </w:p>
    <w:p>
      <w:pPr>
        <w:spacing w:after="0" w:line="158" w:lineRule="exact"/>
        <w:rPr>
          <w:rFonts w:ascii="Arial" w:cs="Arial" w:eastAsia="Arial" w:hAnsi="Arial"/>
          <w:sz w:val="19"/>
          <w:szCs w:val="19"/>
          <w:color w:val="auto"/>
        </w:rPr>
      </w:pPr>
    </w:p>
    <w:p>
      <w:pPr>
        <w:ind w:left="2440" w:hanging="1136"/>
        <w:spacing w:after="0"/>
        <w:tabs>
          <w:tab w:leader="none" w:pos="2440"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make any capital expenditures, except for as forth on </w:t>
      </w:r>
      <w:r>
        <w:rPr>
          <w:rFonts w:ascii="Arial" w:cs="Arial" w:eastAsia="Arial" w:hAnsi="Arial"/>
          <w:sz w:val="19"/>
          <w:szCs w:val="19"/>
          <w:u w:val="single" w:color="auto"/>
          <w:color w:val="auto"/>
        </w:rPr>
        <w:t>Section 5.1(p)</w:t>
      </w:r>
      <w:r>
        <w:rPr>
          <w:rFonts w:ascii="Arial" w:cs="Arial" w:eastAsia="Arial" w:hAnsi="Arial"/>
          <w:sz w:val="19"/>
          <w:szCs w:val="19"/>
          <w:color w:val="auto"/>
        </w:rPr>
        <w:t xml:space="preserve"> of the Company Disclosure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Schedule;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both"/>
        <w:ind w:firstLine="1304"/>
        <w:spacing w:after="0" w:line="282" w:lineRule="auto"/>
        <w:tabs>
          <w:tab w:leader="none" w:pos="2142"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apply for or accept (i) any Government Grant from the IIA or any other Israeli Governmental Authority, which Government Grant is extended to support the Company’s or any Company Subsidiary’s research and development operations or (ii) any material Government Grants from any other Governmental Authority;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have the right to accept additional funds under existing Government Grants from the IIA for which the Company has already received funds if such acceptance of funds by the Company does not impose any additional restrictions on the Company;</w:t>
      </w:r>
    </w:p>
    <w:p>
      <w:pPr>
        <w:spacing w:after="0" w:line="201" w:lineRule="exact"/>
        <w:rPr>
          <w:rFonts w:ascii="Arial" w:cs="Arial" w:eastAsia="Arial" w:hAnsi="Arial"/>
          <w:sz w:val="19"/>
          <w:szCs w:val="19"/>
          <w:color w:val="auto"/>
        </w:rPr>
      </w:pPr>
    </w:p>
    <w:p>
      <w:pPr>
        <w:jc w:val="both"/>
        <w:ind w:firstLine="1304"/>
        <w:spacing w:after="0" w:line="238" w:lineRule="auto"/>
        <w:tabs>
          <w:tab w:leader="none" w:pos="247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write up, write down or write off the book value of any assets, except (i) for depreciation and amortization in accordance with GAAP consistently applied, (ii) as otherwise required under GAAP (including to increase any reserves for contingent Liabilities) or (iii) in the ordinary course of business consistent with past practice in accordance with GAAP;</w:t>
      </w:r>
    </w:p>
    <w:p>
      <w:pPr>
        <w:spacing w:after="0" w:line="238" w:lineRule="exact"/>
        <w:rPr>
          <w:rFonts w:ascii="Arial" w:cs="Arial" w:eastAsia="Arial" w:hAnsi="Arial"/>
          <w:sz w:val="22"/>
          <w:szCs w:val="22"/>
          <w:color w:val="auto"/>
        </w:rPr>
      </w:pPr>
    </w:p>
    <w:p>
      <w:pPr>
        <w:jc w:val="both"/>
        <w:ind w:firstLine="1304"/>
        <w:spacing w:after="0" w:line="287" w:lineRule="auto"/>
        <w:tabs>
          <w:tab w:leader="none" w:pos="2064" w:val="left"/>
        </w:tabs>
        <w:numPr>
          <w:ilvl w:val="0"/>
          <w:numId w:val="79"/>
        </w:numPr>
        <w:rPr>
          <w:rFonts w:ascii="Arial" w:cs="Arial" w:eastAsia="Arial" w:hAnsi="Arial"/>
          <w:sz w:val="19"/>
          <w:szCs w:val="19"/>
          <w:color w:val="auto"/>
        </w:rPr>
      </w:pPr>
      <w:r>
        <w:rPr>
          <w:rFonts w:ascii="Arial" w:cs="Arial" w:eastAsia="Arial" w:hAnsi="Arial"/>
          <w:sz w:val="19"/>
          <w:szCs w:val="19"/>
          <w:color w:val="auto"/>
        </w:rPr>
        <w:t>change the Company’s or any of its Subsidiaries’ (i) systems of “internal control over financial reporting” (as defined in Rules 13a-15(f) and 15d-15(f) of the 1934 Act), (ii) “disclosure controls and procedures” (as defined in Rule 13a-15(e) of the 1934 Act) or (iii) methods for maintenance of books and records except as permitted by concurrent changes in GAAP or in Regulation S-X of the 1934 Act, as agreed to by the Company’s independent public accountants;</w:t>
      </w:r>
    </w:p>
    <w:p>
      <w:pPr>
        <w:spacing w:after="0" w:line="196" w:lineRule="exact"/>
        <w:rPr>
          <w:rFonts w:ascii="Arial" w:cs="Arial" w:eastAsia="Arial" w:hAnsi="Arial"/>
          <w:sz w:val="19"/>
          <w:szCs w:val="19"/>
          <w:color w:val="auto"/>
        </w:rPr>
      </w:pPr>
    </w:p>
    <w:p>
      <w:pPr>
        <w:ind w:left="2040" w:hanging="736"/>
        <w:spacing w:after="0"/>
        <w:tabs>
          <w:tab w:leader="none" w:pos="20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change the Company’s or any of its Subsidiaries’ fiscal year;</w:t>
      </w:r>
    </w:p>
    <w:p>
      <w:pPr>
        <w:spacing w:after="0" w:line="260" w:lineRule="exact"/>
        <w:rPr>
          <w:rFonts w:ascii="Arial" w:cs="Arial" w:eastAsia="Arial" w:hAnsi="Arial"/>
          <w:sz w:val="22"/>
          <w:szCs w:val="22"/>
          <w:color w:val="auto"/>
        </w:rPr>
      </w:pPr>
    </w:p>
    <w:p>
      <w:pPr>
        <w:ind w:left="2100" w:hanging="796"/>
        <w:spacing w:after="0"/>
        <w:tabs>
          <w:tab w:leader="none" w:pos="21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cancel or fail to use commercially reasonable efforts to replace or renew any material insurance policies;</w:t>
      </w:r>
    </w:p>
    <w:p>
      <w:pPr>
        <w:spacing w:after="0" w:line="294" w:lineRule="exact"/>
        <w:rPr>
          <w:rFonts w:ascii="Arial" w:cs="Arial" w:eastAsia="Arial" w:hAnsi="Arial"/>
          <w:sz w:val="19"/>
          <w:szCs w:val="19"/>
          <w:color w:val="auto"/>
        </w:rPr>
      </w:pPr>
    </w:p>
    <w:p>
      <w:pPr>
        <w:ind w:firstLine="1304"/>
        <w:spacing w:after="0" w:line="250" w:lineRule="auto"/>
        <w:tabs>
          <w:tab w:leader="none" w:pos="2304" w:val="left"/>
        </w:tabs>
        <w:numPr>
          <w:ilvl w:val="0"/>
          <w:numId w:val="79"/>
        </w:numPr>
        <w:rPr>
          <w:rFonts w:ascii="Arial" w:cs="Arial" w:eastAsia="Arial" w:hAnsi="Arial"/>
          <w:sz w:val="22"/>
          <w:szCs w:val="22"/>
          <w:color w:val="auto"/>
        </w:rPr>
      </w:pPr>
      <w:r>
        <w:rPr>
          <w:rFonts w:ascii="Arial" w:cs="Arial" w:eastAsia="Arial" w:hAnsi="Arial"/>
          <w:sz w:val="22"/>
          <w:szCs w:val="22"/>
          <w:color w:val="auto"/>
        </w:rPr>
        <w:t>enter into a new line of business outside of the existing business of the Company and the Company Subsidiaries, taken as a whole;</w:t>
      </w:r>
    </w:p>
    <w:p>
      <w:pPr>
        <w:spacing w:after="0" w:line="228" w:lineRule="exact"/>
        <w:rPr>
          <w:rFonts w:ascii="Arial" w:cs="Arial" w:eastAsia="Arial" w:hAnsi="Arial"/>
          <w:sz w:val="22"/>
          <w:szCs w:val="22"/>
          <w:color w:val="auto"/>
        </w:rPr>
      </w:pPr>
    </w:p>
    <w:p>
      <w:pPr>
        <w:ind w:left="2140" w:hanging="836"/>
        <w:spacing w:after="0"/>
        <w:tabs>
          <w:tab w:leader="none" w:pos="21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become party to or approve or adopt any stockholder rights plan or “poison pill” agreement;</w:t>
      </w:r>
    </w:p>
    <w:p>
      <w:pPr>
        <w:spacing w:after="0" w:line="260" w:lineRule="exact"/>
        <w:rPr>
          <w:rFonts w:ascii="Arial" w:cs="Arial" w:eastAsia="Arial" w:hAnsi="Arial"/>
          <w:sz w:val="22"/>
          <w:szCs w:val="22"/>
          <w:color w:val="auto"/>
        </w:rPr>
      </w:pPr>
    </w:p>
    <w:p>
      <w:pPr>
        <w:ind w:firstLine="1304"/>
        <w:spacing w:after="0" w:line="328" w:lineRule="auto"/>
        <w:tabs>
          <w:tab w:leader="none" w:pos="2115"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call or convene any general or special meeting of the Company Shareholders, or seek any action or other approval of or from the Company Shareholders, in each case with respect to any action prohibited by this </w:t>
      </w:r>
      <w:r>
        <w:rPr>
          <w:rFonts w:ascii="Arial" w:cs="Arial" w:eastAsia="Arial" w:hAnsi="Arial"/>
          <w:sz w:val="19"/>
          <w:szCs w:val="19"/>
          <w:u w:val="single" w:color="auto"/>
          <w:color w:val="auto"/>
        </w:rPr>
        <w:t>Section 5.1</w:t>
      </w:r>
      <w:r>
        <w:rPr>
          <w:rFonts w:ascii="Arial" w:cs="Arial" w:eastAsia="Arial" w:hAnsi="Arial"/>
          <w:sz w:val="19"/>
          <w:szCs w:val="19"/>
          <w:color w:val="auto"/>
        </w:rPr>
        <w:t>; or</w:t>
      </w:r>
    </w:p>
    <w:p>
      <w:pPr>
        <w:spacing w:after="0" w:line="158" w:lineRule="exact"/>
        <w:rPr>
          <w:rFonts w:ascii="Arial" w:cs="Arial" w:eastAsia="Arial" w:hAnsi="Arial"/>
          <w:sz w:val="19"/>
          <w:szCs w:val="19"/>
          <w:color w:val="auto"/>
        </w:rPr>
      </w:pPr>
    </w:p>
    <w:p>
      <w:pPr>
        <w:ind w:left="2100" w:hanging="796"/>
        <w:spacing w:after="0"/>
        <w:tabs>
          <w:tab w:leader="none" w:pos="21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agree in writing to take any or authorize any of the foregoing actions.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ind w:left="660"/>
        <w:spacing w:after="0"/>
        <w:tabs>
          <w:tab w:leader="none" w:pos="214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Solicitation by the Company</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line="268" w:lineRule="auto"/>
        <w:tabs>
          <w:tab w:leader="none" w:pos="2197"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From and after the date of this Agreement until the earlier of the Effective Time or the date, if any, on which this Agreement is terminated in accordance with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except as otherwise specifically provided for in this Agreement, the Company shall not and shall cause the Company Subsidiaries and its and their directors and officers not to, and the Company shall instruct its and their Representatives to not to on behalf of the Company: (i) solicit or initiate or knowingly assist, facilitate or encourage any inquiry, proposal or offer that constitutes or would be reasonably expected to lead to a Competing Proposal or engage in any discussions or negotiations with respect thereto (other than, solely in response to an inquiry not solicited in breach of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informing the Person making such inquiry of the existence of the provisions contained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(ii) provide any information regarding, cooperate with or provide access to the properties, personnel, books and records of, the Company or any Company Subsidiary to any Person or “group” (as defined under Section 13(d) of the Exchange Act) (other than Parent, Merger Sub or any designees of Parent or Merger Sub) in connection with or under circumstances that would reasonably be expected to lead to a Competing Proposal, except as permitted by </w:t>
      </w:r>
      <w:r>
        <w:rPr>
          <w:rFonts w:ascii="Arial" w:cs="Arial" w:eastAsia="Arial" w:hAnsi="Arial"/>
          <w:sz w:val="19"/>
          <w:szCs w:val="19"/>
          <w:u w:val="single" w:color="auto"/>
          <w:color w:val="auto"/>
        </w:rPr>
        <w:t>Section 5.2(c)</w:t>
      </w:r>
      <w:r>
        <w:rPr>
          <w:rFonts w:ascii="Arial" w:cs="Arial" w:eastAsia="Arial" w:hAnsi="Arial"/>
          <w:sz w:val="19"/>
          <w:szCs w:val="19"/>
          <w:color w:val="auto"/>
        </w:rPr>
        <w:t xml:space="preserve"> below;</w:t>
      </w:r>
    </w:p>
    <w:p>
      <w:pPr>
        <w:spacing w:after="0" w:line="7" w:lineRule="exact"/>
        <w:rPr>
          <w:rFonts w:ascii="Arial" w:cs="Arial" w:eastAsia="Arial" w:hAnsi="Arial"/>
          <w:sz w:val="19"/>
          <w:szCs w:val="19"/>
          <w:color w:val="auto"/>
        </w:rPr>
      </w:pPr>
    </w:p>
    <w:p>
      <w:pPr>
        <w:jc w:val="both"/>
        <w:ind w:firstLine="8"/>
        <w:spacing w:after="0" w:line="268" w:lineRule="auto"/>
        <w:tabs>
          <w:tab w:leader="none" w:pos="404"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participate or engage in discussions or negotiations with any Person with respect to a Competing Proposal; (iv) approve, endorse, or publicly recommend, or propose publicly to approve, endorse or recommend, any Competing Proposal; (v) withdraw or change or qualify in a manner adverse to Parent, the Company Board Recommendation or fail to include the Company Board Recommendation in the Proxy Statement when disseminated to the Company Shareholders; (vi) fail to publicly reaffirm the Company Board Recommendation within ten (10) Business Days after receipt of a written request by Parent following a Competing Proposal (or modification to the financial terms thereof or modification of any other material term thereof) becoming publicly known;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and its Representatives shall have no obligation to reaffirm the Company Board Recommendation more than once with respect to any Competing Proposal (with modification to the financial terms thereof or any other material thereof constituting a new Competing Proposal); (vii) if a tender offer or exchange offer that constitutes a Competing Proposal is commenced, fail to publicly recommend against acceptance of such tender offer or exchange offer by the Company Shareholders within ten (10) Business Days after the commencement thereof (or any modification to the financial terms thereof or any other material terms thereof); (viii) enter into any letter of intent, memorandum of understanding, agreement in principle, merger agreement, acquisition agreement, option agreement, joint venture agreement, alliance agreement, partnership agreement or other similar Contract or understanding relating to any Competing Proposal (whether binding or nonbinding); or (ix) resolve or agree to do any of the foregoing (any act described in clauses (iv)-(viii) or this clause (ix) (to the extent related to clauses (iv)-(viii)), above, a “</w:t>
      </w:r>
      <w:r>
        <w:rPr>
          <w:rFonts w:ascii="Arial" w:cs="Arial" w:eastAsia="Arial" w:hAnsi="Arial"/>
          <w:sz w:val="19"/>
          <w:szCs w:val="19"/>
          <w:u w:val="single" w:color="auto"/>
          <w:color w:val="auto"/>
        </w:rPr>
        <w:t>Company Change of Recommendation</w:t>
      </w:r>
      <w:r>
        <w:rPr>
          <w:rFonts w:ascii="Arial" w:cs="Arial" w:eastAsia="Arial" w:hAnsi="Arial"/>
          <w:sz w:val="19"/>
          <w:szCs w:val="19"/>
          <w:color w:val="auto"/>
        </w:rPr>
        <w:t xml:space="preserve">”). Any violation of the restrictions contained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by any Company Subsidiary or any of the Company’s or any Company Subsidiary’s Representatives shall be deemed to be a breach of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by the Company. The Company agrees that neither it, nor its affiliates, will enter into any agreement with any Third Party subsequent to the date of this Agreement which would prohibit the Company or any of its affiliates from providing any information to Parent in accordance with, or otherwise complying with,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Neither the Company nor any of its Subsidiaries is currently party to any agreement that prohibits the Company from providing the information described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to Parent.</w:t>
      </w:r>
    </w:p>
    <w:p>
      <w:pPr>
        <w:spacing w:after="0" w:line="200" w:lineRule="exact"/>
        <w:rPr>
          <w:rFonts w:ascii="Arial" w:cs="Arial" w:eastAsia="Arial" w:hAnsi="Arial"/>
          <w:sz w:val="19"/>
          <w:szCs w:val="19"/>
          <w:color w:val="auto"/>
        </w:rPr>
      </w:pPr>
    </w:p>
    <w:p>
      <w:pPr>
        <w:spacing w:after="0" w:line="274" w:lineRule="exact"/>
        <w:rPr>
          <w:rFonts w:ascii="Arial" w:cs="Arial" w:eastAsia="Arial" w:hAnsi="Arial"/>
          <w:sz w:val="19"/>
          <w:szCs w:val="19"/>
          <w:color w:val="auto"/>
        </w:rPr>
      </w:pPr>
    </w:p>
    <w:p>
      <w:pPr>
        <w:jc w:val="both"/>
        <w:ind w:firstLine="1304"/>
        <w:spacing w:after="0" w:line="273" w:lineRule="auto"/>
        <w:tabs>
          <w:tab w:leader="none" w:pos="2263"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Company shall immediately cease and shall cause the Company Subsidiaries and instruct its and their Representatives to promptly cease, any and all existing discussions, activities or negotiations with any Person (other than Parent, Merger Sub or any of their respective designees or Representatives) conducted heretofore with respect to any Competing Proposal and to revoke or withdraw access of any Person (other than Parent, Merger Sub and their Representatives) to any data room (virtual or actual) hosted by or on behalf of the Company or any of its Subsidiaries or Representatives containing any non-public information with respect to the Company or its Subsidiaries in connection with a Competing Proposal. Promptly following the date of this Agreement, the Company will request that each Person (other than Parent, Merger Sub and its Representatives) that has, prior to the date of this Agreement, executed a confidentiality agreement in connection with its consideration of a Competing Proposal which has not terminated or expired pursuant to its terms to promptly return or destroy (and confirm such destruction in writing) all non-public information furnished to such Person by or on behalf of the Company or any of the Company Subsidiaries prior to the date of this Agreement in accordance with the terms of such confidentiality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both"/>
        <w:ind w:firstLine="1304"/>
        <w:spacing w:after="0" w:line="271" w:lineRule="auto"/>
        <w:tabs>
          <w:tab w:leader="none" w:pos="2076"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Notwithstanding the limitations set forth in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if, after the date of this Agreement and prior to the Company Shareholder Approval being obtained, the Company receives a Competing Proposal which is not solicited in breach of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and the Company Board of Directors determines in good faith after consultation with the Company’s outside legal counsel and financial advisor that such Competing Proposal constitutes a Superior Proposal or would reasonably be likely to lead to a Superior Proposal, and that failure to take action would reasonably be expected to be inconsistent with the fiduciary duties of the members of the Company Board of Directors to the shareholders under Israeli Law, then the Company and its Representatives may, directly or indirectly through the Company’s Representatives: (i) furnish information (including nonpublic information) to the Person making such Competing Proposal, and its Representatives (including potential sources of financing), if, and only if, prior to so furnishing such information, the Company receives (or has previously received) from such Person an executed Acceptable Confidentiality Agreement covering such Persons; and (ii) participate or engage in discussions or negotiations with such Person and its Representatives (including potential sources of financing) with respect to such Competing Proposal and any changes thereto, including by making counterproposals thereto. The Company will promptly (and in any event within twenty-four (24) hours) provide to Parent any nonpublic information concerning the Company or the Company Subsidiaries provided to any other Person in connection with any Competing Proposal that was not previously provided to Parent.</w:t>
      </w:r>
    </w:p>
    <w:p>
      <w:pPr>
        <w:spacing w:after="0" w:line="218" w:lineRule="exact"/>
        <w:rPr>
          <w:rFonts w:ascii="Arial" w:cs="Arial" w:eastAsia="Arial" w:hAnsi="Arial"/>
          <w:sz w:val="19"/>
          <w:szCs w:val="19"/>
          <w:color w:val="auto"/>
        </w:rPr>
      </w:pPr>
    </w:p>
    <w:p>
      <w:pPr>
        <w:jc w:val="both"/>
        <w:ind w:firstLine="1304"/>
        <w:spacing w:after="0" w:line="271" w:lineRule="auto"/>
        <w:tabs>
          <w:tab w:leader="none" w:pos="2196"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Company shall notify Parent promptly (but in no event later than twenty-four (24) hours) after the receipt of any Competing Proposal, together with the identity of the Person making any such Competing Proposal inquiry, indication, request or offer, or any inquiry, indication, request or offer that would be reasonably expected to lead to a Competing Proposal, and provide Parent with a copy of the Competing Proposal, inquiry, indication, request or offer (or if the Competing Proposal, inquiry, indication, request or offer is not in writing, a written description of the material terms thereof), together with any documents and proposed material terms relating to the financing thereof, if any. The Company shall keep Parent reasonably informed on a substantially current basis (including by notifying Parent within twenty-four (24) hours after the occurrence of any amendment or modification of the price or of any other material term and any material developments regarding such Competing Proposal) of the status of discussions relating to such Competing Proposal inquiry, indication, request or offer, and (ii) promptly provide (and in no event later than twenty-four (24) hours sent by or provided to, as applicable, the Company, the Company Subsidiaries or any of their Representatives) to Parent written notice containing copies of correspondence, documents and other written materials sent by or provided to the Company, the Company Subsidiaries or any of their Representatives that describes any financial or other material terms or conditions of such Competing Proposal, inquiry, indication, request or offer (together with written summaries of any additional or modified material terms or conditions conveyed orally to or by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both"/>
        <w:ind w:firstLine="1304"/>
        <w:spacing w:after="0" w:line="247" w:lineRule="auto"/>
        <w:tabs>
          <w:tab w:leader="none" w:pos="2076"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Notwithstanding anything in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to the contrary, at any time prior to the receipt of the Company Shareholder Approval, the Company Board of Directors may make a Company Change of Recommendation in response to a Company Intervening Event if, and only if, (i) the Company Board of Directors has determined in good faith after consultation with the Company’s outside legal counsel and financial advisor that the failure to make a Company Change of Recommendation would be reasonably likely to be inconsistent with the fiduciary duties of the members of the Company Board of Directors to the Company Shareholders under Israeli Law;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the actions of the Company Board of Directors solely in making such determination and such determination shall not constitute a Company Change of Recommendation or a violation of this </w:t>
      </w:r>
      <w:r>
        <w:rPr>
          <w:rFonts w:ascii="Arial" w:cs="Arial" w:eastAsia="Arial" w:hAnsi="Arial"/>
          <w:sz w:val="20"/>
          <w:szCs w:val="20"/>
          <w:u w:val="single" w:color="auto"/>
          <w:color w:val="auto"/>
        </w:rPr>
        <w:t>Section 5.2</w:t>
      </w:r>
      <w:r>
        <w:rPr>
          <w:rFonts w:ascii="Arial" w:cs="Arial" w:eastAsia="Arial" w:hAnsi="Arial"/>
          <w:sz w:val="20"/>
          <w:szCs w:val="20"/>
          <w:color w:val="auto"/>
        </w:rPr>
        <w:t>, (ii) the Company has provided Parent with a written notice (a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w:t>
      </w:r>
      <w:r>
        <w:rPr>
          <w:rFonts w:ascii="Arial" w:cs="Arial" w:eastAsia="Arial" w:hAnsi="Arial"/>
          <w:sz w:val="20"/>
          <w:szCs w:val="20"/>
          <w:u w:val="single" w:color="auto"/>
          <w:color w:val="auto"/>
        </w:rPr>
        <w:t>Intervening Event Notice</w:t>
      </w:r>
      <w:r>
        <w:rPr>
          <w:rFonts w:ascii="Arial" w:cs="Arial" w:eastAsia="Arial" w:hAnsi="Arial"/>
          <w:sz w:val="20"/>
          <w:szCs w:val="20"/>
          <w:color w:val="auto"/>
        </w:rPr>
        <w:t>”) of such determination, stating that such notice constitutes a Company Intervening Event Notice, providing a description of the material facts and circumstances giving rise to a Company Intervening Event, and that the Company Board of Directors intends to effect a Company Change of Recommendation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sole action of giving such Company Intervening Event Notice and of the Company Board of Directors authorizing and disclosing (to the extent legally required) such Company Intervening Event Notice shall not constitute a Company Change of Recommendation or a violation of this </w:t>
      </w:r>
      <w:r>
        <w:rPr>
          <w:rFonts w:ascii="Arial" w:cs="Arial" w:eastAsia="Arial" w:hAnsi="Arial"/>
          <w:sz w:val="20"/>
          <w:szCs w:val="20"/>
          <w:u w:val="single" w:color="auto"/>
          <w:color w:val="auto"/>
        </w:rPr>
        <w:t>Section 5.2</w:t>
      </w:r>
      <w:r>
        <w:rPr>
          <w:rFonts w:ascii="Arial" w:cs="Arial" w:eastAsia="Arial" w:hAnsi="Arial"/>
          <w:sz w:val="20"/>
          <w:szCs w:val="20"/>
          <w:color w:val="auto"/>
        </w:rPr>
        <w:t>) and (iii) during the period commencing on the date of Parent’s receipt of the Company Intervening Event Notice and ending at 5:00 p.m. California time on the date that is the fourth (4</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Business Day thereafter, has made its Representatives reasonably available for the purpose of engaging in discussions and negotiations with Parent and its Representatives (to the extent Parent desires to negotiate) regarding a possible amendment to this Agreement and has considered in good faith any proposals made by Parent, and after taking account of Parent’s proposals, if any, the Company Board of Directors again makes the determination set forth in </w:t>
      </w:r>
      <w:r>
        <w:rPr>
          <w:rFonts w:ascii="Arial" w:cs="Arial" w:eastAsia="Arial" w:hAnsi="Arial"/>
          <w:sz w:val="20"/>
          <w:szCs w:val="20"/>
          <w:u w:val="single" w:color="auto"/>
          <w:color w:val="auto"/>
        </w:rPr>
        <w:t>Section 5.2(e)(i)</w:t>
      </w:r>
      <w:r>
        <w:rPr>
          <w:rFonts w:ascii="Arial" w:cs="Arial" w:eastAsia="Arial" w:hAnsi="Arial"/>
          <w:sz w:val="20"/>
          <w:szCs w:val="20"/>
          <w:color w:val="auto"/>
        </w:rPr>
        <w:t>.</w:t>
      </w:r>
    </w:p>
    <w:p>
      <w:pPr>
        <w:spacing w:after="0" w:line="248" w:lineRule="exact"/>
        <w:rPr>
          <w:rFonts w:ascii="Arial" w:cs="Arial" w:eastAsia="Arial" w:hAnsi="Arial"/>
          <w:sz w:val="20"/>
          <w:szCs w:val="20"/>
          <w:color w:val="auto"/>
        </w:rPr>
      </w:pPr>
    </w:p>
    <w:p>
      <w:pPr>
        <w:jc w:val="both"/>
        <w:ind w:firstLine="1304"/>
        <w:spacing w:after="0" w:line="279" w:lineRule="auto"/>
        <w:tabs>
          <w:tab w:leader="none" w:pos="2133" w:val="left"/>
        </w:tabs>
        <w:numPr>
          <w:ilvl w:val="0"/>
          <w:numId w:val="83"/>
        </w:numPr>
        <w:rPr>
          <w:rFonts w:ascii="Arial" w:cs="Arial" w:eastAsia="Arial" w:hAnsi="Arial"/>
          <w:sz w:val="19"/>
          <w:szCs w:val="19"/>
          <w:color w:val="auto"/>
        </w:rPr>
      </w:pPr>
      <w:r>
        <w:rPr>
          <w:rFonts w:ascii="Arial" w:cs="Arial" w:eastAsia="Arial" w:hAnsi="Arial"/>
          <w:sz w:val="19"/>
          <w:szCs w:val="19"/>
          <w:color w:val="auto"/>
        </w:rPr>
        <w:t>Except to the extent any such action would reasonably be expected to be inconsistent with the fiduciary duties of directors under Israeli law, the Company (A) shall not, and shall cause its Subsidiaries not to, terminate, waive, amend or modify, or grant permission under, any standstill provision in any confidentiality agreement to which it or any of its Subsidiaries is or becomes a party (other than as occurs in accordance with the terms of any such standstill provision in effect as of the date hereof), and (B) shall, and shall cause its Subsidiaries to, use reasonable best efforts to enforce such standstill provisions if it becomes aware of any material breach of any such standstill provision by the party subject thereto.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both"/>
        <w:ind w:firstLine="1304"/>
        <w:spacing w:after="0" w:line="245" w:lineRule="auto"/>
        <w:tabs>
          <w:tab w:leader="none" w:pos="2317" w:val="left"/>
        </w:tabs>
        <w:numPr>
          <w:ilvl w:val="1"/>
          <w:numId w:val="84"/>
        </w:numPr>
        <w:rPr>
          <w:rFonts w:ascii="Arial" w:cs="Arial" w:eastAsia="Arial" w:hAnsi="Arial"/>
          <w:sz w:val="20"/>
          <w:szCs w:val="20"/>
          <w:color w:val="auto"/>
        </w:rPr>
      </w:pPr>
      <w:r>
        <w:rPr>
          <w:rFonts w:ascii="Arial" w:cs="Arial" w:eastAsia="Arial" w:hAnsi="Arial"/>
          <w:sz w:val="20"/>
          <w:szCs w:val="20"/>
          <w:color w:val="auto"/>
        </w:rPr>
        <w:t xml:space="preserve">Notwithstanding anything in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to the contrary, at any time prior to the receipt of the Company Shareholder Approval, the Company Board of Directors may in response to its receipt after the date of this Agreement of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written Competing Proposal, make a Company Change of Recommendation or terminate this Agreement to enter into a definitive written agreement providing for such Competing Proposal pursuant to </w:t>
      </w:r>
      <w:r>
        <w:rPr>
          <w:rFonts w:ascii="Arial" w:cs="Arial" w:eastAsia="Arial" w:hAnsi="Arial"/>
          <w:sz w:val="20"/>
          <w:szCs w:val="20"/>
          <w:u w:val="single" w:color="auto"/>
          <w:color w:val="auto"/>
        </w:rPr>
        <w:t>Section 8.1(h)</w:t>
      </w:r>
      <w:r>
        <w:rPr>
          <w:rFonts w:ascii="Arial" w:cs="Arial" w:eastAsia="Arial" w:hAnsi="Arial"/>
          <w:sz w:val="20"/>
          <w:szCs w:val="20"/>
          <w:color w:val="auto"/>
        </w:rPr>
        <w:t xml:space="preserve"> if, and only if, (i) the Company Board of Directors has determined in good faith after consultation with the Company’s outside legal counsel and financial advisor that (x) such Competing Proposal constitutes a Superior Proposal, after giving effect to all of the adjustments to the terms of this Agreement which may have been offered by Parent on a binding basis prior to the determination by the Company Board of Directors, and (y) the failure to make such Company Change of Recommendation or to terminate this Agreement would be reasonably likely to be inconsistent with the fiduciary duties of the members of the Company Board of Directors to the Company Shareholders under Israeli Law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actions of the Company Board of Directors solely in making such determination and such determination in and of itself shall not constitute a Company Change of Recommendation, a violation of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or a termination of this Agreement), (ii) the Company has provided Parent with a written notice (a “</w:t>
      </w:r>
      <w:r>
        <w:rPr>
          <w:rFonts w:ascii="Arial" w:cs="Arial" w:eastAsia="Arial" w:hAnsi="Arial"/>
          <w:sz w:val="20"/>
          <w:szCs w:val="20"/>
          <w:u w:val="single" w:color="auto"/>
          <w:color w:val="auto"/>
        </w:rPr>
        <w:t>Company Notice</w:t>
      </w:r>
      <w:r>
        <w:rPr>
          <w:rFonts w:ascii="Arial" w:cs="Arial" w:eastAsia="Arial" w:hAnsi="Arial"/>
          <w:sz w:val="20"/>
          <w:szCs w:val="20"/>
          <w:color w:val="auto"/>
        </w:rPr>
        <w:t>”) of such determination, stating that such notice constitutes a Company Notice, stating whether the Company Board of Directors intends to effect a Company Change of Recommendation or the Company intends to terminate this Agreement, and describing in reasonable detail the reasons for such Company Change of Recommendation or termination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sole action of giving such Company Notice and of the Company Board of Directors in authorizing and disclosing (to the extent legally required) such Company Notice shall not constitute a Company Change of Recommendation, a violation of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or a termination of this Agreement), (iii) the Company has provided Parent with the material agreements and documents relating to such Competing Proposal (including the financing thereof), and (iv) during the period commencing on the date of Parent’s receipt of the Company Notice to Parent and ending at 11:59 p.m. California time on the date that is the fifth (5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Business Day after Parent’s receipt of the Company Notice, the Company has made its Representatives reasonably available for the purpose of engaging in discussions and negotiations with Parent and its Representatives (to the extent Parent desired to negotiate) regarding a possible amendment to this Agreement and has considered in good faith any written proposals made by Parent that if accepted by the Company would be binding upon Parent, and after taking account of Parent’s proposals, if any, the Company Board of Directors again makes the determination set forth in </w:t>
      </w:r>
      <w:r>
        <w:rPr>
          <w:rFonts w:ascii="Arial" w:cs="Arial" w:eastAsia="Arial" w:hAnsi="Arial"/>
          <w:sz w:val="20"/>
          <w:szCs w:val="20"/>
          <w:u w:val="single" w:color="auto"/>
          <w:color w:val="auto"/>
        </w:rPr>
        <w:t>Section 5.2(g)(i)</w:t>
      </w:r>
      <w:r>
        <w:rPr>
          <w:rFonts w:ascii="Arial" w:cs="Arial" w:eastAsia="Arial" w:hAnsi="Arial"/>
          <w:sz w:val="20"/>
          <w:szCs w:val="20"/>
          <w:color w:val="auto"/>
        </w:rPr>
        <w:t xml:space="preserve">. Following receipt by Parent of a Company Notice, if the financial or other material terms of such Competing Proposal are amended prior to the Company Board of Directors making a Company Change of Recommendation in accordance with the foregoing sentence, the Company will deliver to Parent a new Company Notice prior to the Company Board of Directors making a Company Change of Recommendation in accordance with the foregoing sentence,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period of negotiation provided in </w:t>
      </w:r>
      <w:r>
        <w:rPr>
          <w:rFonts w:ascii="Arial" w:cs="Arial" w:eastAsia="Arial" w:hAnsi="Arial"/>
          <w:sz w:val="20"/>
          <w:szCs w:val="20"/>
          <w:u w:val="single" w:color="auto"/>
          <w:color w:val="auto"/>
        </w:rPr>
        <w:t>Section 5.2(g)(iv)</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Notice Period</w:t>
      </w:r>
      <w:r>
        <w:rPr>
          <w:rFonts w:ascii="Arial" w:cs="Arial" w:eastAsia="Arial" w:hAnsi="Arial"/>
          <w:sz w:val="20"/>
          <w:szCs w:val="20"/>
          <w:color w:val="auto"/>
        </w:rPr>
        <w:t>”) shall instead end at 11:59 p.m. California time on the third (3</w:t>
      </w:r>
      <w:r>
        <w:rPr>
          <w:rFonts w:ascii="Arial" w:cs="Arial" w:eastAsia="Arial" w:hAnsi="Arial"/>
          <w:sz w:val="32"/>
          <w:szCs w:val="32"/>
          <w:color w:val="auto"/>
          <w:vertAlign w:val="superscript"/>
        </w:rPr>
        <w:t>rd</w:t>
      </w:r>
      <w:r>
        <w:rPr>
          <w:rFonts w:ascii="Arial" w:cs="Arial" w:eastAsia="Arial" w:hAnsi="Arial"/>
          <w:sz w:val="20"/>
          <w:szCs w:val="20"/>
          <w:color w:val="auto"/>
        </w:rPr>
        <w:t>) Business Day immediately following Parent’s receipt of such Company Notice, but no such new Company Notice shall shorten the original five (5) Business Day notice period, and there may be multiple new Notice Periods if there are multiple revisions in price or other material revisions in terms or other material changes.</w:t>
      </w:r>
    </w:p>
    <w:p>
      <w:pPr>
        <w:spacing w:after="0" w:line="260" w:lineRule="exact"/>
        <w:rPr>
          <w:rFonts w:ascii="Arial" w:cs="Arial" w:eastAsia="Arial" w:hAnsi="Arial"/>
          <w:sz w:val="20"/>
          <w:szCs w:val="20"/>
          <w:color w:val="auto"/>
        </w:rPr>
      </w:pPr>
    </w:p>
    <w:p>
      <w:pPr>
        <w:jc w:val="both"/>
        <w:ind w:firstLine="1304"/>
        <w:spacing w:after="0" w:line="269" w:lineRule="auto"/>
        <w:tabs>
          <w:tab w:leader="none" w:pos="2236"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Nothing contained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shall prohibit the Company or the Company Board of Directors from (i) disclosing to the Company Shareholders a position contemplated by Rules 14d-9 or 14e-2(a) promulgated under the Exchange Act (or any communication required under Israeli Law with substantially similar content) or a position contemplated by Section 329 of the ICL, or (ii) making any disclosure to the Company Shareholders if the Company Board of Directors has reasonably determined in good faith after consultation with the Company’s outside legal counsel and financial advisor that the failure to do so would reasonably be expected to be inconsistent with the fiduciary duties of the members of the Company Board of Directors to the Company Shareholders under Israeli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disclosure referred to in clauses</w:t>
      </w:r>
    </w:p>
    <w:p>
      <w:pPr>
        <w:spacing w:after="0" w:line="4" w:lineRule="exact"/>
        <w:rPr>
          <w:rFonts w:ascii="Arial" w:cs="Arial" w:eastAsia="Arial" w:hAnsi="Arial"/>
          <w:sz w:val="19"/>
          <w:szCs w:val="19"/>
          <w:color w:val="auto"/>
        </w:rPr>
      </w:pPr>
    </w:p>
    <w:p>
      <w:pPr>
        <w:jc w:val="both"/>
        <w:ind w:firstLine="8"/>
        <w:spacing w:after="0" w:line="232" w:lineRule="auto"/>
        <w:tabs>
          <w:tab w:leader="none" w:pos="285"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or (ii) that relates to a Competing Proposal shall be deemed to be a Company Change of Recommendation unless (x) the Company Board of Directors expressly reaffirms the Company Board Recommendation in such disclosure or (y) such disclosure is a “stop, look and listen” communication to the Company Shareholders pursuant to Rule 14d-9(b) promulgated under the Exchange Act, or any communication under Israeli Law with substantially similar content;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xml:space="preserve">, that this </w:t>
      </w:r>
      <w:r>
        <w:rPr>
          <w:rFonts w:ascii="Arial" w:cs="Arial" w:eastAsia="Arial" w:hAnsi="Arial"/>
          <w:sz w:val="22"/>
          <w:szCs w:val="22"/>
          <w:u w:val="single" w:color="auto"/>
          <w:color w:val="auto"/>
        </w:rPr>
        <w:t>Section 5.2(h)</w:t>
      </w:r>
      <w:r>
        <w:rPr>
          <w:rFonts w:ascii="Arial" w:cs="Arial" w:eastAsia="Arial" w:hAnsi="Arial"/>
          <w:sz w:val="22"/>
          <w:szCs w:val="22"/>
          <w:color w:val="auto"/>
        </w:rPr>
        <w:t xml:space="preserve"> shall not permit the Company Board of Directors to make a Company Change of Recommendation except to the extent permitted by </w:t>
      </w:r>
      <w:r>
        <w:rPr>
          <w:rFonts w:ascii="Arial" w:cs="Arial" w:eastAsia="Arial" w:hAnsi="Arial"/>
          <w:sz w:val="22"/>
          <w:szCs w:val="22"/>
          <w:u w:val="single" w:color="auto"/>
          <w:color w:val="auto"/>
        </w:rPr>
        <w:t>Section 5.2(e)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5.2(f</w:t>
      </w:r>
      <w:r>
        <w:rPr>
          <w:rFonts w:ascii="Arial" w:cs="Arial" w:eastAsia="Arial" w:hAnsi="Arial"/>
          <w:sz w:val="22"/>
          <w:szCs w:val="22"/>
          <w:color w:val="auto"/>
        </w:rPr>
        <w:t>)</w:t>
      </w: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left="660"/>
        <w:spacing w:after="0"/>
        <w:tabs>
          <w:tab w:leader="none" w:pos="214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u w:val="single" w:color="auto"/>
          <w:color w:val="auto"/>
        </w:rPr>
        <w:t>Preparation of the Proxy Statement; Company Special Meeting</w:t>
      </w:r>
      <w:r>
        <w:rPr>
          <w:rFonts w:ascii="Arial" w:cs="Arial" w:eastAsia="Arial" w:hAnsi="Arial"/>
          <w:sz w:val="19"/>
          <w:szCs w:val="19"/>
          <w:color w:val="auto"/>
        </w:rPr>
        <w:t>.</w:t>
      </w:r>
    </w:p>
    <w:p>
      <w:pPr>
        <w:spacing w:after="0" w:line="261" w:lineRule="exact"/>
        <w:rPr>
          <w:sz w:val="20"/>
          <w:szCs w:val="20"/>
          <w:color w:val="auto"/>
        </w:rPr>
      </w:pPr>
    </w:p>
    <w:p>
      <w:pPr>
        <w:ind w:left="2120" w:hanging="816"/>
        <w:spacing w:after="0"/>
        <w:tabs>
          <w:tab w:leader="none" w:pos="21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As promptly as reasonably practicable following the date of this Agreement (and in any event within two</w:t>
      </w:r>
    </w:p>
    <w:p>
      <w:pPr>
        <w:spacing w:after="0" w:line="42" w:lineRule="exact"/>
        <w:rPr>
          <w:rFonts w:ascii="Arial" w:cs="Arial" w:eastAsia="Arial" w:hAnsi="Arial"/>
          <w:sz w:val="19"/>
          <w:szCs w:val="19"/>
          <w:color w:val="auto"/>
        </w:rPr>
      </w:pPr>
    </w:p>
    <w:p>
      <w:pPr>
        <w:jc w:val="both"/>
        <w:ind w:firstLine="8"/>
        <w:spacing w:after="0" w:line="267" w:lineRule="auto"/>
        <w:tabs>
          <w:tab w:leader="none" w:pos="323"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Business Days after the date of this Agreement), the Company shall (i) establish a record date for, duly call, give notice of and, as soon as reasonably practicable thereafter in conformity with this </w:t>
      </w:r>
      <w:r>
        <w:rPr>
          <w:rFonts w:ascii="Arial" w:cs="Arial" w:eastAsia="Arial" w:hAnsi="Arial"/>
          <w:sz w:val="19"/>
          <w:szCs w:val="19"/>
          <w:u w:val="single" w:color="auto"/>
          <w:color w:val="auto"/>
        </w:rPr>
        <w:t>Section 5.3</w:t>
      </w:r>
      <w:r>
        <w:rPr>
          <w:rFonts w:ascii="Arial" w:cs="Arial" w:eastAsia="Arial" w:hAnsi="Arial"/>
          <w:sz w:val="19"/>
          <w:szCs w:val="19"/>
          <w:color w:val="auto"/>
        </w:rPr>
        <w:t>, convene a Company Special Meeting for the purpose of obtaining the Company Shareholder Approval and (ii) publish the notice of the Company Special Meeting. As soon as reasonably practicable following the date of this Agreement (and in any event within thirty (30) calendar days after the date of this Agreement), the Company shall prepare and file with the ISA and furnish to the SEC on Form 6-K, the Proxy Statement, including a proxy card (</w:t>
      </w:r>
      <w:r>
        <w:rPr>
          <w:rFonts w:ascii="Arial" w:cs="Arial" w:eastAsia="Arial" w:hAnsi="Arial"/>
          <w:sz w:val="19"/>
          <w:szCs w:val="19"/>
          <w:i w:val="1"/>
          <w:iCs w:val="1"/>
          <w:color w:val="auto"/>
        </w:rPr>
        <w:t>Ktav Hatzbaa</w:t>
      </w:r>
      <w:r>
        <w:rPr>
          <w:rFonts w:ascii="Arial" w:cs="Arial" w:eastAsia="Arial" w:hAnsi="Arial"/>
          <w:sz w:val="19"/>
          <w:szCs w:val="19"/>
          <w:color w:val="auto"/>
        </w:rPr>
        <w:t xml:space="preserve">) required under the ICL and the regulations promulgated thereunder. The Company shall otherwise comply with the notice requirements applicable to the Company in respect of the Company Special Meeting pursuant to the ICL and the regulations promulgated thereunder and the Charter Documents. Unless this Agreement is terminated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as Parent and the Company may otherwise agree, the Company Special Meeting shall be held no later than forty-five (45) calendar days after the date the Proxy Statement is filed with the ISA and furnished to the SEC. Unless the Company Board of Directors (or a committee thereof) has effected a Company Change of Recommendation, the Company shall include the Company Board Recommendation and a copy of any fairness opinion obtained by the Company Board of Directors in connection with the approval by the Company Board of Directors of the Merger and the other transactions contemplated hereby in the Proxy Statement and use its reasonable best efforts to cause the Proxy Statement to be mailed or made available to the shareholders of the Company as promptly as practicable following its filing date and to solicit from the Company shareholders proxies in favor of the approval of this Agreement. The Company shall not include in the Proxy Statement any information with respect to Parent, Merger Sub or its Affiliates, unless the form and content thereof shall have been consented to in writing by the Parent prior to such inclusion and Parent agrees to provide any such information required to be so included under applicable Law. Prior to the mailing of the Proxy Statement, the Company (x) shall provide Parent with a reasonable opportunity to review and comment on any drafts of the Proxy Statement and related correspondence and filings, (y) shall not unreasonably refuse to include in such drafts, correspondence and filings all comments reasonably proposed by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have no obligation to include any such comments to the extent that the Company determines in good faith, in consultation with its counsel, that including such comments would result in the Proxy Statement containing an untrue statement of a material fact or omitting to state a material fact required to be stated therein or necessary in order to make the statements therein, in light of the circumstances under which they are made, not misleading, and (z) to the extent practicable and not prohibited under applicable Law, the Company and its outside counsel shall permit Parent and its outside counsel to participate in all communications, if any, with the SEC, ISA, Nasdaq or TASE, or their respective staff, as applicable (including all meetings and telephone conferences) relating to this Agreement or any of the transactions contemplated hereby. If at any time prior to the Effective Time any event shall occur, or fact or information shall be discovered, by either the Company, Parent or Merger Sub that should be set forth in an amendment of or a supplement to the Proxy Statement, such party shall inform the others thereof and the Company shall, in accordance with the procedures set forth in this </w:t>
      </w:r>
      <w:r>
        <w:rPr>
          <w:rFonts w:ascii="Arial" w:cs="Arial" w:eastAsia="Arial" w:hAnsi="Arial"/>
          <w:sz w:val="19"/>
          <w:szCs w:val="19"/>
          <w:u w:val="single" w:color="auto"/>
          <w:color w:val="auto"/>
        </w:rPr>
        <w:t>Section 5.3(a)</w:t>
      </w:r>
      <w:r>
        <w:rPr>
          <w:rFonts w:ascii="Arial" w:cs="Arial" w:eastAsia="Arial" w:hAnsi="Arial"/>
          <w:sz w:val="19"/>
          <w:szCs w:val="19"/>
          <w:color w:val="auto"/>
        </w:rPr>
        <w:t xml:space="preserve">, prepare such amendment or supplement as soon thereafter as is reasonably practicable and to the extent required by applicable Law, cause such amendment or supplement to be promptly distributed to the shareholders of the Company. In the event that Parent or any Person listed in Section 320(c) of the ICL casts any votes in respect of the Merger, Parent shall disclose to the Company its interest in the Company Shares so voted. At the Company Special Meeting, Parent and Merger Sub shall cause any Company Shares owned by them and their Affiliates (if any) to be voted in favor of the approval of the Merger and the other transactions contemplated by this Agreement. Notwithstanding the foregoing provisions of this </w:t>
      </w:r>
      <w:r>
        <w:rPr>
          <w:rFonts w:ascii="Arial" w:cs="Arial" w:eastAsia="Arial" w:hAnsi="Arial"/>
          <w:sz w:val="19"/>
          <w:szCs w:val="19"/>
          <w:u w:val="single" w:color="auto"/>
          <w:color w:val="auto"/>
        </w:rPr>
        <w:t>Section 5.3(a)</w:t>
      </w:r>
      <w:r>
        <w:rPr>
          <w:rFonts w:ascii="Arial" w:cs="Arial" w:eastAsia="Arial" w:hAnsi="Arial"/>
          <w:sz w:val="19"/>
          <w:szCs w:val="19"/>
          <w:color w:val="auto"/>
        </w:rPr>
        <w:t xml:space="preserve">, the Company shall not adjourn, postpone or delay the Company Special Meeting without the prior consent of Parent, except that it may do so if and to the extent that: (i) there are holders of an insufficient number of Company Shares present or represented by a proxy at the Company Special Meeting to constitute a quorum at the Company Special Meeting; (ii) the Company has not received proxies representing a sufficient number of Company Shares to obtain the Company Shareholder Approval; (iii) such adjournment, postponement, delay or cancellation is required by applicable Law or a request from the SEC or the ISA or their staff; or (iv) in the good faith judgment of the Company Board of Directors (after consultation with its outside legal advisors and the Parent), the failure to adjourn, postpone or delay the Company Special Meeting would be reasonably likely to not allow sufficient time under applicable Laws for the distribution of any required or appropriate supplement or amendment to the Proxy Statement;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without the prior written consent of Parent, (1) no single such adjournment or postponement shall be for more than five (5) Business Days and (2) in no event may the Company Special Meeting be postponed to later than the date that is fifteen (15) Business Days after the date for which the Company Special Meeting was originally scheduled.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both"/>
        <w:ind w:firstLine="1304"/>
        <w:spacing w:after="0" w:line="279" w:lineRule="auto"/>
        <w:tabs>
          <w:tab w:leader="none" w:pos="2331"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Subject to compliance with the terms of </w:t>
      </w:r>
      <w:r>
        <w:rPr>
          <w:rFonts w:ascii="Arial" w:cs="Arial" w:eastAsia="Arial" w:hAnsi="Arial"/>
          <w:sz w:val="19"/>
          <w:szCs w:val="19"/>
          <w:u w:val="single" w:color="auto"/>
          <w:color w:val="auto"/>
        </w:rPr>
        <w:t>Section 5.2</w:t>
      </w:r>
      <w:r>
        <w:rPr>
          <w:rFonts w:ascii="Arial" w:cs="Arial" w:eastAsia="Arial" w:hAnsi="Arial"/>
          <w:sz w:val="19"/>
          <w:szCs w:val="19"/>
          <w:color w:val="auto"/>
        </w:rPr>
        <w:t>, in connection with any disclosure regarding a Company Change of Recommendation relating to a Superior Proposal or Competing Proposal, the Company shall not be required to provide to Parent or Merger Sub the opportunity to review or comment on (or include comments proposed by Parent or Merger Sub in) or permit Parent or Merger Sub to participate in any discussions with the SEC, ISA, Nasdaq or TASE or any other Governmental Authority regarding the Proxy Statement, or any amendment or supplement thereto, or any comments thereon or any other filing by the Company with the SEC, the ISA or any other Governmental Authority, with respect to such disclosure.</w:t>
      </w:r>
    </w:p>
    <w:p>
      <w:pPr>
        <w:spacing w:after="0" w:line="204" w:lineRule="exact"/>
        <w:rPr>
          <w:rFonts w:ascii="Arial" w:cs="Arial" w:eastAsia="Arial" w:hAnsi="Arial"/>
          <w:sz w:val="19"/>
          <w:szCs w:val="19"/>
          <w:color w:val="auto"/>
        </w:rPr>
      </w:pPr>
    </w:p>
    <w:p>
      <w:pPr>
        <w:jc w:val="both"/>
        <w:ind w:firstLine="1304"/>
        <w:spacing w:after="0" w:line="238" w:lineRule="auto"/>
        <w:tabs>
          <w:tab w:leader="none" w:pos="2413"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Unless this Agreement has been terminated pursuant to and in accordance with </w:t>
      </w:r>
      <w:r>
        <w:rPr>
          <w:rFonts w:ascii="Arial" w:cs="Arial" w:eastAsia="Arial" w:hAnsi="Arial"/>
          <w:sz w:val="22"/>
          <w:szCs w:val="22"/>
          <w:u w:val="single" w:color="auto"/>
          <w:color w:val="auto"/>
        </w:rPr>
        <w:t>Article VIII</w:t>
      </w:r>
      <w:r>
        <w:rPr>
          <w:rFonts w:ascii="Arial" w:cs="Arial" w:eastAsia="Arial" w:hAnsi="Arial"/>
          <w:sz w:val="22"/>
          <w:szCs w:val="22"/>
          <w:color w:val="auto"/>
        </w:rPr>
        <w:t>, and notwithstanding any Company Change of Recommendation, this Agreement shall be submitted to the Company Shareholders for the purpose of obtaining the Company Shareholder Approval with respect to the Merger and the Transactions contemplated by this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ind w:left="660"/>
        <w:spacing w:after="0"/>
        <w:tabs>
          <w:tab w:leader="none" w:pos="214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u w:val="single" w:color="auto"/>
          <w:color w:val="auto"/>
        </w:rPr>
        <w:t>Merger Proposal; Certificate of Merger</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line="268" w:lineRule="auto"/>
        <w:tabs>
          <w:tab w:leader="none" w:pos="2143"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Subject to the ICL, as promptly as practicable following the date hereof, the Company and Merger Sub, as applicable, shall take the following actions within the timeframes set forth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such actions or the timeframe for taking such action shall be subject to any amendment in the applicable provisions of the ICL (and in case of an amendment thereto, such amendment shall automatically apply so as to amend this </w:t>
      </w: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accordingly): (i) the Company and Merger Sub shall cause a merger proposal (in the Hebrew language) (the “</w:t>
      </w:r>
      <w:r>
        <w:rPr>
          <w:rFonts w:ascii="Arial" w:cs="Arial" w:eastAsia="Arial" w:hAnsi="Arial"/>
          <w:sz w:val="19"/>
          <w:szCs w:val="19"/>
          <w:u w:val="single" w:color="auto"/>
          <w:color w:val="auto"/>
        </w:rPr>
        <w:t>Merger Proposal</w:t>
      </w:r>
      <w:r>
        <w:rPr>
          <w:rFonts w:ascii="Arial" w:cs="Arial" w:eastAsia="Arial" w:hAnsi="Arial"/>
          <w:sz w:val="19"/>
          <w:szCs w:val="19"/>
          <w:color w:val="auto"/>
        </w:rPr>
        <w:t xml:space="preserve">”) to be prepared and executed in accordance with Section 316 of the ICL; (ii) the Company and Merger Sub shall deliver the executed Merger Proposal to the Companies Registrar within three (3) days from the calling of the Company Special Meeting; (iii) the Company and Merger Sub, as applicable, shall cause a copy of the Merger Proposal to be delivered to its secured creditors, if any, no later than three (3) days after the date on which the Merger Proposal is delivered to the Companies Registrar; (iv) promptly after the Company and Merger Sub, as applicable, shall have complied with the preceding sentence and with clauses (A) and (B) of this </w:t>
      </w:r>
      <w:r>
        <w:rPr>
          <w:rFonts w:ascii="Arial" w:cs="Arial" w:eastAsia="Arial" w:hAnsi="Arial"/>
          <w:sz w:val="19"/>
          <w:szCs w:val="19"/>
          <w:u w:val="single" w:color="auto"/>
          <w:color w:val="auto"/>
        </w:rPr>
        <w:t>Section 5.4(a)</w:t>
      </w:r>
      <w:r>
        <w:rPr>
          <w:rFonts w:ascii="Arial" w:cs="Arial" w:eastAsia="Arial" w:hAnsi="Arial"/>
          <w:sz w:val="19"/>
          <w:szCs w:val="19"/>
          <w:color w:val="auto"/>
        </w:rPr>
        <w:t>, but in any event no more than three (3) days following the date on which such notice was sent to the creditors, the Company and Merger Sub, as applicable, shall inform the Companies Registrar, in accordance with Section 317(b) of the ICL, that notice was given to their respective creditors, if any, under Section 318 of the ICL; (v) each of the Company and, if applicable, Merger Sub, shall: (A) publish a notice, with respect to subsection (x) to its creditors, stating that a Merger Proposal was submitted to the Companies Registrar and that the creditors may review the Merger Proposal at the office of the Companies Registrar, the Company’s registered office or Merger Sub’s registered offices, as applicable, and at such other locations as the Company or Merger Sub, as applicable, may determine, in (x) two (2) daily Hebrew newspapers, on the day that the Merger Proposal is submitted to the Companies Registrar, and (y) in a popular newspaper in New York as may be required by applicable Law, within three (3) Business Days from the date of submitting the Merger Proposal to the Companies Registrar; (B) if applicable, within four (4) Business Days from the date of submitting the Merger Proposal to the Companies Registrar, send a notice by registered mail to all of the “</w:t>
      </w:r>
      <w:r>
        <w:rPr>
          <w:rFonts w:ascii="Arial" w:cs="Arial" w:eastAsia="Arial" w:hAnsi="Arial"/>
          <w:sz w:val="19"/>
          <w:szCs w:val="19"/>
          <w:u w:val="single" w:color="auto"/>
          <w:color w:val="auto"/>
        </w:rPr>
        <w:t>Substantial Creditors</w:t>
      </w:r>
      <w:r>
        <w:rPr>
          <w:rFonts w:ascii="Arial" w:cs="Arial" w:eastAsia="Arial" w:hAnsi="Arial"/>
          <w:sz w:val="19"/>
          <w:szCs w:val="19"/>
          <w:color w:val="auto"/>
        </w:rPr>
        <w:t>” (as such term is defined in the Israeli Companies Regulations (Merger) 5760-2000 promulgated under the ICL) that the Company or Merger Sub, as applicable, is aware of, in which it shall state that a Merger Proposal was submitted to the Companies Registrar and that the creditors may review the Merger Proposal at such additional locations, if such locations were determined in the notice referred to in the immediately preceding clause (A); and (C) send to the Company’s “employees committee” (</w:t>
      </w:r>
      <w:r>
        <w:rPr>
          <w:rFonts w:ascii="Arial" w:cs="Arial" w:eastAsia="Arial" w:hAnsi="Arial"/>
          <w:sz w:val="19"/>
          <w:szCs w:val="19"/>
          <w:i w:val="1"/>
          <w:iCs w:val="1"/>
          <w:color w:val="auto"/>
        </w:rPr>
        <w:t>Va’ad Ovdim</w:t>
      </w:r>
      <w:r>
        <w:rPr>
          <w:rFonts w:ascii="Arial" w:cs="Arial" w:eastAsia="Arial" w:hAnsi="Arial"/>
          <w:sz w:val="19"/>
          <w:szCs w:val="19"/>
          <w:color w:val="auto"/>
        </w:rPr>
        <w:t xml:space="preserve">) or display in a prominent place at the Company’s premises a copy of the notice published in a daily Hebrew newspaper (as referred to in clause (A)(x) of this </w:t>
      </w: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no later than three (3) Business Days following the day on which the Merger Proposal was submitted to the Companies Registrar; (vi) not later than three (3) days after the date on which the Company Shareholder Approval is received, the Company shall (in accordance with Section 317(b) of ICL and the regulations thereunder) inform the Companies Registrar of such approval; and (vii) subject to the satisfaction or waiver of the last of the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to be satisfied or (to the extent permitted) waived (other than any such conditions that by their nature are to be satisfied at the Closing, but subject to the satisfaction or (to the extent permitted) waiver of such conditions at the Closing), in accordance with the customary practice of the Companies Registrar, the Company and Merger Sub shall request that the Companies Registrar declare the Merger effective and issue the Certificate of Merger upon such date as the Company and Merger Sub shall advise the Companies Registrar. Notwithstanding any provision of this Agreement to the contrary, it is the intention of the Parties that the Merger shall be declared effective and the Certificate of Merger shall be issued on the Closing Date, as a condition to the Closing taking place. For purposes of this </w:t>
      </w:r>
      <w:r>
        <w:rPr>
          <w:rFonts w:ascii="Arial" w:cs="Arial" w:eastAsia="Arial" w:hAnsi="Arial"/>
          <w:sz w:val="19"/>
          <w:szCs w:val="19"/>
          <w:u w:val="single" w:color="auto"/>
          <w:color w:val="auto"/>
        </w:rPr>
        <w:t>Section 5.4(a)</w:t>
      </w:r>
      <w:r>
        <w:rPr>
          <w:rFonts w:ascii="Arial" w:cs="Arial" w:eastAsia="Arial" w:hAnsi="Arial"/>
          <w:sz w:val="19"/>
          <w:szCs w:val="19"/>
          <w:color w:val="auto"/>
        </w:rPr>
        <w:t>, “</w:t>
      </w:r>
      <w:r>
        <w:rPr>
          <w:rFonts w:ascii="Arial" w:cs="Arial" w:eastAsia="Arial" w:hAnsi="Arial"/>
          <w:sz w:val="19"/>
          <w:szCs w:val="19"/>
          <w:u w:val="single" w:color="auto"/>
          <w:color w:val="auto"/>
        </w:rPr>
        <w:t>Business Day</w:t>
      </w:r>
      <w:r>
        <w:rPr>
          <w:rFonts w:ascii="Arial" w:cs="Arial" w:eastAsia="Arial" w:hAnsi="Arial"/>
          <w:sz w:val="19"/>
          <w:szCs w:val="19"/>
          <w:color w:val="auto"/>
        </w:rPr>
        <w:t>” shall have the meaning set forth in the Israeli Companies Regulations (Merger) 5760-2000 promulgated under the ICL.</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jc w:val="both"/>
        <w:ind w:firstLine="1304"/>
        <w:spacing w:after="0"/>
        <w:tabs>
          <w:tab w:leader="none" w:pos="2142"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sole shareholder of Merger Sub has approved the Merger. No later than three (3) days after the date of such approval, Merger Sub shall (in accordance with Section 317(b) of the ICL and the regulations thereunder) inform the Companies Registrar of such approval.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both"/>
        <w:ind w:firstLine="648"/>
        <w:spacing w:after="0" w:line="282"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Payoff Letters and Release Documentation</w:t>
      </w:r>
      <w:r>
        <w:rPr>
          <w:rFonts w:ascii="Arial" w:cs="Arial" w:eastAsia="Arial" w:hAnsi="Arial"/>
          <w:sz w:val="19"/>
          <w:szCs w:val="19"/>
          <w:color w:val="auto"/>
        </w:rPr>
        <w:t xml:space="preserve">. No later than five (5) Business Days prior to the Effective Time, the Company shall deliver to Parent drafts of the Payoff Letters described in </w:t>
      </w:r>
      <w:r>
        <w:rPr>
          <w:rFonts w:ascii="Arial" w:cs="Arial" w:eastAsia="Arial" w:hAnsi="Arial"/>
          <w:sz w:val="19"/>
          <w:szCs w:val="19"/>
          <w:u w:val="single" w:color="auto"/>
          <w:color w:val="auto"/>
        </w:rPr>
        <w:t>Section 7.2(e)</w:t>
      </w:r>
      <w:r>
        <w:rPr>
          <w:rFonts w:ascii="Arial" w:cs="Arial" w:eastAsia="Arial" w:hAnsi="Arial"/>
          <w:sz w:val="19"/>
          <w:szCs w:val="19"/>
          <w:color w:val="auto"/>
        </w:rPr>
        <w:t>, which drafts, shall, in each case, set forth the amounts to be paid (including all principal, interest, penalties, if any, breakage costs or similar obligations thereunder) prior to or at the Effective Time, together with wire transfer and payment instructions and draft documentation releasing any Liens or guarantees granted in connection with the Indebtedness being paid off pursuant to such Payoff Letters.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Payoff of Series G Debentures</w:t>
      </w:r>
      <w:r>
        <w:rPr>
          <w:rFonts w:ascii="Arial" w:cs="Arial" w:eastAsia="Arial" w:hAnsi="Arial"/>
          <w:sz w:val="19"/>
          <w:szCs w:val="19"/>
          <w:color w:val="auto"/>
        </w:rPr>
        <w:t>. By no later than the Effective Time, the Company shall fully repay the Company’s Series G Debentures in accordance with the provisions in Section 6.2 to the Deed of Trust for the Debentures (Series</w:t>
      </w:r>
    </w:p>
    <w:p>
      <w:pPr>
        <w:spacing w:after="0" w:line="1" w:lineRule="exact"/>
        <w:rPr>
          <w:sz w:val="20"/>
          <w:szCs w:val="20"/>
          <w:color w:val="auto"/>
        </w:rPr>
      </w:pPr>
    </w:p>
    <w:p>
      <w:pPr>
        <w:jc w:val="both"/>
        <w:ind w:firstLine="8"/>
        <w:spacing w:after="0" w:line="234" w:lineRule="auto"/>
        <w:tabs>
          <w:tab w:leader="none" w:pos="289" w:val="left"/>
        </w:tabs>
        <w:numPr>
          <w:ilvl w:val="0"/>
          <w:numId w:val="90"/>
        </w:numPr>
        <w:rPr>
          <w:rFonts w:ascii="Arial" w:cs="Arial" w:eastAsia="Arial" w:hAnsi="Arial"/>
          <w:sz w:val="22"/>
          <w:szCs w:val="22"/>
          <w:color w:val="auto"/>
        </w:rPr>
      </w:pPr>
      <w:r>
        <w:rPr>
          <w:rFonts w:ascii="Arial" w:cs="Arial" w:eastAsia="Arial" w:hAnsi="Arial"/>
          <w:sz w:val="22"/>
          <w:szCs w:val="22"/>
          <w:color w:val="auto"/>
        </w:rPr>
        <w:t>of the Company, dated May 30, 2016 (the “</w:t>
      </w:r>
      <w:r>
        <w:rPr>
          <w:rFonts w:ascii="Arial" w:cs="Arial" w:eastAsia="Arial" w:hAnsi="Arial"/>
          <w:sz w:val="22"/>
          <w:szCs w:val="22"/>
          <w:u w:val="single" w:color="auto"/>
          <w:color w:val="auto"/>
        </w:rPr>
        <w:t>Debentures</w:t>
      </w:r>
      <w:r>
        <w:rPr>
          <w:rFonts w:ascii="Arial" w:cs="Arial" w:eastAsia="Arial" w:hAnsi="Arial"/>
          <w:sz w:val="22"/>
          <w:szCs w:val="22"/>
          <w:color w:val="auto"/>
        </w:rPr>
        <w:t>” and the “</w:t>
      </w:r>
      <w:r>
        <w:rPr>
          <w:rFonts w:ascii="Arial" w:cs="Arial" w:eastAsia="Arial" w:hAnsi="Arial"/>
          <w:sz w:val="22"/>
          <w:szCs w:val="22"/>
          <w:u w:val="single" w:color="auto"/>
          <w:color w:val="auto"/>
        </w:rPr>
        <w:t>Deed of Trust</w:t>
      </w:r>
      <w:r>
        <w:rPr>
          <w:rFonts w:ascii="Arial" w:cs="Arial" w:eastAsia="Arial" w:hAnsi="Arial"/>
          <w:sz w:val="22"/>
          <w:szCs w:val="22"/>
          <w:color w:val="auto"/>
        </w:rPr>
        <w:t>”, respectively), and as of the Effective Time, the Debentures shall expire and be de-listed from trade on the TASE. The Company shall take all necessary actions and file all necessary reports in order to facilitate such early full repayment of the Debentures.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AGREEMENTS</w:t>
      </w:r>
    </w:p>
    <w:p>
      <w:pPr>
        <w:spacing w:after="0" w:line="26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Access; Confidentiality; Notice of Certain Events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0" w:lineRule="auto"/>
        <w:tabs>
          <w:tab w:leader="none" w:pos="2130"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From the date of this Agreement until the Effective Time or the date, if any, on which this Agreement is terminated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to the extent permitted by applicable Law, the Company shall, and shall cause each of the Company Subsidiaries to, afford to Parent and its Representatives reasonable access during normal business hours and upon reasonable advance notice, which access may be limited to the extent the Company reasonably determines, in light of COVID-19 or COVID-19 Measures, that such access would jeopardize the health and safety of any Company employee (in such case, the Company shall use reasonable best efforts to satisfy its obligations set forth herein via electronic means), to all of their properties, offices, books, contracts, commitments, personnel and records, and, during such period the Company shall, and shall cause each of the Company Subsidiaries to, furnish reasonably promptly to Parent all existing information (financial or otherwise) concerning its business, properties and personnel as Parent may reasonably request. Notwithstanding the foregoing, the Company shall not be required by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to provide Parent or its Representatives with access to or to disclose information (i) that is subject to the terms of a confidentiality agreement with a Third Party entered into prior to the date of this Agreement, (ii) the disclosure of which would reasonably be expected to violate or conflict with any Law, including COVID-19 Measures (in such case, the Company shall use reasonable best efforts to satisfy its obligations set forth herein via electronic means) and Antitrust Laws, or (iii) that is subject to any attorney-client or attorney work product or other legal privilege;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for (i) through (iii) that the Company will inform Parent of the general nature of the document or information being withheld and reasonably cooperate with Parent to provide such document or information in a manner that would not result in a violation of Law (including any COVID-19 Measures, and in such case, the Company shall use reasonable best efforts to satisfy its obligations set forth herein via electronic means) or any such contractual restraint or the loss or waiver of such privilege. Parent will reasonably minimize any disruption to the businesses of the Company that may result from the requests for access, data and information hereunder.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both"/>
        <w:ind w:firstLine="1304"/>
        <w:spacing w:after="0" w:line="272" w:lineRule="auto"/>
        <w:tabs>
          <w:tab w:leader="none" w:pos="2169"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as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the Company may, as it deems necessary based on the advice of its outside counsel, reasonably designate any competitively sensitive material provided under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under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as either “</w:t>
      </w:r>
      <w:r>
        <w:rPr>
          <w:rFonts w:ascii="Arial" w:cs="Arial" w:eastAsia="Arial" w:hAnsi="Arial"/>
          <w:sz w:val="19"/>
          <w:szCs w:val="19"/>
          <w:u w:val="single" w:color="auto"/>
          <w:color w:val="auto"/>
        </w:rPr>
        <w:t>Antitrust Counsel Only Material</w:t>
      </w:r>
      <w:r>
        <w:rPr>
          <w:rFonts w:ascii="Arial" w:cs="Arial" w:eastAsia="Arial" w:hAnsi="Arial"/>
          <w:sz w:val="19"/>
          <w:szCs w:val="19"/>
          <w:color w:val="auto"/>
        </w:rPr>
        <w:t>” or “</w:t>
      </w:r>
      <w:r>
        <w:rPr>
          <w:rFonts w:ascii="Arial" w:cs="Arial" w:eastAsia="Arial" w:hAnsi="Arial"/>
          <w:sz w:val="19"/>
          <w:szCs w:val="19"/>
          <w:u w:val="single" w:color="auto"/>
          <w:color w:val="auto"/>
        </w:rPr>
        <w:t>Antitrust Restricted Material.</w:t>
      </w:r>
      <w:r>
        <w:rPr>
          <w:rFonts w:ascii="Arial" w:cs="Arial" w:eastAsia="Arial" w:hAnsi="Arial"/>
          <w:sz w:val="19"/>
          <w:szCs w:val="19"/>
          <w:color w:val="auto"/>
        </w:rPr>
        <w:t xml:space="preserve">” Antitrust Counsel Only Material and the information contained therein shall be given only to the outside antitrust counsel of the recipient and will not be disclosed by such outside counsel to employees, officers or directors of the recipient unless express permission is obtained in advance from the Company or its legal counsel. Antitrust Restricted Material and the information contained therein shall be given only to outside antitrust counsel and other outside Representatives of the recipient and employees, officers or directors of the recipient approved by the Company based on the advice of its outside counsel, and will not be disclosed by such Persons to other employees, officers or directors of the recipient unless express permission is obtained in advance from the Company or its legal counsel. Anything to the contrary contained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notwithstanding, materials provided pursuant to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may be redacted (i) to remove references concerning the valuation of the Company and the Merger, and (ii) as reasonably contemplated by </w:t>
      </w:r>
      <w:r>
        <w:rPr>
          <w:rFonts w:ascii="Arial" w:cs="Arial" w:eastAsia="Arial" w:hAnsi="Arial"/>
          <w:sz w:val="19"/>
          <w:szCs w:val="19"/>
          <w:u w:val="single" w:color="auto"/>
          <w:color w:val="auto"/>
        </w:rPr>
        <w:t>Sections 6.1(a)(i)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but subject to the proviso thereof.</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firstLine="1304"/>
        <w:spacing w:after="0" w:line="257" w:lineRule="auto"/>
        <w:tabs>
          <w:tab w:leader="none" w:pos="2265"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Parent will hold, and will cause its Representatives and affiliates to hold, any nonpublic information, including any information exchanged pursuant to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6.2</w:t>
      </w:r>
      <w:r>
        <w:rPr>
          <w:rFonts w:ascii="Arial" w:cs="Arial" w:eastAsia="Arial" w:hAnsi="Arial"/>
          <w:sz w:val="21"/>
          <w:szCs w:val="21"/>
          <w:color w:val="auto"/>
        </w:rPr>
        <w:t>, in confidence to the extent required by and in accordance with, and will otherwise comply with, the terms of the Confidentiality Agreement.</w:t>
      </w:r>
    </w:p>
    <w:p>
      <w:pPr>
        <w:spacing w:after="0" w:line="223" w:lineRule="exact"/>
        <w:rPr>
          <w:rFonts w:ascii="Arial" w:cs="Arial" w:eastAsia="Arial" w:hAnsi="Arial"/>
          <w:sz w:val="21"/>
          <w:szCs w:val="21"/>
          <w:color w:val="auto"/>
        </w:rPr>
      </w:pPr>
    </w:p>
    <w:p>
      <w:pPr>
        <w:jc w:val="both"/>
        <w:ind w:firstLine="1304"/>
        <w:spacing w:after="0" w:line="271" w:lineRule="auto"/>
        <w:tabs>
          <w:tab w:leader="none" w:pos="2088"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Company shall give prompt notice to Parent, and Parent shall give prompt notice to the Company, (i) of any notice or other communication received by such Party from any Governmental Authority in connection with this Agreement or the Transactions, or from any Person alleging that the consent of such Person is or may be required in connection with the Transactions, if the subject matter of such communication or the failure of such Party to obtain such consent could be material to the Company, the Surviving Company or Parent, (ii) of any Action commenced or, to the knowledge of the Company or the knowledge of Parent, threatened against, such Party or any of its Subsidiaries or otherwise relating to, involving or affecting such Party or any of its Subsidiaries, in each case in connection with, arising from or otherwise relating to the Transactions, and (iii) upon becoming aware of the occurrence or impending occurrence of any event or circumstance relating to it or any of the Company Subsidiaries or the Parent Subsidiaries, respectively, which would reasonably be expected, individually or in the aggregate, to result in the failure to be satisfied of any of the conditions to the other Party’s obligation to effect the Merger or that would reasonably be expected to prevent or materially delay or impede the consummation of the Transactions;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delivery of any notice pursuant to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6.1(d)</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cure any breach of any representation</w:t>
      </w:r>
      <w:r>
        <w:rPr>
          <w:rFonts w:ascii="Arial" w:cs="Arial" w:eastAsia="Arial" w:hAnsi="Arial"/>
          <w:sz w:val="19"/>
          <w:szCs w:val="19"/>
          <w:i w:val="1"/>
          <w:iCs w:val="1"/>
          <w:color w:val="auto"/>
        </w:rPr>
        <w:t xml:space="preserve"> </w:t>
      </w:r>
      <w:r>
        <w:rPr>
          <w:rFonts w:ascii="Arial" w:cs="Arial" w:eastAsia="Arial" w:hAnsi="Arial"/>
          <w:sz w:val="19"/>
          <w:szCs w:val="19"/>
          <w:color w:val="auto"/>
        </w:rPr>
        <w:t>or warranty requiring disclosure of such matter prior to the date of this Agreement or otherwise limit or affect the remedies available hereunder to any Party.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ind w:left="660"/>
        <w:spacing w:after="0"/>
        <w:tabs>
          <w:tab w:leader="none" w:pos="21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Reasonable Best Efforts</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line="271" w:lineRule="auto"/>
        <w:tabs>
          <w:tab w:leader="none" w:pos="2170"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each Party will use reasonable best efforts to (i) take, or cause to be taken, all actions and to do, or cause to be done, all things necessary, proper or advisable under applicable Laws to cause the conditions to Closing to be satisfied as promptly as reasonably practicable (and in any event no later than the Outside Date (as the same may be extended)) and to consummate and make effective the Merger and the other Transactions as soon as practicable after the date of this Agreement, including preparing and filing, in consultation with the other Party and as promptly as reasonably practicable and advisable after the date of this Agreement, all documentation to effect all necessary or advisable applications, notices, petitions, filings, registrations, notifications, statements, submissions of information and other documents (including any required or recommended filings under applicable Regulatory Laws); (ii) to obtain as promptly as reasonably practicable (and in any event no later than the Outside Date (as the same may be extended)) all waiting period expirations or terminations, approvals, consents, clearances, registrations, Permits and authorizations from any Governmental Authority or third party that are or may become necessary, proper or advisable to consummate the transactions contemplated by this Agreement; (iii) defend lawsuits or other legal proceedings, whether judicial or administrative, challenging this Agreement or the consummation of the Merger and the other Transactions; and (iv) obtain all necessary consents, approvals or waivers from third parties.</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jc w:val="both"/>
        <w:ind w:firstLine="1304"/>
        <w:spacing w:after="0" w:line="270" w:lineRule="auto"/>
        <w:tabs>
          <w:tab w:leader="none" w:pos="2169" w:val="left"/>
        </w:tabs>
        <w:numPr>
          <w:ilvl w:val="0"/>
          <w:numId w:val="93"/>
        </w:numPr>
        <w:rPr>
          <w:rFonts w:ascii="Arial" w:cs="Arial" w:eastAsia="Arial" w:hAnsi="Arial"/>
          <w:sz w:val="19"/>
          <w:szCs w:val="19"/>
          <w:color w:val="auto"/>
        </w:rPr>
      </w:pPr>
      <w:r>
        <w:rPr>
          <w:rFonts w:ascii="Arial" w:cs="Arial" w:eastAsia="Arial" w:hAnsi="Arial"/>
          <w:sz w:val="19"/>
          <w:szCs w:val="19"/>
          <w:color w:val="auto"/>
        </w:rPr>
        <w:t>Each Party agrees to use its reasonable best efforts to file, as soon as practicable and advisable after the date of this Agreement, all applications, notices, petitions and filings required or recommended to be filed by such party with any Governmental Authority with respect to the Merger and the other Transactions, and to submit as promptly as reasonably practicable any additional information requested by any such Governmental Authority. In furtherance and not in limitation of the foregoing, each Party shall, in consultation and cooperation with the other: (i) prepare and file the pre-merger notification under the HSR Act as promptly as practicable but in no case later than fifteen (15) Business Days after execution of this Agreement unless otherwise agreed by the parties and (ii) prepare and file all other notifications required or recommended under any applicable Law with respect to any other Regulatory Laws as promptly as reasonably practicable after the execution of this Agreement (in each case, unless another date is mutually agreed between the Parties), or where the ability to control timing of the application, notice, petition or filing is not within the control of the submitting Party, commence pre-submission consultation procedures for, any applications notices, petitions or filings with such Governmental Authorities (and thereafter make any other required submissions and respond as promptly as reasonably practicable to any requests for additional information or documentary material) (the filings described in clauses (i) and (ii), the “</w:t>
      </w:r>
      <w:r>
        <w:rPr>
          <w:rFonts w:ascii="Arial" w:cs="Arial" w:eastAsia="Arial" w:hAnsi="Arial"/>
          <w:sz w:val="19"/>
          <w:szCs w:val="19"/>
          <w:u w:val="single" w:color="auto"/>
          <w:color w:val="auto"/>
        </w:rPr>
        <w:t>Regulatory Filings</w:t>
      </w:r>
      <w:r>
        <w:rPr>
          <w:rFonts w:ascii="Arial" w:cs="Arial" w:eastAsia="Arial" w:hAnsi="Arial"/>
          <w:sz w:val="19"/>
          <w:szCs w:val="19"/>
          <w:color w:val="auto"/>
        </w:rPr>
        <w:t xml:space="preserve">”).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Authority, including the Federal Trade Commission and the Israeli Competition Authority, in connection with the matters in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both"/>
        <w:ind w:firstLine="1304"/>
        <w:spacing w:after="0" w:line="273" w:lineRule="auto"/>
        <w:tabs>
          <w:tab w:leader="none" w:pos="2116"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In connection with, and without limiting, the efforts or the obligations of the Parties under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each of Parent and the Company shall, to the extent permitted by applicable Law and not prohibited by the applicable Governmental Authority and subject to all applicable privileges (including the attorney client privilege), (i) cooperate and coordinate with the other in the making of Regulatory Filings (including, to the extent permitted by applicable Law and subject to the provisions of </w:t>
      </w:r>
      <w:r>
        <w:rPr>
          <w:rFonts w:ascii="Arial" w:cs="Arial" w:eastAsia="Arial" w:hAnsi="Arial"/>
          <w:sz w:val="19"/>
          <w:szCs w:val="19"/>
          <w:u w:val="single" w:color="auto"/>
          <w:color w:val="auto"/>
        </w:rPr>
        <w:t>Section 6.1(b)</w:t>
      </w:r>
      <w:r>
        <w:rPr>
          <w:rFonts w:ascii="Arial" w:cs="Arial" w:eastAsia="Arial" w:hAnsi="Arial"/>
          <w:sz w:val="19"/>
          <w:szCs w:val="19"/>
          <w:color w:val="auto"/>
        </w:rPr>
        <w:t>, providing copies, or portions thereof, of all such documents to the non-filing Parties prior to filing and considering all reasonable additions, deletions or changes suggested in connection therewith) and in connection with resolving any investigation, request or other inquiry of any Governmental Authority under any applicable Law with respect to any such filing, (ii) supply the other with any information and reasonable assistance that may be required or reasonably requested in connection with the making of such Regulatory Filings, and (iii) supply, within the time allowed, any additional or supplemental information that may be required or reasonably requested by any Governmental Authority, including the Federal Trade Commission (the “</w:t>
      </w:r>
      <w:r>
        <w:rPr>
          <w:rFonts w:ascii="Arial" w:cs="Arial" w:eastAsia="Arial" w:hAnsi="Arial"/>
          <w:sz w:val="19"/>
          <w:szCs w:val="19"/>
          <w:u w:val="single" w:color="auto"/>
          <w:color w:val="auto"/>
        </w:rPr>
        <w:t>FTC</w:t>
      </w:r>
      <w:r>
        <w:rPr>
          <w:rFonts w:ascii="Arial" w:cs="Arial" w:eastAsia="Arial" w:hAnsi="Arial"/>
          <w:sz w:val="19"/>
          <w:szCs w:val="19"/>
          <w:color w:val="auto"/>
        </w:rPr>
        <w:t>”), the DOJ and the Israeli Competition Authority.</w:t>
      </w:r>
    </w:p>
    <w:p>
      <w:pPr>
        <w:spacing w:after="0" w:line="209" w:lineRule="exact"/>
        <w:rPr>
          <w:rFonts w:ascii="Arial" w:cs="Arial" w:eastAsia="Arial" w:hAnsi="Arial"/>
          <w:sz w:val="19"/>
          <w:szCs w:val="19"/>
          <w:color w:val="auto"/>
        </w:rPr>
      </w:pPr>
    </w:p>
    <w:p>
      <w:pPr>
        <w:jc w:val="both"/>
        <w:ind w:firstLine="1304"/>
        <w:spacing w:after="0" w:line="274" w:lineRule="auto"/>
        <w:tabs>
          <w:tab w:leader="none" w:pos="2101"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As soon as practicable after the date of this Agreement, and no later than fifteen (15) Business Days after the date hereof, the Company shall instruct its Israeli counsel, advisors and/or accountants to prepare and file with the Investment Center an application to obtain the Investment Center Approval. Without limiting the generality of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6.2(c)</w:t>
      </w:r>
      <w:r>
        <w:rPr>
          <w:rFonts w:ascii="Arial" w:cs="Arial" w:eastAsia="Arial" w:hAnsi="Arial"/>
          <w:sz w:val="19"/>
          <w:szCs w:val="19"/>
          <w:color w:val="auto"/>
        </w:rPr>
        <w:t>, each of the Company and Parent shall cause their respective Israeli counsel, advisors and accountants to coordinate all activities, and to cooperate with each other, with respect to the preparation and filing of such application and in the preparation of any written or oral submissions that may be necessary, proper or advisable to obtain the Investment Center Approval. Subject to the terms and conditions of this Agreement, the Company, Parent and Merger Sub shall use reasonable best efforts to promptly take, or cause to be taken, all reasonable action and to do, or cause to be done, all things necessary, proper or advisable under applicable Laws to obtain the Investment Center Approval, as promptly as reasonably practicable.</w:t>
      </w:r>
    </w:p>
    <w:p>
      <w:pPr>
        <w:spacing w:after="0" w:line="212" w:lineRule="exact"/>
        <w:rPr>
          <w:rFonts w:ascii="Arial" w:cs="Arial" w:eastAsia="Arial" w:hAnsi="Arial"/>
          <w:sz w:val="19"/>
          <w:szCs w:val="19"/>
          <w:color w:val="auto"/>
        </w:rPr>
      </w:pPr>
    </w:p>
    <w:p>
      <w:pPr>
        <w:jc w:val="both"/>
        <w:ind w:firstLine="1304"/>
        <w:spacing w:after="0" w:line="269" w:lineRule="auto"/>
        <w:tabs>
          <w:tab w:leader="none" w:pos="2197"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Each of Parent and Merger Sub (and their respective affiliates, if applicable), on the one hand, and the Company (and the Company Subsidiaries, if applicable), on the other hand, shall, to the extent practicable and unless prohibited by applicable Law or by the applicable Governmental Authority and subject to all applicable privileges (including the attorney client privilege), promptly inform the other of any material communication from any Governmental Authority regarding any of the Transactions in connection with any Regulatory Filings or investigations with, by or before any Governmental Authority relating to this Agreement or the Transactions, including any Actions initiated by a private party. If any Party or Subsidiary or other affiliate thereof shall receive a request for additional information or documentary material from any Governmental Authority with respect to a Regulatory Filing, then such Party shall use its reasonable best efforts to make, or cause to be made, as soon as reasonably practicable, an appropriate response in compliance with such request. In connection with and without limiting the foregoing provisions of this </w:t>
      </w:r>
      <w:r>
        <w:rPr>
          <w:rFonts w:ascii="Arial" w:cs="Arial" w:eastAsia="Arial" w:hAnsi="Arial"/>
          <w:sz w:val="19"/>
          <w:szCs w:val="19"/>
          <w:u w:val="single" w:color="auto"/>
          <w:color w:val="auto"/>
        </w:rPr>
        <w:t>Section 6.2(e)</w:t>
      </w:r>
      <w:r>
        <w:rPr>
          <w:rFonts w:ascii="Arial" w:cs="Arial" w:eastAsia="Arial" w:hAnsi="Arial"/>
          <w:sz w:val="19"/>
          <w:szCs w:val="19"/>
          <w:color w:val="auto"/>
        </w:rPr>
        <w:t xml:space="preserve">, to the extent reasonably practicable, unless prohibited by applicable Law or by the applicable Governmental Authority, the Parties will (i) give each other reasonable advance notice of all meetings with any Governmental Authority relating to the Merger or any other Transactions, (ii) give each other an opportunity to participate in each of such meetings, (iii) keep the other Party reasonably apprised with respect to any material communications with any Governmental Authority regarding the Merger or any other Transactions, (iv) cooperate in the filing of any analyses, presentations, memoranda, briefs, arguments, opinions or other written communications explaining or defending the Merger or any other Transactions, articulating any regulatory or competitive argument or responding to requests or objections made by any Governmental Authority, (v) provide each other with a reasonable advance opportunity to review and comment upon, and consider in good faith the views of the other with respect to, all material written communications (including applications, analyses, presentations, memoranda, briefs, arguments and opinions) with a Governmental Authority regarding the Merger or any other Transactions and (vi) provide each other (or counsel of each Party, as appropriate) with copies of all material written communications to or from any Governmental Authority relating to the Merger or any other Transactions. Any such disclosures, rights to participate or provisions of information by one Party to the other may be made on a counsel-only basis to the extent required under applicable Law and the provisions of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or as necessary to protect competitively sensitive information. Anything to the contrary contained in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notwithstanding, materials provided pursuant to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may be redacted to remove such information as the Company is not obligated to provide under </w:t>
      </w:r>
      <w:r>
        <w:rPr>
          <w:rFonts w:ascii="Arial" w:cs="Arial" w:eastAsia="Arial" w:hAnsi="Arial"/>
          <w:sz w:val="19"/>
          <w:szCs w:val="19"/>
          <w:u w:val="single" w:color="auto"/>
          <w:color w:val="auto"/>
        </w:rPr>
        <w:t>Section 6.2(c</w:t>
      </w:r>
      <w:r>
        <w:rPr>
          <w:rFonts w:ascii="Arial" w:cs="Arial" w:eastAsia="Arial" w:hAnsi="Arial"/>
          <w:sz w:val="19"/>
          <w:szCs w:val="19"/>
          <w:color w:val="auto"/>
        </w:rPr>
        <w:t>) and references concerning the valuation of the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jc w:val="both"/>
        <w:ind w:firstLine="1304"/>
        <w:spacing w:after="0" w:line="236" w:lineRule="auto"/>
        <w:tabs>
          <w:tab w:leader="none" w:pos="2092"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The Parties agree that Ultimate Parent shall control the strategy for all filings, notifications, submissions, and communications, proposals and litigation in connection with any filing, notice, petition, statement, registration, submission of information, application or similar filing subject to this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after consulting with, and considering in good faith the view of the Company relating to such strategy; provided, however, that Ultimate Parent shall make the ultimate determination on which actions or filings, if any, are necessary.</w:t>
      </w:r>
    </w:p>
    <w:p>
      <w:pPr>
        <w:spacing w:after="0" w:line="241" w:lineRule="exact"/>
        <w:rPr>
          <w:rFonts w:ascii="Arial" w:cs="Arial" w:eastAsia="Arial" w:hAnsi="Arial"/>
          <w:sz w:val="22"/>
          <w:szCs w:val="22"/>
          <w:color w:val="auto"/>
        </w:rPr>
      </w:pPr>
    </w:p>
    <w:p>
      <w:pPr>
        <w:jc w:val="both"/>
        <w:ind w:firstLine="1304"/>
        <w:spacing w:after="0" w:line="269" w:lineRule="auto"/>
        <w:tabs>
          <w:tab w:leader="none" w:pos="2439"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In furtherance to and not in limitation of the foregoing, Ultimate Parent, the Company and their respective Subsidiaries shall use reasonable best efforts to take or cause to be taken all lawful actions necessary to obtain all approvals or clearances of the Merger or the Transactions required or recommended pursuant to applicable Regulatory Laws or the expiration or termination of any applicable waiting periods (and any extension thereof) or to avoid the entry of, or to effect the lifting or dissolution of, any injunction, temporary restraining order, or other Order in any suit or Action, which would otherwise have the effect of preventing the Closing, in order for the Parties to consummate the Transactions as promptly as reasonably practicable and in any event prior to the Outside Date (as the same may be extended),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notwithstanding the foregoing or anything to the contrary set forth in this Agreement, (A) neither Ultimate Parent nor any of its Subsidiaries shall be obligated to, and neither Company nor the Company Subsidiaries shall without the written consent of Parent, propose, take, or agree to such actions that would individually or in the aggregate have a material impact on the business or financial condition of the Company and its Subsidiaries, taken as a whole, (B) neither Ultimate Parent nor any of its Subsidiaries shall be obligated to propose, negotiate, effect or agree to, the sale, divestiture, lease, license, hold separate, transfer or other disposition of any assets or businesses of Ultimate Parent or any of its Subsidiaries, and (C) neither Ultimate Parent nor any of its Subsidiaries shall be obligated to agree to take any action that limits the freedom of action with respect to the business conduct of, or the ability to operate any of the businesses, product lines or assets of, Ultimate Parent or any of its Subsidiaries if any such action would, individually or in the aggregate, when taken together with any divestitures or behavioral restrictions taken with respect to the Company or its Subsidiaries, have a material impact on the business or financial condition of Ultimate Parent and its Subsidiaries, taken as a whole (</w:t>
      </w:r>
      <w:r>
        <w:rPr>
          <w:rFonts w:ascii="Arial" w:cs="Arial" w:eastAsia="Arial" w:hAnsi="Arial"/>
          <w:sz w:val="19"/>
          <w:szCs w:val="19"/>
          <w:i w:val="1"/>
          <w:iCs w:val="1"/>
          <w:color w:val="auto"/>
        </w:rPr>
        <w:t>provided</w:t>
      </w:r>
      <w:r>
        <w:rPr>
          <w:rFonts w:ascii="Arial" w:cs="Arial" w:eastAsia="Arial" w:hAnsi="Arial"/>
          <w:sz w:val="19"/>
          <w:szCs w:val="19"/>
          <w:color w:val="auto"/>
        </w:rPr>
        <w:t>, that solely for purposes of determining whether an action would individually or in the aggregate have a material impact on the business or financial condition of Ultimate Parent and its Subsidiaries, taken as a whole, under this subclause (C), the size and scope of the business and financial condition of Ultimate Parent and its Subsidiaries, taken as a whole, shall be determined by reference to the size and scope of the operations of the Company and its Subsidiaries, taken as a whole).</w:t>
      </w:r>
    </w:p>
    <w:p>
      <w:pPr>
        <w:spacing w:after="0" w:line="200" w:lineRule="exact"/>
        <w:rPr>
          <w:rFonts w:ascii="Arial" w:cs="Arial" w:eastAsia="Arial" w:hAnsi="Arial"/>
          <w:sz w:val="19"/>
          <w:szCs w:val="19"/>
          <w:color w:val="auto"/>
        </w:rPr>
      </w:pPr>
    </w:p>
    <w:p>
      <w:pPr>
        <w:spacing w:after="0" w:line="273" w:lineRule="exact"/>
        <w:rPr>
          <w:rFonts w:ascii="Arial" w:cs="Arial" w:eastAsia="Arial" w:hAnsi="Arial"/>
          <w:sz w:val="19"/>
          <w:szCs w:val="19"/>
          <w:color w:val="auto"/>
        </w:rPr>
      </w:pPr>
    </w:p>
    <w:p>
      <w:pPr>
        <w:jc w:val="both"/>
        <w:ind w:firstLine="1304"/>
        <w:spacing w:after="0" w:line="238" w:lineRule="auto"/>
        <w:tabs>
          <w:tab w:leader="none" w:pos="2142" w:val="left"/>
        </w:tabs>
        <w:numPr>
          <w:ilvl w:val="0"/>
          <w:numId w:val="95"/>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without the prior written consent of Parent, neither the Company nor any of the Company Subsidiaries or the Company’s affiliates will grant or offer to grant any accommodation or concession (financial or otherwise) to any third party in connection with seeking or obtaining its consent to the Transactions.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both"/>
        <w:ind w:firstLine="1304"/>
        <w:spacing w:after="0" w:line="279" w:lineRule="auto"/>
        <w:tabs>
          <w:tab w:leader="none" w:pos="2175"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In furtherance and not in limitation of the covenants of the parties contained in this </w:t>
      </w:r>
      <w:r>
        <w:rPr>
          <w:rFonts w:ascii="Arial" w:cs="Arial" w:eastAsia="Arial" w:hAnsi="Arial"/>
          <w:sz w:val="19"/>
          <w:szCs w:val="19"/>
          <w:u w:val="single" w:color="auto"/>
          <w:color w:val="auto"/>
        </w:rPr>
        <w:t>Section 6.2</w:t>
      </w:r>
      <w:r>
        <w:rPr>
          <w:rFonts w:ascii="Arial" w:cs="Arial" w:eastAsia="Arial" w:hAnsi="Arial"/>
          <w:sz w:val="19"/>
          <w:szCs w:val="19"/>
          <w:color w:val="auto"/>
        </w:rPr>
        <w:t>, if any administrative or judicial action or proceeding, including any proceeding by a private party, is instituted (or threatened to be instituted) challenging any Transaction as violative of any Regulatory Law, each of Parent and the Company (through the time of the Outside Date, as extended) shall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w:t>
      </w:r>
    </w:p>
    <w:p>
      <w:pPr>
        <w:spacing w:after="0" w:line="204" w:lineRule="exact"/>
        <w:rPr>
          <w:rFonts w:ascii="Arial" w:cs="Arial" w:eastAsia="Arial" w:hAnsi="Arial"/>
          <w:sz w:val="19"/>
          <w:szCs w:val="19"/>
          <w:color w:val="auto"/>
        </w:rPr>
      </w:pPr>
    </w:p>
    <w:p>
      <w:pPr>
        <w:jc w:val="both"/>
        <w:ind w:firstLine="1304"/>
        <w:spacing w:after="0" w:line="277" w:lineRule="auto"/>
        <w:tabs>
          <w:tab w:leader="none" w:pos="2053"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The Company, prior to the earlier of the Effective Time and the termination of this Agreement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not, and shall ensure that none of its Subsidiaries or affiliates shall, consummate, enter into any agreement providing for, or authorize, announce, commit to or approve, any investment, acquisition, divestiture, business combination or other transaction that would reasonably be expected to impede or prevent the consummation of the transactions contemplated by this Agreement. Parent, prior to the earlier of the Effective Time and the termination of this Agreement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not, and shall ensure that none of its Subsidiaries or affiliates shall, consummate, enter into any agreement providing for, or authorize, announce, commit to or approve, any transaction set forth in </w:t>
      </w:r>
      <w:r>
        <w:rPr>
          <w:rFonts w:ascii="Arial" w:cs="Arial" w:eastAsia="Arial" w:hAnsi="Arial"/>
          <w:sz w:val="19"/>
          <w:szCs w:val="19"/>
          <w:u w:val="single" w:color="auto"/>
          <w:color w:val="auto"/>
        </w:rPr>
        <w:t>Schedule 6.2(j)</w:t>
      </w:r>
      <w:r>
        <w:rPr>
          <w:rFonts w:ascii="Arial" w:cs="Arial" w:eastAsia="Arial" w:hAnsi="Arial"/>
          <w:sz w:val="19"/>
          <w:szCs w:val="19"/>
          <w:color w:val="auto"/>
        </w:rPr>
        <w:t>.</w:t>
      </w:r>
    </w:p>
    <w:p>
      <w:pPr>
        <w:spacing w:after="0" w:line="205" w:lineRule="exact"/>
        <w:rPr>
          <w:rFonts w:ascii="Arial" w:cs="Arial" w:eastAsia="Arial" w:hAnsi="Arial"/>
          <w:sz w:val="19"/>
          <w:szCs w:val="19"/>
          <w:color w:val="auto"/>
        </w:rPr>
      </w:pPr>
    </w:p>
    <w:p>
      <w:pPr>
        <w:jc w:val="both"/>
        <w:ind w:firstLine="1304"/>
        <w:spacing w:after="0" w:line="279" w:lineRule="auto"/>
        <w:tabs>
          <w:tab w:leader="none" w:pos="2425" w:val="left"/>
        </w:tabs>
        <w:numPr>
          <w:ilvl w:val="0"/>
          <w:numId w:val="96"/>
        </w:numPr>
        <w:rPr>
          <w:rFonts w:ascii="Arial" w:cs="Arial" w:eastAsia="Arial" w:hAnsi="Arial"/>
          <w:sz w:val="19"/>
          <w:szCs w:val="19"/>
          <w:color w:val="auto"/>
        </w:rPr>
      </w:pPr>
      <w:r>
        <w:rPr>
          <w:rFonts w:ascii="Arial" w:cs="Arial" w:eastAsia="Arial" w:hAnsi="Arial"/>
          <w:sz w:val="19"/>
          <w:szCs w:val="19"/>
          <w:color w:val="auto"/>
        </w:rPr>
        <w:t>Each of Parent and the Company agrees to use reasonable best efforts to submit, as promptly as reasonably practicable and advisable after the date of this Agreement all applicable and required notices to DCSA pursuant to the NISPOM, and in any event submit a changed condition package no later than fourteen (14) days following the Closing, to DCSA and, to the extent applicable, any other Governmental Authority, notification of the Agreement and the other transactions contemplated hereby pursuant to the NISPOM and any other applicable national or industrial security regulations, and submit and request approval under any FOCI related requirements and similar requirements included in any Government Contract.</w:t>
      </w:r>
    </w:p>
    <w:p>
      <w:pPr>
        <w:spacing w:after="0" w:line="204" w:lineRule="exact"/>
        <w:rPr>
          <w:rFonts w:ascii="Arial" w:cs="Arial" w:eastAsia="Arial" w:hAnsi="Arial"/>
          <w:sz w:val="19"/>
          <w:szCs w:val="19"/>
          <w:color w:val="auto"/>
        </w:rPr>
      </w:pPr>
    </w:p>
    <w:p>
      <w:pPr>
        <w:jc w:val="both"/>
        <w:ind w:firstLine="1304"/>
        <w:spacing w:after="0" w:line="272" w:lineRule="auto"/>
        <w:tabs>
          <w:tab w:leader="none" w:pos="20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 furtherance and not in limitation of the foregoing, each of Parent and the Company shall use reasonable best efforts to: (i) provide as promptly as reasonably practicable to each other’s counsel and to DCSA or other Governmental Authorities, as applicable, any additional or supplemental information and documentary material as may be necessary, proper or advisable in connection with preparation and submission of the notice; (ii) permit the other party to review reasonably in advance any communication (subject to mutually acceptable appropriate redactions to maintain confidentiality of business information) proposed to be given by it to DCSA or other Governmental Authorities, as applicable, and consult with each other in advance of any meeting or conference with DCSA or other Governmental Authorities, as applicable, and, to the extent permitted by DCSA or other Governmental Authorities, as applicable, give the other party the opportunity to attend and participate in any such meeting or conference; and (iii) keep each other timely apprised of the status of any communications with, and any inquiries or requests for additional information or documentary material from, DCSA or other Governmental Authorities, as applicable, in each case (i) – (iii), to the extent permitted by applicable Law and subject to customary and mutually acceptable confidentiality practices and all applicable privileges (including the attorney-client privilege).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jc w:val="both"/>
        <w:ind w:firstLine="1304"/>
        <w:spacing w:after="0" w:line="249" w:lineRule="auto"/>
        <w:tabs>
          <w:tab w:leader="none" w:pos="2188" w:val="left"/>
        </w:tabs>
        <w:numPr>
          <w:ilvl w:val="0"/>
          <w:numId w:val="97"/>
        </w:numPr>
        <w:rPr>
          <w:rFonts w:ascii="Arial" w:cs="Arial" w:eastAsia="Arial" w:hAnsi="Arial"/>
          <w:sz w:val="21"/>
          <w:szCs w:val="21"/>
          <w:color w:val="auto"/>
        </w:rPr>
      </w:pPr>
      <w:r>
        <w:rPr>
          <w:rFonts w:ascii="Arial" w:cs="Arial" w:eastAsia="Arial" w:hAnsi="Arial"/>
          <w:sz w:val="21"/>
          <w:szCs w:val="21"/>
          <w:color w:val="auto"/>
        </w:rPr>
        <w:t>If required by applicable Law, the Company and Parent will (i) as promptly as practicable following the Effective Time (and in any event within five (5) calendar days following the Effective Time), prepare and file with the United States Department of State Directorate of Defense Trade Controls (“</w:t>
      </w:r>
      <w:r>
        <w:rPr>
          <w:rFonts w:ascii="Arial" w:cs="Arial" w:eastAsia="Arial" w:hAnsi="Arial"/>
          <w:sz w:val="21"/>
          <w:szCs w:val="21"/>
          <w:u w:val="single" w:color="auto"/>
          <w:color w:val="auto"/>
        </w:rPr>
        <w:t>DDTC</w:t>
      </w:r>
      <w:r>
        <w:rPr>
          <w:rFonts w:ascii="Arial" w:cs="Arial" w:eastAsia="Arial" w:hAnsi="Arial"/>
          <w:sz w:val="21"/>
          <w:szCs w:val="21"/>
          <w:color w:val="auto"/>
        </w:rPr>
        <w:t>”) any notifications pursuant to 22 C.F.R. § 122.4(a) and (ii) as promptly as practicable after the Effective Time (and in any event within fifteen (15) Business Days after the Effective Time), file with DDTC all required notifications pursuant to 22 C.F.R. § 122.4(c).</w:t>
      </w:r>
    </w:p>
    <w:p>
      <w:pPr>
        <w:spacing w:after="0" w:line="2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Publicity</w:t>
      </w:r>
      <w:r>
        <w:rPr>
          <w:rFonts w:ascii="Arial" w:cs="Arial" w:eastAsia="Arial" w:hAnsi="Arial"/>
          <w:sz w:val="19"/>
          <w:szCs w:val="19"/>
          <w:color w:val="auto"/>
        </w:rPr>
        <w:t xml:space="preserve">. Parent and the Company have agreed upon the initial joint press release with respect to the execution of this Agreement, and will issue such press release promptly following the execution of this Agreement. From and after the date of this Agreement until the earlier of the Effective Time or the date, if any, on which this Agreement is terminated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so long as this Agreement is in effect, neither the Company nor Parent, nor any of their respective affiliates, shall issue or cause the publication of any press release or any public announcement with respect to the Transactions or this Agreement without the prior consent of the other Party, unless such Party determines, after consultation with outside counsel, that it is required by applicable Law, court process or by any listing agreement with or the listing rules of a national securities exchange or trading market on which securities of such Party are listed, to issue or cause the publication of any press release or any public announcement with respect to the Transactions or this Agreement, in which event such Party shall endeavor, on a basis reasonable under the circumstances, to provide a meaningful opportunity to the other Party to review and comment upon such press release or public announcement in advance and shall give due consideration and consider in good faith all reasonable additions, deletions or changes suggested by the other Party. Notwithstanding the foregoing provisions of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(i) Parent and the Company may make press releases and other public announcements concerning this Agreement or the Transactions that consist solely of information previously disclosed in all material respects in previous press releases and other public announcements made by Parent and/or the Company in compliance with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(ii) Parent and the Company may make public statements in response to specific questions by the press, analysts, investors or those attending industry conferences or financial analyst conference calls, so long as any such statements consist solely of information previously disclosed in all material respects in previous press releases, public disclosures or public statements made by the Company or Parent in compliance with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and do not reveal material, non-public information regarding the other Parties, this Agreement or the Transactions, (iii) the Company shall not be required to provide any review or comment to Parent regarding any statement, release or disclosure made by the Company or its Representatives that does not reveal material, non-public information regarding the Parties, this Agreement or the Transactions in response to or in connection with the receipt and existence of a Competing Proposal, the consideration of making a Company Change of Recommendation or any matters related thereto, and (iv) Parent shall not be required to provide any review or comment to the Company regarding any statement, release or disclosure made by the Parent or its Representatives that does not reveal material, non-public information regarding the Company or the Company Subsidiaries, this Agreement or the Transactions in response to or in connection with the Company’s receipt and existence of, or disclosure in relation to, a Competing Proposal, or any matters related thereto.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ind w:left="660"/>
        <w:spacing w:after="0"/>
        <w:tabs>
          <w:tab w:leader="none" w:pos="214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Directors’ and Officers’ Insurance and Indemnification</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line="277" w:lineRule="auto"/>
        <w:tabs>
          <w:tab w:leader="none" w:pos="2116" w:val="left"/>
        </w:tabs>
        <w:numPr>
          <w:ilvl w:val="0"/>
          <w:numId w:val="98"/>
        </w:numPr>
        <w:rPr>
          <w:rFonts w:ascii="Arial" w:cs="Arial" w:eastAsia="Arial" w:hAnsi="Arial"/>
          <w:sz w:val="19"/>
          <w:szCs w:val="19"/>
          <w:color w:val="auto"/>
        </w:rPr>
      </w:pPr>
      <w:r>
        <w:rPr>
          <w:rFonts w:ascii="Arial" w:cs="Arial" w:eastAsia="Arial" w:hAnsi="Arial"/>
          <w:sz w:val="19"/>
          <w:szCs w:val="19"/>
          <w:color w:val="auto"/>
        </w:rPr>
        <w:t>Parent and Merger Sub agree that all rights to indemnification and exculpation from liabilities, including advancement of expenses, for acts or omissions occurring at or prior to the Effective Time now existing in favor of the current or former directors, officers or employees (in the case of employees, only such persons who are covered by the Company’s existing policies of directors’ and officers’ liability insurance and fiduciary liability insurance as of the Closing Date) of the Company or a Company Subsidiary (the “</w:t>
      </w:r>
      <w:r>
        <w:rPr>
          <w:rFonts w:ascii="Arial" w:cs="Arial" w:eastAsia="Arial" w:hAnsi="Arial"/>
          <w:sz w:val="19"/>
          <w:szCs w:val="19"/>
          <w:u w:val="single" w:color="auto"/>
          <w:color w:val="auto"/>
        </w:rPr>
        <w:t>Covered Persons</w:t>
      </w:r>
      <w:r>
        <w:rPr>
          <w:rFonts w:ascii="Arial" w:cs="Arial" w:eastAsia="Arial" w:hAnsi="Arial"/>
          <w:sz w:val="19"/>
          <w:szCs w:val="19"/>
          <w:color w:val="auto"/>
        </w:rPr>
        <w:t>”) as provided in the Articles of Association or any indemnification Contract between such Person and the Company (in each case, as in effect, and in the case of any indemnification Contracts, to the extent made available to Parent) shall survive the Merger and shall continue in full force and effect.</w:t>
      </w:r>
    </w:p>
    <w:p>
      <w:pPr>
        <w:spacing w:after="0" w:line="205" w:lineRule="exact"/>
        <w:rPr>
          <w:rFonts w:ascii="Arial" w:cs="Arial" w:eastAsia="Arial" w:hAnsi="Arial"/>
          <w:sz w:val="19"/>
          <w:szCs w:val="19"/>
          <w:color w:val="auto"/>
        </w:rPr>
      </w:pPr>
    </w:p>
    <w:p>
      <w:pPr>
        <w:jc w:val="both"/>
        <w:ind w:firstLine="1304"/>
        <w:spacing w:after="0" w:line="246" w:lineRule="auto"/>
        <w:tabs>
          <w:tab w:leader="none" w:pos="2277"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For not less than seven (7) years from and after the Effective Time, the articles of association of the Surviving Company and the equivalent Charter Documents of each Company Subsidiary shall contain provisions no less favorable with respect to exculpation, indemnification of and advancement of expenses to Covered Persons for periods at or prior to the Effective Time than are currently set forth in the Articles of Association and the equivalent Charter Documents of each Company Subsidiary. Notwithstanding anything herein to the contrary, if any Action or investigation (whether arising before, at or after the Effective Time) is made against any Covered Person with respect to matters subject to indemnification hereunder on or prior to the seventh anniversary of the Effective Time, the provisions of this </w:t>
      </w:r>
      <w:r>
        <w:rPr>
          <w:rFonts w:ascii="Arial" w:cs="Arial" w:eastAsia="Arial" w:hAnsi="Arial"/>
          <w:sz w:val="21"/>
          <w:szCs w:val="21"/>
          <w:u w:val="single" w:color="auto"/>
          <w:color w:val="auto"/>
        </w:rPr>
        <w:t>Section 6.4(b)</w:t>
      </w:r>
      <w:r>
        <w:rPr>
          <w:rFonts w:ascii="Arial" w:cs="Arial" w:eastAsia="Arial" w:hAnsi="Arial"/>
          <w:sz w:val="21"/>
          <w:szCs w:val="21"/>
          <w:color w:val="auto"/>
        </w:rPr>
        <w:t xml:space="preserve"> shall continue in effect until the final disposition of such Action or investigation.</w:t>
      </w:r>
    </w:p>
    <w:p>
      <w:pPr>
        <w:spacing w:after="0" w:line="233" w:lineRule="exact"/>
        <w:rPr>
          <w:rFonts w:ascii="Arial" w:cs="Arial" w:eastAsia="Arial" w:hAnsi="Arial"/>
          <w:sz w:val="21"/>
          <w:szCs w:val="21"/>
          <w:color w:val="auto"/>
        </w:rPr>
      </w:pPr>
    </w:p>
    <w:p>
      <w:pPr>
        <w:jc w:val="both"/>
        <w:ind w:firstLine="1304"/>
        <w:spacing w:after="0" w:line="271" w:lineRule="auto"/>
        <w:tabs>
          <w:tab w:leader="none" w:pos="2197" w:val="left"/>
        </w:tabs>
        <w:numPr>
          <w:ilvl w:val="0"/>
          <w:numId w:val="98"/>
        </w:numPr>
        <w:rPr>
          <w:rFonts w:ascii="Arial" w:cs="Arial" w:eastAsia="Arial" w:hAnsi="Arial"/>
          <w:sz w:val="19"/>
          <w:szCs w:val="19"/>
          <w:color w:val="auto"/>
        </w:rPr>
      </w:pPr>
      <w:r>
        <w:rPr>
          <w:rFonts w:ascii="Arial" w:cs="Arial" w:eastAsia="Arial" w:hAnsi="Arial"/>
          <w:sz w:val="19"/>
          <w:szCs w:val="19"/>
          <w:color w:val="auto"/>
        </w:rPr>
        <w:t>For not less than seven (7) years from and after the Effective Time, the Surviving Company shall, and Parent shall cause the Surviving Company to, maintain for the benefit of the Covered Persons, an insurance and indemnification policy that provides coverage for events occurring prior to the Effective Time (the “</w:t>
      </w:r>
      <w:r>
        <w:rPr>
          <w:rFonts w:ascii="Arial" w:cs="Arial" w:eastAsia="Arial" w:hAnsi="Arial"/>
          <w:sz w:val="19"/>
          <w:szCs w:val="19"/>
          <w:u w:val="single" w:color="auto"/>
          <w:color w:val="auto"/>
        </w:rPr>
        <w:t>D&amp;O Insurance</w:t>
      </w:r>
      <w:r>
        <w:rPr>
          <w:rFonts w:ascii="Arial" w:cs="Arial" w:eastAsia="Arial" w:hAnsi="Arial"/>
          <w:sz w:val="19"/>
          <w:szCs w:val="19"/>
          <w:color w:val="auto"/>
        </w:rPr>
        <w:t xml:space="preserve">”) that is in accordance with the maximum coverage set forth in the Company’s current compensation policy for directors and officers (as approved by Company shareholders prior to the date of this Agreement) relating to errors and omissions of directors and officers or, if substantially equivalent insurance coverage is unavailable, the best reasonably available coverage;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Surviving Company shall not be required to pay an annual premium for the D&amp;O Insurance in excess of 300% of the last annual premium paid prior to the date of this Agreement, but in such case shall purchase as much coverage as is reasonably available for such amount. The provisions of the immediately preceding sentence shall be deemed to have been satisfied if prepaid policies have been obtained prior to the Effective Time (which the Company shall use its reasonable best efforts to purchase prior to the Effective Time), which policies provide such directors and officers with coverage for an aggregate period of at least seven (7) years from and after the Effective Time with respect to claims arising from facts or events that occurred on or before the Effective Time, including in respect of the Transactions; </w:t>
      </w:r>
      <w:r>
        <w:rPr>
          <w:rFonts w:ascii="Arial" w:cs="Arial" w:eastAsia="Arial" w:hAnsi="Arial"/>
          <w:sz w:val="19"/>
          <w:szCs w:val="19"/>
          <w:i w:val="1"/>
          <w:iCs w:val="1"/>
          <w:color w:val="auto"/>
        </w:rPr>
        <w:t>provided</w:t>
      </w:r>
      <w:r>
        <w:rPr>
          <w:rFonts w:ascii="Arial" w:cs="Arial" w:eastAsia="Arial" w:hAnsi="Arial"/>
          <w:sz w:val="19"/>
          <w:szCs w:val="19"/>
          <w:color w:val="auto"/>
        </w:rPr>
        <w:t>, however, further that the Company shall not pay, and the Surviving Company shall not be required to pay, to secure such prepaid policies in excess of 300% of the last annual premium paid by the Company prior to the date of this Agreement in respect of such existing policies of D&amp;O Insurance, but in such case shall purchase as much coverage as reasonably practicable for such amount.</w:t>
      </w:r>
    </w:p>
    <w:p>
      <w:pPr>
        <w:spacing w:after="0" w:line="210" w:lineRule="exact"/>
        <w:rPr>
          <w:rFonts w:ascii="Arial" w:cs="Arial" w:eastAsia="Arial" w:hAnsi="Arial"/>
          <w:sz w:val="19"/>
          <w:szCs w:val="19"/>
          <w:color w:val="auto"/>
        </w:rPr>
      </w:pPr>
    </w:p>
    <w:p>
      <w:pPr>
        <w:jc w:val="both"/>
        <w:ind w:firstLine="1304"/>
        <w:spacing w:after="0"/>
        <w:tabs>
          <w:tab w:leader="none" w:pos="2223" w:val="left"/>
        </w:tabs>
        <w:numPr>
          <w:ilvl w:val="0"/>
          <w:numId w:val="98"/>
        </w:numPr>
        <w:rPr>
          <w:rFonts w:ascii="Arial" w:cs="Arial" w:eastAsia="Arial" w:hAnsi="Arial"/>
          <w:sz w:val="22"/>
          <w:szCs w:val="22"/>
          <w:color w:val="auto"/>
        </w:rPr>
      </w:pPr>
      <w:r>
        <w:rPr>
          <w:rFonts w:ascii="Arial" w:cs="Arial" w:eastAsia="Arial" w:hAnsi="Arial"/>
          <w:sz w:val="22"/>
          <w:szCs w:val="22"/>
          <w:color w:val="auto"/>
        </w:rPr>
        <w:t>If such prepaid policies have been obtained prior to the Effective Time, the Surviving Company shall, and Parent shall cause the Surviving Company to, maintain such policies in full force and effect, and continue to honor the obligations thereunder.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both"/>
        <w:ind w:firstLine="1304"/>
        <w:spacing w:after="0" w:line="236" w:lineRule="auto"/>
        <w:tabs>
          <w:tab w:leader="none" w:pos="2130"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In the event that Parent or the Surviving Company (i) consolidates with or merges into any other Person and shall not be the continuing or surviving corporation or entity of such consolidation or merger or (ii) transfers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Arial" w:cs="Arial" w:eastAsia="Arial" w:hAnsi="Arial"/>
          <w:sz w:val="22"/>
          <w:szCs w:val="22"/>
          <w:u w:val="single" w:color="auto"/>
          <w:color w:val="auto"/>
        </w:rPr>
        <w:t>Section 6.4</w:t>
      </w:r>
      <w:r>
        <w:rPr>
          <w:rFonts w:ascii="Arial" w:cs="Arial" w:eastAsia="Arial" w:hAnsi="Arial"/>
          <w:sz w:val="22"/>
          <w:szCs w:val="22"/>
          <w:color w:val="auto"/>
        </w:rPr>
        <w:t>.</w:t>
      </w:r>
    </w:p>
    <w:p>
      <w:pPr>
        <w:spacing w:after="0" w:line="241" w:lineRule="exact"/>
        <w:rPr>
          <w:rFonts w:ascii="Arial" w:cs="Arial" w:eastAsia="Arial" w:hAnsi="Arial"/>
          <w:sz w:val="22"/>
          <w:szCs w:val="22"/>
          <w:color w:val="auto"/>
        </w:rPr>
      </w:pPr>
    </w:p>
    <w:p>
      <w:pPr>
        <w:jc w:val="both"/>
        <w:ind w:firstLine="1304"/>
        <w:spacing w:after="0" w:line="275" w:lineRule="auto"/>
        <w:tabs>
          <w:tab w:leader="none" w:pos="2362"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The rights of each Covered Person pursuant to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shall be in addition to, and not in limitation of, any other rights such Covered Person may have (including any indemnification, exculpation or advancement of expenses rights) under the Articles of Association (or similar Charter Documents of any Company Subsidiary), any indemnification Contract between such Person and the Company (in each case, as in effect, and in the case of any indemnification Contracts, to the extent made available to Parent), or under applicable Law. The provisions of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shall survive the Effective Time and shall not be terminated or modified in any manner that is adverse to the Covered Persons (and their respective successors and assigns), it being expressly agreed that the Covered Persons (including their respective successors and assigns) shall be third party beneficiaries of, and entitled to enforce, this </w:t>
      </w:r>
      <w:r>
        <w:rPr>
          <w:rFonts w:ascii="Arial" w:cs="Arial" w:eastAsia="Arial" w:hAnsi="Arial"/>
          <w:sz w:val="19"/>
          <w:szCs w:val="19"/>
          <w:u w:val="single" w:color="auto"/>
          <w:color w:val="auto"/>
        </w:rPr>
        <w:t>Section 6.4</w:t>
      </w:r>
      <w:r>
        <w:rPr>
          <w:rFonts w:ascii="Arial" w:cs="Arial" w:eastAsia="Arial" w:hAnsi="Arial"/>
          <w:sz w:val="19"/>
          <w:szCs w:val="19"/>
          <w:color w:val="auto"/>
        </w:rPr>
        <w:t>.</w:t>
      </w:r>
    </w:p>
    <w:p>
      <w:pPr>
        <w:spacing w:after="0" w:line="2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Takeover Statutes</w:t>
      </w:r>
      <w:r>
        <w:rPr>
          <w:rFonts w:ascii="Arial" w:cs="Arial" w:eastAsia="Arial" w:hAnsi="Arial"/>
          <w:sz w:val="19"/>
          <w:szCs w:val="19"/>
          <w:color w:val="auto"/>
        </w:rPr>
        <w:t>. The Company shall, subject to the terms and conditions of this Agreement (a) to take all action necessary so that no Takeover Statute is or becomes applicable to the Merger or any of the other Transactions and (b) if any such Takeover Statute is or becomes applicable to any of the foregoing, to take all action necessary so that the Merger and the other Transactions may be consummated as promptly as practicable on the terms contemplated by this Agreement and otherwise to eliminate or minimize the effect of such Takeover Statute on the Merger and the other Transactions.</w:t>
      </w:r>
    </w:p>
    <w:p>
      <w:pPr>
        <w:spacing w:after="0" w:line="201"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Obligations of Merger Sub</w:t>
      </w:r>
      <w:r>
        <w:rPr>
          <w:rFonts w:ascii="Arial" w:cs="Arial" w:eastAsia="Arial" w:hAnsi="Arial"/>
          <w:sz w:val="22"/>
          <w:szCs w:val="22"/>
          <w:color w:val="auto"/>
        </w:rPr>
        <w:t>. Parent shall take all action necessary to cause Merger Sub and the Surviving Company to perform their respective obligations under this Agreement and to consummate the Transactions, including the Merger, upon the terms and subject to the conditions set forth in this Agreement.</w:t>
      </w:r>
    </w:p>
    <w:p>
      <w:pPr>
        <w:spacing w:after="0" w:line="240"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Employee Benefits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1" w:lineRule="auto"/>
        <w:tabs>
          <w:tab w:leader="none" w:pos="207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Subject to the terms of any collective bargaining agreement or any other labor-related agreement with any Labor Organization, Parent hereby agrees that for the period commencing at the Effective Time and ending twelve (12) months following the Effective Time (such period, the “</w:t>
      </w:r>
      <w:r>
        <w:rPr>
          <w:rFonts w:ascii="Arial" w:cs="Arial" w:eastAsia="Arial" w:hAnsi="Arial"/>
          <w:sz w:val="19"/>
          <w:szCs w:val="19"/>
          <w:u w:val="single" w:color="auto"/>
          <w:color w:val="auto"/>
        </w:rPr>
        <w:t>Transition Period</w:t>
      </w:r>
      <w:r>
        <w:rPr>
          <w:rFonts w:ascii="Arial" w:cs="Arial" w:eastAsia="Arial" w:hAnsi="Arial"/>
          <w:sz w:val="19"/>
          <w:szCs w:val="19"/>
          <w:color w:val="auto"/>
        </w:rPr>
        <w:t>”), Parent shall, or shall cause the Surviving Company or applicable Subsidiary or affiliate of Parent to provide each employee of the Company or any Company Subsidiary who continues to be employed by Parent, the Surviving Company or any Subsidiary or affiliate of Parent as of the Effective Time, while they remain employed during the Transition Period (each, a “</w:t>
      </w:r>
      <w:r>
        <w:rPr>
          <w:rFonts w:ascii="Arial" w:cs="Arial" w:eastAsia="Arial" w:hAnsi="Arial"/>
          <w:sz w:val="19"/>
          <w:szCs w:val="19"/>
          <w:u w:val="single" w:color="auto"/>
          <w:color w:val="auto"/>
        </w:rPr>
        <w:t>Continuing Employee</w:t>
      </w:r>
      <w:r>
        <w:rPr>
          <w:rFonts w:ascii="Arial" w:cs="Arial" w:eastAsia="Arial" w:hAnsi="Arial"/>
          <w:sz w:val="19"/>
          <w:szCs w:val="19"/>
          <w:color w:val="auto"/>
        </w:rPr>
        <w:t>”) with (i) a total target cash compensation opportunity (i.e</w:t>
      </w:r>
      <w:r>
        <w:rPr>
          <w:rFonts w:ascii="Arial" w:cs="Arial" w:eastAsia="Arial" w:hAnsi="Arial"/>
          <w:sz w:val="19"/>
          <w:szCs w:val="19"/>
          <w:i w:val="1"/>
          <w:iCs w:val="1"/>
          <w:color w:val="auto"/>
        </w:rPr>
        <w:t>.</w:t>
      </w:r>
      <w:r>
        <w:rPr>
          <w:rFonts w:ascii="Arial" w:cs="Arial" w:eastAsia="Arial" w:hAnsi="Arial"/>
          <w:sz w:val="19"/>
          <w:szCs w:val="19"/>
          <w:color w:val="auto"/>
        </w:rPr>
        <w:t>, inclusive of an annual base salary or base wage rate and a target annual cash bonus opportunity, and excluding any equity or equity-linked compensation opportunity) that is not less favorable in the aggregate than the total target cash compensation opportunity (i.e</w:t>
      </w:r>
      <w:r>
        <w:rPr>
          <w:rFonts w:ascii="Arial" w:cs="Arial" w:eastAsia="Arial" w:hAnsi="Arial"/>
          <w:sz w:val="19"/>
          <w:szCs w:val="19"/>
          <w:i w:val="1"/>
          <w:iCs w:val="1"/>
          <w:color w:val="auto"/>
        </w:rPr>
        <w:t>.</w:t>
      </w:r>
      <w:r>
        <w:rPr>
          <w:rFonts w:ascii="Arial" w:cs="Arial" w:eastAsia="Arial" w:hAnsi="Arial"/>
          <w:sz w:val="19"/>
          <w:szCs w:val="19"/>
          <w:color w:val="auto"/>
        </w:rPr>
        <w:t>, inclusive of an annual base salary or base wage rate and a target annual cash bonus opportunity, and excluding any equity or equity-linked compensation opportunity) that was provided to such Continuing Employee by the Company or any Company Subsidiary immediately prior to the Effective Time; and (ii) employee benefits (excluding any benefits provided under any defined benefit pension plan or post-retirement medical plan and excluding any equity or equity-linked compensation opportunity) that are no less favorable in the aggregate to those provided to such Continuing Employee by the Company and any Company Subsidiary immediately prior to the Effective Time.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both"/>
        <w:ind w:firstLine="1304"/>
        <w:spacing w:after="0" w:line="273" w:lineRule="auto"/>
        <w:tabs>
          <w:tab w:leader="none" w:pos="227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Effective as of the Effective Time and thereafter, Parent shall use commercially reasonable efforts to provide or to cause the Surviving Company to provide that periods of service with the Company or the Company Subsidiaries (including any current or former affiliate of the Company or the Company Subsidiaries or any predecessor of the Company or a Company Subsidiary) of Continuing Employees shall be credited for all purposes (including for purposes of vesting, eligibility to participate and level of benefits but excluding for purposes of benefit accruals under any defined benefit pension plan or for purposes of equity compensation vesting for new equity awards granted after the Closing Date) under all employee benefit plans maintained by Parent or an affiliate of Parent (including the Surviving Company) to the same extent as such Continuing Employee was entitled, before the Effective Time, to credit for such service under any similar Company Plan in which such Continuing Employee participated or was eligible to participate immediately prior to the Effective Time and to the extent permitted under the terms and conditions of such plans for the benefit of the Continuing Employees, other than as would result in a duplication of benefits for the same period of service.</w:t>
      </w:r>
    </w:p>
    <w:p>
      <w:pPr>
        <w:spacing w:after="0" w:line="209" w:lineRule="exact"/>
        <w:rPr>
          <w:rFonts w:ascii="Arial" w:cs="Arial" w:eastAsia="Arial" w:hAnsi="Arial"/>
          <w:sz w:val="19"/>
          <w:szCs w:val="19"/>
          <w:color w:val="auto"/>
        </w:rPr>
      </w:pPr>
    </w:p>
    <w:p>
      <w:pPr>
        <w:jc w:val="both"/>
        <w:ind w:firstLine="1304"/>
        <w:spacing w:after="0" w:line="273" w:lineRule="auto"/>
        <w:tabs>
          <w:tab w:leader="none" w:pos="226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Effective as of the Effective Time and thereafter, Parent shall use commercially reasonable efforts to provide or shall cause the Surviving Company to, with respect to Continuing Employees who reside in the United States, (i) ensure that no eligibility waiting periods, actively-at-work requirements or pre-existing condition limitations or exclusions shall apply with respect to such Continuing Employees under the applicable health, welfare and defined contribution retirement benefits plan of Parent or any affiliate of Parent (except to the extent applicable under Company Plans immediately prior to the Effective Time) and (ii) waive any and all evidence of insurability requirements with respect to such Continuing Employees to the extent such evidence of insurability requirements were not applicable to the Continuing Employees under the Company Plans immediately prior to the Effective Time unless such conditions would not have been waived under the Company Plans in which such employee participated immediately prior to the Effective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Parent’s obligations under this </w:t>
      </w:r>
      <w:r>
        <w:rPr>
          <w:rFonts w:ascii="Arial" w:cs="Arial" w:eastAsia="Arial" w:hAnsi="Arial"/>
          <w:sz w:val="19"/>
          <w:szCs w:val="19"/>
          <w:u w:val="single" w:color="auto"/>
          <w:color w:val="auto"/>
        </w:rPr>
        <w:t>Section 6.7(c)</w:t>
      </w:r>
      <w:r>
        <w:rPr>
          <w:rFonts w:ascii="Arial" w:cs="Arial" w:eastAsia="Arial" w:hAnsi="Arial"/>
          <w:sz w:val="19"/>
          <w:szCs w:val="19"/>
          <w:color w:val="auto"/>
        </w:rPr>
        <w:t xml:space="preserve"> shall be subject to the terms and conditions of Parent’s or its applicable affiliates’ plans and its receipt of all necessary information, from either the Company or such Continuing Employee.</w:t>
      </w:r>
    </w:p>
    <w:p>
      <w:pPr>
        <w:spacing w:after="0" w:line="209" w:lineRule="exact"/>
        <w:rPr>
          <w:rFonts w:ascii="Arial" w:cs="Arial" w:eastAsia="Arial" w:hAnsi="Arial"/>
          <w:sz w:val="19"/>
          <w:szCs w:val="19"/>
          <w:color w:val="auto"/>
        </w:rPr>
      </w:pPr>
    </w:p>
    <w:p>
      <w:pPr>
        <w:jc w:val="both"/>
        <w:ind w:firstLine="1304"/>
        <w:spacing w:after="0" w:line="244" w:lineRule="auto"/>
        <w:tabs>
          <w:tab w:leader="none" w:pos="214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If requested by Parent at least ten (10) days prior to the Closing, then (i) effective as of no later than the day immediately preceding the Closing, the Company will terminate each of the Company Plans intended to be “qualified” within the meaning of Section 401(a) of the Code (the “</w:t>
      </w:r>
      <w:r>
        <w:rPr>
          <w:rFonts w:ascii="Arial" w:cs="Arial" w:eastAsia="Arial" w:hAnsi="Arial"/>
          <w:sz w:val="21"/>
          <w:szCs w:val="21"/>
          <w:u w:val="single" w:color="auto"/>
          <w:color w:val="auto"/>
        </w:rPr>
        <w:t>Company 401(k) Plans</w:t>
      </w:r>
      <w:r>
        <w:rPr>
          <w:rFonts w:ascii="Arial" w:cs="Arial" w:eastAsia="Arial" w:hAnsi="Arial"/>
          <w:sz w:val="21"/>
          <w:szCs w:val="21"/>
          <w:color w:val="auto"/>
        </w:rPr>
        <w:t xml:space="preserve">”), and (ii) prior to the Effective Time, the Company shall provide Parent with evidence that such plan(s) have been terminated by providing resolutions approving such termination. The form and substance of such resolutions shall be subject to the review and approval of Parent (which approval shall not be unreasonably withheld, conditioned or delayed). If the Company 401(k) Plan is terminated pursuant to this </w:t>
      </w:r>
      <w:r>
        <w:rPr>
          <w:rFonts w:ascii="Arial" w:cs="Arial" w:eastAsia="Arial" w:hAnsi="Arial"/>
          <w:sz w:val="21"/>
          <w:szCs w:val="21"/>
          <w:u w:val="single" w:color="auto"/>
          <w:color w:val="auto"/>
        </w:rPr>
        <w:t>Section 6.7(d)</w:t>
      </w:r>
      <w:r>
        <w:rPr>
          <w:rFonts w:ascii="Arial" w:cs="Arial" w:eastAsia="Arial" w:hAnsi="Arial"/>
          <w:sz w:val="21"/>
          <w:szCs w:val="21"/>
          <w:color w:val="auto"/>
        </w:rPr>
        <w:t xml:space="preserve">, then as soon as practicable following the date such plan is terminated, Parent shall permit all Continuing Employees who were eligible to participate in the Company 401(k) Plan immediately prior to its termination to participate in Parent’s 401(k) plan and shall permit each such Continuing Employee to elect to transfer his or her account balance when distributed from the terminated Company 401(k) Plan, including any outstanding participant loans, to Parent’s 401(k) plan, except to the extent accepting such transfers would adversely affect the tax-qualified status of Parent’s 401(k) plan. The Parties shall cooperate with each other and provide each other with such information as is reasonably necessary to effect the provisions of this </w:t>
      </w:r>
      <w:r>
        <w:rPr>
          <w:rFonts w:ascii="Arial" w:cs="Arial" w:eastAsia="Arial" w:hAnsi="Arial"/>
          <w:sz w:val="21"/>
          <w:szCs w:val="21"/>
          <w:u w:val="single" w:color="auto"/>
          <w:color w:val="auto"/>
        </w:rPr>
        <w:t>Section 6.7(d)</w:t>
      </w:r>
      <w:r>
        <w:rPr>
          <w:rFonts w:ascii="Arial" w:cs="Arial" w:eastAsia="Arial" w:hAnsi="Arial"/>
          <w:sz w:val="21"/>
          <w:szCs w:val="21"/>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both"/>
        <w:ind w:firstLine="1304"/>
        <w:spacing w:after="0" w:line="275" w:lineRule="auto"/>
        <w:tabs>
          <w:tab w:leader="none" w:pos="230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Nothing in this Agreement shall confer upon any Continuing Employee any right to continue in the employ or service of Parent, the Surviving Company or any affiliate of Parent, and nothing in this Agreement shall interfere with or restrict in any way the rights of Parent, the Surviving Company or any affiliate of Parent, which rights are hereby expressly reserved, to discharge or terminate the services of any Continuing Employee at any time for any reason whatsoever, with or without cause, subject to the terms of applicable Law. Notwithstanding any provision in this Agreement to the contrary, nothing in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shall (i) be deemed or construed to be an amendment or other modification of any Company Plan or any employee benefit plan of Parent or any of its affiliates or (ii) create any third-party rights in any current or former employee or individual independent contractor of the Company or its affiliates (or any beneficiaries or dependents thereof).</w:t>
      </w:r>
    </w:p>
    <w:p>
      <w:pPr>
        <w:spacing w:after="0" w:line="21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19"/>
          <w:szCs w:val="19"/>
          <w:u w:val="single" w:color="auto"/>
          <w:color w:val="auto"/>
        </w:rPr>
        <w:t>Delisting; Transition Period Reports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0" w:lineRule="auto"/>
        <w:tabs>
          <w:tab w:leader="none" w:pos="222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Prior to the Closing Date, the Company shall cooperate with Parent and use reasonable best efforts to take, or cause to be taken, all actions, and do or cause to be done all things, reasonably necessary, proper or advisable on its part under applicable Law and rules and policies of Nasdaq and TASE to enable the de-listing of the Company Shares from Nasdaq and from TASE and the deregistration of the Company Shares under the Exchange Act and the Israeli Securities Law effective;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such delisting and termination shall not be effective until after the Effective Time as of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Date.If (i) the Company is required or reasonably expected to be required to file with or furnish to the SEC any reports pursuant to the Exchange Act, or to file with or furnish to the TASE or ISA any reports pursuant to the Israeli Securities Laws or the rules and regulations of the TASE or ISA, as the case may be, following the date hereof and prior to the Effective Time (other than any report relating to any Competing Proposal or Company Change of Recommendation) or (ii) the Surviving Company is required or reasonably expected to be required to file with or furnish to the SEC, TASE or ISA any reports pursuant to the Exchange Act or Israeli Securities Law, as the case may be, within ten (10) Business Days after the Effective Time (other than any reports relating to this Agreement, the Merger or any of the transactions contemplated hereby), then the Company will use reasonable best efforts to provide to Parent, at least ten (10) Business Days (with respect to the Company’s annual report on Form 20-F) or five (5) Business Days (with respect to the Company’s reports on Form 6-K, unless a shorter period is required under applicable Law) prior to (i) the filing or furnishing date of such reports (with respect to such reports that are due prior to the Effective Time) or (ii) the Effective Time (with respect to such reports that are due within ten (10) Business Days after the Effective Time), a substantially final draft of each such report and a fully executed version of each certification required to be filed with such report (each report together with any certifications to be filed therewith, a “</w:t>
      </w:r>
      <w:r>
        <w:rPr>
          <w:rFonts w:ascii="Arial" w:cs="Arial" w:eastAsia="Arial" w:hAnsi="Arial"/>
          <w:sz w:val="19"/>
          <w:szCs w:val="19"/>
          <w:u w:val="single" w:color="auto"/>
          <w:color w:val="auto"/>
        </w:rPr>
        <w:t>Transition Period Report</w:t>
      </w:r>
      <w:r>
        <w:rPr>
          <w:rFonts w:ascii="Arial" w:cs="Arial" w:eastAsia="Arial" w:hAnsi="Arial"/>
          <w:sz w:val="19"/>
          <w:szCs w:val="19"/>
          <w:color w:val="auto"/>
        </w:rPr>
        <w:t>”). The Company will give due consideration to all reasonable comments provided by Parent with respect to each Transition Period Report to be filed with or furnished to the SEC, TASE or ISA, as the case may be, prior to the Effective Time.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both"/>
        <w:ind w:firstLine="648"/>
        <w:spacing w:after="0" w:line="248" w:lineRule="auto"/>
        <w:rPr>
          <w:sz w:val="20"/>
          <w:szCs w:val="20"/>
          <w:color w:val="auto"/>
        </w:rPr>
      </w:pPr>
      <w:r>
        <w:rPr>
          <w:rFonts w:ascii="Arial" w:cs="Arial" w:eastAsia="Arial" w:hAnsi="Arial"/>
          <w:sz w:val="21"/>
          <w:szCs w:val="21"/>
          <w:color w:val="auto"/>
        </w:rPr>
        <w:t xml:space="preserve">Section 6.9 </w:t>
      </w:r>
      <w:r>
        <w:rPr>
          <w:rFonts w:ascii="Arial" w:cs="Arial" w:eastAsia="Arial" w:hAnsi="Arial"/>
          <w:sz w:val="21"/>
          <w:szCs w:val="21"/>
          <w:u w:val="single" w:color="auto"/>
          <w:color w:val="auto"/>
        </w:rPr>
        <w:t>Transaction Litigation</w:t>
      </w:r>
      <w:r>
        <w:rPr>
          <w:rFonts w:ascii="Arial" w:cs="Arial" w:eastAsia="Arial" w:hAnsi="Arial"/>
          <w:sz w:val="21"/>
          <w:szCs w:val="21"/>
          <w:color w:val="auto"/>
        </w:rPr>
        <w:t>. The Company shall give Parent the opportunity (at Parent’s sole cost and expense) to participate in the Company’s defense or settlement of any shareholder litigation against the Company and/or its directors or executive officers relating to this Agreement and/or the Transactions. The Company agrees that it shall not settle any litigation commenced after the date of this Agreement against the Company or its directors, executive officers or similar persons by any Company Shareholder relating to this Agreement and/or the Transactions without the prior written consent of Parent, such consent not to be unreasonably withheld, conditioned or delayed.</w:t>
      </w:r>
    </w:p>
    <w:p>
      <w:pPr>
        <w:spacing w:after="0" w:line="23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Control of Operations</w:t>
      </w:r>
      <w:r>
        <w:rPr>
          <w:rFonts w:ascii="Arial" w:cs="Arial" w:eastAsia="Arial" w:hAnsi="Arial"/>
          <w:sz w:val="22"/>
          <w:szCs w:val="22"/>
          <w:color w:val="auto"/>
        </w:rPr>
        <w:t>. Without in any way limiting any Party’s rights or obligations under this Agreement, the Parties understand and agree that (a) nothing contained in this Agreement shall give Parent or the Company, directly or indirectly, the right to control or direct the other Party’s operations prior to the Effective Time and (b) prior to the Effective Time, each of the Company and Parent shall exercise, consistent with the terms and conditions of this Agreement, complete control and supervision over its operations.</w:t>
      </w:r>
    </w:p>
    <w:p>
      <w:pPr>
        <w:spacing w:after="0" w:line="241"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u w:val="single" w:color="auto"/>
          <w:color w:val="auto"/>
        </w:rPr>
        <w:t>Tax Rulings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69" w:lineRule="auto"/>
        <w:tabs>
          <w:tab w:leader="none" w:pos="218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As soon as practicable after the date of this Agreement, subject to </w:t>
      </w:r>
      <w:r>
        <w:rPr>
          <w:rFonts w:ascii="Arial" w:cs="Arial" w:eastAsia="Arial" w:hAnsi="Arial"/>
          <w:sz w:val="19"/>
          <w:szCs w:val="19"/>
          <w:u w:val="single" w:color="auto"/>
          <w:color w:val="auto"/>
        </w:rPr>
        <w:t>Section 6.11(c)</w:t>
      </w:r>
      <w:r>
        <w:rPr>
          <w:rFonts w:ascii="Arial" w:cs="Arial" w:eastAsia="Arial" w:hAnsi="Arial"/>
          <w:sz w:val="19"/>
          <w:szCs w:val="19"/>
          <w:color w:val="auto"/>
        </w:rPr>
        <w:t xml:space="preserve"> below, the Company shall instruct its Israeli counsel, advisors and/or accountants to prepare and file with the ITA an application for a ruling confirming that (i) the cancellation and exchange of the Section 102 Awards in accordance with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2.3(e)</w:t>
      </w:r>
      <w:r>
        <w:rPr>
          <w:rFonts w:ascii="Arial" w:cs="Arial" w:eastAsia="Arial" w:hAnsi="Arial"/>
          <w:sz w:val="19"/>
          <w:szCs w:val="19"/>
          <w:color w:val="auto"/>
        </w:rPr>
        <w:t xml:space="preserve"> and conversion of the Section 102 Shares in accordance with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shall not be regarded as a violation of the “requisite holding period” (as such term is defined in Section 102 of the Ordinance) so long as the respective Vested Option Consideration, payment in respect of Cashed-Out Company RSUs and the Per Share Merger Consideration are deposited with the 102 Trustee until the end of the respective holding period, (ii) the deposit of the respective Vested Option Consideration, payment in respect of Cashed-Out Company RSUs and the Per Share Merger Consideration with the Exchange Agent and the 102 Trustee shall not be subject to any withholding obligation and (iii) that the assumption of Company RSUs and Company PSUs which are Section 102 Awards pursuant to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2.3(e)</w:t>
      </w:r>
      <w:r>
        <w:rPr>
          <w:rFonts w:ascii="Arial" w:cs="Arial" w:eastAsia="Arial" w:hAnsi="Arial"/>
          <w:sz w:val="19"/>
          <w:szCs w:val="19"/>
          <w:color w:val="auto"/>
        </w:rPr>
        <w:t xml:space="preserve"> shall not constitute a taxable event and that tax continuity shall apply with respect to the Assumed RSUs and Assumed PSUs (which ruling may be subject to customary conditions regularly associated with such a ruling) (the “</w:t>
      </w:r>
      <w:r>
        <w:rPr>
          <w:rFonts w:ascii="Arial" w:cs="Arial" w:eastAsia="Arial" w:hAnsi="Arial"/>
          <w:sz w:val="19"/>
          <w:szCs w:val="19"/>
          <w:u w:val="single" w:color="auto"/>
          <w:color w:val="auto"/>
        </w:rPr>
        <w:t>Options Tax Ruling</w:t>
      </w:r>
      <w:r>
        <w:rPr>
          <w:rFonts w:ascii="Arial" w:cs="Arial" w:eastAsia="Arial" w:hAnsi="Arial"/>
          <w:sz w:val="19"/>
          <w:szCs w:val="19"/>
          <w:color w:val="auto"/>
        </w:rPr>
        <w:t xml:space="preserve">”). The Company shall include in the request for the Options Tax Ruling a request to exempt Parent, the Surviving Company, the Exchange Agent and their respective agents from any withholding obligation. If the Options Tax Ruling is not granted prior to the Closing or in accordance with the instructions of the ITA, the Company shall seek to obtain prior to the Closing an interim tax ruling confirming, among other things, that (x) the cancellation and exchange of the Section 102 Awards in accordance with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2.3(e)</w:t>
      </w:r>
      <w:r>
        <w:rPr>
          <w:rFonts w:ascii="Arial" w:cs="Arial" w:eastAsia="Arial" w:hAnsi="Arial"/>
          <w:sz w:val="19"/>
          <w:szCs w:val="19"/>
          <w:color w:val="auto"/>
        </w:rPr>
        <w:t xml:space="preserve"> and conversion of the Section 102 Shares in accordance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shall not be regarded as a violation of the “requisite holding period” (as such term is defined in Section 102 of the Ordinance) so long as the respective Vested Option Consideration payment in respect of Cashed-Out Company RSUs and the Per Share Merger Consideration are deposited with the 102 Trustee until the end of the respective holding period and (y) Parent and any Person acting on its behalf (including the Exchange Agent) shall be exempt from Israeli withholding Tax in relation to any payments made with respect to any Company Options, Section 102 Shares, Company RSUs or Company PSUs (whether or not subject to Section 102 of the Ordinance) to the, Exchange Agent, the 102 Trustee or the Company in connection with the Merger (the “</w:t>
      </w:r>
      <w:r>
        <w:rPr>
          <w:rFonts w:ascii="Arial" w:cs="Arial" w:eastAsia="Arial" w:hAnsi="Arial"/>
          <w:sz w:val="19"/>
          <w:szCs w:val="19"/>
          <w:u w:val="single" w:color="auto"/>
          <w:color w:val="auto"/>
        </w:rPr>
        <w:t>Interim Options Tax Ruling</w:t>
      </w:r>
      <w:r>
        <w:rPr>
          <w:rFonts w:ascii="Arial" w:cs="Arial" w:eastAsia="Arial" w:hAnsi="Arial"/>
          <w:sz w:val="19"/>
          <w:szCs w:val="19"/>
          <w:color w:val="auto"/>
        </w:rPr>
        <w:t>”). To the extent that prior to the Closing an Interim Options Tax Ruling shall have been obtained, then all references in this Agreement to the Options Tax Ruling shall be deemed to refer to such Interim Options Tax Ruling, until such time that a final definitive Options Tax Ruling is obtained.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both"/>
        <w:ind w:firstLine="1304"/>
        <w:spacing w:after="0" w:line="269" w:lineRule="auto"/>
        <w:tabs>
          <w:tab w:leader="none" w:pos="235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As soon as practicable following the date of this Agreement but in no event later than fifteen (15) Business Days after the date hereof, subject to </w:t>
      </w:r>
      <w:r>
        <w:rPr>
          <w:rFonts w:ascii="Arial" w:cs="Arial" w:eastAsia="Arial" w:hAnsi="Arial"/>
          <w:sz w:val="19"/>
          <w:szCs w:val="19"/>
          <w:u w:val="single" w:color="auto"/>
          <w:color w:val="auto"/>
        </w:rPr>
        <w:t>Section 6.11(c)</w:t>
      </w:r>
      <w:r>
        <w:rPr>
          <w:rFonts w:ascii="Arial" w:cs="Arial" w:eastAsia="Arial" w:hAnsi="Arial"/>
          <w:sz w:val="19"/>
          <w:szCs w:val="19"/>
          <w:color w:val="auto"/>
        </w:rPr>
        <w:t xml:space="preserve"> below, the Company shall instruct its Israeli counsel, advisors and accountants to prepare and file with the ITA an application for a ruling that: (i) with respect to holders of Company Shares that are non-Israeli residents (as defined in the Ordinance or as will be determined by the ITA), (A) exempting Parent, the Exchange Agent, the Surviving Company and their respective agents from any obligation to withhold Israeli Tax at the source from any consideration payable or otherwise deliverable pursuant to this Agreement, including the Per Share Merger Consideration, or clarifying that no such obligation exists, or (B) clearly instructing Parent, the Exchange Agent, the Surviving Company and their respective agents on how such withholding at the source is to be implemented, and in particular, with respect to the classes or categories of holders of the Company Shares from which Tax is to be withheld (if any), the rate or rates of withholding to be applied and how to identify any such non-Israeli residents; (ii) with respect to holders of Company Shares that are Israeli residents (as defined in the Ordinance or as will be determined by the ITA) (other than the Company Shares or Company Options subject to Section 102 of the Ordinance for which such Tax ruling shall explicitly and in writing defer to the Options Tax Ruling and the Interim Options Tax Ruling) (x) exempting Parent, the Exchange Agent, the Surviving Company and their respective agents from any obligation to withhold Israeli Tax at the source from any consideration payable or otherwise deliverable pursuant to this Agreement, including the Per Share Merger Consideration, or clarifying that no such obligation exists, or (y) clearly instructing Parent, the Exchange Agent, the Surviving Company and their respective agents on how such withholding at the source is to be executed, and in particular, with respect to the classes or categories of holders of the Company Shares from which Tax is to be withheld (if any), the rate or rates of withholding to be applied; and (iii) and with respect to holders of Company Options, Company RSUs and Company PSUs which are not Section 102 Awards, that are non-Israeli residents (as defined in the Ordinance or as will be determined by the ITA), (A) exempting Parent, the Exchange Agent, the Surviving Company and their respective agents from any obligation to withhold Israeli Tax at the source from any consideration payable or otherwise deliverable pursuant to this Agreement, including the Per Share Merger Consideration, or clarifying that no such obligation exists, or (B) instructing Parent, the Exchange Agent, the Surviving Company and their respective agents on how such withholding at the source is to be executed, the rate or rates of withholding to be applied and how to identify any such non-Israeli residents (the “</w:t>
      </w:r>
      <w:r>
        <w:rPr>
          <w:rFonts w:ascii="Arial" w:cs="Arial" w:eastAsia="Arial" w:hAnsi="Arial"/>
          <w:sz w:val="19"/>
          <w:szCs w:val="19"/>
          <w:u w:val="single" w:color="auto"/>
          <w:color w:val="auto"/>
        </w:rPr>
        <w:t>Withholding Tax Ruling</w:t>
      </w:r>
      <w:r>
        <w:rPr>
          <w:rFonts w:ascii="Arial" w:cs="Arial" w:eastAsia="Arial" w:hAnsi="Arial"/>
          <w:sz w:val="19"/>
          <w:szCs w:val="19"/>
          <w:color w:val="auto"/>
        </w:rPr>
        <w:t>”, and, together with the Options Tax Ruling and the Interim Options Tax Ruling, the “</w:t>
      </w:r>
      <w:r>
        <w:rPr>
          <w:rFonts w:ascii="Arial" w:cs="Arial" w:eastAsia="Arial" w:hAnsi="Arial"/>
          <w:sz w:val="19"/>
          <w:szCs w:val="19"/>
          <w:u w:val="single" w:color="auto"/>
          <w:color w:val="auto"/>
        </w:rPr>
        <w:t>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Rulings</w:t>
      </w:r>
      <w:r>
        <w:rPr>
          <w:rFonts w:ascii="Arial" w:cs="Arial" w:eastAsia="Arial" w:hAnsi="Arial"/>
          <w:sz w:val="19"/>
          <w:szCs w:val="19"/>
          <w:color w:val="auto"/>
        </w:rPr>
        <w:t>” ).</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jc w:val="both"/>
        <w:ind w:firstLine="1304"/>
        <w:spacing w:after="0" w:line="246" w:lineRule="auto"/>
        <w:tabs>
          <w:tab w:leader="none" w:pos="2265"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text of the applications for, submissions relating to and the final text of the Interim Options Tax Ruling, the Option Tax Ruling and the Withholding Tax Ruling shall be subject to the prior written confirmation of Parent or its counsel, not to be unreasonably withheld, conditioned or delayed. The Company and its counsel and advisors shall not make any application to, or conduct any negotiation with, the ITA with respect to matters relating to the subject matter of the Interim Options Tax Ruling, the Options Tax Ruling and the Withholding Tax Ruling without prior coordination with Parent or its Representatives, and will enable Parent’s Representatives to participate in all discussions and meetings relating thereto. To the extent that the Parent’s representatives elect not to participate in any meeting or discussion, the Company’s Representatives shall provide a full report of the discussions held.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jc w:val="both"/>
        <w:ind w:firstLine="1304"/>
        <w:spacing w:after="0" w:line="258" w:lineRule="auto"/>
        <w:tabs>
          <w:tab w:leader="none" w:pos="219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It is hereby agreed that anywhere that the Interim Options Tax Ruling, the Options Tax Ruling and the Withholding Tax Ruling refer to a certificate from the ITA in relation to Tax withholding, the provisions of the term “Valid Tax Certificate” shall apply, unless explicitly provided otherwise in any of such rulings, as applicable.</w:t>
      </w:r>
    </w:p>
    <w:p>
      <w:pPr>
        <w:spacing w:after="0" w:line="22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6.12 </w:t>
      </w:r>
      <w:r>
        <w:rPr>
          <w:rFonts w:ascii="Arial" w:cs="Arial" w:eastAsia="Arial" w:hAnsi="Arial"/>
          <w:sz w:val="21"/>
          <w:szCs w:val="21"/>
          <w:u w:val="single" w:color="auto"/>
          <w:color w:val="auto"/>
        </w:rPr>
        <w:t>FIRPTA Certificates</w:t>
      </w:r>
      <w:r>
        <w:rPr>
          <w:rFonts w:ascii="Arial" w:cs="Arial" w:eastAsia="Arial" w:hAnsi="Arial"/>
          <w:sz w:val="21"/>
          <w:szCs w:val="21"/>
          <w:color w:val="auto"/>
        </w:rPr>
        <w:t xml:space="preserve">. The Company shall deliver to Parent, prior to the Closing, duly executed and completed certifications, dated not more than thirty (30) days prior to the Closing Date, providing that each of Tower US Holding Inc. and Tower Semiconductor USA, Inc. is not, and has not been on any determination date during the five-year period ending on the Closing Date, a “United States real property holding corporation” (as defined in Section 897(c)(2) of the Code and the Treasury Regulations thereunder), together with a notice in accordance with Treasury Regulation Section 1.897-2(h), except to the extent the Company determines in good faith, after consultation with Parent, it is not able to provide such certifications and notices in accordance with applicable Law. For the avoidance of doubt, the failure to deliver such certifications and notices under this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shall not constitute a breach in any material respect of a covenant, obligation or agreement of the Company for purposes of </w:t>
      </w:r>
      <w:r>
        <w:rPr>
          <w:rFonts w:ascii="Arial" w:cs="Arial" w:eastAsia="Arial" w:hAnsi="Arial"/>
          <w:sz w:val="21"/>
          <w:szCs w:val="21"/>
          <w:u w:val="single" w:color="auto"/>
          <w:color w:val="auto"/>
        </w:rPr>
        <w:t>Section 7.2(b)</w:t>
      </w:r>
      <w:r>
        <w:rPr>
          <w:rFonts w:ascii="Arial" w:cs="Arial" w:eastAsia="Arial" w:hAnsi="Arial"/>
          <w:sz w:val="21"/>
          <w:szCs w:val="21"/>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CONSUMMATION OF THE MERGER</w:t>
      </w:r>
    </w:p>
    <w:p>
      <w:pPr>
        <w:spacing w:after="0" w:line="2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Conditions to Each Party’s Obligations to Effect the Merger</w:t>
      </w:r>
      <w:r>
        <w:rPr>
          <w:rFonts w:ascii="Arial" w:cs="Arial" w:eastAsia="Arial" w:hAnsi="Arial"/>
          <w:sz w:val="22"/>
          <w:szCs w:val="22"/>
          <w:color w:val="auto"/>
        </w:rPr>
        <w:t>. The respective obligations of each Party to effect the Merger shall be subject to the satisfaction on or prior to the Closing Date of each of the following conditions, any and all of which may be waived in whole or in part with respect to such Party (in writing) by Parent, Merger Sub and the Company, as the case may be, to the extent permitted by applicable Law:</w:t>
      </w:r>
    </w:p>
    <w:p>
      <w:pPr>
        <w:spacing w:after="0" w:line="239" w:lineRule="exact"/>
        <w:rPr>
          <w:sz w:val="20"/>
          <w:szCs w:val="20"/>
          <w:color w:val="auto"/>
        </w:rPr>
      </w:pPr>
    </w:p>
    <w:p>
      <w:pPr>
        <w:ind w:left="2080" w:hanging="776"/>
        <w:spacing w:after="0"/>
        <w:tabs>
          <w:tab w:leader="none" w:pos="208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Shareholder Approval</w:t>
      </w:r>
      <w:r>
        <w:rPr>
          <w:rFonts w:ascii="Arial" w:cs="Arial" w:eastAsia="Arial" w:hAnsi="Arial"/>
          <w:sz w:val="22"/>
          <w:szCs w:val="22"/>
          <w:color w:val="auto"/>
        </w:rPr>
        <w:t>. The Company Shareholder Approval has been obtained;</w:t>
      </w:r>
    </w:p>
    <w:p>
      <w:pPr>
        <w:spacing w:after="0" w:line="260" w:lineRule="exact"/>
        <w:rPr>
          <w:rFonts w:ascii="Arial" w:cs="Arial" w:eastAsia="Arial" w:hAnsi="Arial"/>
          <w:sz w:val="22"/>
          <w:szCs w:val="22"/>
          <w:color w:val="auto"/>
        </w:rPr>
      </w:pPr>
    </w:p>
    <w:p>
      <w:pPr>
        <w:ind w:firstLine="1304"/>
        <w:spacing w:after="0" w:line="328" w:lineRule="auto"/>
        <w:tabs>
          <w:tab w:leader="none" w:pos="2169"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No Restraints</w:t>
      </w:r>
      <w:r>
        <w:rPr>
          <w:rFonts w:ascii="Arial" w:cs="Arial" w:eastAsia="Arial" w:hAnsi="Arial"/>
          <w:sz w:val="19"/>
          <w:szCs w:val="19"/>
          <w:color w:val="auto"/>
        </w:rPr>
        <w:t>. No Governmental Authority of competent jurisdiction shall have issued an Adverse Law or Order restraining, enjoining or otherwise prohibiting the consummation of the Merger that is continuing and remains in effect;</w:t>
      </w:r>
    </w:p>
    <w:p>
      <w:pPr>
        <w:spacing w:after="0" w:line="158" w:lineRule="exact"/>
        <w:rPr>
          <w:rFonts w:ascii="Arial" w:cs="Arial" w:eastAsia="Arial" w:hAnsi="Arial"/>
          <w:sz w:val="19"/>
          <w:szCs w:val="19"/>
          <w:color w:val="auto"/>
        </w:rPr>
      </w:pPr>
    </w:p>
    <w:p>
      <w:pPr>
        <w:jc w:val="both"/>
        <w:ind w:firstLine="1304"/>
        <w:spacing w:after="0" w:line="236" w:lineRule="auto"/>
        <w:tabs>
          <w:tab w:leader="none" w:pos="2319"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Required Clearances</w:t>
      </w:r>
      <w:r>
        <w:rPr>
          <w:rFonts w:ascii="Arial" w:cs="Arial" w:eastAsia="Arial" w:hAnsi="Arial"/>
          <w:sz w:val="22"/>
          <w:szCs w:val="22"/>
          <w:color w:val="auto"/>
        </w:rPr>
        <w:t xml:space="preserve">. (i) The applicable waiting periods (and any extensions thereof) relating to the Merger under the HSR Act and the other Regulatory Laws set forth on </w:t>
      </w:r>
      <w:r>
        <w:rPr>
          <w:rFonts w:ascii="Arial" w:cs="Arial" w:eastAsia="Arial" w:hAnsi="Arial"/>
          <w:sz w:val="22"/>
          <w:szCs w:val="22"/>
          <w:u w:val="single" w:color="auto"/>
          <w:color w:val="auto"/>
        </w:rPr>
        <w:t>Schedule 7.1(c)</w:t>
      </w:r>
      <w:r>
        <w:rPr>
          <w:rFonts w:ascii="Arial" w:cs="Arial" w:eastAsia="Arial" w:hAnsi="Arial"/>
          <w:sz w:val="22"/>
          <w:szCs w:val="22"/>
          <w:color w:val="auto"/>
        </w:rPr>
        <w:t xml:space="preserve"> shall have expired or been earlier terminated, or, where applicable, approvals have been obtained and (ii) all notices to, filings with and consents of Governmental Authority set forth on Schedule 7.1(c) shall have been made or obtained and be in full force and effect (clauses (i) and (ii), collectively the “</w:t>
      </w:r>
      <w:r>
        <w:rPr>
          <w:rFonts w:ascii="Arial" w:cs="Arial" w:eastAsia="Arial" w:hAnsi="Arial"/>
          <w:sz w:val="22"/>
          <w:szCs w:val="22"/>
          <w:u w:val="single" w:color="auto"/>
          <w:color w:val="auto"/>
        </w:rPr>
        <w:t>Required Clearances</w:t>
      </w:r>
      <w:r>
        <w:rPr>
          <w:rFonts w:ascii="Arial" w:cs="Arial" w:eastAsia="Arial" w:hAnsi="Arial"/>
          <w:sz w:val="22"/>
          <w:szCs w:val="22"/>
          <w:color w:val="auto"/>
        </w:rPr>
        <w:t>”); and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jc w:val="both"/>
        <w:ind w:firstLine="1304"/>
        <w:spacing w:after="0" w:line="241" w:lineRule="auto"/>
        <w:tabs>
          <w:tab w:leader="none" w:pos="2385"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Statutory Waiting Period</w:t>
      </w:r>
      <w:r>
        <w:rPr>
          <w:rFonts w:ascii="Arial" w:cs="Arial" w:eastAsia="Arial" w:hAnsi="Arial"/>
          <w:sz w:val="22"/>
          <w:szCs w:val="22"/>
          <w:color w:val="auto"/>
        </w:rPr>
        <w:t>. At least fifty (50) days shall have elapsed after the filing of the Merger Proposal with the Companies Registrar and at least thirty (30) days shall have elapsed after the Company Shareholder Approval has been received.</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Conditions to Obligations of Parent and Merger Sub</w:t>
      </w:r>
      <w:r>
        <w:rPr>
          <w:rFonts w:ascii="Arial" w:cs="Arial" w:eastAsia="Arial" w:hAnsi="Arial"/>
          <w:sz w:val="22"/>
          <w:szCs w:val="22"/>
          <w:color w:val="auto"/>
        </w:rPr>
        <w:t>. The obligations of Parent and Merger Sub to effect the Merger are also subject to the satisfaction or waiver (in writing) by Parent on or prior to the Closing Date of each of the following additional conditions:</w:t>
      </w:r>
    </w:p>
    <w:p>
      <w:pPr>
        <w:spacing w:after="0" w:line="240" w:lineRule="exact"/>
        <w:rPr>
          <w:sz w:val="20"/>
          <w:szCs w:val="20"/>
          <w:color w:val="auto"/>
        </w:rPr>
      </w:pPr>
    </w:p>
    <w:p>
      <w:pPr>
        <w:jc w:val="both"/>
        <w:ind w:firstLine="1304"/>
        <w:spacing w:after="0" w:line="267" w:lineRule="auto"/>
        <w:tabs>
          <w:tab w:leader="none" w:pos="2332"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the Company (i)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(Capitalization) are true and correct in all respects as of immediately prior to the Effective Time with the same force and effect as if made on and as of immediately prior to the Effective Time (except to the extent expressly made as of a particular date, in which case as of such particular date) except for inaccuracies that, individually or in the aggregate, would not result in the aggregate amount required to be paid by Parent as additional consideration in the Merger (including as a result of assumption of Company Equity Awards or other securities convertible into Company Shares) to increase by more than $20,000,000, (ii) set forth in </w:t>
      </w:r>
      <w:r>
        <w:rPr>
          <w:rFonts w:ascii="Arial" w:cs="Arial" w:eastAsia="Arial" w:hAnsi="Arial"/>
          <w:sz w:val="19"/>
          <w:szCs w:val="19"/>
          <w:u w:val="single" w:color="auto"/>
          <w:color w:val="auto"/>
        </w:rPr>
        <w:t>Section 3.1(a)</w:t>
      </w:r>
      <w:r>
        <w:rPr>
          <w:rFonts w:ascii="Arial" w:cs="Arial" w:eastAsia="Arial" w:hAnsi="Arial"/>
          <w:sz w:val="19"/>
          <w:szCs w:val="19"/>
          <w:color w:val="auto"/>
        </w:rPr>
        <w:t xml:space="preserve"> (Qualification, Organization, Subsidiaries, etc.),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(Authority Relative to this Agreement), </w:t>
      </w:r>
      <w:r>
        <w:rPr>
          <w:rFonts w:ascii="Arial" w:cs="Arial" w:eastAsia="Arial" w:hAnsi="Arial"/>
          <w:sz w:val="19"/>
          <w:szCs w:val="19"/>
          <w:u w:val="single" w:color="auto"/>
          <w:color w:val="auto"/>
        </w:rPr>
        <w:t>Section 3.21</w:t>
      </w:r>
      <w:r>
        <w:rPr>
          <w:rFonts w:ascii="Arial" w:cs="Arial" w:eastAsia="Arial" w:hAnsi="Arial"/>
          <w:sz w:val="19"/>
          <w:szCs w:val="19"/>
          <w:color w:val="auto"/>
        </w:rPr>
        <w:t xml:space="preserve"> (Brokers and Expenses), </w:t>
      </w:r>
      <w:r>
        <w:rPr>
          <w:rFonts w:ascii="Arial" w:cs="Arial" w:eastAsia="Arial" w:hAnsi="Arial"/>
          <w:sz w:val="19"/>
          <w:szCs w:val="19"/>
          <w:u w:val="single" w:color="auto"/>
          <w:color w:val="auto"/>
        </w:rPr>
        <w:t>Section 3.22</w:t>
      </w:r>
      <w:r>
        <w:rPr>
          <w:rFonts w:ascii="Arial" w:cs="Arial" w:eastAsia="Arial" w:hAnsi="Arial"/>
          <w:sz w:val="19"/>
          <w:szCs w:val="19"/>
          <w:color w:val="auto"/>
        </w:rPr>
        <w:t xml:space="preserve"> (Takeover Statutes), </w:t>
      </w:r>
      <w:r>
        <w:rPr>
          <w:rFonts w:ascii="Arial" w:cs="Arial" w:eastAsia="Arial" w:hAnsi="Arial"/>
          <w:sz w:val="19"/>
          <w:szCs w:val="19"/>
          <w:u w:val="single" w:color="auto"/>
          <w:color w:val="auto"/>
        </w:rPr>
        <w:t>Section 3.24</w:t>
      </w:r>
      <w:r>
        <w:rPr>
          <w:rFonts w:ascii="Arial" w:cs="Arial" w:eastAsia="Arial" w:hAnsi="Arial"/>
          <w:sz w:val="19"/>
          <w:szCs w:val="19"/>
          <w:color w:val="auto"/>
        </w:rPr>
        <w:t xml:space="preserve"> (Vote Required) and </w:t>
      </w:r>
      <w:r>
        <w:rPr>
          <w:rFonts w:ascii="Arial" w:cs="Arial" w:eastAsia="Arial" w:hAnsi="Arial"/>
          <w:sz w:val="19"/>
          <w:szCs w:val="19"/>
          <w:u w:val="single" w:color="auto"/>
          <w:color w:val="auto"/>
        </w:rPr>
        <w:t>Section 3.25</w:t>
      </w:r>
      <w:r>
        <w:rPr>
          <w:rFonts w:ascii="Arial" w:cs="Arial" w:eastAsia="Arial" w:hAnsi="Arial"/>
          <w:sz w:val="19"/>
          <w:szCs w:val="19"/>
          <w:color w:val="auto"/>
        </w:rPr>
        <w:t xml:space="preserve"> (Opinion of Financial Advisors) (collectively, the “</w:t>
      </w:r>
      <w:r>
        <w:rPr>
          <w:rFonts w:ascii="Arial" w:cs="Arial" w:eastAsia="Arial" w:hAnsi="Arial"/>
          <w:sz w:val="19"/>
          <w:szCs w:val="19"/>
          <w:u w:val="single" w:color="auto"/>
          <w:color w:val="auto"/>
        </w:rPr>
        <w:t>Company Specified Representations</w:t>
      </w:r>
      <w:r>
        <w:rPr>
          <w:rFonts w:ascii="Arial" w:cs="Arial" w:eastAsia="Arial" w:hAnsi="Arial"/>
          <w:sz w:val="19"/>
          <w:szCs w:val="19"/>
          <w:color w:val="auto"/>
        </w:rPr>
        <w:t xml:space="preserve">”) are, if qualified by materiality or “Company Material Adverse Effect,” true and correct in all respects, and if not qualified by materiality or “Company Material Adverse Effect,” true and correct in all material respects on and as of the Closing Date with the same force and effect as if made on and as of the Closing Date (except to the extent expressly made as of a particular date, in which case as of such particular date) and (iii)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other than the Company Specified Representations and the representation and warranties of the Company set forth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(Capitalization), are true and correct on and as of the Closing Date with the same force and effect as if made on and as of the Closing Date, except for any failure to be so true and correct which has not had, and would not reasonably be expected to have, individually or in the aggregate, a Company Material Adverse Effect and except for those representations and warranties which address matters only as of a particular date (which representations shall have been true and correct as of such particular date, except for any failure to be so true and correct as of such date which has not had, and would not reasonably be expected to have, individually or in the aggregate, a Company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for purposes of determining the accuracy of the representations and warranties of the Company set forth in this Agreement for purposes of this </w:t>
      </w:r>
      <w:r>
        <w:rPr>
          <w:rFonts w:ascii="Arial" w:cs="Arial" w:eastAsia="Arial" w:hAnsi="Arial"/>
          <w:sz w:val="19"/>
          <w:szCs w:val="19"/>
          <w:u w:val="single" w:color="auto"/>
          <w:color w:val="auto"/>
        </w:rPr>
        <w:t>Section 7.2(a)(iii)</w:t>
      </w:r>
      <w:r>
        <w:rPr>
          <w:rFonts w:ascii="Arial" w:cs="Arial" w:eastAsia="Arial" w:hAnsi="Arial"/>
          <w:sz w:val="19"/>
          <w:szCs w:val="19"/>
          <w:color w:val="auto"/>
        </w:rPr>
        <w:t>, all qualifications based on a “Company Material Adverse Effect” and all materiality qualifications and other qualifications based on the word “material” or similar phrases contained in such representations and warranties will be disregarded (it being understood and hereby agreed that the “Company Material Adverse Effect” qualification set forth in clause</w:t>
      </w:r>
    </w:p>
    <w:p>
      <w:pPr>
        <w:spacing w:after="0" w:line="16" w:lineRule="exact"/>
        <w:rPr>
          <w:rFonts w:ascii="Arial" w:cs="Arial" w:eastAsia="Arial" w:hAnsi="Arial"/>
          <w:sz w:val="19"/>
          <w:szCs w:val="19"/>
          <w:color w:val="auto"/>
        </w:rPr>
      </w:pPr>
    </w:p>
    <w:p>
      <w:pPr>
        <w:ind w:left="320" w:hanging="312"/>
        <w:spacing w:after="0"/>
        <w:tabs>
          <w:tab w:leader="none" w:pos="3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of </w:t>
      </w:r>
      <w:r>
        <w:rPr>
          <w:rFonts w:ascii="Arial" w:cs="Arial" w:eastAsia="Arial" w:hAnsi="Arial"/>
          <w:sz w:val="22"/>
          <w:szCs w:val="22"/>
          <w:u w:val="single" w:color="auto"/>
          <w:color w:val="auto"/>
        </w:rPr>
        <w:t>Section 3.8</w:t>
      </w:r>
      <w:r>
        <w:rPr>
          <w:rFonts w:ascii="Arial" w:cs="Arial" w:eastAsia="Arial" w:hAnsi="Arial"/>
          <w:sz w:val="22"/>
          <w:szCs w:val="22"/>
          <w:color w:val="auto"/>
        </w:rPr>
        <w:t xml:space="preserve"> will not be disregarded pursuant to the terms of this proviso);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jc w:val="both"/>
        <w:ind w:firstLine="1304"/>
        <w:spacing w:after="0" w:line="241" w:lineRule="auto"/>
        <w:tabs>
          <w:tab w:leader="none" w:pos="2371"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The Company has complied with or performed, in all material respects, the covenants, obligations and agreements of the Company under this Agreement to be complied with or performed by it on or prior to the Effective Time;</w:t>
      </w:r>
    </w:p>
    <w:p>
      <w:pPr>
        <w:spacing w:after="0" w:line="237" w:lineRule="exact"/>
        <w:rPr>
          <w:rFonts w:ascii="Arial" w:cs="Arial" w:eastAsia="Arial" w:hAnsi="Arial"/>
          <w:sz w:val="22"/>
          <w:szCs w:val="22"/>
          <w:color w:val="auto"/>
        </w:rPr>
      </w:pPr>
    </w:p>
    <w:p>
      <w:pPr>
        <w:ind w:left="2200" w:hanging="896"/>
        <w:spacing w:after="0"/>
        <w:tabs>
          <w:tab w:leader="none" w:pos="2200"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No Company Material Adverse Effect solely with respect to clause</w:t>
      </w:r>
    </w:p>
    <w:p>
      <w:pPr>
        <w:spacing w:after="0" w:line="42" w:lineRule="exact"/>
        <w:rPr>
          <w:rFonts w:ascii="Arial" w:cs="Arial" w:eastAsia="Arial" w:hAnsi="Arial"/>
          <w:sz w:val="19"/>
          <w:szCs w:val="19"/>
          <w:color w:val="auto"/>
        </w:rPr>
      </w:pPr>
    </w:p>
    <w:p>
      <w:pPr>
        <w:ind w:left="300" w:hanging="292"/>
        <w:spacing w:after="0"/>
        <w:tabs>
          <w:tab w:leader="none" w:pos="3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of the definition of the Company Material Adverse Effect has occurred since the date of this Agreement and is continuing;</w:t>
      </w:r>
    </w:p>
    <w:p>
      <w:pPr>
        <w:spacing w:after="0" w:line="276" w:lineRule="exact"/>
        <w:rPr>
          <w:rFonts w:ascii="Arial" w:cs="Arial" w:eastAsia="Arial" w:hAnsi="Arial"/>
          <w:sz w:val="19"/>
          <w:szCs w:val="19"/>
          <w:color w:val="auto"/>
        </w:rPr>
      </w:pPr>
    </w:p>
    <w:p>
      <w:pPr>
        <w:jc w:val="both"/>
        <w:ind w:firstLine="1304"/>
        <w:spacing w:after="0"/>
        <w:tabs>
          <w:tab w:leader="none" w:pos="2101"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Certificate</w:t>
      </w:r>
      <w:r>
        <w:rPr>
          <w:rFonts w:ascii="Arial" w:cs="Arial" w:eastAsia="Arial" w:hAnsi="Arial"/>
          <w:sz w:val="22"/>
          <w:szCs w:val="22"/>
          <w:color w:val="auto"/>
        </w:rPr>
        <w:t xml:space="preserve">. The Company has furnished Parent with a certificate, dated as of the Closing Date and signed on its behalf by the chief executive officer or chief financial officer of the Company, to the effect that the conditions set forth in </w:t>
      </w:r>
      <w:r>
        <w:rPr>
          <w:rFonts w:ascii="Arial" w:cs="Arial" w:eastAsia="Arial" w:hAnsi="Arial"/>
          <w:sz w:val="22"/>
          <w:szCs w:val="22"/>
          <w:u w:val="single" w:color="auto"/>
          <w:color w:val="auto"/>
        </w:rPr>
        <w:t>Section 7.2(a)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are satisfied; and</w:t>
      </w:r>
    </w:p>
    <w:p>
      <w:pPr>
        <w:spacing w:after="0" w:line="240" w:lineRule="exact"/>
        <w:rPr>
          <w:rFonts w:ascii="Arial" w:cs="Arial" w:eastAsia="Arial" w:hAnsi="Arial"/>
          <w:sz w:val="22"/>
          <w:szCs w:val="22"/>
          <w:color w:val="auto"/>
        </w:rPr>
      </w:pPr>
    </w:p>
    <w:p>
      <w:pPr>
        <w:jc w:val="both"/>
        <w:ind w:firstLine="1304"/>
        <w:spacing w:after="0" w:line="274" w:lineRule="auto"/>
        <w:tabs>
          <w:tab w:leader="none" w:pos="2197"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Treatment of Company Indebtedness</w:t>
      </w:r>
      <w:r>
        <w:rPr>
          <w:rFonts w:ascii="Arial" w:cs="Arial" w:eastAsia="Arial" w:hAnsi="Arial"/>
          <w:sz w:val="19"/>
          <w:szCs w:val="19"/>
          <w:color w:val="auto"/>
        </w:rPr>
        <w:t xml:space="preserve">. The Company has furnished Parent a duly executed payoff letter from each holder of Indebtedness set forth on </w:t>
      </w:r>
      <w:r>
        <w:rPr>
          <w:rFonts w:ascii="Arial" w:cs="Arial" w:eastAsia="Arial" w:hAnsi="Arial"/>
          <w:sz w:val="19"/>
          <w:szCs w:val="19"/>
          <w:u w:val="single" w:color="auto"/>
          <w:color w:val="auto"/>
        </w:rPr>
        <w:t>Section 7.2(e)</w:t>
      </w:r>
      <w:r>
        <w:rPr>
          <w:rFonts w:ascii="Arial" w:cs="Arial" w:eastAsia="Arial" w:hAnsi="Arial"/>
          <w:sz w:val="19"/>
          <w:szCs w:val="19"/>
          <w:color w:val="auto"/>
        </w:rPr>
        <w:t xml:space="preserve"> of the Company Disclosure Letter (the “</w:t>
      </w:r>
      <w:r>
        <w:rPr>
          <w:rFonts w:ascii="Arial" w:cs="Arial" w:eastAsia="Arial" w:hAnsi="Arial"/>
          <w:sz w:val="19"/>
          <w:szCs w:val="19"/>
          <w:u w:val="single" w:color="auto"/>
          <w:color w:val="auto"/>
        </w:rPr>
        <w:t>Specified 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Indebtedness</w:t>
      </w:r>
      <w:r>
        <w:rPr>
          <w:rFonts w:ascii="Arial" w:cs="Arial" w:eastAsia="Arial" w:hAnsi="Arial"/>
          <w:sz w:val="19"/>
          <w:szCs w:val="19"/>
          <w:color w:val="auto"/>
        </w:rPr>
        <w:t>”), in customary form (such payoff letters, the “</w:t>
      </w:r>
      <w:r>
        <w:rPr>
          <w:rFonts w:ascii="Arial" w:cs="Arial" w:eastAsia="Arial" w:hAnsi="Arial"/>
          <w:sz w:val="19"/>
          <w:szCs w:val="19"/>
          <w:u w:val="single" w:color="auto"/>
          <w:color w:val="auto"/>
        </w:rPr>
        <w:t>Payoff Letters</w:t>
      </w:r>
      <w:r>
        <w:rPr>
          <w:rFonts w:ascii="Arial" w:cs="Arial" w:eastAsia="Arial" w:hAnsi="Arial"/>
          <w:sz w:val="19"/>
          <w:szCs w:val="19"/>
          <w:color w:val="auto"/>
        </w:rPr>
        <w:t>”), providing that, among other things, following payment of the amount specified therein, (i) such Indebtedness shall be automatically discharged, released and terminated, (ii) any guarantees related to such Indebtedness shall be automatically discharged, released and terminated, (iii) all Liens and other security interests relating to such Indebtedness shall be discharged, released and terminated and (iv) such holder shall execute and deliver (and file, if applicable) Uniform Commercial Code termination statements and such other documents or endorsements necessary to evidence the release of any such guarantee by the Company and any of its Subsidiaries and the release of any such Lien or other security interests in any asset or property of the Company and any of its Subsidiaries.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Conditions to Obligations of the Company</w:t>
      </w:r>
      <w:r>
        <w:rPr>
          <w:rFonts w:ascii="Arial" w:cs="Arial" w:eastAsia="Arial" w:hAnsi="Arial"/>
          <w:sz w:val="22"/>
          <w:szCs w:val="22"/>
          <w:color w:val="auto"/>
        </w:rPr>
        <w:t>. The obligations of the Company to effect the Merger are also subject to the satisfaction or waiver (in writing) by the Company on or prior to the Closing Date of each of the following additional conditions:</w:t>
      </w:r>
    </w:p>
    <w:p>
      <w:pPr>
        <w:spacing w:after="0" w:line="240" w:lineRule="exact"/>
        <w:rPr>
          <w:sz w:val="20"/>
          <w:szCs w:val="20"/>
          <w:color w:val="auto"/>
        </w:rPr>
      </w:pPr>
    </w:p>
    <w:p>
      <w:pPr>
        <w:jc w:val="both"/>
        <w:ind w:firstLine="1304"/>
        <w:spacing w:after="0" w:line="269" w:lineRule="auto"/>
        <w:tabs>
          <w:tab w:leader="none" w:pos="2238"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(i) Ultimate Parent, Parent and Merger Sub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(Corporate Organization) and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(Authority Relative to this Agreement) are, if qualified by materiality or “Parent Material Adverse Effect,” true and correct in all respects, and if not qualified by materiality or “Parent Material Adverse Effect,” true and correct in all material respects on and as of the Closing Date with the same force and effect as if made on and as of the Closing Date (except to the extent expressly made as of a particular date, in which case as of such particular date), (ii) Ultimate Parent, Parent and Merger Sub set forth in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(Sufficient Funds) are true and correct in all material respects on and as of the Closing Date with the same force and effect as if made on and as of the Closing Date and</w:t>
      </w:r>
    </w:p>
    <w:p>
      <w:pPr>
        <w:spacing w:after="0" w:line="4" w:lineRule="exact"/>
        <w:rPr>
          <w:rFonts w:ascii="Arial" w:cs="Arial" w:eastAsia="Arial" w:hAnsi="Arial"/>
          <w:sz w:val="19"/>
          <w:szCs w:val="19"/>
          <w:color w:val="auto"/>
        </w:rPr>
      </w:pPr>
    </w:p>
    <w:p>
      <w:pPr>
        <w:jc w:val="both"/>
        <w:ind w:firstLine="8"/>
        <w:spacing w:after="0" w:line="242" w:lineRule="auto"/>
        <w:tabs>
          <w:tab w:leader="none" w:pos="38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Ultimate Parent, Parent and Merger Sub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other than the Parent Specified Representations, are true and correct on and as of the Closing Date with the same force and effect as if made on and as of the Closing Date, except for any failure to be so true and correct which has not had, and would not reasonably be expected to have, individually or in the aggregate, a Parent Material Adverse Effect and except for those representations and warranties which address matters only as of a particular date (which representations shall have been true and correct as of such particular date, except for any failure to be so true and correct as of such date which has not had, and would not reasonably be expected to have, individually or in the aggregate, a Parent Material Adverse Effect);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for purposes of determining the accuracy of the representations and warranties of Ultimate Parent, Parent and Merger Sub set forth in this Agreement for purposes of this </w:t>
      </w:r>
      <w:r>
        <w:rPr>
          <w:rFonts w:ascii="Arial" w:cs="Arial" w:eastAsia="Arial" w:hAnsi="Arial"/>
          <w:sz w:val="21"/>
          <w:szCs w:val="21"/>
          <w:u w:val="single" w:color="auto"/>
          <w:color w:val="auto"/>
        </w:rPr>
        <w:t>Section 7.3(a)(iii)</w:t>
      </w:r>
      <w:r>
        <w:rPr>
          <w:rFonts w:ascii="Arial" w:cs="Arial" w:eastAsia="Arial" w:hAnsi="Arial"/>
          <w:sz w:val="21"/>
          <w:szCs w:val="21"/>
          <w:color w:val="auto"/>
        </w:rPr>
        <w:t>, all qualifications based on a “Parent Material Adverse Effect” and all materiality qualifications and other qualifications based on the word “material” or similar phrases contained in such representations and warranties will be disregarded;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both"/>
        <w:ind w:firstLine="1304"/>
        <w:spacing w:after="0" w:line="241" w:lineRule="auto"/>
        <w:tabs>
          <w:tab w:leader="none" w:pos="2398"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Parent and Merger Sub have complied with or performed, in all material respects, the covenants, obligations and agreements of Parent and Merger Sub under this Agreement to be complied with or performed by them on or prior to the Effective Time; and</w:t>
      </w:r>
    </w:p>
    <w:p>
      <w:pPr>
        <w:spacing w:after="0" w:line="237" w:lineRule="exact"/>
        <w:rPr>
          <w:rFonts w:ascii="Arial" w:cs="Arial" w:eastAsia="Arial" w:hAnsi="Arial"/>
          <w:sz w:val="22"/>
          <w:szCs w:val="22"/>
          <w:color w:val="auto"/>
        </w:rPr>
      </w:pPr>
    </w:p>
    <w:p>
      <w:pPr>
        <w:jc w:val="both"/>
        <w:ind w:firstLine="1304"/>
        <w:spacing w:after="0"/>
        <w:tabs>
          <w:tab w:leader="none" w:pos="2076"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Deliveries</w:t>
      </w:r>
      <w:r>
        <w:rPr>
          <w:rFonts w:ascii="Arial" w:cs="Arial" w:eastAsia="Arial" w:hAnsi="Arial"/>
          <w:sz w:val="22"/>
          <w:szCs w:val="22"/>
          <w:color w:val="auto"/>
        </w:rPr>
        <w:t xml:space="preserve">. Parent and Merger Sub have furnished the Company with a certificate, dated as of the Closing Date and signed on their behalf by the chief executive officers or chief financial officers of Parent and Merger Sub, to the effect that the conditions set forth in </w:t>
      </w:r>
      <w:r>
        <w:rPr>
          <w:rFonts w:ascii="Arial" w:cs="Arial" w:eastAsia="Arial" w:hAnsi="Arial"/>
          <w:sz w:val="22"/>
          <w:szCs w:val="22"/>
          <w:u w:val="single" w:color="auto"/>
          <w:color w:val="auto"/>
        </w:rPr>
        <w:t>Section 7.3(a)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7.3(b)</w:t>
      </w:r>
      <w:r>
        <w:rPr>
          <w:rFonts w:ascii="Arial" w:cs="Arial" w:eastAsia="Arial" w:hAnsi="Arial"/>
          <w:sz w:val="22"/>
          <w:szCs w:val="22"/>
          <w:color w:val="auto"/>
        </w:rPr>
        <w:t xml:space="preserve"> are satisfied.</w:t>
      </w:r>
    </w:p>
    <w:p>
      <w:pPr>
        <w:spacing w:after="0" w:line="2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Frustration of Closing Conditions</w:t>
      </w:r>
      <w:r>
        <w:rPr>
          <w:rFonts w:ascii="Arial" w:cs="Arial" w:eastAsia="Arial" w:hAnsi="Arial"/>
          <w:sz w:val="22"/>
          <w:szCs w:val="22"/>
          <w:color w:val="auto"/>
        </w:rPr>
        <w:t xml:space="preserve">. Neither Parent nor Merger Sub may rely on the failure of any condition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to be satisfied if such failure was primarily caused by the failure of Parent or Merger Sub to perform any of its respective material obligations under this Agreement. The Company may not rely on the failure of any condition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to be satisfied if such failure was primarily caused by its failure to perform any of its material obligations under this Agreement.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TERMINATION</w:t>
      </w:r>
    </w:p>
    <w:p>
      <w:pPr>
        <w:spacing w:after="0" w:line="26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and the Merger and the other Transactions may be abandoned (except as otherwise provided below, whether before or after receipt of the Company Shareholder Approval) as follows:</w:t>
      </w:r>
    </w:p>
    <w:p>
      <w:pPr>
        <w:spacing w:after="0" w:line="240" w:lineRule="exact"/>
        <w:rPr>
          <w:sz w:val="20"/>
          <w:szCs w:val="20"/>
          <w:color w:val="auto"/>
        </w:rPr>
      </w:pPr>
    </w:p>
    <w:p>
      <w:pPr>
        <w:ind w:left="2080" w:hanging="776"/>
        <w:spacing w:after="0"/>
        <w:tabs>
          <w:tab w:leader="none" w:pos="20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by mutual written consent of Parent and the Company;</w:t>
      </w:r>
    </w:p>
    <w:p>
      <w:pPr>
        <w:spacing w:after="0" w:line="260" w:lineRule="exact"/>
        <w:rPr>
          <w:rFonts w:ascii="Arial" w:cs="Arial" w:eastAsia="Arial" w:hAnsi="Arial"/>
          <w:sz w:val="22"/>
          <w:szCs w:val="22"/>
          <w:color w:val="auto"/>
        </w:rPr>
      </w:pPr>
    </w:p>
    <w:p>
      <w:pPr>
        <w:jc w:val="both"/>
        <w:ind w:firstLine="1304"/>
        <w:spacing w:after="0" w:line="282" w:lineRule="auto"/>
        <w:tabs>
          <w:tab w:leader="none" w:pos="211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by either the Company or Parent, at any time prior to the Effective Time, if a Governmental Authority of competent jurisdiction shall have issued a final and nonappealable Adverse Law or Order that remains in effect and that permanently restrains, permanently enjoins or otherwise permanently prohibits the consummation of the Merger;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right to terminate this Agreement under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8.1(b)</w:t>
      </w:r>
      <w:r>
        <w:rPr>
          <w:rFonts w:ascii="Arial" w:cs="Arial" w:eastAsia="Arial" w:hAnsi="Arial"/>
          <w:sz w:val="19"/>
          <w:szCs w:val="19"/>
          <w:i w:val="1"/>
          <w:iCs w:val="1"/>
          <w:color w:val="auto"/>
        </w:rPr>
        <w:t xml:space="preserve"> </w:t>
      </w:r>
      <w:r>
        <w:rPr>
          <w:rFonts w:ascii="Arial" w:cs="Arial" w:eastAsia="Arial" w:hAnsi="Arial"/>
          <w:sz w:val="19"/>
          <w:szCs w:val="19"/>
          <w:color w:val="auto"/>
        </w:rPr>
        <w:t>will not be available to any Party where material</w:t>
      </w:r>
      <w:r>
        <w:rPr>
          <w:rFonts w:ascii="Arial" w:cs="Arial" w:eastAsia="Arial" w:hAnsi="Arial"/>
          <w:sz w:val="19"/>
          <w:szCs w:val="19"/>
          <w:i w:val="1"/>
          <w:iCs w:val="1"/>
          <w:color w:val="auto"/>
        </w:rPr>
        <w:t xml:space="preserve"> </w:t>
      </w:r>
      <w:r>
        <w:rPr>
          <w:rFonts w:ascii="Arial" w:cs="Arial" w:eastAsia="Arial" w:hAnsi="Arial"/>
          <w:sz w:val="19"/>
          <w:szCs w:val="19"/>
          <w:color w:val="auto"/>
        </w:rPr>
        <w:t>failure to fulfill any obligation under this Agreement has been the principal cause of, or resulted in, such Adverse Law or Order;</w:t>
      </w:r>
    </w:p>
    <w:p>
      <w:pPr>
        <w:spacing w:after="0" w:line="201" w:lineRule="exact"/>
        <w:rPr>
          <w:rFonts w:ascii="Arial" w:cs="Arial" w:eastAsia="Arial" w:hAnsi="Arial"/>
          <w:sz w:val="19"/>
          <w:szCs w:val="19"/>
          <w:color w:val="auto"/>
        </w:rPr>
      </w:pPr>
    </w:p>
    <w:p>
      <w:pPr>
        <w:jc w:val="both"/>
        <w:ind w:firstLine="1304"/>
        <w:spacing w:after="0" w:line="245" w:lineRule="auto"/>
        <w:tabs>
          <w:tab w:leader="none" w:pos="2184"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by Parent, at any time prior to the Effective Time, if (i) there has been a breach by the Company of its representations, warranties or covenants contained in this Agreement, such that any condition contained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is not reasonably capable of being satisfied while such breach is continuing, (ii) Parent has delivered to the Company written notice of such breach and (iii) either such breach is not capable of cure in a manner sufficient to allow satisfaction of the conditions contained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prior to the Outside Date or at least thirty (30) days have elapsed since the date of delivery of such written notice to the Company and such breach has not been cured in all material respects;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Parent will not be permitted to terminate this Agreement pursuant to this </w:t>
      </w:r>
      <w:r>
        <w:rPr>
          <w:rFonts w:ascii="Arial" w:cs="Arial" w:eastAsia="Arial" w:hAnsi="Arial"/>
          <w:sz w:val="21"/>
          <w:szCs w:val="21"/>
          <w:u w:val="single" w:color="auto"/>
          <w:color w:val="auto"/>
        </w:rPr>
        <w:t>Section 8.1(c)</w:t>
      </w:r>
      <w:r>
        <w:rPr>
          <w:rFonts w:ascii="Arial" w:cs="Arial" w:eastAsia="Arial" w:hAnsi="Arial"/>
          <w:sz w:val="21"/>
          <w:szCs w:val="21"/>
          <w:color w:val="auto"/>
        </w:rPr>
        <w:t xml:space="preserve"> if there has been any material breach by Parent or Merger Sub of its representations, warranties or covenants contained in this Agreement, and such breach has not been cured in all material respects;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both"/>
        <w:ind w:firstLine="1304"/>
        <w:spacing w:after="0" w:line="274" w:lineRule="auto"/>
        <w:tabs>
          <w:tab w:leader="none" w:pos="229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by the Company, at any time prior to the Effective Time, if (i) there has been a breach by Parent or Merger Sub of any of its representations, warranties or covenants contained in this Agreement, such that any condition contained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is not reasonably capable of being satisfied while such breach is continuing, (ii) the Company has delivered to Parent written notice of such breach and (iii) either such breach is not capable of cure in a manner sufficient to allow satisfaction of the conditions contained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prior to the Outside Date or at least thirty (30) days have elapsed since the date of delivery of such written notice to Parent and such breach has not been cured in all material respects;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Company will not be permitted to terminate this Agreement pursuant to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8.1(d)</w:t>
      </w:r>
      <w:r>
        <w:rPr>
          <w:rFonts w:ascii="Arial" w:cs="Arial" w:eastAsia="Arial" w:hAnsi="Arial"/>
          <w:sz w:val="19"/>
          <w:szCs w:val="19"/>
          <w:i w:val="1"/>
          <w:iCs w:val="1"/>
          <w:color w:val="auto"/>
        </w:rPr>
        <w:t xml:space="preserve"> </w:t>
      </w:r>
      <w:r>
        <w:rPr>
          <w:rFonts w:ascii="Arial" w:cs="Arial" w:eastAsia="Arial" w:hAnsi="Arial"/>
          <w:sz w:val="19"/>
          <w:szCs w:val="19"/>
          <w:color w:val="auto"/>
        </w:rPr>
        <w:t>if there</w:t>
      </w:r>
      <w:r>
        <w:rPr>
          <w:rFonts w:ascii="Arial" w:cs="Arial" w:eastAsia="Arial" w:hAnsi="Arial"/>
          <w:sz w:val="19"/>
          <w:szCs w:val="19"/>
          <w:i w:val="1"/>
          <w:iCs w:val="1"/>
          <w:color w:val="auto"/>
        </w:rPr>
        <w:t xml:space="preserve"> </w:t>
      </w:r>
      <w:r>
        <w:rPr>
          <w:rFonts w:ascii="Arial" w:cs="Arial" w:eastAsia="Arial" w:hAnsi="Arial"/>
          <w:sz w:val="19"/>
          <w:szCs w:val="19"/>
          <w:color w:val="auto"/>
        </w:rPr>
        <w:t>has been any material breach by the Company of its representations, warranties or covenants contained in this Agreement, and such breach has not been cured in all material respects;</w:t>
      </w:r>
    </w:p>
    <w:p>
      <w:pPr>
        <w:spacing w:after="0" w:line="212" w:lineRule="exact"/>
        <w:rPr>
          <w:rFonts w:ascii="Arial" w:cs="Arial" w:eastAsia="Arial" w:hAnsi="Arial"/>
          <w:sz w:val="19"/>
          <w:szCs w:val="19"/>
          <w:color w:val="auto"/>
        </w:rPr>
      </w:pPr>
    </w:p>
    <w:p>
      <w:pPr>
        <w:jc w:val="both"/>
        <w:ind w:firstLine="1304"/>
        <w:spacing w:after="0" w:line="272" w:lineRule="auto"/>
        <w:tabs>
          <w:tab w:leader="none" w:pos="213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by either Parent or the Company, if the Effective Time shall not have occurred by 11:59 p.m., local time in California, on February 15, 2023 (as it may be extended pursuant to this </w:t>
      </w:r>
      <w:r>
        <w:rPr>
          <w:rFonts w:ascii="Arial" w:cs="Arial" w:eastAsia="Arial" w:hAnsi="Arial"/>
          <w:sz w:val="19"/>
          <w:szCs w:val="19"/>
          <w:u w:val="single" w:color="auto"/>
          <w:color w:val="auto"/>
        </w:rPr>
        <w:t>Section 8.1(e)</w:t>
      </w:r>
      <w:r>
        <w:rPr>
          <w:rFonts w:ascii="Arial" w:cs="Arial" w:eastAsia="Arial" w:hAnsi="Arial"/>
          <w:sz w:val="19"/>
          <w:szCs w:val="19"/>
          <w:color w:val="auto"/>
        </w:rPr>
        <w:t>, the “</w:t>
      </w:r>
      <w:r>
        <w:rPr>
          <w:rFonts w:ascii="Arial" w:cs="Arial" w:eastAsia="Arial" w:hAnsi="Arial"/>
          <w:sz w:val="19"/>
          <w:szCs w:val="19"/>
          <w:u w:val="single" w:color="auto"/>
          <w:color w:val="auto"/>
        </w:rPr>
        <w:t>Outside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right to terminate this Agreement pursuant to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8.1(e)</w:t>
      </w:r>
      <w:r>
        <w:rPr>
          <w:rFonts w:ascii="Arial" w:cs="Arial" w:eastAsia="Arial" w:hAnsi="Arial"/>
          <w:sz w:val="19"/>
          <w:szCs w:val="19"/>
          <w:i w:val="1"/>
          <w:iCs w:val="1"/>
          <w:color w:val="auto"/>
        </w:rPr>
        <w:t xml:space="preserve"> </w:t>
      </w:r>
      <w:r>
        <w:rPr>
          <w:rFonts w:ascii="Arial" w:cs="Arial" w:eastAsia="Arial" w:hAnsi="Arial"/>
          <w:sz w:val="19"/>
          <w:szCs w:val="19"/>
          <w:color w:val="auto"/>
        </w:rPr>
        <w:t>will not be available to any Party whose breach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any representation, warranty, covenant or agreement set forth in this Agreement has caused, or resulted in, the Effective Time not occurring prior to the Outside Date;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 if on the Outside Date all of the conditions to Closing, other than the conditions set forth in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shall have been satisfied or waived (other than those conditions that by their nature are to be satisfied at the Closing, which conditions shall be capable of being satisfied at such time), the Outside Date will automatically be extended one (1) time for an additional three (3) months, and (ii) if on the Outside Date as so extended pursuant to clause (i) of this </w:t>
      </w:r>
      <w:r>
        <w:rPr>
          <w:rFonts w:ascii="Arial" w:cs="Arial" w:eastAsia="Arial" w:hAnsi="Arial"/>
          <w:sz w:val="19"/>
          <w:szCs w:val="19"/>
          <w:u w:val="single" w:color="auto"/>
          <w:color w:val="auto"/>
        </w:rPr>
        <w:t>Section 8.1(e)</w:t>
      </w:r>
      <w:r>
        <w:rPr>
          <w:rFonts w:ascii="Arial" w:cs="Arial" w:eastAsia="Arial" w:hAnsi="Arial"/>
          <w:sz w:val="19"/>
          <w:szCs w:val="19"/>
          <w:color w:val="auto"/>
        </w:rPr>
        <w:t xml:space="preserve">, all of the conditions to Closing, other than the conditions set forth in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7.1(c)</w:t>
      </w:r>
      <w:r>
        <w:rPr>
          <w:rFonts w:ascii="Arial" w:cs="Arial" w:eastAsia="Arial" w:hAnsi="Arial"/>
          <w:sz w:val="19"/>
          <w:szCs w:val="19"/>
          <w:color w:val="auto"/>
        </w:rPr>
        <w:t>, shall have been satisfied or waived (other than those conditions that by their nature are to be satisfied at the Closing, which conditions shall be capable of being satisfied at such time), the Outside Date will automatically be extended one (1) additional time by an additional three (3) months;</w:t>
      </w:r>
    </w:p>
    <w:p>
      <w:pPr>
        <w:spacing w:after="0" w:line="214" w:lineRule="exact"/>
        <w:rPr>
          <w:rFonts w:ascii="Arial" w:cs="Arial" w:eastAsia="Arial" w:hAnsi="Arial"/>
          <w:sz w:val="19"/>
          <w:szCs w:val="19"/>
          <w:color w:val="auto"/>
        </w:rPr>
      </w:pPr>
    </w:p>
    <w:p>
      <w:pPr>
        <w:jc w:val="both"/>
        <w:ind w:firstLine="1304"/>
        <w:spacing w:after="0"/>
        <w:tabs>
          <w:tab w:leader="none" w:pos="206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by Parent, if, prior to receipt of the Company Shareholder Approval, (i) the Company materially breaches its obligations under </w:t>
      </w:r>
      <w:r>
        <w:rPr>
          <w:rFonts w:ascii="Arial" w:cs="Arial" w:eastAsia="Arial" w:hAnsi="Arial"/>
          <w:sz w:val="22"/>
          <w:szCs w:val="22"/>
          <w:u w:val="single" w:color="auto"/>
          <w:color w:val="auto"/>
        </w:rPr>
        <w:t>Section 5.2</w:t>
      </w:r>
      <w:r>
        <w:rPr>
          <w:rFonts w:ascii="Arial" w:cs="Arial" w:eastAsia="Arial" w:hAnsi="Arial"/>
          <w:sz w:val="22"/>
          <w:szCs w:val="22"/>
          <w:color w:val="auto"/>
        </w:rPr>
        <w:t>, or (ii) the Company Board of Directors shall have effected a Company Change of Recommendation;</w:t>
      </w:r>
    </w:p>
    <w:p>
      <w:pPr>
        <w:spacing w:after="0" w:line="240" w:lineRule="exact"/>
        <w:rPr>
          <w:rFonts w:ascii="Arial" w:cs="Arial" w:eastAsia="Arial" w:hAnsi="Arial"/>
          <w:sz w:val="22"/>
          <w:szCs w:val="22"/>
          <w:color w:val="auto"/>
        </w:rPr>
      </w:pPr>
    </w:p>
    <w:p>
      <w:pPr>
        <w:ind w:firstLine="1304"/>
        <w:spacing w:after="0" w:line="328" w:lineRule="auto"/>
        <w:tabs>
          <w:tab w:leader="none" w:pos="214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by either the Company or Parent, if the Company Shareholder Approval is not obtained at the Company Special Meeting or at any adjournment or postponement thereof, in each case at which a vote on such approval was taken; or</w:t>
      </w:r>
    </w:p>
    <w:p>
      <w:pPr>
        <w:spacing w:after="0" w:line="158" w:lineRule="exact"/>
        <w:rPr>
          <w:rFonts w:ascii="Arial" w:cs="Arial" w:eastAsia="Arial" w:hAnsi="Arial"/>
          <w:sz w:val="19"/>
          <w:szCs w:val="19"/>
          <w:color w:val="auto"/>
        </w:rPr>
      </w:pPr>
    </w:p>
    <w:p>
      <w:pPr>
        <w:jc w:val="both"/>
        <w:ind w:firstLine="1304"/>
        <w:spacing w:after="0"/>
        <w:tabs>
          <w:tab w:leader="none" w:pos="215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by the Company in order to accept a Superior Proposal in accordance with </w:t>
      </w:r>
      <w:r>
        <w:rPr>
          <w:rFonts w:ascii="Arial" w:cs="Arial" w:eastAsia="Arial" w:hAnsi="Arial"/>
          <w:sz w:val="22"/>
          <w:szCs w:val="22"/>
          <w:u w:val="single" w:color="auto"/>
          <w:color w:val="auto"/>
        </w:rPr>
        <w:t>Section 5.2(g)</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as a condition to the termination of this Agreement pursuant to this </w:t>
      </w:r>
      <w:r>
        <w:rPr>
          <w:rFonts w:ascii="Arial" w:cs="Arial" w:eastAsia="Arial" w:hAnsi="Arial"/>
          <w:sz w:val="22"/>
          <w:szCs w:val="22"/>
          <w:u w:val="single" w:color="auto"/>
          <w:color w:val="auto"/>
        </w:rPr>
        <w:t>Section 8.1(h)</w:t>
      </w:r>
      <w:r>
        <w:rPr>
          <w:rFonts w:ascii="Arial" w:cs="Arial" w:eastAsia="Arial" w:hAnsi="Arial"/>
          <w:sz w:val="22"/>
          <w:szCs w:val="22"/>
          <w:color w:val="auto"/>
        </w:rPr>
        <w:t xml:space="preserve">, the Company pays Parent, or causes Parent to be paid, the Company Termination Fee payable under </w:t>
      </w:r>
      <w:r>
        <w:rPr>
          <w:rFonts w:ascii="Arial" w:cs="Arial" w:eastAsia="Arial" w:hAnsi="Arial"/>
          <w:sz w:val="22"/>
          <w:szCs w:val="22"/>
          <w:u w:val="single" w:color="auto"/>
          <w:color w:val="auto"/>
        </w:rPr>
        <w:t>Section 8.2(b)</w:t>
      </w:r>
      <w:r>
        <w:rPr>
          <w:rFonts w:ascii="Arial" w:cs="Arial" w:eastAsia="Arial" w:hAnsi="Arial"/>
          <w:sz w:val="22"/>
          <w:szCs w:val="22"/>
          <w:color w:val="auto"/>
        </w:rPr>
        <w:t>.</w:t>
      </w:r>
    </w:p>
    <w:p>
      <w:pPr>
        <w:spacing w:after="0" w:line="240"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77" w:lineRule="auto"/>
        <w:tabs>
          <w:tab w:leader="none" w:pos="211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To terminate this Agreement as provided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(other than in the case of termination pursuant to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the terminating Party shall give written notice to the other Party specifying the subsection of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pursuant to which such termination is made, and this Agreement will become null and void and there will be no liability on the part of Parent, Merger Sub or the Company, except that the Confidentiality Agreement,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will survive such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each Party will retain liability for its fraud or a willful and material breach of its representations, warranties covenants or agreements set forth in this Agreement prior to such termination and any aggrieved Party will be entitled to all rights and remedies available under applicable Law or in equity.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ind w:left="1444" w:hanging="796"/>
        <w:spacing w:after="0"/>
        <w:tabs>
          <w:tab w:leader="none" w:pos="1444"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Company Termination Fee</w:t>
      </w:r>
      <w:r>
        <w:rPr>
          <w:rFonts w:ascii="Arial" w:cs="Arial" w:eastAsia="Arial" w:hAnsi="Arial"/>
          <w:sz w:val="22"/>
          <w:szCs w:val="22"/>
          <w:color w:val="auto"/>
        </w:rPr>
        <w:t>.</w:t>
      </w:r>
    </w:p>
    <w:p>
      <w:pPr>
        <w:spacing w:after="0" w:line="274" w:lineRule="exact"/>
        <w:rPr>
          <w:rFonts w:ascii="Arial" w:cs="Arial" w:eastAsia="Arial" w:hAnsi="Arial"/>
          <w:sz w:val="22"/>
          <w:szCs w:val="22"/>
          <w:color w:val="auto"/>
        </w:rPr>
      </w:pPr>
    </w:p>
    <w:p>
      <w:pPr>
        <w:jc w:val="both"/>
        <w:ind w:left="4" w:firstLine="1292"/>
        <w:spacing w:after="0" w:line="261" w:lineRule="auto"/>
        <w:tabs>
          <w:tab w:leader="none" w:pos="2219" w:val="left"/>
        </w:tabs>
        <w:numPr>
          <w:ilvl w:val="2"/>
          <w:numId w:val="119"/>
        </w:numPr>
        <w:rPr>
          <w:rFonts w:ascii="Arial" w:cs="Arial" w:eastAsia="Arial" w:hAnsi="Arial"/>
          <w:sz w:val="22"/>
          <w:szCs w:val="22"/>
          <w:color w:val="auto"/>
        </w:rPr>
      </w:pPr>
      <w:r>
        <w:rPr>
          <w:rFonts w:ascii="Arial" w:cs="Arial" w:eastAsia="Arial" w:hAnsi="Arial"/>
          <w:sz w:val="22"/>
          <w:szCs w:val="22"/>
          <w:color w:val="auto"/>
        </w:rPr>
        <w:t xml:space="preserve">If the Company terminates this Agreement pursuant to </w:t>
      </w:r>
      <w:r>
        <w:rPr>
          <w:rFonts w:ascii="Arial" w:cs="Arial" w:eastAsia="Arial" w:hAnsi="Arial"/>
          <w:sz w:val="22"/>
          <w:szCs w:val="22"/>
          <w:u w:val="single" w:color="auto"/>
          <w:color w:val="auto"/>
        </w:rPr>
        <w:t>Section 8.1(e)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8.1(g)</w:t>
      </w:r>
      <w:r>
        <w:rPr>
          <w:rFonts w:ascii="Arial" w:cs="Arial" w:eastAsia="Arial" w:hAnsi="Arial"/>
          <w:sz w:val="22"/>
          <w:szCs w:val="22"/>
          <w:color w:val="auto"/>
        </w:rPr>
        <w:t xml:space="preserve"> at a time when Parent would have been entitled to terminate this Agreement pursuant to </w:t>
      </w:r>
      <w:r>
        <w:rPr>
          <w:rFonts w:ascii="Arial" w:cs="Arial" w:eastAsia="Arial" w:hAnsi="Arial"/>
          <w:sz w:val="22"/>
          <w:szCs w:val="22"/>
          <w:u w:val="single" w:color="auto"/>
          <w:color w:val="auto"/>
        </w:rPr>
        <w:t>Section 8.1(f)</w:t>
      </w:r>
      <w:r>
        <w:rPr>
          <w:rFonts w:ascii="Arial" w:cs="Arial" w:eastAsia="Arial" w:hAnsi="Arial"/>
          <w:sz w:val="22"/>
          <w:szCs w:val="22"/>
          <w:color w:val="auto"/>
        </w:rPr>
        <w:t xml:space="preserve">, or the Company terminates the Agreement pursuant to </w:t>
      </w:r>
      <w:r>
        <w:rPr>
          <w:rFonts w:ascii="Arial" w:cs="Arial" w:eastAsia="Arial" w:hAnsi="Arial"/>
          <w:sz w:val="22"/>
          <w:szCs w:val="22"/>
          <w:u w:val="single" w:color="auto"/>
          <w:color w:val="auto"/>
        </w:rPr>
        <w:t>Section 8.1(h),</w:t>
      </w:r>
      <w:r>
        <w:rPr>
          <w:rFonts w:ascii="Arial" w:cs="Arial" w:eastAsia="Arial" w:hAnsi="Arial"/>
          <w:sz w:val="22"/>
          <w:szCs w:val="22"/>
          <w:color w:val="auto"/>
        </w:rPr>
        <w:t xml:space="preserve"> then the Company shall pay or cause to be paid to Parent prior to or substantially concurrently with, and as a condition to the termination, an amount in cash equal to $206,000,000 (the “</w:t>
      </w:r>
      <w:r>
        <w:rPr>
          <w:rFonts w:ascii="Arial" w:cs="Arial" w:eastAsia="Arial" w:hAnsi="Arial"/>
          <w:sz w:val="22"/>
          <w:szCs w:val="22"/>
          <w:u w:val="single" w:color="auto"/>
          <w:color w:val="auto"/>
        </w:rPr>
        <w:t>Company Termination Fee</w:t>
      </w:r>
      <w:r>
        <w:rPr>
          <w:rFonts w:ascii="Arial" w:cs="Arial" w:eastAsia="Arial" w:hAnsi="Arial"/>
          <w:sz w:val="22"/>
          <w:szCs w:val="22"/>
          <w:color w:val="auto"/>
        </w:rPr>
        <w:t>”).</w:t>
      </w:r>
    </w:p>
    <w:p>
      <w:pPr>
        <w:spacing w:after="0" w:line="244" w:lineRule="exact"/>
        <w:rPr>
          <w:rFonts w:ascii="Arial" w:cs="Arial" w:eastAsia="Arial" w:hAnsi="Arial"/>
          <w:sz w:val="22"/>
          <w:szCs w:val="22"/>
          <w:color w:val="auto"/>
        </w:rPr>
      </w:pPr>
    </w:p>
    <w:p>
      <w:pPr>
        <w:jc w:val="both"/>
        <w:ind w:left="4" w:firstLine="1292"/>
        <w:spacing w:after="0" w:line="266" w:lineRule="auto"/>
        <w:tabs>
          <w:tab w:leader="none" w:pos="2266" w:val="left"/>
        </w:tabs>
        <w:numPr>
          <w:ilvl w:val="2"/>
          <w:numId w:val="119"/>
        </w:numPr>
        <w:rPr>
          <w:rFonts w:ascii="Arial" w:cs="Arial" w:eastAsia="Arial" w:hAnsi="Arial"/>
          <w:sz w:val="22"/>
          <w:szCs w:val="22"/>
          <w:color w:val="auto"/>
        </w:rPr>
      </w:pPr>
      <w:r>
        <w:rPr>
          <w:rFonts w:ascii="Arial" w:cs="Arial" w:eastAsia="Arial" w:hAnsi="Arial"/>
          <w:sz w:val="22"/>
          <w:szCs w:val="22"/>
          <w:color w:val="auto"/>
        </w:rPr>
        <w:t xml:space="preserve">If Parent terminates this Agreement pursuant to </w:t>
      </w:r>
      <w:r>
        <w:rPr>
          <w:rFonts w:ascii="Arial" w:cs="Arial" w:eastAsia="Arial" w:hAnsi="Arial"/>
          <w:sz w:val="22"/>
          <w:szCs w:val="22"/>
          <w:u w:val="single" w:color="auto"/>
          <w:color w:val="auto"/>
        </w:rPr>
        <w:t>Section 8.1(f)</w:t>
      </w:r>
      <w:r>
        <w:rPr>
          <w:rFonts w:ascii="Arial" w:cs="Arial" w:eastAsia="Arial" w:hAnsi="Arial"/>
          <w:sz w:val="22"/>
          <w:szCs w:val="22"/>
          <w:color w:val="auto"/>
        </w:rPr>
        <w:t>, then, the Company shall pay the Company Termination Fee or cause the Company Termination Fee to be paid to Parent within two (2) Business Days after such termination.</w:t>
      </w:r>
    </w:p>
    <w:p>
      <w:pPr>
        <w:spacing w:after="0" w:line="238" w:lineRule="exact"/>
        <w:rPr>
          <w:rFonts w:ascii="Arial" w:cs="Arial" w:eastAsia="Arial" w:hAnsi="Arial"/>
          <w:sz w:val="22"/>
          <w:szCs w:val="22"/>
          <w:color w:val="auto"/>
        </w:rPr>
      </w:pPr>
    </w:p>
    <w:p>
      <w:pPr>
        <w:jc w:val="both"/>
        <w:ind w:left="4" w:firstLine="1292"/>
        <w:spacing w:after="0" w:line="297" w:lineRule="auto"/>
        <w:tabs>
          <w:tab w:leader="none" w:pos="2528" w:val="left"/>
        </w:tabs>
        <w:numPr>
          <w:ilvl w:val="2"/>
          <w:numId w:val="119"/>
        </w:numPr>
        <w:rPr>
          <w:rFonts w:ascii="Arial" w:cs="Arial" w:eastAsia="Arial" w:hAnsi="Arial"/>
          <w:sz w:val="19"/>
          <w:szCs w:val="19"/>
          <w:color w:val="auto"/>
        </w:rPr>
      </w:pPr>
      <w:r>
        <w:rPr>
          <w:rFonts w:ascii="Arial" w:cs="Arial" w:eastAsia="Arial" w:hAnsi="Arial"/>
          <w:sz w:val="19"/>
          <w:szCs w:val="19"/>
          <w:color w:val="auto"/>
        </w:rPr>
        <w:t xml:space="preserve">If (A) (I) Parent terminates this Agreement pursuant to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(II) Parent or the Company terminates this Agreement pursuant to </w:t>
      </w:r>
      <w:r>
        <w:rPr>
          <w:rFonts w:ascii="Arial" w:cs="Arial" w:eastAsia="Arial" w:hAnsi="Arial"/>
          <w:sz w:val="19"/>
          <w:szCs w:val="19"/>
          <w:u w:val="single" w:color="auto"/>
          <w:color w:val="auto"/>
        </w:rPr>
        <w:t>Section 8.1(e)</w:t>
      </w:r>
      <w:r>
        <w:rPr>
          <w:rFonts w:ascii="Arial" w:cs="Arial" w:eastAsia="Arial" w:hAnsi="Arial"/>
          <w:sz w:val="19"/>
          <w:szCs w:val="19"/>
          <w:color w:val="auto"/>
        </w:rPr>
        <w:t xml:space="preserve"> (provided that, in the case of a termination by the Company, Parent had the right to terminate this Agreement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Company is not entitled to the Parent Termination Fee (as defined below)), or (III) Parent or the Company terminates this Agreement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8.1(g)</w:t>
      </w:r>
      <w:r>
        <w:rPr>
          <w:rFonts w:ascii="Arial" w:cs="Arial" w:eastAsia="Arial" w:hAnsi="Arial"/>
          <w:sz w:val="19"/>
          <w:szCs w:val="19"/>
          <w:color w:val="auto"/>
        </w:rPr>
        <w:t xml:space="preserve">; (B) (I) a Competing Proposal made by a Third Party has been publicly disclosed (and not publicly withdrawn) after the date of this Agreement and prior to the date of the Company Special Meeting in the case of a termination of this Agreement pursuant to </w:t>
      </w:r>
      <w:r>
        <w:rPr>
          <w:rFonts w:ascii="Arial" w:cs="Arial" w:eastAsia="Arial" w:hAnsi="Arial"/>
          <w:sz w:val="19"/>
          <w:szCs w:val="19"/>
          <w:u w:val="single" w:color="auto"/>
          <w:color w:val="auto"/>
        </w:rPr>
        <w:t>Section 8.1(g)</w:t>
      </w:r>
      <w:r>
        <w:rPr>
          <w:rFonts w:ascii="Arial" w:cs="Arial" w:eastAsia="Arial" w:hAnsi="Arial"/>
          <w:sz w:val="19"/>
          <w:szCs w:val="19"/>
          <w:color w:val="auto"/>
        </w:rPr>
        <w:t xml:space="preserve"> or (II) a Competing Proposal is made (and not withdrawn) by a Third Party (regardless of whether or not such Competing Proposal is publicly disclosed) after the date of this Agreement and prior to</w:t>
      </w:r>
    </w:p>
    <w:p>
      <w:pPr>
        <w:spacing w:after="0" w:line="1" w:lineRule="exact"/>
        <w:rPr>
          <w:rFonts w:ascii="Arial" w:cs="Arial" w:eastAsia="Arial" w:hAnsi="Arial"/>
          <w:sz w:val="19"/>
          <w:szCs w:val="19"/>
          <w:color w:val="auto"/>
        </w:rPr>
      </w:pPr>
    </w:p>
    <w:p>
      <w:pPr>
        <w:jc w:val="both"/>
        <w:ind w:left="4" w:hanging="4"/>
        <w:spacing w:after="0" w:line="304" w:lineRule="auto"/>
        <w:tabs>
          <w:tab w:leader="none" w:pos="34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the date of such termination in the case of a termination of this Agreement pursuant to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or (y) the Outside Date in the case of a termination of this Agreement pursuant to </w:t>
      </w:r>
      <w:r>
        <w:rPr>
          <w:rFonts w:ascii="Arial" w:cs="Arial" w:eastAsia="Arial" w:hAnsi="Arial"/>
          <w:sz w:val="19"/>
          <w:szCs w:val="19"/>
          <w:u w:val="single" w:color="auto"/>
          <w:color w:val="auto"/>
        </w:rPr>
        <w:t>Section 8.1(e)</w:t>
      </w:r>
      <w:r>
        <w:rPr>
          <w:rFonts w:ascii="Arial" w:cs="Arial" w:eastAsia="Arial" w:hAnsi="Arial"/>
          <w:sz w:val="19"/>
          <w:szCs w:val="19"/>
          <w:color w:val="auto"/>
        </w:rPr>
        <w:t xml:space="preserve">; and (C) within twelve (12) months after such termination, the Company either consummates a Competing Proposal or enters into a definitive agreement with respect to any Competing Proposal and such Competing Proposal (or any “superior proposal” permitted by the terms of such Competing Proposal) is subsequently consummated, whether or not within such twelve (12) month period, then, substantially simultaneously with such consummation, the Company will pay or cause to be paid to Parent the Company Termination Fee. For purposes of this </w:t>
      </w:r>
      <w:r>
        <w:rPr>
          <w:rFonts w:ascii="Arial" w:cs="Arial" w:eastAsia="Arial" w:hAnsi="Arial"/>
          <w:sz w:val="19"/>
          <w:szCs w:val="19"/>
          <w:u w:val="single" w:color="auto"/>
          <w:color w:val="auto"/>
        </w:rPr>
        <w:t>Section 8.2(b)(iii)</w:t>
      </w:r>
      <w:r>
        <w:rPr>
          <w:rFonts w:ascii="Arial" w:cs="Arial" w:eastAsia="Arial" w:hAnsi="Arial"/>
          <w:sz w:val="19"/>
          <w:szCs w:val="19"/>
          <w:color w:val="auto"/>
        </w:rPr>
        <w:t xml:space="preserve">, the term “Competing Proposal” will have the meaning assigned to such term in </w:t>
      </w:r>
      <w:r>
        <w:rPr>
          <w:rFonts w:ascii="Arial" w:cs="Arial" w:eastAsia="Arial" w:hAnsi="Arial"/>
          <w:sz w:val="19"/>
          <w:szCs w:val="19"/>
          <w:u w:val="single" w:color="auto"/>
          <w:color w:val="auto"/>
        </w:rPr>
        <w:t>Section 9.5</w:t>
      </w:r>
      <w:r>
        <w:rPr>
          <w:rFonts w:ascii="Arial" w:cs="Arial" w:eastAsia="Arial" w:hAnsi="Arial"/>
          <w:sz w:val="19"/>
          <w:szCs w:val="19"/>
          <w:color w:val="auto"/>
        </w:rPr>
        <w:t>, except that the references to “15%” and to “85%” will be deemed to be references to “50%”.</w:t>
      </w:r>
    </w:p>
    <w:p>
      <w:pPr>
        <w:spacing w:after="0" w:line="38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50165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92" w:name="page93"/>
    <w:bookmarkEnd w:id="92"/>
    <w:p>
      <w:pPr>
        <w:jc w:val="both"/>
        <w:ind w:left="-460" w:firstLine="1292"/>
        <w:spacing w:after="0" w:line="327" w:lineRule="auto"/>
        <w:tabs>
          <w:tab w:leader="none" w:pos="180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 the event any amount is payable by the Company pursuant to the preceding clauses (i)-(iii), such amount shall be paid by wire transfer of U.S. dollars immediately available funds to an account designated by Parent. In no event shall the Company be obligated to pay the Company Termination Fee on more than one (1) occasion.</w:t>
      </w:r>
    </w:p>
    <w:p>
      <w:pPr>
        <w:spacing w:after="0" w:line="186" w:lineRule="exact"/>
        <w:rPr>
          <w:rFonts w:ascii="Arial" w:cs="Arial" w:eastAsia="Arial" w:hAnsi="Arial"/>
          <w:sz w:val="19"/>
          <w:szCs w:val="19"/>
          <w:color w:val="auto"/>
        </w:rPr>
      </w:pPr>
    </w:p>
    <w:p>
      <w:pPr>
        <w:jc w:val="both"/>
        <w:ind w:left="-460" w:firstLine="1292"/>
        <w:spacing w:after="0" w:line="298" w:lineRule="auto"/>
        <w:tabs>
          <w:tab w:leader="none" w:pos="166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The Company acknowledges that (A) the agreements contained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are an integral part of the Transactions and that without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Parent and Merger Sub would not have entered into this Agreement and (B) the Company Termination Fee is not a penalty, but rather is liquidated damages in a reasonable amount that will compensate Parent and Merger Sub in the circumstances in which the Company Termination Fee is payable for the efforts and resources expended and opportunities foregone while negotiating this Agreement and in reliance on this Agreement and on the expectation of the consummation of the Transactions. If the Company fails to promptly pay any amount due pursuant to this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the Company shall pay to Parent all reasonable fees, costs and expenses of enforcement (including reasonable attorney’s fees as well as reasonable expenses incurred in connection with any action initiated by Parent), together with interest on the amount of the Company Termination Fee at the prime lending rate as published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in effect on the date such payment is required to be made. Subject to Parent’s and Merger Sub’s rights set forth in </w:t>
      </w:r>
      <w:r>
        <w:rPr>
          <w:rFonts w:ascii="Arial" w:cs="Arial" w:eastAsia="Arial" w:hAnsi="Arial"/>
          <w:sz w:val="19"/>
          <w:szCs w:val="19"/>
          <w:u w:val="single" w:color="auto"/>
          <w:color w:val="auto"/>
        </w:rPr>
        <w:t>Section 9.14(b)</w:t>
      </w:r>
      <w:r>
        <w:rPr>
          <w:rFonts w:ascii="Arial" w:cs="Arial" w:eastAsia="Arial" w:hAnsi="Arial"/>
          <w:sz w:val="19"/>
          <w:szCs w:val="19"/>
          <w:color w:val="auto"/>
        </w:rPr>
        <w:t>, Parent’s right to receive payment from the Company of the Company Termination Fee (under the circumstances in which it is payable) shall be the sole and exclusive remedy of the Parent Related Parties against the Company, the Company Subsidiaries or any of their respective former, current or future officers, directors, partners, shareholders, managers, members or affiliates (collectively, “</w:t>
      </w:r>
      <w:r>
        <w:rPr>
          <w:rFonts w:ascii="Arial" w:cs="Arial" w:eastAsia="Arial" w:hAnsi="Arial"/>
          <w:sz w:val="19"/>
          <w:szCs w:val="19"/>
          <w:u w:val="single" w:color="auto"/>
          <w:color w:val="auto"/>
        </w:rPr>
        <w:t>Company Related Parties</w:t>
      </w:r>
      <w:r>
        <w:rPr>
          <w:rFonts w:ascii="Arial" w:cs="Arial" w:eastAsia="Arial" w:hAnsi="Arial"/>
          <w:sz w:val="19"/>
          <w:szCs w:val="19"/>
          <w:color w:val="auto"/>
        </w:rPr>
        <w:t xml:space="preserve">”) for any loss suffered as a result of the failure of the Transactions, including the Merger, to be consummated or for a breach or failure to perform hereunder or otherwise, and upon payment of such amount (if entitled under this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none of the Company Related Parties shall have any further liability or obligation relating to or arising out of this Agreement or the Transactions, including the Merger (except that the Company shall remain obligated for, and Parent and its affiliates may be entitled to remedies with respect to, the sections of this Agreement surviving such termination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While Parent and Merger Sub may pursue both a grant of specific performance of the Company’s obligation to consummate the Merger in accordance with </w:t>
      </w:r>
      <w:r>
        <w:rPr>
          <w:rFonts w:ascii="Arial" w:cs="Arial" w:eastAsia="Arial" w:hAnsi="Arial"/>
          <w:sz w:val="19"/>
          <w:szCs w:val="19"/>
          <w:u w:val="single" w:color="auto"/>
          <w:color w:val="auto"/>
        </w:rPr>
        <w:t>Section 9.14(b)</w:t>
      </w:r>
      <w:r>
        <w:rPr>
          <w:rFonts w:ascii="Arial" w:cs="Arial" w:eastAsia="Arial" w:hAnsi="Arial"/>
          <w:sz w:val="19"/>
          <w:szCs w:val="19"/>
          <w:color w:val="auto"/>
        </w:rPr>
        <w:t xml:space="preserve"> and the payment of the Company Termination Fee under this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under no circumstances shall Parent and Merger Sub be permitted or entitled to receive both a grant of such specific performance requiring the Company to consummate the Merger and to pay the Company Termination Fee (if entitled under this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In any circumstance where performance by the Company of its obligations under this Agreement would relieve the Company of its obligation to pay the Company Termination Fee, Parent and Merger Sub may, in their sole discretion (i) seek specific performance pursuant to </w:t>
      </w:r>
      <w:r>
        <w:rPr>
          <w:rFonts w:ascii="Arial" w:cs="Arial" w:eastAsia="Arial" w:hAnsi="Arial"/>
          <w:sz w:val="19"/>
          <w:szCs w:val="19"/>
          <w:u w:val="single" w:color="auto"/>
          <w:color w:val="auto"/>
        </w:rPr>
        <w:t>Section 9.14(b)</w:t>
      </w:r>
      <w:r>
        <w:rPr>
          <w:rFonts w:ascii="Arial" w:cs="Arial" w:eastAsia="Arial" w:hAnsi="Arial"/>
          <w:sz w:val="19"/>
          <w:szCs w:val="19"/>
          <w:color w:val="auto"/>
        </w:rPr>
        <w:t xml:space="preserve">, (ii) withdraw any claim for specific performance and require payment of the Company Termination Fee if entitled to payment of the Company Termination Fee under this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or (iii) if Parent and Merger Sub are unable for any reason to obtain specific performance, require payment of the Company Termination Fee if entitled to payment of the Company Termination Fee under this </w:t>
      </w:r>
      <w:r>
        <w:rPr>
          <w:rFonts w:ascii="Arial" w:cs="Arial" w:eastAsia="Arial" w:hAnsi="Arial"/>
          <w:sz w:val="19"/>
          <w:szCs w:val="19"/>
          <w:u w:val="single" w:color="auto"/>
          <w:color w:val="auto"/>
        </w:rPr>
        <w:t>Section 8.2(b)</w:t>
      </w:r>
      <w:r>
        <w:rPr>
          <w:rFonts w:ascii="Arial" w:cs="Arial" w:eastAsia="Arial" w:hAnsi="Arial"/>
          <w:sz w:val="19"/>
          <w:szCs w:val="19"/>
          <w:color w:val="auto"/>
        </w:rPr>
        <w:t>. In no event shall the Company be required to pay the Company Termination Fee on more than one (1) occasion.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402" w:right="339" w:bottom="1440" w:gutter="0" w:footer="0" w:header="0"/>
        </w:sectPr>
      </w:pPr>
    </w:p>
    <w:bookmarkStart w:id="93" w:name="page94"/>
    <w:bookmarkEnd w:id="93"/>
    <w:p>
      <w:pPr>
        <w:jc w:val="both"/>
        <w:ind w:left="-460" w:firstLine="1292"/>
        <w:spacing w:after="0" w:line="303" w:lineRule="auto"/>
        <w:tabs>
          <w:tab w:leader="none" w:pos="1931" w:val="left"/>
        </w:tabs>
        <w:numPr>
          <w:ilvl w:val="1"/>
          <w:numId w:val="122"/>
        </w:numPr>
        <w:rPr>
          <w:rFonts w:ascii="Arial" w:cs="Arial" w:eastAsia="Arial" w:hAnsi="Arial"/>
          <w:sz w:val="19"/>
          <w:szCs w:val="19"/>
          <w:color w:val="auto"/>
        </w:rPr>
      </w:pPr>
      <w:r>
        <w:rPr>
          <w:rFonts w:ascii="Arial" w:cs="Arial" w:eastAsia="Arial" w:hAnsi="Arial"/>
          <w:sz w:val="19"/>
          <w:szCs w:val="19"/>
          <w:color w:val="auto"/>
        </w:rPr>
        <w:t>In the event that the Company reasonably determines it is required to withhold amounts on account of Israeli Taxes from or in connection with the Company Termination Fee, the Company shall notify Parent of such determination, if requested by Parent in writing, as promptly as reasonably practicable after making such determination and provide it with reasonable time (but in any event no less than twenty (20) days) to obtain a Valid Tax Certificate allowing the Company to make the payment of the Company Termination Fee with no withholding, or a reduced rate of withholding, on account of Israeli Taxes. To the extent that amounts are so withheld, such withheld amounts shall be treated for all purposes of this Agreement as having been paid to Parent. In the event that Parent requests such time extension as set forth above, then all references in this Agreement to payment of the Company Termination Fee shall be deemed to provide for a deferral of the time upon which payment of the Company Termination Fee is due without such deferral limiting any rights of the Company to terminate this Agreement or in connection with such termination.</w:t>
      </w:r>
    </w:p>
    <w:p>
      <w:pPr>
        <w:spacing w:after="0" w:line="198" w:lineRule="exact"/>
        <w:rPr>
          <w:rFonts w:ascii="Arial" w:cs="Arial" w:eastAsia="Arial" w:hAnsi="Arial"/>
          <w:sz w:val="19"/>
          <w:szCs w:val="19"/>
          <w:color w:val="auto"/>
        </w:rPr>
      </w:pPr>
    </w:p>
    <w:p>
      <w:pPr>
        <w:ind w:left="960" w:hanging="776"/>
        <w:spacing w:after="0"/>
        <w:tabs>
          <w:tab w:leader="none" w:pos="96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Parent Termination Fee</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left="-460" w:firstLine="1292"/>
        <w:spacing w:after="0" w:line="302" w:lineRule="auto"/>
        <w:tabs>
          <w:tab w:leader="none" w:pos="1823" w:val="left"/>
        </w:tabs>
        <w:numPr>
          <w:ilvl w:val="1"/>
          <w:numId w:val="123"/>
        </w:numPr>
        <w:rPr>
          <w:rFonts w:ascii="Arial" w:cs="Arial" w:eastAsia="Arial" w:hAnsi="Arial"/>
          <w:sz w:val="19"/>
          <w:szCs w:val="19"/>
          <w:color w:val="auto"/>
        </w:rPr>
      </w:pPr>
      <w:r>
        <w:rPr>
          <w:rFonts w:ascii="Arial" w:cs="Arial" w:eastAsia="Arial" w:hAnsi="Arial"/>
          <w:sz w:val="19"/>
          <w:szCs w:val="19"/>
          <w:color w:val="auto"/>
        </w:rPr>
        <w:t xml:space="preserve">If this Agreement is terminated (A) pursuant to </w:t>
      </w:r>
      <w:r>
        <w:rPr>
          <w:rFonts w:ascii="Arial" w:cs="Arial" w:eastAsia="Arial" w:hAnsi="Arial"/>
          <w:sz w:val="19"/>
          <w:szCs w:val="19"/>
          <w:u w:val="single" w:color="auto"/>
          <w:color w:val="auto"/>
        </w:rPr>
        <w:t>Section 8.1(b)</w:t>
      </w:r>
      <w:r>
        <w:rPr>
          <w:rFonts w:ascii="Arial" w:cs="Arial" w:eastAsia="Arial" w:hAnsi="Arial"/>
          <w:sz w:val="19"/>
          <w:szCs w:val="19"/>
          <w:color w:val="auto"/>
        </w:rPr>
        <w:t xml:space="preserve"> due to an Adverse Law or Order related to any Antitrust Laws or (B) pursuant to </w:t>
      </w:r>
      <w:r>
        <w:rPr>
          <w:rFonts w:ascii="Arial" w:cs="Arial" w:eastAsia="Arial" w:hAnsi="Arial"/>
          <w:sz w:val="19"/>
          <w:szCs w:val="19"/>
          <w:u w:val="single" w:color="auto"/>
          <w:color w:val="auto"/>
        </w:rPr>
        <w:t>Section 8.1(e)</w:t>
      </w:r>
      <w:r>
        <w:rPr>
          <w:rFonts w:ascii="Arial" w:cs="Arial" w:eastAsia="Arial" w:hAnsi="Arial"/>
          <w:sz w:val="19"/>
          <w:szCs w:val="19"/>
          <w:color w:val="auto"/>
        </w:rPr>
        <w:t xml:space="preserve">, and in the case of clause (B) of this </w:t>
      </w:r>
      <w:r>
        <w:rPr>
          <w:rFonts w:ascii="Arial" w:cs="Arial" w:eastAsia="Arial" w:hAnsi="Arial"/>
          <w:sz w:val="19"/>
          <w:szCs w:val="19"/>
          <w:u w:val="single" w:color="auto"/>
          <w:color w:val="auto"/>
        </w:rPr>
        <w:t>Section 8.2(c)(i)</w:t>
      </w:r>
      <w:r>
        <w:rPr>
          <w:rFonts w:ascii="Arial" w:cs="Arial" w:eastAsia="Arial" w:hAnsi="Arial"/>
          <w:sz w:val="19"/>
          <w:szCs w:val="19"/>
          <w:color w:val="auto"/>
        </w:rPr>
        <w:t xml:space="preserve">, on the date of such termination, all conditions to this Agreement are satisfied (other than those conditions that by their terms are to be satisfied at the Closing, each of which is capable of being satisfied at the Closing), or waived (where permissible pursuant to applicable Law), other than the conditions set forth in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(solely in connection with an Adverse Law or Order related to the Antitrust Laws) or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(solely in connection with outstanding Required Clearances related to the Antitrust Laws (and not FDI Laws)), and the Company is not then in material breach of any provision of this Agreement where such breach by the Company is the primary cause of the failure of any condition to this Agreement being satisfied, then the Parent shall promptly pay, or cause to be paid, to the Company (x) if such termination was by Parent, prior to or substantially concurrently with, and as a condition to, such termination, or (y) if such termination was by the Company, within two (2) Business Days of such termination, an amount in cash equal to $353,000,000(the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Fee</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85" w:lineRule="exact"/>
        <w:rPr>
          <w:rFonts w:ascii="Arial" w:cs="Arial" w:eastAsia="Arial" w:hAnsi="Arial"/>
          <w:sz w:val="19"/>
          <w:szCs w:val="19"/>
          <w:color w:val="auto"/>
        </w:rPr>
      </w:pPr>
    </w:p>
    <w:p>
      <w:pPr>
        <w:ind w:left="-460" w:firstLine="1292"/>
        <w:spacing w:after="0" w:line="301" w:lineRule="auto"/>
        <w:tabs>
          <w:tab w:leader="none" w:pos="1950" w:val="left"/>
        </w:tabs>
        <w:numPr>
          <w:ilvl w:val="1"/>
          <w:numId w:val="123"/>
        </w:numPr>
        <w:rPr>
          <w:rFonts w:ascii="Arial" w:cs="Arial" w:eastAsia="Arial" w:hAnsi="Arial"/>
          <w:sz w:val="21"/>
          <w:szCs w:val="21"/>
          <w:color w:val="auto"/>
        </w:rPr>
      </w:pPr>
      <w:r>
        <w:rPr>
          <w:rFonts w:ascii="Arial" w:cs="Arial" w:eastAsia="Arial" w:hAnsi="Arial"/>
          <w:sz w:val="21"/>
          <w:szCs w:val="21"/>
          <w:color w:val="auto"/>
        </w:rPr>
        <w:t>In the event any amount is payable pursuant to the preceding clause (i) such amount shall be paid by wire transfer of immediately available funds to an account designated in writing by the Company.</w:t>
      </w:r>
    </w:p>
    <w:p>
      <w:pPr>
        <w:spacing w:after="0" w:line="38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402" w:right="339" w:bottom="1440" w:gutter="0" w:footer="0" w:header="0"/>
        </w:sectPr>
      </w:pPr>
    </w:p>
    <w:bookmarkStart w:id="94" w:name="page95"/>
    <w:bookmarkEnd w:id="94"/>
    <w:p>
      <w:pPr>
        <w:jc w:val="both"/>
        <w:ind w:left="660" w:firstLine="1292"/>
        <w:spacing w:after="0" w:line="298" w:lineRule="auto"/>
        <w:tabs>
          <w:tab w:leader="none" w:pos="337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Parent and Merger Sub each acknowledge that (A) the agreements contained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are an integral part of the Transactions and that without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the Company would not have entered into this Agreement and (B) the Parent Termination Fee is not a penalty, but rather is liquidated damages in a reasonable amount that will compensate the Company in the circumstances in which the Parent Termination Fee is payable for the efforts and resources expended and opportunities foregone while negotiating this Agreement and in reliance on this Agreement and on the expectation of the consummation of the Transactions. If Parent fails to promptly pay any amount due pursuant to this </w:t>
      </w:r>
      <w:r>
        <w:rPr>
          <w:rFonts w:ascii="Arial" w:cs="Arial" w:eastAsia="Arial" w:hAnsi="Arial"/>
          <w:sz w:val="19"/>
          <w:szCs w:val="19"/>
          <w:u w:val="single" w:color="auto"/>
          <w:color w:val="auto"/>
        </w:rPr>
        <w:t>Section 8.2(c)</w:t>
      </w:r>
      <w:r>
        <w:rPr>
          <w:rFonts w:ascii="Arial" w:cs="Arial" w:eastAsia="Arial" w:hAnsi="Arial"/>
          <w:sz w:val="19"/>
          <w:szCs w:val="19"/>
          <w:color w:val="auto"/>
        </w:rPr>
        <w:t xml:space="preserve">, Parent shall pay to the Company all reasonable fees, costs and expenses of enforcement (including reasonable attorneys’ fees as well as reasonable expenses incurred in connection with any action initiated by the Company), together with interest on the amount of the Parent Termination Fee at the prime lending rate as published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in effect on the date such payment is required to be made. Subject to the Company’s rights set forth in </w:t>
      </w:r>
      <w:r>
        <w:rPr>
          <w:rFonts w:ascii="Arial" w:cs="Arial" w:eastAsia="Arial" w:hAnsi="Arial"/>
          <w:sz w:val="19"/>
          <w:szCs w:val="19"/>
          <w:u w:val="single" w:color="auto"/>
          <w:color w:val="auto"/>
        </w:rPr>
        <w:t>Section 9.14(b)</w:t>
      </w:r>
      <w:r>
        <w:rPr>
          <w:rFonts w:ascii="Arial" w:cs="Arial" w:eastAsia="Arial" w:hAnsi="Arial"/>
          <w:sz w:val="19"/>
          <w:szCs w:val="19"/>
          <w:color w:val="auto"/>
        </w:rPr>
        <w:t>, the Company’s right to receive payment from Parent of the Parent Termination Fee (under the circumstances in which it is payable) shall be the sole and exclusive remedy of the Company Related Parties against Parent, the Parent Subsidiaries or any of their respective former, current or future officers, directors, partners, stockholders, managers, members or affiliates (collectively, “</w:t>
      </w:r>
      <w:r>
        <w:rPr>
          <w:rFonts w:ascii="Arial" w:cs="Arial" w:eastAsia="Arial" w:hAnsi="Arial"/>
          <w:sz w:val="19"/>
          <w:szCs w:val="19"/>
          <w:u w:val="single" w:color="auto"/>
          <w:color w:val="auto"/>
        </w:rPr>
        <w:t>Parent Related Parties</w:t>
      </w:r>
      <w:r>
        <w:rPr>
          <w:rFonts w:ascii="Arial" w:cs="Arial" w:eastAsia="Arial" w:hAnsi="Arial"/>
          <w:sz w:val="19"/>
          <w:szCs w:val="19"/>
          <w:color w:val="auto"/>
        </w:rPr>
        <w:t xml:space="preserve">”) for any loss suffered as a result of the failure of the Transactions, including the Merger, to be consummated or for a breach or failure to perform hereunder or otherwise, and upon payment of such amount (if entitled under this </w:t>
      </w:r>
      <w:r>
        <w:rPr>
          <w:rFonts w:ascii="Arial" w:cs="Arial" w:eastAsia="Arial" w:hAnsi="Arial"/>
          <w:sz w:val="19"/>
          <w:szCs w:val="19"/>
          <w:u w:val="single" w:color="auto"/>
          <w:color w:val="auto"/>
        </w:rPr>
        <w:t>Section 8.2(c)</w:t>
      </w:r>
      <w:r>
        <w:rPr>
          <w:rFonts w:ascii="Arial" w:cs="Arial" w:eastAsia="Arial" w:hAnsi="Arial"/>
          <w:sz w:val="19"/>
          <w:szCs w:val="19"/>
          <w:color w:val="auto"/>
        </w:rPr>
        <w:t xml:space="preserve">), none of the Parent Related Parties shall have any further liability or obligation relating to or arising out of this Agreement or the Transactions, including the Merger (except that Parent and Merger Sub shall remain obligated for, and the Company and its affiliates may be entitled to remedies with respect to, the sections of this Agreement surviving such termination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While the Company may pursue both a grant of specific performance of the obligation of Parent and Merger Sub to consummate the Merger in accordance with </w:t>
      </w:r>
      <w:r>
        <w:rPr>
          <w:rFonts w:ascii="Arial" w:cs="Arial" w:eastAsia="Arial" w:hAnsi="Arial"/>
          <w:sz w:val="19"/>
          <w:szCs w:val="19"/>
          <w:u w:val="single" w:color="auto"/>
          <w:color w:val="auto"/>
        </w:rPr>
        <w:t>Section 9.14(b)</w:t>
      </w:r>
      <w:r>
        <w:rPr>
          <w:rFonts w:ascii="Arial" w:cs="Arial" w:eastAsia="Arial" w:hAnsi="Arial"/>
          <w:sz w:val="19"/>
          <w:szCs w:val="19"/>
          <w:color w:val="auto"/>
        </w:rPr>
        <w:t xml:space="preserve"> and the payment of the Parent Termination Fee under this </w:t>
      </w:r>
      <w:r>
        <w:rPr>
          <w:rFonts w:ascii="Arial" w:cs="Arial" w:eastAsia="Arial" w:hAnsi="Arial"/>
          <w:sz w:val="19"/>
          <w:szCs w:val="19"/>
          <w:u w:val="single" w:color="auto"/>
          <w:color w:val="auto"/>
        </w:rPr>
        <w:t>Section 8.2(c)</w:t>
      </w:r>
      <w:r>
        <w:rPr>
          <w:rFonts w:ascii="Arial" w:cs="Arial" w:eastAsia="Arial" w:hAnsi="Arial"/>
          <w:sz w:val="19"/>
          <w:szCs w:val="19"/>
          <w:color w:val="auto"/>
        </w:rPr>
        <w:t xml:space="preserve">, under no circumstances shall the Company be permitted or entitled to receive both a grant of such specific performance requiring Parent and Merger Sub to consummate the Merger and to pay the Parent Termination Fee (if entitled under this </w:t>
      </w:r>
      <w:r>
        <w:rPr>
          <w:rFonts w:ascii="Arial" w:cs="Arial" w:eastAsia="Arial" w:hAnsi="Arial"/>
          <w:sz w:val="19"/>
          <w:szCs w:val="19"/>
          <w:u w:val="single" w:color="auto"/>
          <w:color w:val="auto"/>
        </w:rPr>
        <w:t>Section 8.2(c)</w:t>
      </w:r>
      <w:r>
        <w:rPr>
          <w:rFonts w:ascii="Arial" w:cs="Arial" w:eastAsia="Arial" w:hAnsi="Arial"/>
          <w:sz w:val="19"/>
          <w:szCs w:val="19"/>
          <w:color w:val="auto"/>
        </w:rPr>
        <w:t xml:space="preserve">). In any circumstance where performance by Parent of its obligations under this Agreement would relieve Parent of its obligation to pay the Parent Termination Fee, the Company may, in its sole discretion (i) seek specific performance pursuant to </w:t>
      </w:r>
      <w:r>
        <w:rPr>
          <w:rFonts w:ascii="Arial" w:cs="Arial" w:eastAsia="Arial" w:hAnsi="Arial"/>
          <w:sz w:val="19"/>
          <w:szCs w:val="19"/>
          <w:u w:val="single" w:color="auto"/>
          <w:color w:val="auto"/>
        </w:rPr>
        <w:t>Section 9.14(b)</w:t>
      </w:r>
      <w:r>
        <w:rPr>
          <w:rFonts w:ascii="Arial" w:cs="Arial" w:eastAsia="Arial" w:hAnsi="Arial"/>
          <w:sz w:val="19"/>
          <w:szCs w:val="19"/>
          <w:color w:val="auto"/>
        </w:rPr>
        <w:t xml:space="preserve">, (ii) withdraw any claim for specific performance and require payment of the Parent Termination Fee if entitled to payment of the Parent Termination Fee under this </w:t>
      </w:r>
      <w:r>
        <w:rPr>
          <w:rFonts w:ascii="Arial" w:cs="Arial" w:eastAsia="Arial" w:hAnsi="Arial"/>
          <w:sz w:val="19"/>
          <w:szCs w:val="19"/>
          <w:u w:val="single" w:color="auto"/>
          <w:color w:val="auto"/>
        </w:rPr>
        <w:t>Section 8.2(c)</w:t>
      </w:r>
      <w:r>
        <w:rPr>
          <w:rFonts w:ascii="Arial" w:cs="Arial" w:eastAsia="Arial" w:hAnsi="Arial"/>
          <w:sz w:val="19"/>
          <w:szCs w:val="19"/>
          <w:color w:val="auto"/>
        </w:rPr>
        <w:t xml:space="preserve"> or (iii) if the Company is unable for any reason to obtain specific performance, require payment of the Parent Termination Fee if entitled to payment of the Parent Termination Fee under this </w:t>
      </w:r>
      <w:r>
        <w:rPr>
          <w:rFonts w:ascii="Arial" w:cs="Arial" w:eastAsia="Arial" w:hAnsi="Arial"/>
          <w:sz w:val="19"/>
          <w:szCs w:val="19"/>
          <w:u w:val="single" w:color="auto"/>
          <w:color w:val="auto"/>
        </w:rPr>
        <w:t>Section 8.2(c)</w:t>
      </w:r>
      <w:r>
        <w:rPr>
          <w:rFonts w:ascii="Arial" w:cs="Arial" w:eastAsia="Arial" w:hAnsi="Arial"/>
          <w:sz w:val="19"/>
          <w:szCs w:val="19"/>
          <w:color w:val="auto"/>
        </w:rPr>
        <w:t>. In no event shall Parent be required to pay the Parent Termination Fee on more than one occasion.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6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Amendment and Modification; Waiver</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82" w:lineRule="auto"/>
        <w:tabs>
          <w:tab w:leader="none" w:pos="217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Subject to applicable Law and except as otherwise provided in this Agreement, this Agreement may be amended, modified and supplemented, whether before or after receipt of the Company Shareholder Approval, by written agreement of the Company and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after receipt of the Company Shareholder Approval, no amendment shall be made that by Law requires further approval by such shareholders without obtaining such further approval. This Agreement may not be amended except by an instrument in writing signed on behalf of each of the Parties.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5" w:name="page96"/>
    <w:bookmarkEnd w:id="95"/>
    <w:p>
      <w:pPr>
        <w:jc w:val="both"/>
        <w:ind w:firstLine="1304"/>
        <w:spacing w:after="0" w:line="275" w:lineRule="auto"/>
        <w:tabs>
          <w:tab w:leader="none" w:pos="216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At any time and from time to time prior to the Effective Time, either the Company, on the one hand, or Parent or Merger Sub, on the other hand, may, to the extent legally allowed and except as otherwise set forth herein, (i) extend the time for the performance of any of the obligations or other acts of Parent or Merger Sub or the Company, as applicable, (ii) waive any inaccuracies in the representations and warranties made to Parent or the Company contained herein or in any document delivered pursuant hereto, and (iii) waive compliance with any of the agreements or conditions for the benefit of Parent or Merger Sub or the Company, as applicable, contained herein. Any agreement on the part of Parent or Merger Sub or the Company to any such extension or waiver shall be valid only if set forth in an instrument in writing signed on behalf of Parent or the Company, as applicable. Any delay in exercising any right under this Agreement shall not constitute a waiver of such right.</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Non-Survival of Representations and Warranties</w:t>
      </w:r>
      <w:r>
        <w:rPr>
          <w:rFonts w:ascii="Arial" w:cs="Arial" w:eastAsia="Arial" w:hAnsi="Arial"/>
          <w:sz w:val="22"/>
          <w:szCs w:val="22"/>
          <w:color w:val="auto"/>
        </w:rPr>
        <w:t xml:space="preserve">. None of the representations and warranties in this Agreement or in any schedule, instrument or other document delivered pursuant to this Agreement shall survive the Effective Time. None of the covenants or agreements of the Parties in this Agreement or in any schedule, instrument or other document delivered pursuant to this Agreement to the extent that it is to be performed prior to the Effective Time shall survive the Effective Time. This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shall not limit any covenant or agreement of the Parties which by its terms expressly contemplates performance at or after the Effective Time.</w:t>
      </w: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expressly provided in this Agreement, all Expenses incurred in connection with this Agreement and the Transactions shall be paid by the Party incurring such Expenses.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under this Agreement shall, except to the extent expressly provided to be oral, be in writing and shall be deemed to have been duly given or made as follows: (a) if sent by registered or certified mail return receipt requested, upon receipt;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w:t>
      </w:r>
    </w:p>
    <w:p>
      <w:pPr>
        <w:spacing w:after="0" w:line="4" w:lineRule="exact"/>
        <w:rPr>
          <w:sz w:val="20"/>
          <w:szCs w:val="20"/>
          <w:color w:val="auto"/>
        </w:rPr>
      </w:pPr>
    </w:p>
    <w:p>
      <w:pPr>
        <w:jc w:val="both"/>
        <w:ind w:firstLine="8"/>
        <w:spacing w:after="0" w:line="232" w:lineRule="auto"/>
        <w:tabs>
          <w:tab w:leader="none" w:pos="29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if sent by e-mail including by a .pdf, .tif, .gif, .jpeg or similar electronic attachment on a Business Day before 5:00 p.m. in the time zone of the receiving Party, when transmitted; (d) if sent by e-mail including by a .pdf, .tif, .gif, .jpeg or similar electronic attachment on a day other than a Business Day or after 5:00 p.m. in the time zone of the receiving Party, on the following Business Day; and (e) if otherwise actually personally delivered, when delivered,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notices, requests, demands and other communications are delivered to the address set forth below, or to such other address as any Party shall provide by like notice to the other Parties: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8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Tower Semiconductor Ltd.</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 Shaul Amor Avenue</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Migdal Haemek, 2310502, Israel</w:t>
      </w:r>
    </w:p>
    <w:p>
      <w:pPr>
        <w:spacing w:after="0" w:line="17" w:lineRule="exact"/>
        <w:rPr>
          <w:sz w:val="20"/>
          <w:szCs w:val="20"/>
          <w:color w:val="auto"/>
        </w:rPr>
      </w:pP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Nati Somekh, LL.M.</w:t>
      </w:r>
    </w:p>
    <w:p>
      <w:pPr>
        <w:spacing w:after="0" w:line="17"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Senior VP, Chief Legal Officer and Corporate Secretary</w:t>
      </w:r>
    </w:p>
    <w:p>
      <w:pPr>
        <w:spacing w:after="0" w:line="17" w:lineRule="exact"/>
        <w:rPr>
          <w:sz w:val="20"/>
          <w:szCs w:val="20"/>
          <w:color w:val="auto"/>
        </w:rPr>
      </w:pPr>
    </w:p>
    <w:p>
      <w:pPr>
        <w:ind w:left="1960"/>
        <w:spacing w:after="0"/>
        <w:tabs>
          <w:tab w:leader="none" w:pos="30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Nati.Somekh@towersemi.com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ind w:left="180"/>
        <w:spacing w:after="0"/>
        <w:rPr>
          <w:sz w:val="20"/>
          <w:szCs w:val="20"/>
          <w:color w:val="auto"/>
        </w:rPr>
      </w:pPr>
      <w:r>
        <w:rPr>
          <w:rFonts w:ascii="Arial" w:cs="Arial" w:eastAsia="Arial" w:hAnsi="Arial"/>
          <w:sz w:val="22"/>
          <w:szCs w:val="22"/>
          <w:color w:val="auto"/>
        </w:rPr>
        <w:t>with copies (which shall not constitute notice) to:</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140 Scott Drive</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Menlo Park, CA 94025, U.S.A.</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Tad J. Freese</w:t>
      </w:r>
    </w:p>
    <w:p>
      <w:pPr>
        <w:spacing w:after="0" w:line="17"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Mark M. Bekheit</w:t>
      </w:r>
    </w:p>
    <w:p>
      <w:pPr>
        <w:spacing w:after="0" w:line="17" w:lineRule="exact"/>
        <w:rPr>
          <w:sz w:val="20"/>
          <w:szCs w:val="20"/>
          <w:color w:val="auto"/>
        </w:rPr>
      </w:pPr>
    </w:p>
    <w:p>
      <w:pPr>
        <w:ind w:left="840"/>
        <w:spacing w:after="0"/>
        <w:tabs>
          <w:tab w:leader="none" w:pos="18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tad.freese@lw.com</w:t>
      </w:r>
    </w:p>
    <w:p>
      <w:pPr>
        <w:spacing w:after="0" w:line="17"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mark.bekheit@lw.com</w:t>
      </w:r>
    </w:p>
    <w:p>
      <w:pPr>
        <w:spacing w:after="0" w:line="28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and</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FISCHER (FBC &amp; Co)</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146 Menachem Begin Road</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Tel Aviv 6492103 Israel</w:t>
      </w:r>
    </w:p>
    <w:p>
      <w:pPr>
        <w:spacing w:after="0" w:line="17" w:lineRule="exact"/>
        <w:rPr>
          <w:sz w:val="20"/>
          <w:szCs w:val="20"/>
          <w:color w:val="auto"/>
        </w:rPr>
      </w:pPr>
    </w:p>
    <w:p>
      <w:pPr>
        <w:ind w:left="840"/>
        <w:spacing w:after="0"/>
        <w:tabs>
          <w:tab w:leader="none" w:pos="19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Avremi Well</w:t>
      </w:r>
    </w:p>
    <w:p>
      <w:pPr>
        <w:spacing w:after="0" w:line="17"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Sharon Rosen</w:t>
      </w:r>
    </w:p>
    <w:p>
      <w:pPr>
        <w:spacing w:after="0" w:line="17" w:lineRule="exact"/>
        <w:rPr>
          <w:sz w:val="20"/>
          <w:szCs w:val="20"/>
          <w:color w:val="auto"/>
        </w:rPr>
      </w:pPr>
    </w:p>
    <w:p>
      <w:pPr>
        <w:ind w:left="840"/>
        <w:spacing w:after="0"/>
        <w:tabs>
          <w:tab w:leader="none" w:pos="19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awell@fbclawyers.com</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srosen@fbclawyers.com</w:t>
      </w:r>
    </w:p>
    <w:p>
      <w:pPr>
        <w:spacing w:after="0" w:line="28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and</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if to Ultimate Parent, Parent or Merger Sub, to:</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Intel Corporation</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2200 Mission College Boulevard</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Santa Clara, CA 95054</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Susie Giordano</w:t>
      </w:r>
    </w:p>
    <w:p>
      <w:pPr>
        <w:spacing w:after="0" w:line="17" w:lineRule="exact"/>
        <w:rPr>
          <w:sz w:val="20"/>
          <w:szCs w:val="20"/>
          <w:color w:val="auto"/>
        </w:rPr>
      </w:pPr>
    </w:p>
    <w:p>
      <w:pPr>
        <w:ind w:left="1760" w:right="2499"/>
        <w:spacing w:after="0" w:line="256" w:lineRule="auto"/>
        <w:rPr>
          <w:sz w:val="20"/>
          <w:szCs w:val="20"/>
          <w:color w:val="auto"/>
        </w:rPr>
      </w:pPr>
      <w:r>
        <w:rPr>
          <w:rFonts w:ascii="Arial" w:cs="Arial" w:eastAsia="Arial" w:hAnsi="Arial"/>
          <w:sz w:val="22"/>
          <w:szCs w:val="22"/>
          <w:color w:val="auto"/>
        </w:rPr>
        <w:t>Interim General Counsel, Corporate Vice President and Corporate Secretary</w:t>
      </w:r>
    </w:p>
    <w:p>
      <w:pPr>
        <w:ind w:left="840"/>
        <w:spacing w:after="0"/>
        <w:tabs>
          <w:tab w:leader="none" w:pos="19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susie.giordano@intel.com</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Intel Corporation</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2200 Mission College Boulevard</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Santa Clara, CA 95054</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Patrick Bombach</w:t>
      </w:r>
    </w:p>
    <w:p>
      <w:pPr>
        <w:spacing w:after="0" w:line="1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Vice President, Corporate Legal</w:t>
      </w:r>
    </w:p>
    <w:p>
      <w:pPr>
        <w:spacing w:after="0" w:line="17" w:lineRule="exact"/>
        <w:rPr>
          <w:sz w:val="20"/>
          <w:szCs w:val="20"/>
          <w:color w:val="auto"/>
        </w:rPr>
      </w:pPr>
    </w:p>
    <w:p>
      <w:pPr>
        <w:ind w:left="840"/>
        <w:spacing w:after="0"/>
        <w:tabs>
          <w:tab w:leader="none" w:pos="18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patrick.bombach@intel.com</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with copies (which shall not constitute notice) to:</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Skadden, Arps, Slate, Meagher &amp; Flom LLP</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Attention:  Kenton J. King</w:t>
      </w:r>
    </w:p>
    <w:p>
      <w:pPr>
        <w:spacing w:after="0" w:line="17"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Amr Razzak</w:t>
      </w:r>
    </w:p>
    <w:p>
      <w:pPr>
        <w:spacing w:after="0" w:line="17" w:lineRule="exact"/>
        <w:rPr>
          <w:sz w:val="20"/>
          <w:szCs w:val="20"/>
          <w:color w:val="auto"/>
        </w:rPr>
      </w:pPr>
    </w:p>
    <w:p>
      <w:pPr>
        <w:ind w:left="840"/>
        <w:spacing w:after="0"/>
        <w:tabs>
          <w:tab w:leader="none" w:pos="18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kenton.king@skadden.com</w:t>
      </w:r>
    </w:p>
    <w:p>
      <w:pPr>
        <w:spacing w:after="0" w:line="17"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amr.razzak@skadden.com</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97" w:name="page98"/>
    <w:bookmarkEnd w:id="97"/>
    <w:p>
      <w:pPr>
        <w:ind w:left="1960"/>
        <w:spacing w:after="0"/>
        <w:rPr>
          <w:sz w:val="20"/>
          <w:szCs w:val="20"/>
          <w:color w:val="auto"/>
        </w:rPr>
      </w:pPr>
      <w:r>
        <w:rPr>
          <w:rFonts w:ascii="Arial" w:cs="Arial" w:eastAsia="Arial" w:hAnsi="Arial"/>
          <w:sz w:val="22"/>
          <w:szCs w:val="22"/>
          <w:color w:val="auto"/>
        </w:rPr>
        <w:t>and</w:t>
      </w:r>
    </w:p>
    <w:p>
      <w:pPr>
        <w:spacing w:after="0" w:line="28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Yigal Arnon &amp; Co.</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 Azrieli Center</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 Aviv 6702501 Israel</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Barak S. Platt</w:t>
      </w:r>
    </w:p>
    <w:p>
      <w:pPr>
        <w:spacing w:after="0" w:line="17"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Ezra S. Gross</w:t>
      </w:r>
    </w:p>
    <w:p>
      <w:pPr>
        <w:spacing w:after="0" w:line="17"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barakp@arnon.co.il</w:t>
      </w:r>
    </w:p>
    <w:p>
      <w:pPr>
        <w:spacing w:after="0" w:line="17"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ezrag@arnon.co.il</w:t>
      </w:r>
    </w:p>
    <w:p>
      <w:pPr>
        <w:spacing w:after="0" w:line="26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9.5</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For the purposes of this Agreement, the term:</w:t>
      </w:r>
    </w:p>
    <w:p>
      <w:pPr>
        <w:spacing w:after="0" w:line="260" w:lineRule="exact"/>
        <w:rPr>
          <w:sz w:val="20"/>
          <w:szCs w:val="20"/>
          <w:color w:val="auto"/>
        </w:rPr>
      </w:pPr>
    </w:p>
    <w:p>
      <w:pPr>
        <w:jc w:val="both"/>
        <w:ind w:firstLine="122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102 Trustee</w:t>
      </w:r>
      <w:r>
        <w:rPr>
          <w:rFonts w:ascii="Arial" w:cs="Arial" w:eastAsia="Arial" w:hAnsi="Arial"/>
          <w:sz w:val="21"/>
          <w:szCs w:val="21"/>
          <w:color w:val="auto"/>
        </w:rPr>
        <w:t>” means the trustee appointed by the Company from time to time in accordance with the provisions of the Ordinance, and approved by the ITA, with respect to the Section 102 Shares and Section 102 Awards.</w:t>
      </w:r>
    </w:p>
    <w:p>
      <w:pPr>
        <w:spacing w:after="0" w:line="205" w:lineRule="exact"/>
        <w:rPr>
          <w:sz w:val="20"/>
          <w:szCs w:val="20"/>
          <w:color w:val="auto"/>
        </w:rPr>
      </w:pPr>
    </w:p>
    <w:p>
      <w:pPr>
        <w:jc w:val="both"/>
        <w:ind w:firstLine="137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Confidentiality Agreement</w:t>
      </w:r>
      <w:r>
        <w:rPr>
          <w:rFonts w:ascii="Arial" w:cs="Arial" w:eastAsia="Arial" w:hAnsi="Arial"/>
          <w:sz w:val="22"/>
          <w:szCs w:val="22"/>
          <w:color w:val="auto"/>
        </w:rPr>
        <w:t xml:space="preserve">” means a confidentiality agreement that contains terms that are no less favorable to the Company, than those contained in the Confidentiality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an Acceptable Confidentiality Agreement (i) shall not be required to contain standstill provisions, (ii) shall not restrict the Company’s ability to consummate the Transactions or from complying with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and (iii) shall not require the Company or its Subsidiaries to pay or reimburse the counterparty’s fees, costs or expenses.</w:t>
      </w:r>
    </w:p>
    <w:p>
      <w:pPr>
        <w:spacing w:after="0" w:line="241" w:lineRule="exact"/>
        <w:rPr>
          <w:sz w:val="20"/>
          <w:szCs w:val="20"/>
          <w:color w:val="auto"/>
        </w:rPr>
      </w:pPr>
    </w:p>
    <w:p>
      <w:pPr>
        <w:jc w:val="both"/>
        <w:ind w:firstLine="139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and all litigation, suits, actions, legal proceedings, audits, claims, investigations, hearings, arbitrations or mediations (including civil, criminal, administrative or appellate) by or before or otherwise involving any Governmental Authority or any arbitrator or arbitration panel.</w:t>
      </w:r>
    </w:p>
    <w:p>
      <w:pPr>
        <w:spacing w:after="0" w:line="240" w:lineRule="exact"/>
        <w:rPr>
          <w:sz w:val="20"/>
          <w:szCs w:val="20"/>
          <w:color w:val="auto"/>
        </w:rPr>
      </w:pPr>
    </w:p>
    <w:p>
      <w:pPr>
        <w:jc w:val="both"/>
        <w:ind w:firstLine="149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Adverse Law or Order</w:t>
      </w:r>
      <w:r>
        <w:rPr>
          <w:rFonts w:ascii="Arial" w:cs="Arial" w:eastAsia="Arial" w:hAnsi="Arial"/>
          <w:sz w:val="22"/>
          <w:szCs w:val="22"/>
          <w:color w:val="auto"/>
        </w:rPr>
        <w:t>” means (i) any Law shall have been enacted or promulgated by any Governmental Authority of competent jurisdiction which prohibits or makes illegal the consummation of the Merger or (ii) there shall be in effect any Order preventing the consummation of the Merger.</w:t>
      </w:r>
    </w:p>
    <w:p>
      <w:pPr>
        <w:spacing w:after="0" w:line="240" w:lineRule="exact"/>
        <w:rPr>
          <w:sz w:val="20"/>
          <w:szCs w:val="20"/>
          <w:color w:val="auto"/>
        </w:rPr>
      </w:pPr>
    </w:p>
    <w:p>
      <w:pPr>
        <w:jc w:val="both"/>
        <w:ind w:firstLine="1323"/>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collectively, the Sherman Antitrust Act of 1890, the Clayton Antitrust Act of 1914, the HSR Act, the Federal Trade Commission Act of 1914, the Israeli Economic Competition Law, 5748-1988, as amended, and all other Laws that are designed or intended to prohibit, restrict or regulate actions having the purpose or effect of monopolization or restraint of trade or significant impediments or lessening of competition through merger or acquisition, in any case that are applicable to the Merger.</w:t>
      </w:r>
    </w:p>
    <w:p>
      <w:pPr>
        <w:spacing w:after="0" w:line="241" w:lineRule="exact"/>
        <w:rPr>
          <w:sz w:val="20"/>
          <w:szCs w:val="20"/>
          <w:color w:val="auto"/>
        </w:rPr>
      </w:pPr>
    </w:p>
    <w:p>
      <w:pPr>
        <w:jc w:val="both"/>
        <w:ind w:firstLine="122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Days</w:t>
      </w:r>
      <w:r>
        <w:rPr>
          <w:rFonts w:ascii="Arial" w:cs="Arial" w:eastAsia="Arial" w:hAnsi="Arial"/>
          <w:sz w:val="22"/>
          <w:szCs w:val="22"/>
          <w:color w:val="auto"/>
        </w:rPr>
        <w:t>” means a day, other than Saturday, Sunday or other day on which commercial banks in New York, New York, and Tel Aviv, Israel are authorized or required by applicable Law to close.</w:t>
      </w:r>
    </w:p>
    <w:p>
      <w:pPr>
        <w:spacing w:after="0" w:line="229"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Act</w:t>
      </w:r>
      <w:r>
        <w:rPr>
          <w:rFonts w:ascii="Arial" w:cs="Arial" w:eastAsia="Arial" w:hAnsi="Arial"/>
          <w:sz w:val="22"/>
          <w:szCs w:val="22"/>
          <w:color w:val="auto"/>
        </w:rPr>
        <w:t>” means the Coronavirus Aid, Relief, and Economic Security Act (including any changes in state or local Law that are analogous to provisions of the CARES Act or adopted to conform to the CARES Act) and any legislative or regulatory guidance issued pursuant to such Laws.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8" w:name="page99"/>
    <w:bookmarkEnd w:id="98"/>
    <w:p>
      <w:pPr>
        <w:ind w:left="1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Charter Documents</w:t>
      </w:r>
      <w:r>
        <w:rPr>
          <w:rFonts w:ascii="Arial" w:cs="Arial" w:eastAsia="Arial" w:hAnsi="Arial"/>
          <w:sz w:val="19"/>
          <w:szCs w:val="19"/>
          <w:color w:val="auto"/>
        </w:rPr>
        <w:t>” means the certificate of incorporation and bylaws or equivalent organizational documents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 Person.</w:t>
      </w:r>
    </w:p>
    <w:p>
      <w:pPr>
        <w:spacing w:after="0" w:line="242"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60" w:lineRule="exact"/>
        <w:rPr>
          <w:sz w:val="20"/>
          <w:szCs w:val="20"/>
          <w:color w:val="auto"/>
        </w:rPr>
      </w:pPr>
    </w:p>
    <w:p>
      <w:pPr>
        <w:jc w:val="both"/>
        <w:ind w:firstLine="1363"/>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Equity Awards</w:t>
      </w:r>
      <w:r>
        <w:rPr>
          <w:rFonts w:ascii="Arial" w:cs="Arial" w:eastAsia="Arial" w:hAnsi="Arial"/>
          <w:sz w:val="22"/>
          <w:szCs w:val="22"/>
          <w:color w:val="auto"/>
        </w:rPr>
        <w:t>” means each outstanding award granted under the Company Equity Plans (including each outstanding Company Option, Company RSU and Company PSU).</w:t>
      </w:r>
    </w:p>
    <w:p>
      <w:pPr>
        <w:spacing w:after="0" w:line="229" w:lineRule="exact"/>
        <w:rPr>
          <w:sz w:val="20"/>
          <w:szCs w:val="20"/>
          <w:color w:val="auto"/>
        </w:rPr>
      </w:pPr>
    </w:p>
    <w:p>
      <w:pPr>
        <w:jc w:val="both"/>
        <w:ind w:right="20" w:firstLine="118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Equity Plans</w:t>
      </w:r>
      <w:r>
        <w:rPr>
          <w:rFonts w:ascii="Arial" w:cs="Arial" w:eastAsia="Arial" w:hAnsi="Arial"/>
          <w:sz w:val="22"/>
          <w:szCs w:val="22"/>
          <w:color w:val="auto"/>
        </w:rPr>
        <w:t>” means the Company’s 2013 Employee Share Incentive Plan and the Company’s Amended 2019 Incentive Compensation Plan.</w:t>
      </w:r>
    </w:p>
    <w:p>
      <w:pPr>
        <w:spacing w:after="0" w:line="229" w:lineRule="exact"/>
        <w:rPr>
          <w:sz w:val="20"/>
          <w:szCs w:val="20"/>
          <w:color w:val="auto"/>
        </w:rPr>
      </w:pPr>
    </w:p>
    <w:p>
      <w:pPr>
        <w:jc w:val="both"/>
        <w:ind w:firstLine="122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ERISA Affiliate</w:t>
      </w:r>
      <w:r>
        <w:rPr>
          <w:rFonts w:ascii="Arial" w:cs="Arial" w:eastAsia="Arial" w:hAnsi="Arial"/>
          <w:sz w:val="22"/>
          <w:szCs w:val="22"/>
          <w:color w:val="auto"/>
        </w:rPr>
        <w:t>” means any trade or business (whether or not incorporated), which is or within the last six (6) years, has been under common control with the Company within the meaning of Section 4001(b)(1) of ERISA, or which together with the Company is, or within the last six (6) years, has been treated as a single employer for purposes of Section 414(b), (c), (m), (o) or (t) of the Code.</w:t>
      </w:r>
    </w:p>
    <w:p>
      <w:pPr>
        <w:spacing w:after="0" w:line="239" w:lineRule="exact"/>
        <w:rPr>
          <w:sz w:val="20"/>
          <w:szCs w:val="20"/>
          <w:color w:val="auto"/>
        </w:rPr>
      </w:pPr>
    </w:p>
    <w:p>
      <w:pPr>
        <w:jc w:val="both"/>
        <w:ind w:firstLine="1512"/>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Intervening Event</w:t>
      </w:r>
      <w:r>
        <w:rPr>
          <w:rFonts w:ascii="Arial" w:cs="Arial" w:eastAsia="Arial" w:hAnsi="Arial"/>
          <w:sz w:val="21"/>
          <w:szCs w:val="21"/>
          <w:color w:val="auto"/>
        </w:rPr>
        <w:t xml:space="preserve">” means a material positive Effect on the business, assets, properties, financial condition or results of operations of the Company and the Company Subsidiaries, taken as a whole: (a) that was not known or reasonably foreseeable to the Company Board of Directors and the material consequences of which were not reasonably foreseeable, as of the date of this Agreement but become known to the Company Board of Directors prior to the receipt of the Company Shareholder Approval, and (b) that does not relate to any Competing Proposal;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Effect related to any of the following shall not constitute a Company Intervening Event: (i) the Effects arising from the announcement (whether or not authorized by the Parties, including any pre-signing reports in the press or otherwise, reporting on a potential transaction among the Parties or otherwise relating to the acquisition of the Company) or pendency of this Agreement or the Transactions; and (ii) any change in the trading price or trading volume of Company Shares on NASDAQ or any change in the Company’s credit rating.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jc w:val="both"/>
        <w:ind w:firstLine="1458"/>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xml:space="preserve">” means any Effect that, individually or in the aggregate, (a) is, or would reasonably be expected to be, materially adverse to the business, assets, properties, financial condition or results of operations of the Company and the Company Subsidiaries, taken as a whole;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Effects relating to the following will be deemed, either alone or in combination, to be or constitute a “</w:t>
      </w: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or be taken into account when determining whether a “</w:t>
      </w: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xml:space="preserve">” has occurred or may, would or could occur: (i) changes in the industry in which the Company and the Company Subsidiaries operate; (ii) general economic conditions; (iii) changes in securities markets, credit markets, currency markets or other financial markets; (iv) political conditions or changes in such conditions or acts of war, sabotage or terrorism (including any escalation or general worsening of any such acts of war, sabotage or terrorism); (v) earthquakes, hurricanes, tsunamis, tornadoes, floods, mudslides, wild fires or other natural disasters, weather conditions and other force majeure events; (vi) changes in Law or other legal or regulatory conditions (or the controlling interpretation thereof) or changes in GAAP or other accounting standards (or the interpretation thereof); (vii) Effects directly arising from the announcement (whether or not authorized by the Parties, including any pre signing reports in the press or otherwise, reporting on a potential transaction among the Parties or otherwise relating to the acquisition of the Company), or pendency of this Agreement or the Transactions, including the identity of, or Effects relating to, Parent or any of its affiliates or any communication by Parent or any of its affiliates regarding plans, proposals or projections with respect to the Company, the Company Subsidiaries or their employees (including any impact on the relationship of the Company or any the Company Subsidiaries, contractual or otherwise, with its customers, suppliers, distributors, vendors, licensors, licensees, lenders, employees or partners),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clause (vii) shall not apply with respect to any representation or warranty set forth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that by its terms addresses the consequences of the announcement or pendency of this Agreement or the Transactions;</w:t>
      </w:r>
    </w:p>
    <w:p>
      <w:pPr>
        <w:spacing w:after="0" w:line="17" w:lineRule="exact"/>
        <w:rPr>
          <w:sz w:val="20"/>
          <w:szCs w:val="20"/>
          <w:color w:val="auto"/>
        </w:rPr>
      </w:pPr>
    </w:p>
    <w:p>
      <w:pPr>
        <w:jc w:val="both"/>
        <w:ind w:firstLine="8"/>
        <w:spacing w:after="0" w:line="270" w:lineRule="auto"/>
        <w:tabs>
          <w:tab w:leader="none" w:pos="51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changes in the Company’s share price or the trading volume (including suspension of trading) of the Company’s share capital, or any failure by the Company to meet any public estimates or expectations of the Company’s revenue, earnings or other financial performance or results of operations for any period, or any failure by the Company to meet any internal budgets, plans or forecasts of its revenues, earnings or other financial performance or results of operations (but not, in each case, the underlying cause of such changes or failures, unless such changes or failures would otherwise be excepted from this definition); (ix) any breach, violation or non-performance of any provision of this Agreement by Parent or any of its affiliates; (x) actions or omissions by the Company under this Agreement taken or not taken at the request of Parent; and (xi) the effects of COVID-19, epidemics, pandemics, disease outbreaks or any COVID-19 Measures or any change in such COVID-19 Measures; except, in the case of each of clauses (i) through (vi) and clause (xi), to the extent such Effects disproportionately affect the Company and the Company Subsidiaries, taken as a whole, in any material respect relative to other companies of comparable size in the same industries in which the Company and the Company Subsidiaries operate (in which case only the incremental disproportionate impact will be taken into account in determining whether there has been a Company Material Adverse Effect), or (b) would prevent or materially impair the Company from consummating the Transactions (including the Merger) or performing any of its material obligations under this Agreement.</w:t>
      </w:r>
    </w:p>
    <w:p>
      <w:pPr>
        <w:spacing w:after="0" w:line="200" w:lineRule="exact"/>
        <w:rPr>
          <w:sz w:val="20"/>
          <w:szCs w:val="20"/>
          <w:color w:val="auto"/>
        </w:rPr>
      </w:pPr>
    </w:p>
    <w:p>
      <w:pPr>
        <w:spacing w:after="0" w:line="259" w:lineRule="exact"/>
        <w:rPr>
          <w:sz w:val="20"/>
          <w:szCs w:val="20"/>
          <w:color w:val="auto"/>
        </w:rPr>
      </w:pPr>
    </w:p>
    <w:p>
      <w:pPr>
        <w:jc w:val="both"/>
        <w:ind w:firstLine="118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Owned Intellectual Property</w:t>
      </w:r>
      <w:r>
        <w:rPr>
          <w:rFonts w:ascii="Arial" w:cs="Arial" w:eastAsia="Arial" w:hAnsi="Arial"/>
          <w:sz w:val="22"/>
          <w:szCs w:val="22"/>
          <w:color w:val="auto"/>
        </w:rPr>
        <w:t>” means any Intellectual Property that is owned or purported to be owned by the Company or any of the Company Subsidiaries.</w:t>
      </w:r>
    </w:p>
    <w:p>
      <w:pPr>
        <w:spacing w:after="0" w:line="229" w:lineRule="exact"/>
        <w:rPr>
          <w:sz w:val="20"/>
          <w:szCs w:val="20"/>
          <w:color w:val="auto"/>
        </w:rPr>
      </w:pPr>
    </w:p>
    <w:p>
      <w:pPr>
        <w:jc w:val="both"/>
        <w:ind w:firstLine="118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Plans</w:t>
      </w:r>
      <w:r>
        <w:rPr>
          <w:rFonts w:ascii="Arial" w:cs="Arial" w:eastAsia="Arial" w:hAnsi="Arial"/>
          <w:sz w:val="21"/>
          <w:szCs w:val="21"/>
          <w:color w:val="auto"/>
        </w:rPr>
        <w:t>” means (i) all employee benefit plans (as defined in Section 3(3) of ERISA, whether or not subject to ERISA), and (ii) all offer letter, employment, pension, bonus, stock option, stock purchase, restricted stock, restricted stock unit, other equity or equity-based incentive, cash-based incentive, retention incentive, compensatory change in control, profit sharing, vacation pay, paid time off, cafeteria plan, fringe benefit, deferred compensation, severance, salary continuation, supplemental termination pay, retiree medical or life insurance, retirement, supplemental retirement or other compensation or benefit plans, programs, agreements or arrangements, in each case, with respect to which the Company or any Company Subsidiary has or would reasonably be expected to have any liability or that are maintained by, contributed to (or required to be contributed to) or sponsored by the Company or any Company Subsidiary for the benefit of any current or former employee, director or other individual providing services to the Company or any Company Subsidiary, but excluding compensation and benefit plans, programs and arrangements required to be provided to current or former employee, director or other individual providing services to the Company or any Company Subsidiary, but which are sponsored or maintained by a Governmental Authority.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jc w:val="both"/>
        <w:ind w:firstLine="133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Products and Technology</w:t>
      </w:r>
      <w:r>
        <w:rPr>
          <w:rFonts w:ascii="Arial" w:cs="Arial" w:eastAsia="Arial" w:hAnsi="Arial"/>
          <w:sz w:val="19"/>
          <w:szCs w:val="19"/>
          <w:color w:val="auto"/>
        </w:rPr>
        <w:t>” means all (a) products, including all Software, designs, wafers, integrated circuits and other products, and services (including manufacturing and design services) of the Company or each of the Company Subsidiaries currently offered to actual or potential customers or currently supported, by the Company and the Company Subsidiaries (collectively, the “</w:t>
      </w:r>
      <w:r>
        <w:rPr>
          <w:rFonts w:ascii="Arial" w:cs="Arial" w:eastAsia="Arial" w:hAnsi="Arial"/>
          <w:sz w:val="19"/>
          <w:szCs w:val="19"/>
          <w:u w:val="single" w:color="auto"/>
          <w:color w:val="auto"/>
        </w:rPr>
        <w:t>Company Products</w:t>
      </w:r>
      <w:r>
        <w:rPr>
          <w:rFonts w:ascii="Arial" w:cs="Arial" w:eastAsia="Arial" w:hAnsi="Arial"/>
          <w:sz w:val="19"/>
          <w:szCs w:val="19"/>
          <w:color w:val="auto"/>
        </w:rPr>
        <w:t>” ); and (b) proprietary tools, other Software, datasets, designs, methods, materials, manufacturing processes and techniques and other proprietary technology (collectively, “</w:t>
      </w:r>
      <w:r>
        <w:rPr>
          <w:rFonts w:ascii="Arial" w:cs="Arial" w:eastAsia="Arial" w:hAnsi="Arial"/>
          <w:sz w:val="19"/>
          <w:szCs w:val="19"/>
          <w:u w:val="single" w:color="auto"/>
          <w:color w:val="auto"/>
        </w:rPr>
        <w:t>Technology</w:t>
      </w:r>
      <w:r>
        <w:rPr>
          <w:rFonts w:ascii="Arial" w:cs="Arial" w:eastAsia="Arial" w:hAnsi="Arial"/>
          <w:sz w:val="19"/>
          <w:szCs w:val="19"/>
          <w:color w:val="auto"/>
        </w:rPr>
        <w:t>”).</w:t>
      </w:r>
    </w:p>
    <w:p>
      <w:pPr>
        <w:spacing w:after="0" w:line="202" w:lineRule="exact"/>
        <w:rPr>
          <w:sz w:val="20"/>
          <w:szCs w:val="20"/>
          <w:color w:val="auto"/>
        </w:rPr>
      </w:pPr>
    </w:p>
    <w:p>
      <w:pPr>
        <w:jc w:val="both"/>
        <w:ind w:firstLine="126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PSU</w:t>
      </w:r>
      <w:r>
        <w:rPr>
          <w:rFonts w:ascii="Arial" w:cs="Arial" w:eastAsia="Arial" w:hAnsi="Arial"/>
          <w:sz w:val="19"/>
          <w:szCs w:val="19"/>
          <w:color w:val="auto"/>
        </w:rPr>
        <w:t>” means a performance share unit award entitling the holder thereof to receive the value of one or more Company Shares, whether payable in cash or Company Shares, in respect of each unit subject to such award.</w:t>
      </w:r>
    </w:p>
    <w:p>
      <w:pPr>
        <w:spacing w:after="0" w:line="159" w:lineRule="exact"/>
        <w:rPr>
          <w:sz w:val="20"/>
          <w:szCs w:val="20"/>
          <w:color w:val="auto"/>
        </w:rPr>
      </w:pPr>
    </w:p>
    <w:p>
      <w:pPr>
        <w:jc w:val="both"/>
        <w:ind w:firstLine="1363"/>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Registered Intellectual Property</w:t>
      </w:r>
      <w:r>
        <w:rPr>
          <w:rFonts w:ascii="Arial" w:cs="Arial" w:eastAsia="Arial" w:hAnsi="Arial"/>
          <w:sz w:val="22"/>
          <w:szCs w:val="22"/>
          <w:color w:val="auto"/>
        </w:rPr>
        <w:t>” means all Company Owned Intellectual Property that is Registered Intellectual Property.</w:t>
      </w:r>
    </w:p>
    <w:p>
      <w:pPr>
        <w:spacing w:after="0" w:line="229"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RSU</w:t>
      </w:r>
      <w:r>
        <w:rPr>
          <w:rFonts w:ascii="Arial" w:cs="Arial" w:eastAsia="Arial" w:hAnsi="Arial"/>
          <w:sz w:val="22"/>
          <w:szCs w:val="22"/>
          <w:color w:val="auto"/>
        </w:rPr>
        <w:t>” means a restricted stock unit award (other than a Company PSU) entitling the holder thereof to receive the value of one (1) Company Share, whether payable in cash or Company Shares, in respect of each unit subject to such award.</w:t>
      </w:r>
    </w:p>
    <w:p>
      <w:pPr>
        <w:spacing w:after="0" w:line="240"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Shareholder</w:t>
      </w:r>
      <w:r>
        <w:rPr>
          <w:rFonts w:ascii="Arial" w:cs="Arial" w:eastAsia="Arial" w:hAnsi="Arial"/>
          <w:sz w:val="22"/>
          <w:szCs w:val="22"/>
          <w:color w:val="auto"/>
        </w:rPr>
        <w:t>” means a holder of Company Shares.</w:t>
      </w:r>
    </w:p>
    <w:p>
      <w:pPr>
        <w:spacing w:after="0" w:line="260" w:lineRule="exact"/>
        <w:rPr>
          <w:sz w:val="20"/>
          <w:szCs w:val="20"/>
          <w:color w:val="auto"/>
        </w:rPr>
      </w:pPr>
    </w:p>
    <w:p>
      <w:pPr>
        <w:jc w:val="both"/>
        <w:ind w:firstLine="118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Shareholder Approval</w:t>
      </w:r>
      <w:r>
        <w:rPr>
          <w:rFonts w:ascii="Arial" w:cs="Arial" w:eastAsia="Arial" w:hAnsi="Arial"/>
          <w:sz w:val="22"/>
          <w:szCs w:val="22"/>
          <w:color w:val="auto"/>
        </w:rPr>
        <w:t>” means the affirmative vote of the holders of at least a majority of the outstanding voting power of the Company of the approval of this Agreement, the Merger and the consummation of the Transactions at the Company Special Meeting.</w:t>
      </w:r>
    </w:p>
    <w:p>
      <w:pPr>
        <w:spacing w:after="0" w:line="240" w:lineRule="exact"/>
        <w:rPr>
          <w:sz w:val="20"/>
          <w:szCs w:val="20"/>
          <w:color w:val="auto"/>
        </w:rPr>
      </w:pPr>
    </w:p>
    <w:p>
      <w:pPr>
        <w:jc w:val="both"/>
        <w:ind w:firstLine="126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Special Meeting</w:t>
      </w:r>
      <w:r>
        <w:rPr>
          <w:rFonts w:ascii="Arial" w:cs="Arial" w:eastAsia="Arial" w:hAnsi="Arial"/>
          <w:sz w:val="22"/>
          <w:szCs w:val="22"/>
          <w:color w:val="auto"/>
        </w:rPr>
        <w:t>” means an extraordinary general meeting of the Company Shareholders solely for the purpose of seeking (i) the Company Shareholder Approval, (ii) any postponement or adjournment thereof, and (iii) approval of the purchase by the Company of the D&amp;O Insurance in accordance with the terms of this Agreement (to the extent shareholder approval is required by applicable Law).</w:t>
      </w:r>
    </w:p>
    <w:p>
      <w:pPr>
        <w:spacing w:after="0" w:line="23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Competing Proposal</w:t>
      </w:r>
      <w:r>
        <w:rPr>
          <w:rFonts w:ascii="Arial" w:cs="Arial" w:eastAsia="Arial" w:hAnsi="Arial"/>
          <w:sz w:val="19"/>
          <w:szCs w:val="19"/>
          <w:color w:val="auto"/>
        </w:rPr>
        <w:t>” means any offer, inquiry, indication of interest or proposal made by a Person or group (as defined in the Exchange Act and the rules promulgated thereunder) (other than a proposal or offer by Parent or any of its Subsidiaries) at any time that contemplates, involves or otherwise relates to, through any transaction or series of transactions (other than the Transactions) (i) a merger, consolidation, business combination or similar transaction involving the Company pursuant to which the Company Shareholders immediately prior to such transaction or series of transactions would own less than 85% of any class of equity securities of the entity surviving or resulting from such transaction or series of transactions, (ii) such Person or group otherwise acquiring beneficial ownership (as defined under the Exchange Act and the rules promulgated thereunder) of at least 15% or more of the assets (on a consolidated basis with its Subsidiaries, as measured by fair market value as determined in good faith by the Company Board of Directors) of or equity interest (including Company Securities (or securities convertible into or exchangeable for, such securities)) in the Company (whether pursuant to a merger, consolidation or other business combination, sale of shares, sale of assets, tender offer or exchange offer or otherwise, including any single or multi-step or series of related transactions), or (iii) any direct or indirect sale, lease, exchange, transfer, license or disposition of assets representing 15% or more of the revenues, net income or assets (in each case, on a consolidated basis, as measured by fair market value as determined in good faith by the Company Board of Directors) of the Company and the Company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jc w:val="both"/>
        <w:ind w:firstLine="1404"/>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the Confidentiality Agreement, dated October 31, 2021, between Ultimate Parent and the Company, amended December 24, 2021, and as further amended.</w:t>
      </w:r>
    </w:p>
    <w:p>
      <w:pPr>
        <w:spacing w:after="0" w:line="227" w:lineRule="exact"/>
        <w:rPr>
          <w:sz w:val="20"/>
          <w:szCs w:val="20"/>
          <w:color w:val="auto"/>
        </w:rPr>
      </w:pPr>
    </w:p>
    <w:p>
      <w:pPr>
        <w:jc w:val="both"/>
        <w:ind w:firstLine="130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Employees</w:t>
      </w:r>
      <w:r>
        <w:rPr>
          <w:rFonts w:ascii="Arial" w:cs="Arial" w:eastAsia="Arial" w:hAnsi="Arial"/>
          <w:sz w:val="22"/>
          <w:szCs w:val="22"/>
          <w:color w:val="auto"/>
        </w:rPr>
        <w:t>” means those individuals who continue their employment with Company or its affiliates, as applicable, immediately following the Closing Date.</w:t>
      </w:r>
    </w:p>
    <w:p>
      <w:pPr>
        <w:spacing w:after="0" w:line="229" w:lineRule="exact"/>
        <w:rPr>
          <w:sz w:val="20"/>
          <w:szCs w:val="20"/>
          <w:color w:val="auto"/>
        </w:rPr>
      </w:pPr>
    </w:p>
    <w:p>
      <w:pPr>
        <w:jc w:val="both"/>
        <w:ind w:firstLine="126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legally binding agreement, arrangement, contract, subcontract, settlement agreement, lease, sublease, note, option, bond, mortgage, indenture, trust document, loan or credit agreement, license, sublicense, insurance policy or other legally binding commitment or undertaking of any nature.</w:t>
      </w:r>
    </w:p>
    <w:p>
      <w:pPr>
        <w:spacing w:after="0" w:line="240" w:lineRule="exact"/>
        <w:rPr>
          <w:sz w:val="20"/>
          <w:szCs w:val="20"/>
          <w:color w:val="auto"/>
        </w:rPr>
      </w:pPr>
    </w:p>
    <w:p>
      <w:pPr>
        <w:jc w:val="both"/>
        <w:ind w:right="20" w:firstLine="1512"/>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any and all copyrights, mask work rights and all other rights with respect to works of authorship and copyrightable subject matter (including Software) and any and all registrations thereof and applications therefor.</w:t>
      </w:r>
    </w:p>
    <w:p>
      <w:pPr>
        <w:spacing w:after="0" w:line="159" w:lineRule="exact"/>
        <w:rPr>
          <w:sz w:val="20"/>
          <w:szCs w:val="20"/>
          <w:color w:val="auto"/>
        </w:rPr>
      </w:pPr>
    </w:p>
    <w:p>
      <w:pPr>
        <w:jc w:val="both"/>
        <w:ind w:firstLine="125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w:t>
      </w:r>
      <w:r>
        <w:rPr>
          <w:rFonts w:ascii="Arial" w:cs="Arial" w:eastAsia="Arial" w:hAnsi="Arial"/>
          <w:sz w:val="22"/>
          <w:szCs w:val="22"/>
          <w:color w:val="auto"/>
        </w:rPr>
        <w:t>” means SARS-CoV-2 or COVID-19, and any evolutions or mutations thereof or related or associated epidemics, pandemic or disease outbreaks.</w:t>
      </w:r>
    </w:p>
    <w:p>
      <w:pPr>
        <w:spacing w:after="0" w:line="229" w:lineRule="exact"/>
        <w:rPr>
          <w:sz w:val="20"/>
          <w:szCs w:val="20"/>
          <w:color w:val="auto"/>
        </w:rPr>
      </w:pPr>
    </w:p>
    <w:p>
      <w:pPr>
        <w:jc w:val="both"/>
        <w:ind w:firstLine="1363"/>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 Measures</w:t>
      </w:r>
      <w:r>
        <w:rPr>
          <w:rFonts w:ascii="Arial" w:cs="Arial" w:eastAsia="Arial" w:hAnsi="Arial"/>
          <w:sz w:val="22"/>
          <w:szCs w:val="22"/>
          <w:color w:val="auto"/>
        </w:rPr>
        <w:t>” means any quarantine, “shelter in place,” “stay at home,” social distancing, shut down, closure, sequester, safety or similar Law, directive, guidelines or recommendations promulgated by any Governmental Authority, including the Centers for Disease Control, Prevention or the World Health Organization and the occupational Safety and Health Administration, in each case, in connection with, related to, or in response to COVID-19, including the CARES Act and Families First Coronavirus Response Act.</w:t>
      </w:r>
    </w:p>
    <w:p>
      <w:pPr>
        <w:spacing w:after="0" w:line="241" w:lineRule="exact"/>
        <w:rPr>
          <w:sz w:val="20"/>
          <w:szCs w:val="20"/>
          <w:color w:val="auto"/>
        </w:rPr>
      </w:pPr>
    </w:p>
    <w:p>
      <w:pPr>
        <w:jc w:val="both"/>
        <w:ind w:firstLine="122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Customs and Trade Laws</w:t>
      </w:r>
      <w:r>
        <w:rPr>
          <w:rFonts w:ascii="Arial" w:cs="Arial" w:eastAsia="Arial" w:hAnsi="Arial"/>
          <w:sz w:val="19"/>
          <w:szCs w:val="19"/>
          <w:color w:val="auto"/>
        </w:rPr>
        <w:t>” means all applicable export, import, customs, trade and anti-boycott Laws or programs administered, enacted or enforced by: (a) the United States (including the Export Control Reform Act of 2018 and implementing Export Administration Regulations and the anti-boycott Laws and regulations administered by the U.S. Departments of Commerce and Treasury); (b) Israel (including the Israel Defense Export Control Law – 2007 and regulations promulgated thereunder; and the Israel Control of Products and Services Declaration (Engagement in Encryption), 1974, as amended); (c) Japan; and (d) the European Commission (including, (i) Regulation (EU) 952/2013 laying down the Union Customs Code; (ii) Regulation (EU) 2015/2446 supplementing Regulation (EU) 952/2013 as regards detailed rules concerning certain provisions of the Union Customs Code; (iii) Regulation (EU) 2015/2447 laying down detailed rules for implementing certain provisions of Regulation (EU) 952/2013 laying down the Union Customs Code; and (iv) Regulation (EC) 428/2009 laying down regime for the control of exports, transfer, brokering and transit of dual-use items).</w:t>
      </w:r>
    </w:p>
    <w:p>
      <w:pPr>
        <w:spacing w:after="0" w:line="215"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DCSA</w:t>
      </w:r>
      <w:r>
        <w:rPr>
          <w:rFonts w:ascii="Arial" w:cs="Arial" w:eastAsia="Arial" w:hAnsi="Arial"/>
          <w:sz w:val="22"/>
          <w:szCs w:val="22"/>
          <w:color w:val="auto"/>
        </w:rPr>
        <w:t>” means the Defense Counterintelligence and Security Agency.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DOJ</w:t>
      </w:r>
      <w:r>
        <w:rPr>
          <w:rFonts w:ascii="Arial" w:cs="Arial" w:eastAsia="Arial" w:hAnsi="Arial"/>
          <w:sz w:val="22"/>
          <w:szCs w:val="22"/>
          <w:color w:val="auto"/>
        </w:rPr>
        <w:t>” means the Antitrust Division of the U.S. Department of Justice.</w:t>
      </w:r>
    </w:p>
    <w:p>
      <w:pPr>
        <w:spacing w:after="0" w:line="261"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Domain Names</w:t>
      </w:r>
      <w:r>
        <w:rPr>
          <w:rFonts w:ascii="Arial" w:cs="Arial" w:eastAsia="Arial" w:hAnsi="Arial"/>
          <w:sz w:val="22"/>
          <w:szCs w:val="22"/>
          <w:color w:val="auto"/>
        </w:rPr>
        <w:t>” means all Internet domain name registrations.</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w:t>
      </w:r>
      <w:r>
        <w:rPr>
          <w:rFonts w:ascii="Arial" w:cs="Arial" w:eastAsia="Arial" w:hAnsi="Arial"/>
          <w:sz w:val="19"/>
          <w:szCs w:val="19"/>
          <w:color w:val="auto"/>
        </w:rPr>
        <w:t>” means any change, effect, development, circumstance, condition, state of facts, event or occurrence.</w:t>
      </w:r>
    </w:p>
    <w:p>
      <w:pPr>
        <w:spacing w:after="0" w:line="295" w:lineRule="exact"/>
        <w:rPr>
          <w:sz w:val="20"/>
          <w:szCs w:val="20"/>
          <w:color w:val="auto"/>
        </w:rPr>
      </w:pPr>
    </w:p>
    <w:p>
      <w:pPr>
        <w:jc w:val="both"/>
        <w:ind w:firstLine="135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any Law, including common law, relating to (i) releases or threatened releases of Hazardous Substances, (ii) the manufacture, handling, transport, use, treatment, storage or disposal of Hazardous Substances and solid wastes, (iii) pollution or protection of the indoor or outdoor environment, human health (including occupational health) as it relates to exposures to Hazardous Substances or natural resources; and (iv) noise. The foregoing include, without limitation, the European Union’s Directives on the Restriction on Hazardous Substances (RoHS) and the Waste Electrical and Electronic Equipment (WEEE).</w:t>
      </w:r>
    </w:p>
    <w:p>
      <w:pPr>
        <w:spacing w:after="0" w:line="242" w:lineRule="exact"/>
        <w:rPr>
          <w:sz w:val="20"/>
          <w:szCs w:val="20"/>
          <w:color w:val="auto"/>
        </w:rPr>
      </w:pPr>
    </w:p>
    <w:p>
      <w:pPr>
        <w:jc w:val="both"/>
        <w:ind w:firstLine="156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regulations promulgated and rulings issued thereunder.</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United States Securities Exchange Act of 1934, as amended.</w:t>
      </w:r>
    </w:p>
    <w:p>
      <w:pPr>
        <w:spacing w:after="0" w:line="260" w:lineRule="exact"/>
        <w:rPr>
          <w:sz w:val="20"/>
          <w:szCs w:val="20"/>
          <w:color w:val="auto"/>
        </w:rPr>
      </w:pPr>
    </w:p>
    <w:p>
      <w:pPr>
        <w:jc w:val="both"/>
        <w:ind w:firstLine="147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means all out-of-pocket expenses (including all fees and expenses of counsel, financing sources, accountants, investment bankers, experts and consultants to a Party and its affiliates) incurred by a Party or on its behalf in connection with or related to the authorization, preparation, negotiation, execution and performance of this Agreement, the preparation, printing, filing and mailing of the Proxy Statement, the solicitation of equityholders and equityholder approvals, any filings with the SEC and all other matters related to the closing of the Merger and the other Transactions.</w:t>
      </w:r>
    </w:p>
    <w:p>
      <w:pPr>
        <w:spacing w:after="0" w:line="201" w:lineRule="exact"/>
        <w:rPr>
          <w:sz w:val="20"/>
          <w:szCs w:val="20"/>
          <w:color w:val="auto"/>
        </w:rPr>
      </w:pPr>
    </w:p>
    <w:p>
      <w:pPr>
        <w:jc w:val="both"/>
        <w:ind w:firstLine="130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FDI Laws</w:t>
      </w:r>
      <w:r>
        <w:rPr>
          <w:rFonts w:ascii="Arial" w:cs="Arial" w:eastAsia="Arial" w:hAnsi="Arial"/>
          <w:sz w:val="19"/>
          <w:szCs w:val="19"/>
          <w:color w:val="auto"/>
        </w:rPr>
        <w:t>” means any federal, state, provincial, territorial and foreign statutes, rules, regulations, governmental orders, administrative and judicial doctrines and other applicable Laws that are designed or intended to prohibit, restrict or regulate investments by Persons that are deemed a foreign entity or that may pose a threat to national security.</w:t>
      </w:r>
    </w:p>
    <w:p>
      <w:pPr>
        <w:spacing w:after="0" w:line="188"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FOCI</w:t>
      </w:r>
      <w:r>
        <w:rPr>
          <w:rFonts w:ascii="Arial" w:cs="Arial" w:eastAsia="Arial" w:hAnsi="Arial"/>
          <w:sz w:val="22"/>
          <w:szCs w:val="22"/>
          <w:color w:val="auto"/>
        </w:rPr>
        <w:t>” means foreign ownership, control, and influence.</w:t>
      </w:r>
    </w:p>
    <w:p>
      <w:pPr>
        <w:spacing w:after="0" w:line="260" w:lineRule="exact"/>
        <w:rPr>
          <w:sz w:val="20"/>
          <w:szCs w:val="20"/>
          <w:color w:val="auto"/>
        </w:rPr>
      </w:pPr>
    </w:p>
    <w:p>
      <w:pPr>
        <w:jc w:val="both"/>
        <w:ind w:right="20" w:firstLine="137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 Contract</w:t>
      </w:r>
      <w:r>
        <w:rPr>
          <w:rFonts w:ascii="Arial" w:cs="Arial" w:eastAsia="Arial" w:hAnsi="Arial"/>
          <w:sz w:val="19"/>
          <w:szCs w:val="19"/>
          <w:color w:val="auto"/>
        </w:rPr>
        <w:t>” means any Contract that is between the Company or any Company Subsidiary, on one hand, and a Governmental Authority, on the other hand, or entered into by the Company or any Company Subsidiary as a subcontractor at any tier in connection with a Contract between another Person and a Governmental Authority.</w:t>
      </w:r>
    </w:p>
    <w:p>
      <w:pPr>
        <w:spacing w:after="0" w:line="188" w:lineRule="exact"/>
        <w:rPr>
          <w:sz w:val="20"/>
          <w:szCs w:val="20"/>
          <w:color w:val="auto"/>
        </w:rPr>
      </w:pPr>
    </w:p>
    <w:p>
      <w:pPr>
        <w:jc w:val="both"/>
        <w:ind w:firstLine="1282"/>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 Grant</w:t>
      </w:r>
      <w:r>
        <w:rPr>
          <w:rFonts w:ascii="Arial" w:cs="Arial" w:eastAsia="Arial" w:hAnsi="Arial"/>
          <w:sz w:val="19"/>
          <w:szCs w:val="19"/>
          <w:color w:val="auto"/>
        </w:rPr>
        <w:t>” means any grant, incentive, qualification, subsidy, award, funding, participation, exemption, status, cost sharing arrangement, reimbursement arrangement or other benefit, relief or privilege, from the government of the State of Israel or any other Governmental Authority, or judicial body thereof, any outstanding application to receive the same filed by the Company or any of the Company Subsidiaries, including, any material Tax or other incentive granted to, provided or made available to, or enjoyed by the Company or any of the Company Subsidiaries, under the Laws of the State of Israel, and further including without limitation, by or on behalf of or under the authority of the Investment Center and IIA, the BIRD Foundation or any other bi/multi-national grant programs for research and development, the European Union, the Fund for Encouragement of Marketing Activities of the Israeli Government or any other Governmental Authority.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jc w:val="both"/>
        <w:ind w:firstLine="137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supranational, national, federal, state, county, municipal, local or foreign government, or other political subdivision thereof, or any arbitral body and any entity exercising executive, legislative, judicial, regulatory, taxing, administrative, prosecutorial or arbitral functions of or pertaining to government, including military forces.</w:t>
      </w:r>
    </w:p>
    <w:p>
      <w:pPr>
        <w:spacing w:after="0" w:line="188"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Substances</w:t>
      </w:r>
      <w:r>
        <w:rPr>
          <w:rFonts w:ascii="Arial" w:cs="Arial" w:eastAsia="Arial" w:hAnsi="Arial"/>
          <w:sz w:val="22"/>
          <w:szCs w:val="22"/>
          <w:color w:val="auto"/>
        </w:rPr>
        <w:t>” means (i) those substances, materials, contaminants or wastes defined in or regulated as “hazardous,” “toxic,” “radioactive,” a “pollutant,” or a “contaminant,” or words of similar import under any applicable Environmental Law, (ii) petroleum and petroleum products, including crude oil and any fractions thereof, (iii) natural gas, synthetic gas and any mixtures thereof, (iv) polychlorinated biphenyls, friable asbestos and radon, and (v) per- and polyfluoroalkyl substances (including PFAs, PFOA, PFOS, Gen X and PFBs).</w:t>
      </w:r>
    </w:p>
    <w:p>
      <w:pPr>
        <w:spacing w:after="0" w:line="241" w:lineRule="exact"/>
        <w:rPr>
          <w:sz w:val="20"/>
          <w:szCs w:val="20"/>
          <w:color w:val="auto"/>
        </w:rPr>
      </w:pPr>
    </w:p>
    <w:p>
      <w:pPr>
        <w:jc w:val="both"/>
        <w:ind w:right="20" w:firstLine="125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United States Hart-Scott-Rodino Antitrust Improvements Act of 1976, as amended, and the rules and regulations promulgated thereunder.</w:t>
      </w:r>
    </w:p>
    <w:p>
      <w:pPr>
        <w:spacing w:after="0" w:line="229" w:lineRule="exact"/>
        <w:rPr>
          <w:sz w:val="20"/>
          <w:szCs w:val="20"/>
          <w:color w:val="auto"/>
        </w:rPr>
      </w:pPr>
    </w:p>
    <w:p>
      <w:pPr>
        <w:jc w:val="both"/>
        <w:ind w:firstLine="124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IIA</w:t>
      </w:r>
      <w:r>
        <w:rPr>
          <w:rFonts w:ascii="Arial" w:cs="Arial" w:eastAsia="Arial" w:hAnsi="Arial"/>
          <w:sz w:val="22"/>
          <w:szCs w:val="22"/>
          <w:color w:val="auto"/>
        </w:rPr>
        <w:t>” means the Israeli Innovation Authority (previously known as the Office of Chief Scientist of the Ministry of Economy and Industry of Israel or the OCS).</w:t>
      </w:r>
    </w:p>
    <w:p>
      <w:pPr>
        <w:spacing w:after="0" w:line="229" w:lineRule="exact"/>
        <w:rPr>
          <w:sz w:val="20"/>
          <w:szCs w:val="20"/>
          <w:color w:val="auto"/>
        </w:rPr>
      </w:pPr>
    </w:p>
    <w:p>
      <w:pPr>
        <w:jc w:val="both"/>
        <w:ind w:right="20" w:firstLine="121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IIA Notice</w:t>
      </w:r>
      <w:r>
        <w:rPr>
          <w:rFonts w:ascii="Arial" w:cs="Arial" w:eastAsia="Arial" w:hAnsi="Arial"/>
          <w:sz w:val="22"/>
          <w:szCs w:val="22"/>
          <w:color w:val="auto"/>
        </w:rPr>
        <w:t>” means a written notice of the Company to the IIA regarding the change in ownership of the Company effected as a result of the Merger, required to be submitted to the IIA in connection with the Merger in accordance with the Israeli Encouragement of Research, Development and Technological Innovation in the Industry Law 5744-1984 and the IIA’s regulations.</w:t>
      </w:r>
    </w:p>
    <w:p>
      <w:pPr>
        <w:spacing w:after="0" w:line="239" w:lineRule="exact"/>
        <w:rPr>
          <w:sz w:val="20"/>
          <w:szCs w:val="20"/>
          <w:color w:val="auto"/>
        </w:rPr>
      </w:pPr>
    </w:p>
    <w:p>
      <w:pPr>
        <w:jc w:val="both"/>
        <w:ind w:firstLine="118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IIA Undertaking</w:t>
      </w:r>
      <w:r>
        <w:rPr>
          <w:rFonts w:ascii="Arial" w:cs="Arial" w:eastAsia="Arial" w:hAnsi="Arial"/>
          <w:sz w:val="22"/>
          <w:szCs w:val="22"/>
          <w:color w:val="auto"/>
        </w:rPr>
        <w:t xml:space="preserve">” means a completed and executed undertaking of the Parent to the IIA in the form attached hereto as </w:t>
      </w:r>
      <w:r>
        <w:rPr>
          <w:rFonts w:ascii="Arial" w:cs="Arial" w:eastAsia="Arial" w:hAnsi="Arial"/>
          <w:sz w:val="22"/>
          <w:szCs w:val="22"/>
          <w:u w:val="single" w:color="auto"/>
          <w:color w:val="auto"/>
        </w:rPr>
        <w:t>Schedule 3.5(b)</w:t>
      </w:r>
      <w:r>
        <w:rPr>
          <w:rFonts w:ascii="Arial" w:cs="Arial" w:eastAsia="Arial" w:hAnsi="Arial"/>
          <w:sz w:val="22"/>
          <w:szCs w:val="22"/>
          <w:color w:val="auto"/>
        </w:rPr>
        <w:t>.</w:t>
      </w:r>
    </w:p>
    <w:p>
      <w:pPr>
        <w:spacing w:after="0" w:line="229" w:lineRule="exact"/>
        <w:rPr>
          <w:sz w:val="20"/>
          <w:szCs w:val="20"/>
          <w:color w:val="auto"/>
        </w:rPr>
      </w:pPr>
    </w:p>
    <w:p>
      <w:pPr>
        <w:jc w:val="both"/>
        <w:ind w:firstLine="1323"/>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any indebtedness of such Person (excluding accrued expenses and trade payables), whether or not contingent (a) in respect of the principal of and premium (if any) in respect of all indebtedness for borrowed money, including accrued interest and any per diem interest accruals, (b) in respect of the principal of and premium (if any) in respect of obligations evidenced by bonds, debentures, notes and similar instruments, whether secured or unsecured,(c) in respect of banker’s acceptances, bank guarantees, letters of credits or similar instruments (not including any undrawn amounts under standby letters of credit); (d) representing capital lease obligations; (e) representing the balance deferred and unpaid of the purchase price of any property, equipment or services, including “earn outs” and “seller notes”; (f) the termination value of interest rate protection agreements and currency obligation swaps, hedges or similar arrangements; or (g) breakage costs, prepayment or early termination premiums, penalties, or other fees or expenses payable as a result of the consummation of the transactions contemplated hereby in respect of any of the items in the foregoing clauses (a) through (f). In addition, the term “</w:t>
      </w:r>
      <w:r>
        <w:rPr>
          <w:rFonts w:ascii="Arial" w:cs="Arial" w:eastAsia="Arial" w:hAnsi="Arial"/>
          <w:sz w:val="19"/>
          <w:szCs w:val="19"/>
          <w:u w:val="single" w:color="auto"/>
          <w:color w:val="auto"/>
        </w:rPr>
        <w:t>Indebtedness</w:t>
      </w:r>
      <w:r>
        <w:rPr>
          <w:rFonts w:ascii="Arial" w:cs="Arial" w:eastAsia="Arial" w:hAnsi="Arial"/>
          <w:sz w:val="19"/>
          <w:szCs w:val="19"/>
          <w:color w:val="auto"/>
        </w:rPr>
        <w:t>” includes all Indebtedness of others secured by a Lien on any asset of the specified Person (whether or not such Indebtedness is assumed by the specified Person) and, to the extent not otherwise included, the guarantee by the specified Person or is otherwise such Person’s legal liability of any Indebtedness of any other Person.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jc w:val="both"/>
        <w:ind w:firstLine="12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any of the following or any of the rights associated with or arising out of any of the following: (a) Patents; (b) Trade Secrets; (c) Copyrights; (d) Trademarks; (e) Domain Names; and (f) any intellectual property rights similar, corresponding or equivalent to any of the foregoing anywhere in the world.</w:t>
      </w:r>
    </w:p>
    <w:p>
      <w:pPr>
        <w:spacing w:after="0" w:line="241"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Center</w:t>
      </w:r>
      <w:r>
        <w:rPr>
          <w:rFonts w:ascii="Arial" w:cs="Arial" w:eastAsia="Arial" w:hAnsi="Arial"/>
          <w:sz w:val="21"/>
          <w:szCs w:val="21"/>
          <w:color w:val="auto"/>
        </w:rPr>
        <w:t>” means the Israeli Investment Center of the Israeli Ministry of Economy and Industry.</w:t>
      </w:r>
    </w:p>
    <w:p>
      <w:pPr>
        <w:spacing w:after="0" w:line="272" w:lineRule="exact"/>
        <w:rPr>
          <w:sz w:val="20"/>
          <w:szCs w:val="20"/>
          <w:color w:val="auto"/>
        </w:rPr>
      </w:pPr>
    </w:p>
    <w:p>
      <w:pPr>
        <w:jc w:val="both"/>
        <w:ind w:firstLine="124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Center Approval</w:t>
      </w:r>
      <w:r>
        <w:rPr>
          <w:rFonts w:ascii="Arial" w:cs="Arial" w:eastAsia="Arial" w:hAnsi="Arial"/>
          <w:sz w:val="22"/>
          <w:szCs w:val="22"/>
          <w:color w:val="auto"/>
        </w:rPr>
        <w:t>” means the approval by the Investment Center regarding the change in ownership of the Company to be effected by the Merger.</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ISA</w:t>
      </w:r>
      <w:r>
        <w:rPr>
          <w:rFonts w:ascii="Arial" w:cs="Arial" w:eastAsia="Arial" w:hAnsi="Arial"/>
          <w:sz w:val="22"/>
          <w:szCs w:val="22"/>
          <w:color w:val="auto"/>
        </w:rPr>
        <w:t>” shall mean the Israeli Securities Authority.</w:t>
      </w:r>
    </w:p>
    <w:p>
      <w:pPr>
        <w:spacing w:after="0" w:line="260" w:lineRule="exact"/>
        <w:rPr>
          <w:sz w:val="20"/>
          <w:szCs w:val="20"/>
          <w:color w:val="auto"/>
        </w:rPr>
      </w:pPr>
    </w:p>
    <w:p>
      <w:pPr>
        <w:jc w:val="both"/>
        <w:ind w:firstLine="125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Israeli Company Subsidiaries</w:t>
      </w:r>
      <w:r>
        <w:rPr>
          <w:rFonts w:ascii="Arial" w:cs="Arial" w:eastAsia="Arial" w:hAnsi="Arial"/>
          <w:sz w:val="22"/>
          <w:szCs w:val="22"/>
          <w:color w:val="auto"/>
        </w:rPr>
        <w:t>” means Subsidiaries of the Company that are Israeli Tax residents or that are liable for Tax (including Tax reporting) in Israel.</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Israeli Securities Law</w:t>
      </w:r>
      <w:r>
        <w:rPr>
          <w:rFonts w:ascii="Arial" w:cs="Arial" w:eastAsia="Arial" w:hAnsi="Arial"/>
          <w:sz w:val="19"/>
          <w:szCs w:val="19"/>
          <w:color w:val="auto"/>
        </w:rPr>
        <w:t>” shall mean the Israeli Securities Law, 5728-1968 and the rules and regulations promulgated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242"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ITA</w:t>
      </w:r>
      <w:r>
        <w:rPr>
          <w:rFonts w:ascii="Arial" w:cs="Arial" w:eastAsia="Arial" w:hAnsi="Arial"/>
          <w:sz w:val="22"/>
          <w:szCs w:val="22"/>
          <w:color w:val="auto"/>
        </w:rPr>
        <w:t>” means the Israeli Tax Authority.</w:t>
      </w:r>
    </w:p>
    <w:p>
      <w:pPr>
        <w:spacing w:after="0" w:line="260" w:lineRule="exact"/>
        <w:rPr>
          <w:sz w:val="20"/>
          <w:szCs w:val="20"/>
          <w:color w:val="auto"/>
        </w:rPr>
      </w:pPr>
    </w:p>
    <w:p>
      <w:pPr>
        <w:jc w:val="both"/>
        <w:ind w:firstLine="132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Parent</w:t>
      </w:r>
      <w:r>
        <w:rPr>
          <w:rFonts w:ascii="Arial" w:cs="Arial" w:eastAsia="Arial" w:hAnsi="Arial"/>
          <w:sz w:val="22"/>
          <w:szCs w:val="22"/>
          <w:color w:val="auto"/>
        </w:rPr>
        <w:t xml:space="preserve">” means the actual knowledge of each of the individuals listed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Parent Disclosure Letter, after reasonable inquiry of the persons who would reasonably be expected to have actual knowledge of the applicable matter.</w:t>
      </w:r>
    </w:p>
    <w:p>
      <w:pPr>
        <w:spacing w:after="0" w:line="240" w:lineRule="exact"/>
        <w:rPr>
          <w:sz w:val="20"/>
          <w:szCs w:val="20"/>
          <w:color w:val="auto"/>
        </w:rPr>
      </w:pPr>
    </w:p>
    <w:p>
      <w:pPr>
        <w:jc w:val="both"/>
        <w:ind w:firstLine="132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the Company</w:t>
      </w:r>
      <w:r>
        <w:rPr>
          <w:rFonts w:ascii="Arial" w:cs="Arial" w:eastAsia="Arial" w:hAnsi="Arial"/>
          <w:sz w:val="22"/>
          <w:szCs w:val="22"/>
          <w:color w:val="auto"/>
        </w:rPr>
        <w:t xml:space="preserve">” means the actual knowledge of each of the individuals listed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Company Disclosure Letter, after reasonable inquiry of the persons who would reasonably be expected to have actual knowledge of the applicable matter.</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Labor Organization</w:t>
      </w:r>
      <w:r>
        <w:rPr>
          <w:rFonts w:ascii="Arial" w:cs="Arial" w:eastAsia="Arial" w:hAnsi="Arial"/>
          <w:sz w:val="19"/>
          <w:szCs w:val="19"/>
          <w:color w:val="auto"/>
        </w:rPr>
        <w:t>” means any labor or trade union, labor organization, employee representative body or works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council.</w:t>
      </w:r>
    </w:p>
    <w:p>
      <w:pPr>
        <w:spacing w:after="0" w:line="242" w:lineRule="exact"/>
        <w:rPr>
          <w:sz w:val="20"/>
          <w:szCs w:val="20"/>
          <w:color w:val="auto"/>
        </w:rPr>
      </w:pPr>
    </w:p>
    <w:p>
      <w:pPr>
        <w:jc w:val="both"/>
        <w:ind w:firstLine="1323"/>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statute, code, rule, regulation, ordinance, rule of common law, or other pronouncement of any Governmental Authority having the effect of law.</w:t>
      </w:r>
    </w:p>
    <w:p>
      <w:pPr>
        <w:spacing w:after="0" w:line="229" w:lineRule="exact"/>
        <w:rPr>
          <w:sz w:val="20"/>
          <w:szCs w:val="20"/>
          <w:color w:val="auto"/>
        </w:rPr>
      </w:pPr>
    </w:p>
    <w:p>
      <w:pPr>
        <w:jc w:val="both"/>
        <w:ind w:firstLine="118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lien, pledge, hypothecation, mortgage, security interest, encumbrance, claim, option, right of first refusal,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w:t>
      </w:r>
    </w:p>
    <w:p>
      <w:pPr>
        <w:spacing w:after="0" w:line="239"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Global Select Market.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jc w:val="both"/>
        <w:ind w:firstLine="1512"/>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NISPOM</w:t>
      </w:r>
      <w:r>
        <w:rPr>
          <w:rFonts w:ascii="Arial" w:cs="Arial" w:eastAsia="Arial" w:hAnsi="Arial"/>
          <w:sz w:val="22"/>
          <w:szCs w:val="22"/>
          <w:color w:val="auto"/>
        </w:rPr>
        <w:t xml:space="preserve">” means the National Industrial Security Program Operating Manual, DoD Manual 5220.22-M as codified in 32 C.F.R. part 117 </w:t>
      </w:r>
      <w:r>
        <w:rPr>
          <w:rFonts w:ascii="Arial" w:cs="Arial" w:eastAsia="Arial" w:hAnsi="Arial"/>
          <w:sz w:val="22"/>
          <w:szCs w:val="22"/>
          <w:i w:val="1"/>
          <w:iCs w:val="1"/>
          <w:color w:val="auto"/>
        </w:rPr>
        <w:t>et seq</w:t>
      </w:r>
      <w:r>
        <w:rPr>
          <w:rFonts w:ascii="Arial" w:cs="Arial" w:eastAsia="Arial" w:hAnsi="Arial"/>
          <w:sz w:val="22"/>
          <w:szCs w:val="22"/>
          <w:color w:val="auto"/>
        </w:rPr>
        <w:t>., including any applicable provisions of supplements, amendments or revised editions thereof.</w:t>
      </w:r>
    </w:p>
    <w:p>
      <w:pPr>
        <w:spacing w:after="0" w:line="225" w:lineRule="exact"/>
        <w:rPr>
          <w:sz w:val="20"/>
          <w:szCs w:val="20"/>
          <w:color w:val="auto"/>
        </w:rPr>
      </w:pPr>
    </w:p>
    <w:p>
      <w:pPr>
        <w:jc w:val="both"/>
        <w:ind w:firstLine="1512"/>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Open Source Materials</w:t>
      </w:r>
      <w:r>
        <w:rPr>
          <w:rFonts w:ascii="Arial" w:cs="Arial" w:eastAsia="Arial" w:hAnsi="Arial"/>
          <w:sz w:val="19"/>
          <w:szCs w:val="19"/>
          <w:color w:val="auto"/>
        </w:rPr>
        <w:t>” refers to any software or other material that is distributed pursuant to any license identified as an open source license by the Open Source Initiative (including but not limited to the GNU General Public License (GPL), Affero GPL, LGPL, Mozilla Public License (MPL), BSD licenses, the Artistic License, the Netscape Public License, the Sun Community Source License (SCSL), the Sun Industry Standards License (SISL), and the Apache License).</w:t>
      </w:r>
    </w:p>
    <w:p>
      <w:pPr>
        <w:spacing w:after="0" w:line="19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Order</w:t>
      </w:r>
      <w:r>
        <w:rPr>
          <w:rFonts w:ascii="Arial" w:cs="Arial" w:eastAsia="Arial" w:hAnsi="Arial"/>
          <w:sz w:val="19"/>
          <w:szCs w:val="19"/>
          <w:color w:val="auto"/>
        </w:rPr>
        <w:t>” means any injunction, judgment, decree or other order issued by a Governmental Authority of competent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jurisdiction.</w:t>
      </w:r>
    </w:p>
    <w:p>
      <w:pPr>
        <w:spacing w:after="0" w:line="242" w:lineRule="exact"/>
        <w:rPr>
          <w:sz w:val="20"/>
          <w:szCs w:val="20"/>
          <w:color w:val="auto"/>
        </w:rPr>
      </w:pPr>
    </w:p>
    <w:p>
      <w:pPr>
        <w:jc w:val="both"/>
        <w:ind w:firstLine="152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Ordinance</w:t>
      </w:r>
      <w:r>
        <w:rPr>
          <w:rFonts w:ascii="Arial" w:cs="Arial" w:eastAsia="Arial" w:hAnsi="Arial"/>
          <w:sz w:val="22"/>
          <w:szCs w:val="22"/>
          <w:color w:val="auto"/>
        </w:rPr>
        <w:t>” means the Israeli Income Tax Ordinance [New Version], 1961, as amended, and the rules and regulations promulgated thereunder.</w:t>
      </w:r>
    </w:p>
    <w:p>
      <w:pPr>
        <w:spacing w:after="0" w:line="229" w:lineRule="exact"/>
        <w:rPr>
          <w:sz w:val="20"/>
          <w:szCs w:val="20"/>
          <w:color w:val="auto"/>
        </w:rPr>
      </w:pPr>
    </w:p>
    <w:p>
      <w:pPr>
        <w:jc w:val="both"/>
        <w:ind w:firstLine="135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Material Adverse Effect</w:t>
      </w:r>
      <w:r>
        <w:rPr>
          <w:rFonts w:ascii="Arial" w:cs="Arial" w:eastAsia="Arial" w:hAnsi="Arial"/>
          <w:sz w:val="21"/>
          <w:szCs w:val="21"/>
          <w:color w:val="auto"/>
        </w:rPr>
        <w:t>” means any Effect on Ultimate Parent, Parent or any of their Subsidiaries that, individually or in the aggregate (i) materially impairs the ability of Ultimate Parent, Parent or Merger Sub to perform its obligations under this Agreement or (ii) would prevent Parent or Merger Sub from consummating the Merger.</w:t>
      </w:r>
    </w:p>
    <w:p>
      <w:pPr>
        <w:spacing w:after="0" w:line="223" w:lineRule="exact"/>
        <w:rPr>
          <w:sz w:val="20"/>
          <w:szCs w:val="20"/>
          <w:color w:val="auto"/>
        </w:rPr>
      </w:pPr>
    </w:p>
    <w:p>
      <w:pPr>
        <w:jc w:val="both"/>
        <w:ind w:firstLine="118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Specified Representations</w:t>
      </w:r>
      <w:r>
        <w:rPr>
          <w:rFonts w:ascii="Arial" w:cs="Arial" w:eastAsia="Arial" w:hAnsi="Arial"/>
          <w:sz w:val="19"/>
          <w:szCs w:val="19"/>
          <w:color w:val="auto"/>
        </w:rPr>
        <w:t xml:space="preserve">” means the representations and warranties of Ultimate Parent and Parent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(Corporate Organization),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(Authority Relative to this Agreement) and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(Sufficient Funds).</w:t>
      </w:r>
    </w:p>
    <w:p>
      <w:pPr>
        <w:spacing w:after="0" w:line="159" w:lineRule="exact"/>
        <w:rPr>
          <w:sz w:val="20"/>
          <w:szCs w:val="20"/>
          <w:color w:val="auto"/>
        </w:rPr>
      </w:pPr>
    </w:p>
    <w:p>
      <w:pPr>
        <w:jc w:val="both"/>
        <w:ind w:firstLine="164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means patents and patent applications, together with all reissuances, divisionals, continuations, continuations-in-part, revisions, renewals, extensions, and reexaminations thereof (and all foreign counterparts of any of the foregoing).</w:t>
      </w:r>
    </w:p>
    <w:p>
      <w:pPr>
        <w:spacing w:after="0" w:line="240" w:lineRule="exact"/>
        <w:rPr>
          <w:sz w:val="20"/>
          <w:szCs w:val="20"/>
          <w:color w:val="auto"/>
        </w:rPr>
      </w:pPr>
    </w:p>
    <w:p>
      <w:pPr>
        <w:jc w:val="both"/>
        <w:ind w:firstLine="1323"/>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w:t>
      </w:r>
      <w:r>
        <w:rPr>
          <w:rFonts w:ascii="Arial" w:cs="Arial" w:eastAsia="Arial" w:hAnsi="Arial"/>
          <w:sz w:val="19"/>
          <w:szCs w:val="19"/>
          <w:color w:val="auto"/>
        </w:rPr>
        <w:t>” means any Lien (i) for Taxes or assessments, charges or claims of payment of a Governmental Authority that are not yet delinquent or which are being contested in good faith, (ii) which is a carriers’, warehousemen’s, mechanics’, materialmen’s, repairmen’s or other similar Lien arising in the ordinary course of business which are not delinquent or which are being contested in good faith and in both cases for which accruals or reserves have been established in accordance with GAAP, (iii) which is disclosed on the Most Recent Company Balance Sheet or notes thereto, (iv) which would not reasonably be expected to materially impair the continued use of the applicable property for the purposes for which the property is currently being used, (v) as to any Company Real Property Lease, which would affect solely the interest of the landlord thereunder and not the interest of the tenant thereunder, which do not materially impair the value or use of such Leased Real Property, (vi) that relate to any zoning, land use, covenants, conditions and restrictions, matters that would be shown by a real property survey or similar matters affecting the Company’s real property, (vii) relating to intercompany borrowings solely among the Company and its wholly owned Subsidiaries and (ix) that is a nonexclusive license of Intellectual Property granted in the ordinary course of business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6" w:name="page107"/>
    <w:bookmarkEnd w:id="106"/>
    <w:p>
      <w:pPr>
        <w:jc w:val="both"/>
        <w:ind w:right="20" w:firstLine="139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 natural person, partnership, corporation, limited liability company, business trust, joint stock company, trust, unincorporated association, joint venture, Governmental Authority or other entity or organization.</w:t>
      </w:r>
    </w:p>
    <w:p>
      <w:pPr>
        <w:spacing w:after="0" w:line="205" w:lineRule="exact"/>
        <w:rPr>
          <w:sz w:val="20"/>
          <w:szCs w:val="20"/>
          <w:color w:val="auto"/>
        </w:rPr>
      </w:pPr>
    </w:p>
    <w:p>
      <w:pPr>
        <w:jc w:val="both"/>
        <w:ind w:firstLine="14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means any information or data that is defined as “personally identifiable information,” “personal information,” “protected health information,” “personal data” or any other similar term, under applicable Privacy Requirements.</w:t>
      </w:r>
    </w:p>
    <w:p>
      <w:pPr>
        <w:spacing w:after="0" w:line="240" w:lineRule="exact"/>
        <w:rPr>
          <w:sz w:val="20"/>
          <w:szCs w:val="20"/>
          <w:color w:val="auto"/>
        </w:rPr>
      </w:pPr>
    </w:p>
    <w:p>
      <w:pPr>
        <w:jc w:val="both"/>
        <w:ind w:firstLine="130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Privacy Requirements</w:t>
      </w:r>
      <w:r>
        <w:rPr>
          <w:rFonts w:ascii="Arial" w:cs="Arial" w:eastAsia="Arial" w:hAnsi="Arial"/>
          <w:sz w:val="21"/>
          <w:szCs w:val="21"/>
          <w:color w:val="auto"/>
        </w:rPr>
        <w:t>” means all Laws, contractual commitments and policies and procedures applicable to the Company or any Company Subsidiary governing the protection or processing of Personal Information.</w:t>
      </w:r>
    </w:p>
    <w:p>
      <w:pPr>
        <w:spacing w:after="0" w:line="205"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Proxy Statement</w:t>
      </w:r>
      <w:r>
        <w:rPr>
          <w:rFonts w:ascii="Arial" w:cs="Arial" w:eastAsia="Arial" w:hAnsi="Arial"/>
          <w:sz w:val="22"/>
          <w:szCs w:val="22"/>
          <w:color w:val="auto"/>
        </w:rPr>
        <w:t>” means a proxy statement to be sent to the Company Shareholders (together with any amendments or supplements thereto) with respect to the Company Special Meeting.</w:t>
      </w:r>
    </w:p>
    <w:p>
      <w:pPr>
        <w:spacing w:after="0" w:line="229" w:lineRule="exact"/>
        <w:rPr>
          <w:sz w:val="20"/>
          <w:szCs w:val="20"/>
          <w:color w:val="auto"/>
        </w:rPr>
      </w:pPr>
    </w:p>
    <w:p>
      <w:pPr>
        <w:jc w:val="both"/>
        <w:ind w:firstLine="126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Intellectual Property</w:t>
      </w:r>
      <w:r>
        <w:rPr>
          <w:rFonts w:ascii="Arial" w:cs="Arial" w:eastAsia="Arial" w:hAnsi="Arial"/>
          <w:sz w:val="22"/>
          <w:szCs w:val="22"/>
          <w:color w:val="auto"/>
        </w:rPr>
        <w:t>” means any Intellectual Property that is the subject of an application, certificate, filing or registration issued, filed with, or recorded by any Governmental Authority, including any of the following: (a) issued Patents and Patent applications; (b) Trademark registrations, renewals and applications; (c) Copyright registrations and applications; and (d) Domain Name registrations.</w:t>
      </w:r>
    </w:p>
    <w:p>
      <w:pPr>
        <w:spacing w:after="0" w:line="239"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Laws</w:t>
      </w:r>
      <w:r>
        <w:rPr>
          <w:rFonts w:ascii="Arial" w:cs="Arial" w:eastAsia="Arial" w:hAnsi="Arial"/>
          <w:sz w:val="22"/>
          <w:szCs w:val="22"/>
          <w:color w:val="auto"/>
        </w:rPr>
        <w:t>” means (a) Antitrust Laws and (b) FDI Laws.</w:t>
      </w:r>
    </w:p>
    <w:p>
      <w:pPr>
        <w:spacing w:after="0" w:line="260" w:lineRule="exact"/>
        <w:rPr>
          <w:sz w:val="20"/>
          <w:szCs w:val="20"/>
          <w:color w:val="auto"/>
        </w:rPr>
      </w:pPr>
    </w:p>
    <w:p>
      <w:pPr>
        <w:jc w:val="both"/>
        <w:ind w:firstLine="16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when used with respect to Parent, Merger Sub, the Company, or the Company Subsidiaries, the directors, officers, employees, consultants, financial advisors, accountants, legal counsel, investment bankers, lenders and other agents, advisors and representatives of Parent or the Company, as applicable, and the Company Subsidiaries.</w:t>
      </w:r>
    </w:p>
    <w:p>
      <w:pPr>
        <w:spacing w:after="0" w:line="188" w:lineRule="exact"/>
        <w:rPr>
          <w:sz w:val="20"/>
          <w:szCs w:val="20"/>
          <w:color w:val="auto"/>
        </w:rPr>
      </w:pPr>
    </w:p>
    <w:p>
      <w:pPr>
        <w:jc w:val="both"/>
        <w:ind w:firstLine="125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Person</w:t>
      </w:r>
      <w:r>
        <w:rPr>
          <w:rFonts w:ascii="Arial" w:cs="Arial" w:eastAsia="Arial" w:hAnsi="Arial"/>
          <w:sz w:val="22"/>
          <w:szCs w:val="22"/>
          <w:color w:val="auto"/>
        </w:rPr>
        <w:t>” means any Person or entity identified on the U.S. Department of Commerce’s Denied Persons List, Unverified List or Entity List, or the U.S. Department of State’s Debarred List.</w:t>
      </w:r>
    </w:p>
    <w:p>
      <w:pPr>
        <w:spacing w:after="0" w:line="229" w:lineRule="exact"/>
        <w:rPr>
          <w:sz w:val="20"/>
          <w:szCs w:val="20"/>
          <w:color w:val="auto"/>
        </w:rPr>
      </w:pPr>
    </w:p>
    <w:p>
      <w:pPr>
        <w:jc w:val="both"/>
        <w:ind w:firstLine="120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Jurisdiction</w:t>
      </w:r>
      <w:r>
        <w:rPr>
          <w:rFonts w:ascii="Arial" w:cs="Arial" w:eastAsia="Arial" w:hAnsi="Arial"/>
          <w:sz w:val="22"/>
          <w:szCs w:val="22"/>
          <w:color w:val="auto"/>
        </w:rPr>
        <w:t>” means a country or territory that is itself the subject or target of comprehensive Sanctions (at the time of this Agreement, Cuba, Iran, North Korea, Syria, and the Crimea region).</w:t>
      </w:r>
    </w:p>
    <w:p>
      <w:pPr>
        <w:spacing w:after="0" w:line="229" w:lineRule="exact"/>
        <w:rPr>
          <w:sz w:val="20"/>
          <w:szCs w:val="20"/>
          <w:color w:val="auto"/>
        </w:rPr>
      </w:pPr>
    </w:p>
    <w:p>
      <w:pPr>
        <w:jc w:val="both"/>
        <w:ind w:firstLine="149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any Person subject to Sanctions, including as a result of being (a) listed in any Sanctions-related list maintained by (i) the United States (including without limitation the Department of the Treasury’s Office of Foreign Assets Control and the Department of State), (ii) Israel, (iii) the European Union, (iv) any European Union member state,</w:t>
      </w:r>
    </w:p>
    <w:p>
      <w:pPr>
        <w:spacing w:after="0" w:line="1" w:lineRule="exact"/>
        <w:rPr>
          <w:sz w:val="20"/>
          <w:szCs w:val="20"/>
          <w:color w:val="auto"/>
        </w:rPr>
      </w:pPr>
    </w:p>
    <w:p>
      <w:pPr>
        <w:ind w:left="320" w:hanging="312"/>
        <w:spacing w:after="0"/>
        <w:tabs>
          <w:tab w:leader="none" w:pos="32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United Nations,(vi) the United Kingdom, or (vii) Japan; (b) located, organized or resident in a Sanctioned Jurisdiction; or</w:t>
      </w:r>
    </w:p>
    <w:p>
      <w:pPr>
        <w:spacing w:after="0" w:line="24" w:lineRule="exact"/>
        <w:rPr>
          <w:rFonts w:ascii="Arial" w:cs="Arial" w:eastAsia="Arial" w:hAnsi="Arial"/>
          <w:sz w:val="19"/>
          <w:szCs w:val="19"/>
          <w:color w:val="auto"/>
        </w:rPr>
      </w:pPr>
    </w:p>
    <w:p>
      <w:pPr>
        <w:ind w:firstLine="8"/>
        <w:spacing w:after="0" w:line="236" w:lineRule="auto"/>
        <w:tabs>
          <w:tab w:leader="none" w:pos="32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directly or indirectly owned fifty percent or more or controlled, individually or in the aggregate, by one or more Persons described in the foregoing clauses (a) and/or (b).</w:t>
      </w:r>
    </w:p>
    <w:p>
      <w:pPr>
        <w:spacing w:after="0" w:line="241" w:lineRule="exact"/>
        <w:rPr>
          <w:sz w:val="20"/>
          <w:szCs w:val="20"/>
          <w:color w:val="auto"/>
        </w:rPr>
      </w:pPr>
    </w:p>
    <w:p>
      <w:pPr>
        <w:jc w:val="both"/>
        <w:ind w:firstLine="1552"/>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means all applicable trade, economic and financial sanctions, embargoes, programs, Laws and restrictive measures administered, enacted or enforced by (i) the United States (including without limitation the Department of the Treasury’s Office of Foreign Assets Control and the Department of State), (ii) Israel, (iii) the European Union, (iv) any European Union member state, (v) the United Nations, (vi) the United Kingdom, or (vii) Japan.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w:t>
      </w:r>
    </w:p>
    <w:p>
      <w:pPr>
        <w:spacing w:after="0" w:line="261"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102</w:t>
      </w:r>
      <w:r>
        <w:rPr>
          <w:rFonts w:ascii="Arial" w:cs="Arial" w:eastAsia="Arial" w:hAnsi="Arial"/>
          <w:sz w:val="22"/>
          <w:szCs w:val="22"/>
          <w:color w:val="auto"/>
        </w:rPr>
        <w:t>” means Section 102 of the Ordinance.</w:t>
      </w:r>
    </w:p>
    <w:p>
      <w:pPr>
        <w:spacing w:after="0" w:line="260" w:lineRule="exact"/>
        <w:rPr>
          <w:sz w:val="20"/>
          <w:szCs w:val="20"/>
          <w:color w:val="auto"/>
        </w:rPr>
      </w:pPr>
    </w:p>
    <w:p>
      <w:pPr>
        <w:jc w:val="both"/>
        <w:ind w:firstLine="133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102 Award</w:t>
      </w:r>
      <w:r>
        <w:rPr>
          <w:rFonts w:ascii="Arial" w:cs="Arial" w:eastAsia="Arial" w:hAnsi="Arial"/>
          <w:sz w:val="22"/>
          <w:szCs w:val="22"/>
          <w:color w:val="auto"/>
        </w:rPr>
        <w:t>” means any Company Equity Award that was intended to be granted and taxed pursuant to Section 102(b)(2) or Section 102(b)(3) of the Ordinance.</w:t>
      </w:r>
    </w:p>
    <w:p>
      <w:pPr>
        <w:spacing w:after="0" w:line="229" w:lineRule="exact"/>
        <w:rPr>
          <w:sz w:val="20"/>
          <w:szCs w:val="20"/>
          <w:color w:val="auto"/>
        </w:rPr>
      </w:pPr>
    </w:p>
    <w:p>
      <w:pPr>
        <w:jc w:val="both"/>
        <w:ind w:firstLine="121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102 Shares</w:t>
      </w:r>
      <w:r>
        <w:rPr>
          <w:rFonts w:ascii="Arial" w:cs="Arial" w:eastAsia="Arial" w:hAnsi="Arial"/>
          <w:sz w:val="22"/>
          <w:szCs w:val="22"/>
          <w:color w:val="auto"/>
        </w:rPr>
        <w:t>” means any Company Shares that were issued upon exercise or vesting of Section 102 Awards and at the Effective Time are held by the 102 Trustee.</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United States Securities Act of 1933, as amended.</w:t>
      </w:r>
    </w:p>
    <w:p>
      <w:pPr>
        <w:spacing w:after="0" w:line="260" w:lineRule="exact"/>
        <w:rPr>
          <w:sz w:val="20"/>
          <w:szCs w:val="20"/>
          <w:color w:val="auto"/>
        </w:rPr>
      </w:pPr>
    </w:p>
    <w:p>
      <w:pPr>
        <w:jc w:val="both"/>
        <w:ind w:firstLine="118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Software</w:t>
      </w:r>
      <w:r>
        <w:rPr>
          <w:rFonts w:ascii="Arial" w:cs="Arial" w:eastAsia="Arial" w:hAnsi="Arial"/>
          <w:sz w:val="19"/>
          <w:szCs w:val="19"/>
          <w:color w:val="auto"/>
        </w:rPr>
        <w:t>” means any software tools, other computer software (whether in source code, object code, or other form), algorithms contained or incorporated in software, models, databases, compilations of data, (including content and other information) and all documentation, including user manuals and training materials, related to any of the foregoing.</w:t>
      </w:r>
    </w:p>
    <w:p>
      <w:pPr>
        <w:spacing w:after="0" w:line="188" w:lineRule="exact"/>
        <w:rPr>
          <w:sz w:val="20"/>
          <w:szCs w:val="20"/>
          <w:color w:val="auto"/>
        </w:rPr>
      </w:pPr>
    </w:p>
    <w:p>
      <w:pPr>
        <w:jc w:val="both"/>
        <w:ind w:firstLine="1471"/>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or “</w:t>
      </w:r>
      <w:r>
        <w:rPr>
          <w:rFonts w:ascii="Arial" w:cs="Arial" w:eastAsia="Arial" w:hAnsi="Arial"/>
          <w:sz w:val="19"/>
          <w:szCs w:val="19"/>
          <w:u w:val="single" w:color="auto"/>
          <w:color w:val="auto"/>
        </w:rPr>
        <w:t>Subsidiaries</w:t>
      </w:r>
      <w:r>
        <w:rPr>
          <w:rFonts w:ascii="Arial" w:cs="Arial" w:eastAsia="Arial" w:hAnsi="Arial"/>
          <w:sz w:val="19"/>
          <w:szCs w:val="19"/>
          <w:color w:val="auto"/>
        </w:rPr>
        <w:t>” means with respect to any Person, any corporation, limited liability company, partnership or other organization, whether incorporated or unincorporated, of which (a) at least a majority of the outstanding shares of,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204" w:lineRule="exact"/>
        <w:rPr>
          <w:sz w:val="20"/>
          <w:szCs w:val="20"/>
          <w:color w:val="auto"/>
        </w:rPr>
      </w:pPr>
    </w:p>
    <w:p>
      <w:pPr>
        <w:jc w:val="both"/>
        <w:ind w:firstLine="122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Superior Proposal</w:t>
      </w:r>
      <w:r>
        <w:rPr>
          <w:rFonts w:ascii="Arial" w:cs="Arial" w:eastAsia="Arial" w:hAnsi="Arial"/>
          <w:sz w:val="21"/>
          <w:szCs w:val="21"/>
          <w:color w:val="auto"/>
        </w:rPr>
        <w:t xml:space="preserve">” means a bona fide written offer from a Third Party (on its most recently amended or modified terms, if amended or modified) constituting a Competing Proposal (with references to 15% and 85% being deemed to be replaced with references to 50%), which did not result from a material breach of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and which the Company Board of Directors determines in good faith after consultation with the Company’s outside legal and financial advisors to be more favorable to the Company Shareholders from a financial point of view than the Merger, taking into account such factors as the Company Board of Directors considers in good faith to be appropriate (including the terms and conditions of such offer, the identity of the Person or group making such offer, the existence of any financing conditions, the conditionality of any financing commitments and the likelihood and timing of consummation).</w:t>
      </w:r>
    </w:p>
    <w:p>
      <w:pPr>
        <w:spacing w:after="0" w:line="23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Takeover Statutes</w:t>
      </w:r>
      <w:r>
        <w:rPr>
          <w:rFonts w:ascii="Arial" w:cs="Arial" w:eastAsia="Arial" w:hAnsi="Arial"/>
          <w:sz w:val="22"/>
          <w:szCs w:val="22"/>
          <w:color w:val="auto"/>
        </w:rPr>
        <w:t>” mean any “business combination,” “control share acquisition,” “fair price,” “moratorium” or other takeover or anti-takeover statute or similar Law.</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TASE</w:t>
      </w:r>
      <w:r>
        <w:rPr>
          <w:rFonts w:ascii="Arial" w:cs="Arial" w:eastAsia="Arial" w:hAnsi="Arial"/>
          <w:sz w:val="22"/>
          <w:szCs w:val="22"/>
          <w:color w:val="auto"/>
        </w:rPr>
        <w:t>” means the Tel Aviv Stock Exchange.</w:t>
      </w:r>
    </w:p>
    <w:p>
      <w:pPr>
        <w:spacing w:after="0" w:line="260" w:lineRule="exact"/>
        <w:rPr>
          <w:sz w:val="20"/>
          <w:szCs w:val="20"/>
          <w:color w:val="auto"/>
        </w:rPr>
      </w:pPr>
    </w:p>
    <w:p>
      <w:pPr>
        <w:jc w:val="both"/>
        <w:ind w:firstLine="118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or “</w:t>
      </w:r>
      <w:r>
        <w:rPr>
          <w:rFonts w:ascii="Arial" w:cs="Arial" w:eastAsia="Arial" w:hAnsi="Arial"/>
          <w:sz w:val="21"/>
          <w:szCs w:val="21"/>
          <w:u w:val="single" w:color="auto"/>
          <w:color w:val="auto"/>
        </w:rPr>
        <w:t>Taxes</w:t>
      </w:r>
      <w:r>
        <w:rPr>
          <w:rFonts w:ascii="Arial" w:cs="Arial" w:eastAsia="Arial" w:hAnsi="Arial"/>
          <w:sz w:val="21"/>
          <w:szCs w:val="21"/>
          <w:color w:val="auto"/>
        </w:rPr>
        <w:t>” means (i) any and all taxes, levies, duties, tariffs, imposts and other similar charges and fees in the nature of taxes imposed by any Governmental Authority, including, income, franchise, windfall or other profits, gross receipts, premiums, property, sales, use, net worth, capital stock, payroll, employment, social security, national insurance and healthcare fees, abandoned or unclaimed property, consumption workers’ compensation, unemployment compensation, excise, withholding, ad valorem, stamp, transfer, value-added, gains tax and license, registration and documentation fees, severance, occupation, environmental, customs duties, disability, real property, personal property, registration, alternative or add-on minimum, or estimated tax, and (ii) any interest, penalty, additions to tax or additional amounts imposed with respect to the type described in clause (i), whether disputed or not.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jc w:val="both"/>
        <w:ind w:firstLine="13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report, document, return, certificate, claim for refund, election, estimated tax filing or declaration filed or required to be filed with any Governmental Authority with respect to Taxes, including any schedule or attachment thereto, and including any amendments thereof.</w:t>
      </w:r>
    </w:p>
    <w:p>
      <w:pPr>
        <w:spacing w:after="0" w:line="241"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other than the Company, Parent and each of their respective affiliates (including Merger Sub) and the respective Representatives of the Company, Parent and each of their respective affiliates.</w:t>
      </w:r>
    </w:p>
    <w:p>
      <w:pPr>
        <w:spacing w:after="0" w:line="159" w:lineRule="exact"/>
        <w:rPr>
          <w:sz w:val="20"/>
          <w:szCs w:val="20"/>
          <w:color w:val="auto"/>
        </w:rPr>
      </w:pPr>
    </w:p>
    <w:p>
      <w:pPr>
        <w:jc w:val="both"/>
        <w:ind w:firstLine="145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means non-public know-how and trade secret rights and corresponding rights in confidential information and other non-public information (whether or not patentable) that derive economic value from being maintained as confidential.</w:t>
      </w:r>
    </w:p>
    <w:p>
      <w:pPr>
        <w:spacing w:after="0" w:line="240" w:lineRule="exact"/>
        <w:rPr>
          <w:sz w:val="20"/>
          <w:szCs w:val="20"/>
          <w:color w:val="auto"/>
        </w:rPr>
      </w:pPr>
    </w:p>
    <w:p>
      <w:pPr>
        <w:jc w:val="both"/>
        <w:ind w:firstLine="13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Trademarks</w:t>
      </w:r>
      <w:r>
        <w:rPr>
          <w:rFonts w:ascii="Arial" w:cs="Arial" w:eastAsia="Arial" w:hAnsi="Arial"/>
          <w:sz w:val="22"/>
          <w:szCs w:val="22"/>
          <w:color w:val="auto"/>
        </w:rPr>
        <w:t>” means all trademarks, service marks, logos, trade dress and trade names indicating the source of goods or services, and other indicia of commercial source or origin (whether registered, common law, statutory or otherwise), all registrations and applications, renewals and extensions to register the foregoing anywhere in the world and all goodwill associated therewith.</w:t>
      </w:r>
    </w:p>
    <w:p>
      <w:pPr>
        <w:spacing w:after="0" w:line="239"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regulations in force as final or temporary that have been issued by the 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Department of Treasury pursuant to its authority under the Code and any successor regulations.</w:t>
      </w:r>
    </w:p>
    <w:p>
      <w:pPr>
        <w:spacing w:after="0" w:line="242" w:lineRule="exact"/>
        <w:rPr>
          <w:sz w:val="20"/>
          <w:szCs w:val="20"/>
          <w:color w:val="auto"/>
        </w:rPr>
      </w:pPr>
    </w:p>
    <w:p>
      <w:pPr>
        <w:jc w:val="both"/>
        <w:ind w:firstLine="1363"/>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Valid Tax Certificate</w:t>
      </w:r>
      <w:r>
        <w:rPr>
          <w:rFonts w:ascii="Arial" w:cs="Arial" w:eastAsia="Arial" w:hAnsi="Arial"/>
          <w:sz w:val="19"/>
          <w:szCs w:val="19"/>
          <w:color w:val="auto"/>
        </w:rPr>
        <w:t>” means a valid certificate, ruling or any other written instructions, that is in force on the payment date, relating to Tax withholding, issued by the ITA in form and substance reasonably satisfactory to Parent, or to the extent the Withholding Tax Ruling is obtained, the Exchange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Withholding Tax Ruling imposes responsibility for withholding solely on the Exchange Agent), that is applicable to the payments to be made pursuant to this Agreement stating that no withholding, or reduced rate of withholding, of Israeli Tax is required with respect to such payments or providing other instructions regarding such payments or withholding. For the avoidance of doubt, (i) a general certificate issued by the ITA pursuant to the Israeli Income Tax Regulations (Withholding from Payments for Services or Assets), 5737-1977, shall not, under any circumstances, constitute a Valid Tax Certificate and (ii) a Valid Tax Certificate issued pursuant to the Israeli Income Tax Regulations (Withholding from Consideration, Payment or Capital Gain in a Sale of a Security, Mutual Fund Unit or a Future Transactions), 5763-2002, that is valid on the payment date, shall constitute a Valid Tax Certificate.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ind w:left="660"/>
        <w:spacing w:after="0"/>
        <w:tabs>
          <w:tab w:leader="none" w:pos="226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u w:val="single" w:color="auto"/>
          <w:color w:val="auto"/>
        </w:rPr>
        <w:t>Terms Defined Elsewhere</w:t>
      </w:r>
      <w:r>
        <w:rPr>
          <w:rFonts w:ascii="Arial" w:cs="Arial" w:eastAsia="Arial" w:hAnsi="Arial"/>
          <w:sz w:val="19"/>
          <w:szCs w:val="19"/>
          <w:color w:val="auto"/>
        </w:rPr>
        <w:t>. The following terms are defined elsewhere in this Agreement, as indicated</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 Plan</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3.15(p)</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Agreement</w:t>
            </w:r>
          </w:p>
        </w:tc>
        <w:tc>
          <w:tcPr>
            <w:tcW w:w="52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Antitrust Counsel Only Material</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6.1(b)</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Antitrust Restricted Material</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6.1(b)</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Applicable Anticorruption Laws</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3.6(b)</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Articles of Association</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3.2</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Option</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2.3(b)</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Assumed PSU</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2.3(e)</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RSU</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2.3(d)</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Blue Sky Laws</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3.5(b)</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Book-Entry Shares</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2.1(a)</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Business Day</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5.4(a)</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Capitalization Date</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3.3(b)</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Cashed-Out Company Option</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2.3(a)</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Cashed-Out Company RSU</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2.3(c)</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Certificate</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 of Merger</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1.3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Closing</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1.2</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Date</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1.2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Collective Bargaining Agreement</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3.11(d)</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Companies Registrar</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1.3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w:t>
            </w:r>
          </w:p>
        </w:tc>
        <w:tc>
          <w:tcPr>
            <w:tcW w:w="52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401(k) Plans</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6.7(d)</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 Board of Directors</w:t>
            </w:r>
          </w:p>
        </w:tc>
        <w:tc>
          <w:tcPr>
            <w:tcW w:w="52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Board Recommendation</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 Change of Recommendation</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5.2(a)</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Disclosure Letter</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Article III</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 Financial Advisors</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3.25(b)</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Intervening Event Notice</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5.2(e), Section 5.2(e)</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 Material Contracts</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3.17(a)</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Notice</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5.2(g)</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 Option</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2.3(a)</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Option Grant Date</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3.3(c)</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 Owned Real Property</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3.13(b)</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Products</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9.5</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 Real Property Leases</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3.13(c)</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Related Parties</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1.1(a)(v)</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 Reports</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3.7(a)</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Required Approvals</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3.5(b)</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 Securities</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3.3(d)</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Shares</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Company Specified Representations</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7.2(a)</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Subsidiary</w:t>
            </w:r>
          </w:p>
        </w:tc>
        <w:tc>
          <w:tcPr>
            <w:tcW w:w="5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3.1(b)</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Continuing Employee</w:t>
            </w:r>
          </w:p>
        </w:tc>
        <w:tc>
          <w:tcPr>
            <w:tcW w:w="5260" w:type="dxa"/>
            <w:vAlign w:val="bottom"/>
          </w:tcPr>
          <w:p>
            <w:pPr>
              <w:jc w:val="right"/>
              <w:spacing w:after="0"/>
              <w:rPr>
                <w:sz w:val="20"/>
                <w:szCs w:val="20"/>
                <w:color w:val="auto"/>
              </w:rPr>
            </w:pPr>
            <w:r>
              <w:rPr>
                <w:rFonts w:ascii="Arial" w:cs="Arial" w:eastAsia="Arial" w:hAnsi="Arial"/>
                <w:sz w:val="18"/>
                <w:szCs w:val="18"/>
                <w:color w:val="auto"/>
              </w:rPr>
              <w:t>Section 6.7(a)</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70"/>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Copyleft Terms</w:t>
            </w:r>
          </w:p>
        </w:tc>
        <w:tc>
          <w:tcPr>
            <w:tcW w:w="4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3.14(h)</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D&amp;O Insurance</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6.4(c)</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DDTC</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6.3</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Debentures</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5.6</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Deed of Trust</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DMEA</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3.6(n)</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Time</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1.3</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Electronic Delivery</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9.8</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Practices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3.11(c)</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Environmental Permits</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3.16(d)</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Agent</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2.2(a)</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Exchange Fund</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Ratio</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2.3(b)</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Filed Company Contract</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3.17(a)</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Plan</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3.10(g)</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FTC</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6.2(c)</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3.7(c)</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ICL</w:t>
            </w:r>
          </w:p>
        </w:tc>
        <w:tc>
          <w:tcPr>
            <w:tcW w:w="49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Agent</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2.2(a)</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Interim Options Tax Ruling</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6.11(a)</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Israeli Employees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3.11(b)</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Joint Venture Interests</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3.1(e)</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Real Property</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3.13(c)</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Material Customer</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3.19(a)</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Reseller</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3.19(c)</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Material Supplier</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3.19(b)</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Merger Notice</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Proposal</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5.4(a)</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Merger Sub</w:t>
            </w:r>
          </w:p>
        </w:tc>
        <w:tc>
          <w:tcPr>
            <w:tcW w:w="49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Sub Board of Directors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Most Recent Company Balance Sheet</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3.7(d)</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Notice Period</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5.2(g)</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Options Tax Ruling</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6.11(a)</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Date</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8.1(e)</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Parent</w:t>
            </w:r>
          </w:p>
        </w:tc>
        <w:tc>
          <w:tcPr>
            <w:tcW w:w="49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Parent Board of Directors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Parent Related Parties</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8.2(c)(iii)</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Parent Subsidiary</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4.4</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Parent Termination Fee</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8.2(c)(i)</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Parties.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Party</w:t>
            </w:r>
          </w:p>
        </w:tc>
        <w:tc>
          <w:tcPr>
            <w:tcW w:w="49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Payoff Letters</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7.2(e)</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Payor</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2.4</w:t>
            </w:r>
          </w:p>
        </w:tc>
      </w:tr>
      <w:tr>
        <w:trPr>
          <w:trHeight w:val="27"/>
        </w:trPr>
        <w:tc>
          <w:tcPr>
            <w:tcW w:w="634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Merger Consideration</w:t>
            </w:r>
          </w:p>
        </w:tc>
        <w:tc>
          <w:tcPr>
            <w:tcW w:w="4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2.1(a)</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Performance Satisfied PSUs</w:t>
            </w:r>
          </w:p>
        </w:tc>
        <w:tc>
          <w:tcPr>
            <w:tcW w:w="4900" w:type="dxa"/>
            <w:vAlign w:val="bottom"/>
          </w:tcPr>
          <w:p>
            <w:pPr>
              <w:jc w:val="right"/>
              <w:spacing w:after="0"/>
              <w:rPr>
                <w:sz w:val="20"/>
                <w:szCs w:val="20"/>
                <w:color w:val="auto"/>
              </w:rPr>
            </w:pPr>
            <w:r>
              <w:rPr>
                <w:rFonts w:ascii="Arial" w:cs="Arial" w:eastAsia="Arial" w:hAnsi="Arial"/>
                <w:sz w:val="18"/>
                <w:szCs w:val="18"/>
                <w:color w:val="auto"/>
              </w:rPr>
              <w:t>Section 2.3(e)</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Section 3.6(a)</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Real Property</w:t>
            </w:r>
          </w:p>
        </w:tc>
        <w:tc>
          <w:tcPr>
            <w:tcW w:w="4980" w:type="dxa"/>
            <w:vAlign w:val="bottom"/>
          </w:tcPr>
          <w:p>
            <w:pPr>
              <w:jc w:val="right"/>
              <w:spacing w:after="0"/>
              <w:rPr>
                <w:sz w:val="20"/>
                <w:szCs w:val="20"/>
                <w:color w:val="auto"/>
              </w:rPr>
            </w:pPr>
            <w:r>
              <w:rPr>
                <w:rFonts w:ascii="Arial" w:cs="Arial" w:eastAsia="Arial" w:hAnsi="Arial"/>
                <w:sz w:val="18"/>
                <w:szCs w:val="18"/>
                <w:color w:val="auto"/>
              </w:rPr>
              <w:t>Section 3.13(c)</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Filings</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6.2(b)</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Required Clearances</w:t>
            </w:r>
          </w:p>
        </w:tc>
        <w:tc>
          <w:tcPr>
            <w:tcW w:w="4980" w:type="dxa"/>
            <w:vAlign w:val="bottom"/>
          </w:tcPr>
          <w:p>
            <w:pPr>
              <w:jc w:val="right"/>
              <w:spacing w:after="0"/>
              <w:rPr>
                <w:sz w:val="20"/>
                <w:szCs w:val="20"/>
                <w:color w:val="auto"/>
              </w:rPr>
            </w:pPr>
            <w:r>
              <w:rPr>
                <w:rFonts w:ascii="Arial" w:cs="Arial" w:eastAsia="Arial" w:hAnsi="Arial"/>
                <w:sz w:val="18"/>
                <w:szCs w:val="18"/>
                <w:color w:val="auto"/>
              </w:rPr>
              <w:t>Section 7.1(c)</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Section 102 Award Consideration</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2.3(f)(i)</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Section 102 Share Consideration</w:t>
            </w:r>
          </w:p>
        </w:tc>
        <w:tc>
          <w:tcPr>
            <w:tcW w:w="4980" w:type="dxa"/>
            <w:vAlign w:val="bottom"/>
          </w:tcPr>
          <w:p>
            <w:pPr>
              <w:jc w:val="right"/>
              <w:spacing w:after="0"/>
              <w:rPr>
                <w:sz w:val="20"/>
                <w:szCs w:val="20"/>
                <w:color w:val="auto"/>
              </w:rPr>
            </w:pPr>
            <w:r>
              <w:rPr>
                <w:rFonts w:ascii="Arial" w:cs="Arial" w:eastAsia="Arial" w:hAnsi="Arial"/>
                <w:sz w:val="18"/>
                <w:szCs w:val="18"/>
                <w:color w:val="auto"/>
              </w:rPr>
              <w:t>Section 2.2(b)</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Sensitive Technology</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3.14(j)</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SOX</w:t>
            </w:r>
          </w:p>
        </w:tc>
        <w:tc>
          <w:tcPr>
            <w:tcW w:w="4980" w:type="dxa"/>
            <w:vAlign w:val="bottom"/>
          </w:tcPr>
          <w:p>
            <w:pPr>
              <w:jc w:val="right"/>
              <w:spacing w:after="0"/>
              <w:rPr>
                <w:sz w:val="20"/>
                <w:szCs w:val="20"/>
                <w:color w:val="auto"/>
              </w:rPr>
            </w:pPr>
            <w:r>
              <w:rPr>
                <w:rFonts w:ascii="Arial" w:cs="Arial" w:eastAsia="Arial" w:hAnsi="Arial"/>
                <w:sz w:val="18"/>
                <w:szCs w:val="18"/>
                <w:color w:val="auto"/>
              </w:rPr>
              <w:t>Section 3.7(a)</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Specified Closing Indebtedness</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7.2(e)</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Subsidiary Securities</w:t>
            </w:r>
          </w:p>
        </w:tc>
        <w:tc>
          <w:tcPr>
            <w:tcW w:w="4980" w:type="dxa"/>
            <w:vAlign w:val="bottom"/>
          </w:tcPr>
          <w:p>
            <w:pPr>
              <w:jc w:val="right"/>
              <w:spacing w:after="0"/>
              <w:rPr>
                <w:sz w:val="20"/>
                <w:szCs w:val="20"/>
                <w:color w:val="auto"/>
              </w:rPr>
            </w:pPr>
            <w:r>
              <w:rPr>
                <w:rFonts w:ascii="Arial" w:cs="Arial" w:eastAsia="Arial" w:hAnsi="Arial"/>
                <w:sz w:val="18"/>
                <w:szCs w:val="18"/>
                <w:color w:val="auto"/>
              </w:rPr>
              <w:t>Section 3.1(d)</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Substantial Creditors</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5.4(a)</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Surviving Company</w:t>
            </w:r>
          </w:p>
        </w:tc>
        <w:tc>
          <w:tcPr>
            <w:tcW w:w="4980" w:type="dxa"/>
            <w:vAlign w:val="bottom"/>
          </w:tcPr>
          <w:p>
            <w:pPr>
              <w:jc w:val="right"/>
              <w:spacing w:after="0"/>
              <w:rPr>
                <w:sz w:val="20"/>
                <w:szCs w:val="20"/>
                <w:color w:val="auto"/>
              </w:rPr>
            </w:pPr>
            <w:r>
              <w:rPr>
                <w:rFonts w:ascii="Arial" w:cs="Arial" w:eastAsia="Arial" w:hAnsi="Arial"/>
                <w:sz w:val="18"/>
                <w:szCs w:val="18"/>
                <w:color w:val="auto"/>
              </w:rPr>
              <w:t>Article I</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9.5</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Transactions</w:t>
            </w:r>
          </w:p>
        </w:tc>
        <w:tc>
          <w:tcPr>
            <w:tcW w:w="49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Transition Period</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6.7(a)</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Transition Period Report</w:t>
            </w:r>
          </w:p>
        </w:tc>
        <w:tc>
          <w:tcPr>
            <w:tcW w:w="4980" w:type="dxa"/>
            <w:vAlign w:val="bottom"/>
          </w:tcPr>
          <w:p>
            <w:pPr>
              <w:jc w:val="right"/>
              <w:spacing w:after="0"/>
              <w:rPr>
                <w:sz w:val="20"/>
                <w:szCs w:val="20"/>
                <w:color w:val="auto"/>
              </w:rPr>
            </w:pPr>
            <w:r>
              <w:rPr>
                <w:rFonts w:ascii="Arial" w:cs="Arial" w:eastAsia="Arial" w:hAnsi="Arial"/>
                <w:sz w:val="18"/>
                <w:szCs w:val="18"/>
                <w:color w:val="auto"/>
              </w:rPr>
              <w:t>Section 6.8(b)</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Ultimate Parent</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Introduction</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Valid Tax Certificate</w:t>
            </w:r>
          </w:p>
        </w:tc>
        <w:tc>
          <w:tcPr>
            <w:tcW w:w="4980" w:type="dxa"/>
            <w:vAlign w:val="bottom"/>
          </w:tcPr>
          <w:p>
            <w:pPr>
              <w:jc w:val="right"/>
              <w:spacing w:after="0"/>
              <w:rPr>
                <w:sz w:val="20"/>
                <w:szCs w:val="20"/>
                <w:color w:val="auto"/>
              </w:rPr>
            </w:pPr>
            <w:r>
              <w:rPr>
                <w:rFonts w:ascii="Arial" w:cs="Arial" w:eastAsia="Arial" w:hAnsi="Arial"/>
                <w:sz w:val="18"/>
                <w:szCs w:val="18"/>
                <w:color w:val="auto"/>
              </w:rPr>
              <w:t>Section 6.11(d)</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3.15(m)</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Vested Option Consideration</w:t>
            </w:r>
          </w:p>
        </w:tc>
        <w:tc>
          <w:tcPr>
            <w:tcW w:w="4980" w:type="dxa"/>
            <w:vAlign w:val="bottom"/>
          </w:tcPr>
          <w:p>
            <w:pPr>
              <w:jc w:val="right"/>
              <w:spacing w:after="0"/>
              <w:rPr>
                <w:sz w:val="20"/>
                <w:szCs w:val="20"/>
                <w:color w:val="auto"/>
              </w:rPr>
            </w:pPr>
            <w:r>
              <w:rPr>
                <w:rFonts w:ascii="Arial" w:cs="Arial" w:eastAsia="Arial" w:hAnsi="Arial"/>
                <w:sz w:val="18"/>
                <w:szCs w:val="18"/>
                <w:color w:val="auto"/>
              </w:rPr>
              <w:t>Section 2.3(a)</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Withholding Drop Date</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2.4</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Withholding Tax Ruling</w:t>
            </w:r>
          </w:p>
        </w:tc>
        <w:tc>
          <w:tcPr>
            <w:tcW w:w="4980" w:type="dxa"/>
            <w:vAlign w:val="bottom"/>
          </w:tcPr>
          <w:p>
            <w:pPr>
              <w:jc w:val="right"/>
              <w:spacing w:after="0"/>
              <w:rPr>
                <w:sz w:val="20"/>
                <w:szCs w:val="20"/>
                <w:color w:val="auto"/>
              </w:rPr>
            </w:pPr>
            <w:r>
              <w:rPr>
                <w:rFonts w:ascii="Arial" w:cs="Arial" w:eastAsia="Arial" w:hAnsi="Arial"/>
                <w:sz w:val="18"/>
                <w:szCs w:val="18"/>
                <w:color w:val="auto"/>
              </w:rPr>
              <w:t>Section 6.11(b)</w:t>
            </w:r>
          </w:p>
        </w:tc>
      </w:tr>
      <w:tr>
        <w:trPr>
          <w:trHeight w:val="27"/>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Withholding Tax Rulings</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Section 6.11(b)</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Worker</w:t>
            </w:r>
          </w:p>
        </w:tc>
        <w:tc>
          <w:tcPr>
            <w:tcW w:w="4980" w:type="dxa"/>
            <w:vAlign w:val="bottom"/>
          </w:tcPr>
          <w:p>
            <w:pPr>
              <w:jc w:val="right"/>
              <w:spacing w:after="0"/>
              <w:rPr>
                <w:sz w:val="20"/>
                <w:szCs w:val="20"/>
                <w:color w:val="auto"/>
              </w:rPr>
            </w:pPr>
            <w:r>
              <w:rPr>
                <w:rFonts w:ascii="Arial" w:cs="Arial" w:eastAsia="Arial" w:hAnsi="Arial"/>
                <w:sz w:val="18"/>
                <w:szCs w:val="18"/>
                <w:color w:val="auto"/>
              </w:rPr>
              <w:t>Section 3.11(c)</w:t>
            </w:r>
          </w:p>
        </w:tc>
      </w:tr>
    </w:tbl>
    <w:p>
      <w:pPr>
        <w:spacing w:after="0" w:line="2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9.7 </w:t>
      </w: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All references in this Agreement to “Sections,” “Articles” and “Schedules” are intended to refer to Sections and Articles of this Agreement and Schedules to this Agreement. The words “hereof,” “herein” and “hereunder” and words of similar import, when used in this Agreement, refer to this Agreement as a whole and not to any particular provision of this Agreement. References herein to a Person are also to such Person’s successors and permitted assigns. All references in this Agreement to “$”or other monetary amounts refer to U.S. dollars. Unless otherwise specifically provided for herein, the term “or” shall not be deemed to be exclusive. As used in this Agreement, the term “affiliates” shall have the meaning set forth in Rule 12b-2 of the Exchange Act. The table of contents and headings set forth in this Agreement are for convenience of reference purposes only and shall not affect or be deemed to affect in any way the meaning or interpretation of this Agreement or any term or provision hereof.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Any statement in this Agreement to the effect that any information, document or other material has been “made available” or “provided” shall mean that such information, document or material was: (a) filed with the SEC and publicly available on EDGAR in unredacted form at least two (2) Business Days before the execution of this Agreement; or (b) available for review by Parent or Parent’s Representatives by 11:59 p.m. (Pacific Time) on the day before the date of this Agreement in the “Project Element” virtual data room or “Project Element – Limited Access” “Clean-Room” virtual data room maintained by the Company with Intralinks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2" w:name="page113"/>
    <w:bookmarkEnd w:id="112"/>
    <w:p>
      <w:pPr>
        <w:jc w:val="both"/>
        <w:ind w:firstLine="648"/>
        <w:spacing w:after="0" w:line="274"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and delivered (including by e-mail of a .pdf, .tif, .jpeg or similar attachment (“</w:t>
      </w:r>
      <w:r>
        <w:rPr>
          <w:rFonts w:ascii="Arial" w:cs="Arial" w:eastAsia="Arial" w:hAnsi="Arial"/>
          <w:sz w:val="19"/>
          <w:szCs w:val="19"/>
          <w:u w:val="single" w:color="auto"/>
          <w:color w:val="auto"/>
        </w:rPr>
        <w:t>Electronic Delivery</w:t>
      </w:r>
      <w:r>
        <w:rPr>
          <w:rFonts w:ascii="Arial" w:cs="Arial" w:eastAsia="Arial" w:hAnsi="Arial"/>
          <w:sz w:val="19"/>
          <w:szCs w:val="19"/>
          <w:color w:val="auto"/>
        </w:rPr>
        <w:t>”)) in two (2) or more counterparts, and by the different Parties hereto in separate counterparts, each of which when executed and delivered shall be deemed to be an original but all of which taken together shall constitute one and the same agreement. Any such counterpart, to the extent delivered using Electronic Delivery shall be treated in all manner and respects as an original executed counterpart and shall be considered to have the same binding legal effect as if it were the original signed version thereof delivered in person. No Party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that such defense relates to lack of authenticity.</w:t>
      </w:r>
    </w:p>
    <w:p>
      <w:pPr>
        <w:spacing w:after="0" w:line="21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9.9</w:t>
      </w:r>
      <w:r>
        <w:rPr>
          <w:sz w:val="20"/>
          <w:szCs w:val="20"/>
          <w:color w:val="auto"/>
        </w:rPr>
        <w:tab/>
      </w:r>
      <w:r>
        <w:rPr>
          <w:rFonts w:ascii="Arial" w:cs="Arial" w:eastAsia="Arial" w:hAnsi="Arial"/>
          <w:sz w:val="19"/>
          <w:szCs w:val="19"/>
          <w:u w:val="single" w:color="auto"/>
          <w:color w:val="auto"/>
        </w:rPr>
        <w:t>Entire Agreement; Third-Party Beneficiaries</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35" w:lineRule="auto"/>
        <w:tabs>
          <w:tab w:leader="none" w:pos="226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 w:cs="Arial" w:eastAsia="Arial" w:hAnsi="Arial"/>
          <w:sz w:val="22"/>
          <w:szCs w:val="22"/>
          <w:u w:val="single" w:color="auto"/>
          <w:color w:val="auto"/>
        </w:rPr>
        <w:t>Section 8.1</w:t>
      </w:r>
      <w:r>
        <w:rPr>
          <w:rFonts w:ascii="Arial" w:cs="Arial" w:eastAsia="Arial" w:hAnsi="Arial"/>
          <w:sz w:val="22"/>
          <w:szCs w:val="22"/>
          <w:color w:val="auto"/>
        </w:rPr>
        <w:t>, Parent and Merger Sub shall be permitted to take the actions contemplated by this Agreement) and understandings, both written and oral, among the Parties or any of them with respect to the subject matter hereof and thereof.</w:t>
      </w:r>
    </w:p>
    <w:p>
      <w:pPr>
        <w:spacing w:after="0" w:line="241" w:lineRule="exact"/>
        <w:rPr>
          <w:rFonts w:ascii="Arial" w:cs="Arial" w:eastAsia="Arial" w:hAnsi="Arial"/>
          <w:sz w:val="22"/>
          <w:szCs w:val="22"/>
          <w:color w:val="auto"/>
        </w:rPr>
      </w:pPr>
    </w:p>
    <w:p>
      <w:pPr>
        <w:jc w:val="both"/>
        <w:ind w:firstLine="1304"/>
        <w:spacing w:after="0" w:line="273" w:lineRule="auto"/>
        <w:tabs>
          <w:tab w:leader="none" w:pos="223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Except (i) for the right of holders of Company Shares to receive the Per Share Merger Consideration, which shall be enforceable by such holders after the Effective Time, (ii) for the rights of the holders of Company Options, Company RSUs and Company PSUs to receive such amounts as provided for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which shall be enforceable by such holders after the Effective Time, (iii) as provided in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and (iv) subject to </w:t>
      </w:r>
      <w:r>
        <w:rPr>
          <w:rFonts w:ascii="Arial" w:cs="Arial" w:eastAsia="Arial" w:hAnsi="Arial"/>
          <w:sz w:val="19"/>
          <w:szCs w:val="19"/>
          <w:u w:val="single" w:color="auto"/>
          <w:color w:val="auto"/>
        </w:rPr>
        <w:t>Section 8.2</w:t>
      </w:r>
      <w:r>
        <w:rPr>
          <w:rFonts w:ascii="Arial" w:cs="Arial" w:eastAsia="Arial" w:hAnsi="Arial"/>
          <w:sz w:val="19"/>
          <w:szCs w:val="19"/>
          <w:color w:val="auto"/>
        </w:rPr>
        <w:t>, for the rights of holders of Company Shares to pursue claims for damages and other relief, including equitable relief, for Ultimate Parent’s, Parent’s or Merger Sub’s fraud or willful and material breach of their representations, warranties, covenants or agreements set forth in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rights granted pursuant to this clause (iv) shall only be enforceable on behalf of such holders of Company Shares by the Company in its sole and absolute discretion, and in no event by such holders directly, which rights are hereby acknowledged and agreed by Ultimate Parent, Parent and Merger Sub but solely to the extent enforced by the Company), neither this Agreement (including the Company Disclosure Letter and the Parent Disclosure Letter) nor the Confidentiality Agreement are intended to confer upon any Person other than the Parties any rights or remedies hereunder.</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will be deemed severable and the invalidity or unenforceability of any provision will not affect the validity or enforceability of the other provisions hereof. If any provision of this Agreement, or the application thereof to any Person or any circumstance, is invalid or unenforceable, (a) a suitable and equitable provision will be substituted therefor in order to carry out, so far as may be valid and enforceable, the intent and purpose of such invalid or unenforceable provision and (b) the remainder of this Agreement and the application of such provision to other Persons or circumstances will not be affected by such invalidity or unenforceability, nor will such invalidity or unenforceability affect the validity or enforceability of such provision, or the application thereof, in any other jurisdiction.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ind w:left="660"/>
        <w:spacing w:after="0"/>
        <w:tabs>
          <w:tab w:leader="none" w:pos="2240" w:val="left"/>
        </w:tabs>
        <w:rPr>
          <w:sz w:val="20"/>
          <w:szCs w:val="20"/>
          <w:color w:val="auto"/>
        </w:rPr>
      </w:pPr>
      <w:r>
        <w:rPr>
          <w:rFonts w:ascii="Arial" w:cs="Arial" w:eastAsia="Arial" w:hAnsi="Arial"/>
          <w:sz w:val="22"/>
          <w:szCs w:val="22"/>
          <w:color w:val="auto"/>
        </w:rPr>
        <w:t>Section 9.11</w:t>
      </w:r>
      <w:r>
        <w:rPr>
          <w:sz w:val="20"/>
          <w:szCs w:val="20"/>
          <w:color w:val="auto"/>
        </w:rPr>
        <w:tab/>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w:t>
      </w:r>
    </w:p>
    <w:p>
      <w:pPr>
        <w:spacing w:after="0" w:line="261" w:lineRule="exact"/>
        <w:rPr>
          <w:sz w:val="20"/>
          <w:szCs w:val="20"/>
          <w:color w:val="auto"/>
        </w:rPr>
      </w:pPr>
    </w:p>
    <w:p>
      <w:pPr>
        <w:jc w:val="both"/>
        <w:ind w:firstLine="1304"/>
        <w:spacing w:after="0" w:line="252" w:lineRule="auto"/>
        <w:tabs>
          <w:tab w:leader="none" w:pos="2157"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This Agreement shall be governed by, and construed in accordance with, the laws of the State of Israel, without giving effect to conflicts of laws principles (whether of the State of Israel or otherwise) that would result in the application of the Law of any other state;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provisions related to the definition or occurrence of a Company Material Adverse Effect will be governed by the laws of the State of Delaware.</w:t>
      </w:r>
    </w:p>
    <w:p>
      <w:pPr>
        <w:spacing w:after="0" w:line="227" w:lineRule="exact"/>
        <w:rPr>
          <w:rFonts w:ascii="Arial" w:cs="Arial" w:eastAsia="Arial" w:hAnsi="Arial"/>
          <w:sz w:val="21"/>
          <w:szCs w:val="21"/>
          <w:color w:val="auto"/>
        </w:rPr>
      </w:pPr>
    </w:p>
    <w:p>
      <w:pPr>
        <w:jc w:val="both"/>
        <w:ind w:firstLine="1304"/>
        <w:spacing w:after="0" w:line="270" w:lineRule="auto"/>
        <w:tabs>
          <w:tab w:leader="none" w:pos="216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Each of the Parties hereto hereby irrevocably and unconditionally submits, for itself and its property, to the exclusive jurisdiction of any court of competent jurisdiction located in Tel Aviv-Jaffa, Israel in any Action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except in any court of competent jurisdiction located in Tel Aviv-Jaffa, Israel, (ii) agrees that any claim in respect of any such Action may be heard and determined in any court of competent jurisdiction located in Tel Aviv-Jaffa, Israel, (iii) waives, to the fullest extent it may legally and effectively do so, any objection that it may now or hereafter have to the laying of venue of any such Action in such courts and (iv) waives, to the fullest extent permitted by Law, the defense of an inconvenient forum to the maintenance of such Action in such courts. Each of the Parties hereto (A) agrees that a final judgment in any such Action shall be conclusive and may be enforced in other jurisdictions (including the United States) by suit on the judgment or in any other manner provided by Law and (B) waives any objection to the recognition and enforcement by a court in other jurisdictions (including the United States) of any such final judgment. Each Party to this Agreement irrevocably consents to service of process inside or outside the territorial jurisdiction of the courts referred to in this </w:t>
      </w:r>
      <w:r>
        <w:rPr>
          <w:rFonts w:ascii="Arial" w:cs="Arial" w:eastAsia="Arial" w:hAnsi="Arial"/>
          <w:sz w:val="19"/>
          <w:szCs w:val="19"/>
          <w:u w:val="single" w:color="auto"/>
          <w:color w:val="auto"/>
        </w:rPr>
        <w:t>Section 9.11(b)</w:t>
      </w:r>
      <w:r>
        <w:rPr>
          <w:rFonts w:ascii="Arial" w:cs="Arial" w:eastAsia="Arial" w:hAnsi="Arial"/>
          <w:sz w:val="19"/>
          <w:szCs w:val="19"/>
          <w:color w:val="auto"/>
        </w:rPr>
        <w:t xml:space="preserve"> in the manner provided for notices in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and Ultimate Parent, Parent and Merger Sub agree that service provided to Yigal Arnon &amp; Co. in the manner provided for notices in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that is substantially concurrently provided to Ultimate Parent, Parent or Merger Sub, as applicable, shall constitute valid service on Ultimate Parent, Parent or Merger Sub, as applicable, in Israel. Nothing in this Agreement will affect the right of any Party to this Agreement to serve process in any other manner permitted by Law.</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This Agreement shall not be assigned by any of the Parties (whether by operation of Law or otherwise) without the prior written consent of the other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Parent, in its sole discretion, shall be permitted to assign any of its rights or obligations hereunder to any direct or indirect wholly owned Subsidiary of Ultimate Parent, and Merger Sub, in its sole discretion, shall be permitted to assign any of its rights or obligations hereunder to any direct or indirect wholly owned Subsidiary of Ultimate Parent that is an Israeli entity, but no such assignment shall relieve Ultimate Parent, Parent or Merger Sub of any of its obligations hereunder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under no circumstances shall such assignment be permitted if such assignment would reasonably be expected to (i) in any way prevent, impair or materially delay the consummation of the Transactions, (ii) invalidate any of the Tax Rulings expressly contemplated by this Agreement or (iii) materially increase the amount of withholding Taxes otherwise applicable to payments under this Agreement. Subject to the preceding sentence, but without relieving any Party of any obligation hereunder, this Agreement will be binding upon, inure to the benefit of and be enforceable by the Parties and their respective successors and assigns.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jc w:val="both"/>
        <w:ind w:firstLine="648"/>
        <w:spacing w:after="0" w:line="272"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Ultimate Parent Guarantee</w:t>
      </w:r>
      <w:r>
        <w:rPr>
          <w:rFonts w:ascii="Arial" w:cs="Arial" w:eastAsia="Arial" w:hAnsi="Arial"/>
          <w:sz w:val="19"/>
          <w:szCs w:val="19"/>
          <w:color w:val="auto"/>
        </w:rPr>
        <w:t xml:space="preserve">. Ultimate Parent shall take all action necessary to cause Parent, Merger Sub and the Surviving Company to perform their respective obligations under this Agreement and to consummate the transactions contemplated hereby upon the terms and subject to the conditions set forth in this Agreement. Ultimate Parent hereby irrevocably, absolutely and unconditionally guarantees, as primary obligor and not merely a surety, full performance and payment by Parent, Merger Sub and Surviving Company of each of the covenants, obligations and undertakings required to be performed by Parent, Merger Sub and Surviving Company under this Agreement and the transactions contemplated by this Agreement, including any liabilities arising out of a breach thereof or non-compliance therewith, subject to all terms, conditions and limitations contained in this Agreement. The Company shall have the right, exercisable in its sole discretion, to pursue any and all available remedies it may have arising out of any such breach or nonperformance directly against any of Ultimate Parent, Parent, Merger Sub and Surviving Company in the first instance. Ultimate Parent’s obligations under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are unconditional of any circumstances which might otherwise constitute, by operation of applicable Law, a discharge of a guarantor. Nothing in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shall waive any defenses, counterclaims or rights of setoff that Ultimate Parent, Parent, Merger Sub or Surviving Company may have under this Agreement or applicable Law.</w:t>
      </w:r>
    </w:p>
    <w:p>
      <w:pPr>
        <w:spacing w:after="0" w:line="21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9.14</w:t>
      </w:r>
      <w:r>
        <w:rPr>
          <w:sz w:val="20"/>
          <w:szCs w:val="20"/>
          <w:color w:val="auto"/>
        </w:rPr>
        <w:tab/>
      </w:r>
      <w:r>
        <w:rPr>
          <w:rFonts w:ascii="Arial" w:cs="Arial" w:eastAsia="Arial" w:hAnsi="Arial"/>
          <w:sz w:val="19"/>
          <w:szCs w:val="19"/>
          <w:u w:val="single" w:color="auto"/>
          <w:color w:val="auto"/>
        </w:rPr>
        <w:t>Enforcement; Remedies; Specific Performance</w:t>
      </w:r>
      <w:r>
        <w:rPr>
          <w:rFonts w:ascii="Arial" w:cs="Arial" w:eastAsia="Arial" w:hAnsi="Arial"/>
          <w:sz w:val="19"/>
          <w:szCs w:val="19"/>
          <w:color w:val="auto"/>
        </w:rPr>
        <w:t>.</w:t>
      </w:r>
    </w:p>
    <w:p>
      <w:pPr>
        <w:spacing w:after="0" w:line="260" w:lineRule="exact"/>
        <w:rPr>
          <w:sz w:val="20"/>
          <w:szCs w:val="20"/>
          <w:color w:val="auto"/>
        </w:rPr>
      </w:pPr>
    </w:p>
    <w:p>
      <w:pPr>
        <w:jc w:val="both"/>
        <w:ind w:firstLine="1304"/>
        <w:spacing w:after="0" w:line="297" w:lineRule="auto"/>
        <w:tabs>
          <w:tab w:leader="none" w:pos="218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87" w:lineRule="exact"/>
        <w:rPr>
          <w:rFonts w:ascii="Arial" w:cs="Arial" w:eastAsia="Arial" w:hAnsi="Arial"/>
          <w:sz w:val="19"/>
          <w:szCs w:val="19"/>
          <w:color w:val="auto"/>
        </w:rPr>
      </w:pPr>
    </w:p>
    <w:p>
      <w:pPr>
        <w:jc w:val="both"/>
        <w:ind w:firstLine="1304"/>
        <w:spacing w:after="0" w:line="236" w:lineRule="auto"/>
        <w:tabs>
          <w:tab w:leader="none" w:pos="239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Parties agree that irreparable injury will occur in the event that any of the provisions of this Agreement is not performed in accordance with its specific terms or is otherwise breached. Each Party shall be entitled to an injunction or injunctions to prevent or remedy any breaches or threatened breaches of this Agreement by any other Party, to a decree or order of specific performance to specifically enforce the terms and provisions of this Agreement and to any further equitable relief.</w:t>
      </w:r>
    </w:p>
    <w:p>
      <w:pPr>
        <w:spacing w:after="0" w:line="241" w:lineRule="exact"/>
        <w:rPr>
          <w:rFonts w:ascii="Arial" w:cs="Arial" w:eastAsia="Arial" w:hAnsi="Arial"/>
          <w:sz w:val="22"/>
          <w:szCs w:val="22"/>
          <w:color w:val="auto"/>
        </w:rPr>
      </w:pPr>
    </w:p>
    <w:p>
      <w:pPr>
        <w:jc w:val="both"/>
        <w:ind w:firstLine="1304"/>
        <w:spacing w:after="0" w:line="282" w:lineRule="auto"/>
        <w:tabs>
          <w:tab w:leader="none" w:pos="225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The Parties’ rights in this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are an integral part of the Transactions and each Party hereby waives any objection to any remedy referred to in this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(including any objection on the basis that there is an adequate remedy at Law or that an award of such remedy is not an appropriate remedy for any reason at Law or equity). In the event any Party seeks any remedy referred to in this </w:t>
      </w:r>
      <w:r>
        <w:rPr>
          <w:rFonts w:ascii="Arial" w:cs="Arial" w:eastAsia="Arial" w:hAnsi="Arial"/>
          <w:sz w:val="19"/>
          <w:szCs w:val="19"/>
          <w:u w:val="single" w:color="auto"/>
          <w:color w:val="auto"/>
        </w:rPr>
        <w:t>Section 9.14</w:t>
      </w:r>
      <w:r>
        <w:rPr>
          <w:rFonts w:ascii="Arial" w:cs="Arial" w:eastAsia="Arial" w:hAnsi="Arial"/>
          <w:sz w:val="19"/>
          <w:szCs w:val="19"/>
          <w:color w:val="auto"/>
        </w:rPr>
        <w:t>, such Party shall not be required to obtain, furnish, post or provide any bond or other security in connection with or as a condition to obtaining any such remedy.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ind w:firstLine="648"/>
        <w:spacing w:after="0" w:line="276" w:lineRule="auto"/>
        <w:rPr>
          <w:sz w:val="20"/>
          <w:szCs w:val="20"/>
          <w:color w:val="auto"/>
        </w:rPr>
      </w:pPr>
      <w:r>
        <w:rPr>
          <w:rFonts w:ascii="Arial" w:cs="Arial" w:eastAsia="Arial" w:hAnsi="Arial"/>
          <w:sz w:val="22"/>
          <w:szCs w:val="22"/>
          <w:color w:val="auto"/>
        </w:rPr>
        <w:t>IN WITNESS WHEREOF, Ultimate Parent, Parent, Merger Sub and the Company have caused this Agreement to be signed by their respective officers thereunto duly authorized as of the date first written above.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INTEL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Pat Gelsinger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92024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Pat Gelsinger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16" w:name="page117"/>
    <w:bookmarkEnd w:id="116"/>
    <w:p>
      <w:pPr>
        <w:ind w:left="4520"/>
        <w:spacing w:after="0"/>
        <w:rPr>
          <w:sz w:val="20"/>
          <w:szCs w:val="20"/>
          <w:color w:val="auto"/>
        </w:rPr>
      </w:pPr>
      <w:r>
        <w:rPr>
          <w:rFonts w:ascii="Arial" w:cs="Arial" w:eastAsia="Arial" w:hAnsi="Arial"/>
          <w:sz w:val="18"/>
          <w:szCs w:val="18"/>
          <w:color w:val="auto"/>
        </w:rPr>
        <w:t>INTEL FS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Tiffany Doon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192024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jc w:val="right"/>
        <w:ind w:right="2259"/>
        <w:spacing w:after="0"/>
        <w:rPr>
          <w:sz w:val="20"/>
          <w:szCs w:val="20"/>
          <w:color w:val="auto"/>
        </w:rPr>
      </w:pPr>
      <w:r>
        <w:rPr>
          <w:rFonts w:ascii="Arial" w:cs="Arial" w:eastAsia="Arial" w:hAnsi="Arial"/>
          <w:sz w:val="18"/>
          <w:szCs w:val="18"/>
          <w:color w:val="auto"/>
        </w:rPr>
        <w:t>Name: Tiffany Doon Silva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Secretary</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117" w:name="page118"/>
    <w:bookmarkEnd w:id="117"/>
    <w:p>
      <w:pPr>
        <w:ind w:left="4520"/>
        <w:spacing w:after="0"/>
        <w:rPr>
          <w:sz w:val="20"/>
          <w:szCs w:val="20"/>
          <w:color w:val="auto"/>
        </w:rPr>
      </w:pPr>
      <w:r>
        <w:rPr>
          <w:rFonts w:ascii="Arial" w:cs="Arial" w:eastAsia="Arial" w:hAnsi="Arial"/>
          <w:sz w:val="17"/>
          <w:szCs w:val="17"/>
          <w:color w:val="auto"/>
        </w:rPr>
        <w:t>STEEL TITANIUM 2022 LTD.</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192024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Patrick Bombach</w:t>
      </w:r>
    </w:p>
    <w:p>
      <w:pPr>
        <w:spacing w:after="0" w:line="3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President</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118" w:name="page119"/>
    <w:bookmarkEnd w:id="118"/>
    <w:p>
      <w:pPr>
        <w:ind w:left="4520"/>
        <w:spacing w:after="0"/>
        <w:rPr>
          <w:sz w:val="20"/>
          <w:szCs w:val="20"/>
          <w:color w:val="auto"/>
        </w:rPr>
      </w:pPr>
      <w:r>
        <w:rPr>
          <w:rFonts w:ascii="Arial" w:cs="Arial" w:eastAsia="Arial" w:hAnsi="Arial"/>
          <w:sz w:val="17"/>
          <w:szCs w:val="17"/>
          <w:color w:val="auto"/>
        </w:rPr>
        <w:t>TOWER SEMICONDUCTOR LTD.</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Amir 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192024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Amir Elstein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Chairman of the Board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106045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200660</wp:posOffset>
            </wp:positionV>
            <wp:extent cx="71323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014220" cy="771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142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 to Acquire Tower Semiconductor for $5.4 Billion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Acquisition accelerates Intel’s global, end-to-end foundry business.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HIGHLIGHTS</w:t>
      </w:r>
    </w:p>
    <w:p>
      <w:pPr>
        <w:spacing w:after="0" w:line="27" w:lineRule="exact"/>
        <w:rPr>
          <w:sz w:val="20"/>
          <w:szCs w:val="20"/>
          <w:color w:val="auto"/>
        </w:rPr>
      </w:pPr>
    </w:p>
    <w:p>
      <w:pPr>
        <w:ind w:left="660" w:right="40" w:hanging="328"/>
        <w:spacing w:after="0" w:line="252"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Transaction creates a globally diverse end-to-end foundry to help meet growing semiconductor demand and brings more value to customers across the nearly $100 billion addressable foundry market.</w:t>
      </w:r>
    </w:p>
    <w:p>
      <w:pPr>
        <w:ind w:left="660" w:right="340" w:hanging="328"/>
        <w:spacing w:after="0" w:line="250"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Acquisition accelerates Intel’s path to becoming a major provider of foundry services and capacity globally, now offering one of the industry’s broadest portfolios of differentiated technology.</w:t>
      </w:r>
    </w:p>
    <w:p>
      <w:pPr>
        <w:ind w:left="660" w:right="120" w:hanging="328"/>
        <w:spacing w:after="0" w:line="281" w:lineRule="auto"/>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Highly complementary transaction brings together Intel’s leading-edge nodes and scale manufacturing with Tower Semiconductor’s specialty technologies and customer-first approach to deliver leading technology and manufacturing capabilities and enhanced value to customers globally.</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Transaction is expected to be immediately accretive to Intel’s non-GAAP EPS.</w:t>
      </w:r>
    </w:p>
    <w:p>
      <w:pPr>
        <w:spacing w:after="0" w:line="9" w:lineRule="exact"/>
        <w:rPr>
          <w:rFonts w:ascii="Arial" w:cs="Arial" w:eastAsia="Arial" w:hAnsi="Arial"/>
          <w:sz w:val="18"/>
          <w:szCs w:val="18"/>
          <w:color w:val="auto"/>
        </w:rPr>
      </w:pPr>
    </w:p>
    <w:p>
      <w:pPr>
        <w:ind w:left="660" w:right="260" w:hanging="328"/>
        <w:spacing w:after="0" w:line="260"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Intel and Tower Semiconductor management will host a conference call for investors, media and industry analysts today at 5:30 a.m. PST (3:30 p.m. Israel Standard Time) to provide further details on the transaction.</w:t>
      </w:r>
    </w:p>
    <w:p>
      <w:pPr>
        <w:spacing w:after="0" w:line="246" w:lineRule="exact"/>
        <w:rPr>
          <w:sz w:val="20"/>
          <w:szCs w:val="20"/>
          <w:color w:val="auto"/>
        </w:rPr>
      </w:pPr>
    </w:p>
    <w:p>
      <w:pPr>
        <w:spacing w:after="0" w:line="276" w:lineRule="auto"/>
        <w:rPr>
          <w:sz w:val="20"/>
          <w:szCs w:val="20"/>
          <w:color w:val="auto"/>
        </w:rPr>
      </w:pPr>
      <w:r>
        <w:rPr>
          <w:rFonts w:ascii="Arial" w:cs="Arial" w:eastAsia="Arial" w:hAnsi="Arial"/>
          <w:sz w:val="21"/>
          <w:szCs w:val="21"/>
          <w:color w:val="auto"/>
        </w:rPr>
        <w:t>SANTA CLARA, Calif., and MIGDAL HAEMEK, Israel, Feb. 15, 2022 – Intel Corporation (Nasdaq: INTC) and Tower Semiconductor (Nasdaq: TSEM), a leading foundry for analog semiconductor solutions, today announced a definitive agreement under which Intel will acquire Tower for $53 per share in cash, representing a total enterprise value of approximately $5.4 billion. The acquisition significantly advances Intel’s IDM 2.0 strategy as the company further expands its manufacturing capacity, global footprint and technology portfolio to address unprecedented industry demand.</w:t>
      </w:r>
    </w:p>
    <w:p>
      <w:pPr>
        <w:spacing w:after="0" w:line="231" w:lineRule="exact"/>
        <w:rPr>
          <w:sz w:val="20"/>
          <w:szCs w:val="20"/>
          <w:color w:val="auto"/>
        </w:rPr>
      </w:pPr>
    </w:p>
    <w:p>
      <w:pPr>
        <w:ind w:right="20"/>
        <w:spacing w:after="0" w:line="261" w:lineRule="auto"/>
        <w:rPr>
          <w:sz w:val="20"/>
          <w:szCs w:val="20"/>
          <w:color w:val="auto"/>
        </w:rPr>
      </w:pPr>
      <w:r>
        <w:rPr>
          <w:rFonts w:ascii="Arial" w:cs="Arial" w:eastAsia="Arial" w:hAnsi="Arial"/>
          <w:sz w:val="22"/>
          <w:szCs w:val="22"/>
          <w:color w:val="auto"/>
        </w:rPr>
        <w:t>“Tower’s specialty technology portfolio, geographic reach, deep customer relationships and services-first operations will help scale Intel’s foundry services and advance our goal of becoming a major provider of foundry capacity globally,” said Pat Gelsinger, Intel CEO. “This deal will enable Intel to offer a compelling breadth of leading-edge nodes and differentiated specialty technologies on mature nodes – unlocking new opportunities for existing and future customers in an era of unprecedented demand for semiconductors.”</w:t>
      </w:r>
    </w:p>
    <w:p>
      <w:pPr>
        <w:spacing w:after="0" w:line="244" w:lineRule="exact"/>
        <w:rPr>
          <w:sz w:val="20"/>
          <w:szCs w:val="20"/>
          <w:color w:val="auto"/>
        </w:rPr>
      </w:pPr>
    </w:p>
    <w:p>
      <w:pPr>
        <w:ind w:right="80"/>
        <w:spacing w:after="0" w:line="317" w:lineRule="auto"/>
        <w:rPr>
          <w:sz w:val="20"/>
          <w:szCs w:val="20"/>
          <w:color w:val="auto"/>
        </w:rPr>
      </w:pPr>
      <w:r>
        <w:rPr>
          <w:rFonts w:ascii="Arial" w:cs="Arial" w:eastAsia="Arial" w:hAnsi="Arial"/>
          <w:sz w:val="19"/>
          <w:szCs w:val="19"/>
          <w:color w:val="auto"/>
        </w:rPr>
        <w:t xml:space="preserve">As a key part of its IDM 2.0 strategy, Intel established </w:t>
      </w:r>
      <w:r>
        <w:rPr>
          <w:rFonts w:ascii="Arial" w:cs="Arial" w:eastAsia="Arial" w:hAnsi="Arial"/>
          <w:sz w:val="19"/>
          <w:szCs w:val="19"/>
          <w:u w:val="single" w:color="auto"/>
          <w:color w:val="auto"/>
        </w:rPr>
        <w:t>Intel Foundry Services (IFS)</w:t>
      </w:r>
      <w:r>
        <w:rPr>
          <w:rFonts w:ascii="Arial" w:cs="Arial" w:eastAsia="Arial" w:hAnsi="Arial"/>
          <w:sz w:val="19"/>
          <w:szCs w:val="19"/>
          <w:color w:val="auto"/>
        </w:rPr>
        <w:t xml:space="preserve"> in March 2021 to help meet the growing global demand for semiconductor manufacturing capacity and to become a major provider of U.S.- and Europe-based foundry capacity to serve customers globally. IFS currently offers leading-edge process and packaging technology, committed capacity in the U.S. and Europe and other geographies in the future, and a broad intellectual property (IP)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0" w:name="page121"/>
    <w:bookmarkEnd w:id="120"/>
    <w:p>
      <w:pPr>
        <w:ind w:right="20"/>
        <w:spacing w:after="0" w:line="273" w:lineRule="auto"/>
        <w:rPr>
          <w:sz w:val="20"/>
          <w:szCs w:val="20"/>
          <w:color w:val="auto"/>
        </w:rPr>
      </w:pPr>
      <w:r>
        <w:rPr>
          <w:rFonts w:ascii="Arial" w:cs="Arial" w:eastAsia="Arial" w:hAnsi="Arial"/>
          <w:sz w:val="21"/>
          <w:szCs w:val="21"/>
          <w:color w:val="auto"/>
        </w:rPr>
        <w:t>Tower’s expertise in specialty technologies, such as radio frequency (RF), power, silicon-germanium (SiGe) and industrial sensors, extensive IP and electronic design automation (EDA) partnerships, and established foundry footprint will provide broad coverage to both Intel and Tower’s customers globally. Tower serves high-growth markets such as mobile, automotive and power. Tower operates a geographically complementary foundry presence with facilities in the U.S. and Asia serving fabless companies as well as IDMs and offers more than 2 million wafer starts per year of capacity – including growth opportunities in Texas, Israel, Italy and Japan. Tower also brings a foundry-first customer approach with an industry-leading customer support portal and IP storefront, as well as design services and capabilities.</w:t>
      </w:r>
    </w:p>
    <w:p>
      <w:pPr>
        <w:spacing w:after="0" w:line="237" w:lineRule="exact"/>
        <w:rPr>
          <w:sz w:val="20"/>
          <w:szCs w:val="20"/>
          <w:color w:val="auto"/>
        </w:rPr>
      </w:pPr>
    </w:p>
    <w:p>
      <w:pPr>
        <w:spacing w:after="0" w:line="311" w:lineRule="auto"/>
        <w:rPr>
          <w:sz w:val="20"/>
          <w:szCs w:val="20"/>
          <w:color w:val="auto"/>
        </w:rPr>
      </w:pPr>
      <w:r>
        <w:rPr>
          <w:rFonts w:ascii="Arial" w:cs="Arial" w:eastAsia="Arial" w:hAnsi="Arial"/>
          <w:sz w:val="19"/>
          <w:szCs w:val="19"/>
          <w:color w:val="auto"/>
        </w:rPr>
        <w:t>“With a rich history, Tower has built an incredible range of specialty analog foundry solutions based upon deep customer partnerships, with worldwide manufacturing capabilities. I could not be prouder of the company and of our talented and dedicated employees,” said Russell Ellwanger, Tower CEO. “Together with Intel, we will drive new and meaningful growth opportunities and offer even greater value to our customers through a full suite of technology solutions and nodes and a greatly expanded global manufacturing footprint. We look forward to being an integral part of Intel’s foundry offering.”</w:t>
      </w:r>
    </w:p>
    <w:p>
      <w:pPr>
        <w:spacing w:after="0" w:line="204" w:lineRule="exact"/>
        <w:rPr>
          <w:sz w:val="20"/>
          <w:szCs w:val="20"/>
          <w:color w:val="auto"/>
        </w:rPr>
      </w:pPr>
    </w:p>
    <w:p>
      <w:pPr>
        <w:ind w:right="20"/>
        <w:spacing w:after="0" w:line="261" w:lineRule="auto"/>
        <w:rPr>
          <w:sz w:val="20"/>
          <w:szCs w:val="20"/>
          <w:color w:val="auto"/>
        </w:rPr>
      </w:pPr>
      <w:r>
        <w:rPr>
          <w:rFonts w:ascii="Arial" w:cs="Arial" w:eastAsia="Arial" w:hAnsi="Arial"/>
          <w:sz w:val="22"/>
          <w:szCs w:val="22"/>
          <w:color w:val="auto"/>
        </w:rPr>
        <w:t>Dr. Randhir Thakur, president of Intel Foundry Services, said: “We are thrilled to welcome the Tower team to Intel. Their decades of foundry experience, deep customer relationships and technology offerings will accelerate the growth of Intel Foundry Services. We are building Intel Foundry Services to be a customer-first technology innovator with the broadest range of IP, services and capacity. Tower and IFS together will provide a broad portfolio of foundry solutions at global scale to enable our customers’ ambitions.”</w:t>
      </w:r>
    </w:p>
    <w:p>
      <w:pPr>
        <w:spacing w:after="0" w:line="244" w:lineRule="exact"/>
        <w:rPr>
          <w:sz w:val="20"/>
          <w:szCs w:val="20"/>
          <w:color w:val="auto"/>
        </w:rPr>
      </w:pPr>
    </w:p>
    <w:p>
      <w:pPr>
        <w:ind w:right="40"/>
        <w:spacing w:after="0" w:line="311" w:lineRule="auto"/>
        <w:rPr>
          <w:sz w:val="20"/>
          <w:szCs w:val="20"/>
          <w:color w:val="auto"/>
        </w:rPr>
      </w:pPr>
      <w:r>
        <w:rPr>
          <w:rFonts w:ascii="Arial" w:cs="Arial" w:eastAsia="Arial" w:hAnsi="Arial"/>
          <w:sz w:val="19"/>
          <w:szCs w:val="19"/>
          <w:color w:val="auto"/>
        </w:rPr>
        <w:t>Intel is the only leading-edge player with both research and development and manufacturing in the U.S., including recently announced capacity expansions in Arizona and New Mexico, as well as plans to build a new mega-site in Ohio. Tower’s technology and manufacturing footprint is highly complementary to Intel's IFS capabilities in leading-edge processes, allowing the combined company to provide broader offerings to customers at scale. With the addition of Tower, Intel is strongly positioned to bring more value to customers across the nearly $100 billion addressable foundry market.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Details and Timing</w:t>
      </w:r>
    </w:p>
    <w:p>
      <w:pPr>
        <w:spacing w:after="0" w:line="293" w:lineRule="exact"/>
        <w:rPr>
          <w:sz w:val="20"/>
          <w:szCs w:val="20"/>
          <w:color w:val="auto"/>
        </w:rPr>
      </w:pPr>
    </w:p>
    <w:p>
      <w:pPr>
        <w:ind w:right="100"/>
        <w:spacing w:after="0" w:line="276" w:lineRule="auto"/>
        <w:rPr>
          <w:sz w:val="20"/>
          <w:szCs w:val="20"/>
          <w:color w:val="auto"/>
        </w:rPr>
      </w:pPr>
      <w:r>
        <w:rPr>
          <w:rFonts w:ascii="Arial" w:cs="Arial" w:eastAsia="Arial" w:hAnsi="Arial"/>
          <w:sz w:val="22"/>
          <w:szCs w:val="22"/>
          <w:color w:val="auto"/>
        </w:rPr>
        <w:t>The transaction is expected to be immediately accretive to Intel’s non-GAAP EPS. Intel intends to fund the acquisition with cash from the balance sheet.</w:t>
      </w:r>
    </w:p>
    <w:p>
      <w:pPr>
        <w:spacing w:after="0" w:line="228" w:lineRule="exact"/>
        <w:rPr>
          <w:sz w:val="20"/>
          <w:szCs w:val="20"/>
          <w:color w:val="auto"/>
        </w:rPr>
      </w:pPr>
    </w:p>
    <w:p>
      <w:pPr>
        <w:ind w:right="440"/>
        <w:spacing w:after="0" w:line="266" w:lineRule="auto"/>
        <w:rPr>
          <w:sz w:val="20"/>
          <w:szCs w:val="20"/>
          <w:color w:val="auto"/>
        </w:rPr>
      </w:pPr>
      <w:r>
        <w:rPr>
          <w:rFonts w:ascii="Arial" w:cs="Arial" w:eastAsia="Arial" w:hAnsi="Arial"/>
          <w:sz w:val="22"/>
          <w:szCs w:val="22"/>
          <w:color w:val="auto"/>
        </w:rPr>
        <w:t>The transaction is expected to close in approximately 12 months. It has been unanimously approved by Intel’s and Tower’s boards of directors and is subject to certain regulatory approvals and customary closing conditions, including the approval of Tower’s stockholders.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1" w:name="page122"/>
    <w:bookmarkEnd w:id="121"/>
    <w:p>
      <w:pPr>
        <w:jc w:val="both"/>
        <w:ind w:right="240"/>
        <w:spacing w:after="0" w:line="327" w:lineRule="auto"/>
        <w:rPr>
          <w:sz w:val="20"/>
          <w:szCs w:val="20"/>
          <w:color w:val="auto"/>
        </w:rPr>
      </w:pPr>
      <w:r>
        <w:rPr>
          <w:rFonts w:ascii="Arial" w:cs="Arial" w:eastAsia="Arial" w:hAnsi="Arial"/>
          <w:sz w:val="19"/>
          <w:szCs w:val="19"/>
          <w:color w:val="auto"/>
        </w:rPr>
        <w:t>IFS and Tower Semiconductor will run independently until deal closure; IFS will continue to be led by Thakur, and Tower will continue to be led by Ellwanger during this time. Upon the close of the transaction, Intel’s intent is for the two organizations to become a fully integrated foundry business. The company will share more details on integration plans at that time.</w:t>
      </w:r>
    </w:p>
    <w:p>
      <w:pPr>
        <w:spacing w:after="0" w:line="187" w:lineRule="exact"/>
        <w:rPr>
          <w:sz w:val="20"/>
          <w:szCs w:val="20"/>
          <w:color w:val="auto"/>
        </w:rPr>
      </w:pPr>
    </w:p>
    <w:p>
      <w:pPr>
        <w:ind w:right="120"/>
        <w:spacing w:after="0" w:line="266" w:lineRule="auto"/>
        <w:rPr>
          <w:sz w:val="20"/>
          <w:szCs w:val="20"/>
          <w:color w:val="auto"/>
        </w:rPr>
      </w:pPr>
      <w:r>
        <w:rPr>
          <w:rFonts w:ascii="Arial" w:cs="Arial" w:eastAsia="Arial" w:hAnsi="Arial"/>
          <w:sz w:val="22"/>
          <w:szCs w:val="22"/>
          <w:color w:val="auto"/>
        </w:rPr>
        <w:t>Goldman Sachs &amp; Co. LLC served as financial advisor to Intel; and Skadden, Arps, Slate, Meagher &amp; Flom LLP and Yigal Arnon &amp; Co. served as legal advisors. J.P. Morgan Securities LLC served as financial advisor to Tower; and Latham &amp; Watkins, LLP and FISCHER (FBC &amp; Co.) served as legal advisors.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Discussion Audiocast</w:t>
      </w:r>
    </w:p>
    <w:p>
      <w:pPr>
        <w:spacing w:after="0" w:line="293" w:lineRule="exact"/>
        <w:rPr>
          <w:sz w:val="20"/>
          <w:szCs w:val="20"/>
          <w:color w:val="auto"/>
        </w:rPr>
      </w:pPr>
    </w:p>
    <w:p>
      <w:pPr>
        <w:ind w:right="180"/>
        <w:spacing w:after="0" w:line="261" w:lineRule="auto"/>
        <w:rPr>
          <w:sz w:val="20"/>
          <w:szCs w:val="20"/>
          <w:color w:val="auto"/>
        </w:rPr>
      </w:pPr>
      <w:r>
        <w:rPr>
          <w:rFonts w:ascii="Arial" w:cs="Arial" w:eastAsia="Arial" w:hAnsi="Arial"/>
          <w:sz w:val="22"/>
          <w:szCs w:val="22"/>
          <w:color w:val="auto"/>
        </w:rPr>
        <w:t xml:space="preserve">Intel and Tower management will host a conference call for investors, media and industry analysts at 5:30 a.m. PST (3:30 p.m. IST) today to discuss the transaction and Intel’s foundry strategy. Please visit </w:t>
      </w:r>
      <w:r>
        <w:rPr>
          <w:rFonts w:ascii="Arial" w:cs="Arial" w:eastAsia="Arial" w:hAnsi="Arial"/>
          <w:sz w:val="22"/>
          <w:szCs w:val="22"/>
          <w:u w:val="single" w:color="auto"/>
          <w:color w:val="auto"/>
        </w:rPr>
        <w:t>http://www.directeventreg.com/registration/event/4070988</w:t>
      </w:r>
      <w:r>
        <w:rPr>
          <w:rFonts w:ascii="Arial" w:cs="Arial" w:eastAsia="Arial" w:hAnsi="Arial"/>
          <w:sz w:val="22"/>
          <w:szCs w:val="22"/>
          <w:color w:val="auto"/>
        </w:rPr>
        <w:t xml:space="preserve"> to register for the conference call. The conference call can also be accessed in the United States at 1-888-869-1189 and outside the United States at 1-706-643-5902. A replay will be available on Intel’s Investor Relations website, </w:t>
      </w:r>
      <w:r>
        <w:rPr>
          <w:rFonts w:ascii="Arial" w:cs="Arial" w:eastAsia="Arial" w:hAnsi="Arial"/>
          <w:sz w:val="22"/>
          <w:szCs w:val="22"/>
          <w:u w:val="single" w:color="auto"/>
          <w:color w:val="auto"/>
        </w:rPr>
        <w:t>INTC.com</w:t>
      </w:r>
      <w:r>
        <w:rPr>
          <w:rFonts w:ascii="Arial" w:cs="Arial" w:eastAsia="Arial" w:hAnsi="Arial"/>
          <w:sz w:val="22"/>
          <w:szCs w:val="22"/>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Tower Semiconductor Fourth Quarter and Fiscal Year 2021 Earnings Release Update</w:t>
      </w:r>
    </w:p>
    <w:p>
      <w:pPr>
        <w:spacing w:after="0" w:line="293" w:lineRule="exact"/>
        <w:rPr>
          <w:sz w:val="20"/>
          <w:szCs w:val="20"/>
          <w:color w:val="auto"/>
        </w:rPr>
      </w:pPr>
    </w:p>
    <w:p>
      <w:pPr>
        <w:ind w:right="100"/>
        <w:spacing w:after="0" w:line="301" w:lineRule="auto"/>
        <w:rPr>
          <w:sz w:val="20"/>
          <w:szCs w:val="20"/>
          <w:color w:val="auto"/>
        </w:rPr>
      </w:pPr>
      <w:r>
        <w:rPr>
          <w:rFonts w:ascii="Arial" w:cs="Arial" w:eastAsia="Arial" w:hAnsi="Arial"/>
          <w:sz w:val="21"/>
          <w:szCs w:val="21"/>
          <w:color w:val="auto"/>
        </w:rPr>
        <w:t>Tower will issue its fourth-quarter and fiscal year 2021 financials on Feb. 17, 2022. In light of the announced transaction, Tower will not provide guidance for the first-quarter 2022 and will not host an earnings conference call.</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Intel</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22"/>
          <w:szCs w:val="22"/>
          <w:color w:val="auto"/>
        </w:rPr>
        <w:t xml:space="preserve">Intel (Nasdaq: INTC) is an industry leader, creating world-changing technology that enables global progress and enriches lives. Inspired by Moore’s Law, we continuously work to advance the design and manufacturing of semiconductors to help address our customers’ greatest challenges. By embedding intelligence in the cloud, network, edge and every kind of computing device, we unleash the potential of data to transform business and society for the better. To learn more about Intel’s innovations, go to </w:t>
      </w:r>
      <w:r>
        <w:rPr>
          <w:rFonts w:ascii="Arial" w:cs="Arial" w:eastAsia="Arial" w:hAnsi="Arial"/>
          <w:sz w:val="22"/>
          <w:szCs w:val="22"/>
          <w:u w:val="single" w:color="auto"/>
          <w:color w:val="auto"/>
        </w:rPr>
        <w:t>newsroom.intel.com</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intel.com</w:t>
      </w:r>
      <w:r>
        <w:rPr>
          <w:rFonts w:ascii="Arial" w:cs="Arial" w:eastAsia="Arial" w:hAnsi="Arial"/>
          <w:sz w:val="22"/>
          <w:szCs w:val="22"/>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with ST Microelectronics. For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b w:val="1"/>
          <w:bCs w:val="1"/>
          <w:color w:val="auto"/>
        </w:rPr>
        <w:t>Forward-Looking Statements</w:t>
      </w:r>
    </w:p>
    <w:p>
      <w:pPr>
        <w:spacing w:after="0" w:line="293"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This document contains certain forward-looking statements within the meaning of the “safe harbor” provisions of the United States Private Securities Litigation Reform Act of 1995, Section 27A of the Securities Act of 1933, as amended, and Section 21E of the Securities Exchange Act of 1934, as amended, related to the proposed transaction between Intel and Tower Semiconductor, including statements regarding the benefits and the timing of the transaction as well as statements regarding the companies’ products and markets. Words such as “anticipate,” “believe,” “could,” “estimate,” “expect,” “forecast,” “intend,” “likely,” “may,” “plan,” “potential,” “project,” “predict,” “seek,” “should,” “target,” “would” and “will” and variations of such words and similar expressions are intended to identify such forward-looking statements. Such statements are based on management’s expectations as of the date they were first made and involve risks and uncertainties that could cause our actual results to differ materially from those expressed or implied in our forward-looking statements. Such risks and uncertainties include, among others, the risk that the transaction may not be completed in a timely manner or at all, which may adversely affect the companies’ businesses and the price of their securities; uncertainties as to the timing of the consummation of the transaction and the potential failure to satisfy the conditions to the consummation of the transaction, including the receipt of certain governmental and regulatory approvals; the potential for regulatory authorities to require divestitures, behavioral remedies or other concessions in order to obtain their approval of the proposed transaction; the occurrence of any event, change or other circumstance that could give rise to the termination of the merger agreement; the effect of the announcement or pendency of the transaction on Intel’s business relationships, operating results, and business generally; delays, disruptions or increased costs in the integration of Tower Semiconductor’s technology into existing or new products; the potential that Tower Semiconductor shareholders may not approve the transaction; expected benefits, including financial benefits, of the transaction may not be realized; integration of the acquisition post-closing may not occur as anticipated, and the combined companies’ ability to achieve the growth prospects and synergies expected from the transaction, as well as delays, challenges and expenses associated with integrating the combined companies’ existing businesses may incur; litigation related to the transaction or otherwise; unanticipated restructuring costs may be incurred or undisclosed liabilities assumed; attempts to retain key personnel and customers may not succeed; risks related to diverting management’s attention from Intel’s ongoing business operations; exposure to inflation, currency rate and interest rate fluctuations and risks associated with doing business locally and internationally, as well as fluctuations in the market price of Intel and Tower Semiconductor’s traded securities; the impact of the COVID-19 pandemic on Intel and Tower Semiconductor’s business and general economic conditions; demands in Tower Semiconductor’s customer end markets and for Tower Semiconductor’s foundry services and/or products that exceed Tower Semiconductor’s capacity; ongoing or potential litigations or disputes, incidental to the conduct of Tower Semiconductor's ongoing business, with customers, suppliers, landlords, or other third parties; the business combination or the combined company’s products may not be supported by third parties; actions by competitors may negatively impact results; potential adverse reactions or changes to business relationships resulting from the announcement or completion of the transaction; potential negative changes in general economic conditions in the regions or the industries in which Intel and Tower Semiconductor operate; potential failure to meet the conditions set in the approval certificates received from the Israeli Investment Center under which Tower Semiconductor received a significant amount of grants in past years; exposure to inflation, currency rates (mainly the Israeli Shekel and Japanese Yen); and other risks detailed in Intel’s and Tower Semiconductor’s filings with the Securities and Exchange Commission (the “SEC”) including those discussed in Intel’s most recent Annual Report on Form 10-K and in any subsequent periodic reports on Form 10-Q and Form 8-K and Tower Semiconductor’s most recent Annual Report on Form 20-F and in any subsequent reports on Form 6-K, each of which is on file with or furnished to the SEC and available at the SEC’s website at www.sec.gov. SEC filings for Intel are also available on Intel’s Investor Relations website at www.intc.com, and SEC filings for Tower Semiconductor are available in the Investor Relations section of Tower Semiconductor’s website at ir.towersemi.com. Readers are cautioned not to place undue reliance on these forward-looking statements, which speak only as of their dates. Unless otherwise required by applicable law, Intel and Tower Semiconductor undertake no obligation and do not intend to update these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b w:val="1"/>
          <w:bCs w:val="1"/>
          <w:color w:val="auto"/>
        </w:rPr>
        <w:t>Additional Information and Where to Find It</w:t>
      </w:r>
    </w:p>
    <w:p>
      <w:pPr>
        <w:spacing w:after="0" w:line="293" w:lineRule="exact"/>
        <w:rPr>
          <w:sz w:val="20"/>
          <w:szCs w:val="20"/>
          <w:color w:val="auto"/>
        </w:rPr>
      </w:pPr>
    </w:p>
    <w:p>
      <w:pPr>
        <w:ind w:right="120"/>
        <w:spacing w:after="0" w:line="303" w:lineRule="auto"/>
        <w:rPr>
          <w:sz w:val="20"/>
          <w:szCs w:val="20"/>
          <w:color w:val="auto"/>
        </w:rPr>
      </w:pPr>
      <w:r>
        <w:rPr>
          <w:rFonts w:ascii="Arial" w:cs="Arial" w:eastAsia="Arial" w:hAnsi="Arial"/>
          <w:sz w:val="19"/>
          <w:szCs w:val="19"/>
          <w:color w:val="auto"/>
        </w:rPr>
        <w:t>This communication is being made in respect of the proposed transaction. Tower Semiconductor intends to furnish to the SEC and mail or otherwise provide to its shareholders a proxy statement in connection with the proposed transaction with Intel (the “proxy statement”), and each party will file or furnish other documents regarding the proposed transaction with the SEC. The proxy statement will be sent or given to the shareholders of Tower Semiconductor and will contain important information about the proposed transaction and related matters. This communication is not a substitute for the proxy statement or any other document that may be filed or furnished by Tower Semiconductor with the SEC. Investors and security holders are urged to read the proxy statement in its entirety and other relevant documents filed with or furnished to the SEC in connection with the proposed transaction or incorporated by reference therein when they become available before making any voting or investment decision with respect to the proposed transaction because they will contain important information about the proposed transaction and the parties to the proposed transaction.</w:t>
      </w:r>
    </w:p>
    <w:p>
      <w:pPr>
        <w:spacing w:after="0" w:line="212" w:lineRule="exact"/>
        <w:rPr>
          <w:sz w:val="20"/>
          <w:szCs w:val="20"/>
          <w:color w:val="auto"/>
        </w:rPr>
      </w:pPr>
    </w:p>
    <w:p>
      <w:pPr>
        <w:ind w:right="20"/>
        <w:spacing w:after="0" w:line="306" w:lineRule="auto"/>
        <w:rPr>
          <w:sz w:val="20"/>
          <w:szCs w:val="20"/>
          <w:color w:val="auto"/>
        </w:rPr>
      </w:pPr>
      <w:r>
        <w:rPr>
          <w:rFonts w:ascii="Arial" w:cs="Arial" w:eastAsia="Arial" w:hAnsi="Arial"/>
          <w:sz w:val="19"/>
          <w:szCs w:val="19"/>
          <w:color w:val="auto"/>
        </w:rPr>
        <w:t>You may obtain copies of all documents filed with or furnished to the SEC regarding this transaction, free of charge, at the SEC’s website (www.sec.gov). In addition, investors and shareholders will be able to obtain free copies of the proxy statement and other documents filed with or furnished to the SEC by Intel on Intel’s Investor Relations website (</w:t>
      </w:r>
      <w:r>
        <w:rPr>
          <w:rFonts w:ascii="Arial" w:cs="Arial" w:eastAsia="Arial" w:hAnsi="Arial"/>
          <w:sz w:val="19"/>
          <w:szCs w:val="19"/>
          <w:u w:val="single" w:color="auto"/>
          <w:color w:val="auto"/>
        </w:rPr>
        <w:t>www.intc.com</w:t>
      </w:r>
      <w:r>
        <w:rPr>
          <w:rFonts w:ascii="Arial" w:cs="Arial" w:eastAsia="Arial" w:hAnsi="Arial"/>
          <w:sz w:val="19"/>
          <w:szCs w:val="19"/>
          <w:color w:val="auto"/>
        </w:rPr>
        <w:t>) or by writing to Intel, Investor Relations, 2200 Mission College Blvd., Santa Clara, CA 95054 (for documents filed with the SEC by Intel), or by Tower Semiconductor on Tower Semiconductor’s Investor Relations website (ir.towersemi.com) or by writing to Tower Semiconductor, Corporate Secretary, 20 Shaul Amor Street, Ramat Gavriel Industrial Park, P.O. Box 619, Migdal Haemek 2310502, Israel (for documents filed with or furnished to the SEC by Tower Semiconductor).</w:t>
      </w:r>
    </w:p>
    <w:p>
      <w:pPr>
        <w:spacing w:after="0" w:line="210" w:lineRule="exact"/>
        <w:rPr>
          <w:sz w:val="20"/>
          <w:szCs w:val="20"/>
          <w:color w:val="auto"/>
        </w:rPr>
      </w:pPr>
    </w:p>
    <w:p>
      <w:pPr>
        <w:ind w:firstLine="8"/>
        <w:spacing w:after="0" w:line="195" w:lineRule="auto"/>
        <w:tabs>
          <w:tab w:leader="none" w:pos="191" w:val="left"/>
        </w:tabs>
        <w:numPr>
          <w:ilvl w:val="0"/>
          <w:numId w:val="135"/>
        </w:numPr>
        <w:rPr>
          <w:rFonts w:ascii="Arial" w:cs="Arial" w:eastAsia="Arial" w:hAnsi="Arial"/>
          <w:sz w:val="36"/>
          <w:szCs w:val="36"/>
          <w:color w:val="auto"/>
          <w:vertAlign w:val="superscript"/>
        </w:rPr>
      </w:pPr>
      <w:r>
        <w:rPr>
          <w:rFonts w:ascii="Arial" w:cs="Arial" w:eastAsia="Arial" w:hAnsi="Arial"/>
          <w:sz w:val="22"/>
          <w:szCs w:val="22"/>
          <w:color w:val="auto"/>
        </w:rPr>
        <w:t>Intel Corporation. Intel, the Intel logo and other Intel marks are trademarks of Intel Corporation or its subsidiaries. Other names and brands may be claimed as the property of others.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CONTACTS:  Penelope Bruce</w:t>
            </w:r>
          </w:p>
        </w:tc>
        <w:tc>
          <w:tcPr>
            <w:tcW w:w="1860" w:type="dxa"/>
            <w:vAlign w:val="bottom"/>
            <w:gridSpan w:val="2"/>
          </w:tcPr>
          <w:p>
            <w:pPr>
              <w:ind w:left="80"/>
              <w:spacing w:after="0"/>
              <w:rPr>
                <w:sz w:val="20"/>
                <w:szCs w:val="20"/>
                <w:color w:val="auto"/>
              </w:rPr>
            </w:pPr>
            <w:r>
              <w:rPr>
                <w:rFonts w:ascii="Arial" w:cs="Arial" w:eastAsia="Arial" w:hAnsi="Arial"/>
                <w:sz w:val="18"/>
                <w:szCs w:val="18"/>
                <w:color w:val="auto"/>
              </w:rPr>
              <w:t>Kenji Morita</w:t>
            </w:r>
          </w:p>
        </w:tc>
      </w:tr>
      <w:tr>
        <w:trPr>
          <w:trHeight w:val="216"/>
        </w:trPr>
        <w:tc>
          <w:tcPr>
            <w:tcW w:w="114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Intel Media Relations</w:t>
            </w:r>
          </w:p>
        </w:tc>
        <w:tc>
          <w:tcPr>
            <w:tcW w:w="1860" w:type="dxa"/>
            <w:vAlign w:val="bottom"/>
            <w:gridSpan w:val="2"/>
          </w:tcPr>
          <w:p>
            <w:pPr>
              <w:ind w:left="80"/>
              <w:spacing w:after="0"/>
              <w:rPr>
                <w:sz w:val="20"/>
                <w:szCs w:val="20"/>
                <w:color w:val="auto"/>
              </w:rPr>
            </w:pPr>
            <w:r>
              <w:rPr>
                <w:rFonts w:ascii="Arial" w:cs="Arial" w:eastAsia="Arial" w:hAnsi="Arial"/>
                <w:sz w:val="18"/>
                <w:szCs w:val="18"/>
                <w:color w:val="auto"/>
                <w:w w:val="96"/>
              </w:rPr>
              <w:t>Intel Investor Relations</w:t>
            </w:r>
          </w:p>
        </w:tc>
      </w:tr>
      <w:tr>
        <w:trPr>
          <w:trHeight w:val="216"/>
        </w:trPr>
        <w:tc>
          <w:tcPr>
            <w:tcW w:w="3120" w:type="dxa"/>
            <w:vAlign w:val="bottom"/>
            <w:gridSpan w:val="2"/>
          </w:tcPr>
          <w:p>
            <w:pPr>
              <w:ind w:left="1140"/>
              <w:spacing w:after="0"/>
              <w:rPr>
                <w:sz w:val="20"/>
                <w:szCs w:val="20"/>
                <w:color w:val="auto"/>
              </w:rPr>
            </w:pPr>
            <w:r>
              <w:rPr>
                <w:rFonts w:ascii="Arial" w:cs="Arial" w:eastAsia="Arial" w:hAnsi="Arial"/>
                <w:sz w:val="18"/>
                <w:szCs w:val="18"/>
                <w:color w:val="auto"/>
              </w:rPr>
              <w:t>1-408-893-0601</w:t>
            </w:r>
          </w:p>
        </w:tc>
        <w:tc>
          <w:tcPr>
            <w:tcW w:w="1860" w:type="dxa"/>
            <w:vAlign w:val="bottom"/>
            <w:gridSpan w:val="2"/>
          </w:tcPr>
          <w:p>
            <w:pPr>
              <w:ind w:left="80"/>
              <w:spacing w:after="0"/>
              <w:rPr>
                <w:sz w:val="20"/>
                <w:szCs w:val="20"/>
                <w:color w:val="auto"/>
              </w:rPr>
            </w:pPr>
            <w:r>
              <w:rPr>
                <w:rFonts w:ascii="Arial" w:cs="Arial" w:eastAsia="Arial" w:hAnsi="Arial"/>
                <w:sz w:val="18"/>
                <w:szCs w:val="18"/>
                <w:color w:val="auto"/>
              </w:rPr>
              <w:t>1-408-765-7700</w:t>
            </w:r>
          </w:p>
        </w:tc>
      </w:tr>
      <w:tr>
        <w:trPr>
          <w:trHeight w:val="190"/>
        </w:trPr>
        <w:tc>
          <w:tcPr>
            <w:tcW w:w="1140" w:type="dxa"/>
            <w:vAlign w:val="bottom"/>
          </w:tcPr>
          <w:p>
            <w:pPr>
              <w:spacing w:after="0"/>
              <w:rPr>
                <w:sz w:val="16"/>
                <w:szCs w:val="16"/>
                <w:color w:val="auto"/>
              </w:rPr>
            </w:pPr>
          </w:p>
        </w:tc>
        <w:tc>
          <w:tcPr>
            <w:tcW w:w="1980" w:type="dxa"/>
            <w:vAlign w:val="bottom"/>
          </w:tcPr>
          <w:p>
            <w:pPr>
              <w:spacing w:after="0" w:line="190" w:lineRule="exact"/>
              <w:rPr>
                <w:sz w:val="20"/>
                <w:szCs w:val="20"/>
                <w:color w:val="auto"/>
              </w:rPr>
            </w:pPr>
            <w:r>
              <w:rPr>
                <w:rFonts w:ascii="Arial" w:cs="Arial" w:eastAsia="Arial" w:hAnsi="Arial"/>
                <w:sz w:val="18"/>
                <w:szCs w:val="18"/>
                <w:color w:val="auto"/>
                <w:w w:val="89"/>
              </w:rPr>
              <w:t>Penelope.Bruce@intel.com</w:t>
            </w:r>
          </w:p>
        </w:tc>
        <w:tc>
          <w:tcPr>
            <w:tcW w:w="1860" w:type="dxa"/>
            <w:vAlign w:val="bottom"/>
            <w:gridSpan w:val="2"/>
          </w:tcPr>
          <w:p>
            <w:pPr>
              <w:ind w:left="80"/>
              <w:spacing w:after="0" w:line="190" w:lineRule="exact"/>
              <w:rPr>
                <w:sz w:val="20"/>
                <w:szCs w:val="20"/>
                <w:color w:val="auto"/>
              </w:rPr>
            </w:pPr>
            <w:r>
              <w:rPr>
                <w:rFonts w:ascii="Arial" w:cs="Arial" w:eastAsia="Arial" w:hAnsi="Arial"/>
                <w:sz w:val="18"/>
                <w:szCs w:val="18"/>
                <w:color w:val="auto"/>
                <w:w w:val="94"/>
              </w:rPr>
              <w:t>Kenji.Morita@intel.com</w:t>
            </w:r>
          </w:p>
        </w:tc>
      </w:tr>
      <w:tr>
        <w:trPr>
          <w:trHeight w:val="20"/>
        </w:trPr>
        <w:tc>
          <w:tcPr>
            <w:tcW w:w="11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Noit Levy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Tower Semiconductor Investor Relations and Corporate Communications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+972-4-604-7066</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noitle@towersemi.com</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1)"/>
      <w:numFmt w:val="lowerLetter"/>
      <w:start w:val="1"/>
    </w:lvl>
  </w:abstractNum>
  <w:abstractNum w:abstractNumId="3">
    <w:nsid w:val="15014ACB"/>
    <w:multiLevelType w:val="hybridMultilevel"/>
    <w:lvl w:ilvl="0">
      <w:lvlJc w:val="left"/>
      <w:lvlText w:val="(%1)"/>
      <w:numFmt w:val="lowerLetter"/>
      <w:start w:val="1"/>
    </w:lvl>
  </w:abstractNum>
  <w:abstractNum w:abstractNumId="4">
    <w:nsid w:val="5F5E7FD0"/>
    <w:multiLevelType w:val="hybridMultilevel"/>
    <w:lvl w:ilvl="0">
      <w:lvlJc w:val="left"/>
      <w:lvlText w:val="(%1)"/>
      <w:numFmt w:val="lowerLetter"/>
      <w:start w:val="2"/>
    </w:lvl>
  </w:abstractNum>
  <w:abstractNum w:abstractNumId="5">
    <w:nsid w:val="98A3148"/>
    <w:multiLevelType w:val="hybridMultilevel"/>
    <w:lvl w:ilvl="0">
      <w:lvlJc w:val="left"/>
      <w:lvlText w:val="(%1)"/>
      <w:numFmt w:val="lowerLetter"/>
      <w:start w:val="1"/>
    </w:lvl>
  </w:abstractNum>
  <w:abstractNum w:abstractNumId="6">
    <w:nsid w:val="799D0247"/>
    <w:multiLevelType w:val="hybridMultilevel"/>
    <w:lvl w:ilvl="0">
      <w:lvlJc w:val="left"/>
      <w:lvlText w:val="(%1)"/>
      <w:numFmt w:val="lowerLetter"/>
      <w:start w:val="3"/>
    </w:lvl>
  </w:abstractNum>
  <w:abstractNum w:abstractNumId="7">
    <w:nsid w:val="6B94764"/>
    <w:multiLevelType w:val="hybridMultilevel"/>
    <w:lvl w:ilvl="0">
      <w:lvlJc w:val="left"/>
      <w:lvlText w:val="(%1)"/>
      <w:numFmt w:val="lowerLetter"/>
      <w:start w:val="5"/>
    </w:lvl>
  </w:abstractNum>
  <w:abstractNum w:abstractNumId="8">
    <w:nsid w:val="42C296BD"/>
    <w:multiLevelType w:val="hybridMultilevel"/>
    <w:lvl w:ilvl="0">
      <w:lvlJc w:val="left"/>
      <w:lvlText w:val="%1"/>
      <w:numFmt w:val="lowerLetter"/>
      <w:start w:val="1"/>
    </w:lvl>
    <w:lvl w:ilvl="1">
      <w:lvlJc w:val="left"/>
      <w:lvlText w:val="(%2)"/>
      <w:numFmt w:val="lowerLetter"/>
      <w:start w:val="1"/>
    </w:lvl>
  </w:abstractNum>
  <w:abstractNum w:abstractNumId="9">
    <w:nsid w:val="168E121F"/>
    <w:multiLevelType w:val="hybridMultilevel"/>
    <w:lvl w:ilvl="0">
      <w:lvlJc w:val="left"/>
      <w:lvlText w:val="(%1)"/>
      <w:numFmt w:val="lowerLetter"/>
      <w:start w:val="9"/>
    </w:lvl>
    <w:lvl w:ilvl="1">
      <w:lvlJc w:val="left"/>
      <w:lvlText w:val="%2"/>
      <w:numFmt w:val="lowerLetter"/>
      <w:start w:val="1"/>
    </w:lvl>
  </w:abstractNum>
  <w:abstractNum w:abstractNumId="10">
    <w:nsid w:val="1EBA5D23"/>
    <w:multiLevelType w:val="hybridMultilevel"/>
    <w:lvl w:ilvl="0">
      <w:lvlJc w:val="left"/>
      <w:lvlText w:val="(%1)"/>
      <w:numFmt w:val="lowerLetter"/>
      <w:start w:val="24"/>
    </w:lvl>
    <w:lvl w:ilvl="1">
      <w:lvlJc w:val="left"/>
      <w:lvlText w:val="%2"/>
      <w:numFmt w:val="lowerLetter"/>
      <w:start w:val="1"/>
    </w:lvl>
  </w:abstractNum>
  <w:abstractNum w:abstractNumId="11">
    <w:nsid w:val="661E3F1E"/>
    <w:multiLevelType w:val="hybridMultilevel"/>
    <w:lvl w:ilvl="0">
      <w:lvlJc w:val="left"/>
      <w:lvlText w:val="%1"/>
      <w:numFmt w:val="lowerLetter"/>
      <w:start w:val="1"/>
    </w:lvl>
    <w:lvl w:ilvl="1">
      <w:lvlJc w:val="left"/>
      <w:lvlText w:val="(%2)"/>
      <w:numFmt w:val="lowerLetter"/>
      <w:start w:val="2"/>
    </w:lvl>
  </w:abstractNum>
  <w:abstractNum w:abstractNumId="12">
    <w:nsid w:val="5DC79EA8"/>
    <w:multiLevelType w:val="hybridMultilevel"/>
    <w:lvl w:ilvl="0">
      <w:lvlJc w:val="left"/>
      <w:lvlText w:val="(%1)"/>
      <w:numFmt w:val="lowerLetter"/>
      <w:start w:val="25"/>
    </w:lvl>
    <w:lvl w:ilvl="1">
      <w:lvlJc w:val="left"/>
      <w:lvlText w:val="(%2)"/>
      <w:numFmt w:val="lowerLetter"/>
      <w:start w:val="4"/>
    </w:lvl>
  </w:abstractNum>
  <w:abstractNum w:abstractNumId="13">
    <w:nsid w:val="540A471C"/>
    <w:multiLevelType w:val="hybridMultilevel"/>
    <w:lvl w:ilvl="0">
      <w:lvlJc w:val="left"/>
      <w:lvlText w:val="(%1)"/>
      <w:numFmt w:val="lowerLetter"/>
      <w:start w:val="5"/>
    </w:lvl>
    <w:lvl w:ilvl="1">
      <w:lvlJc w:val="left"/>
      <w:lvlText w:val="(%2)"/>
      <w:numFmt w:val="lowerLetter"/>
      <w:start w:val="9"/>
    </w:lvl>
  </w:abstractNum>
  <w:abstractNum w:abstractNumId="14">
    <w:nsid w:val="7BD3EE7B"/>
    <w:multiLevelType w:val="hybridMultilevel"/>
    <w:lvl w:ilvl="0">
      <w:lvlJc w:val="left"/>
      <w:lvlText w:val="(%1)"/>
      <w:numFmt w:val="lowerRoman"/>
      <w:start w:val="2"/>
    </w:lvl>
  </w:abstractNum>
  <w:abstractNum w:abstractNumId="15">
    <w:nsid w:val="51D9C564"/>
    <w:multiLevelType w:val="hybridMultilevel"/>
    <w:lvl w:ilvl="0">
      <w:lvlJc w:val="left"/>
      <w:lvlText w:val="(%1)"/>
      <w:numFmt w:val="lowerLetter"/>
      <w:start w:val="7"/>
    </w:lvl>
  </w:abstractNum>
  <w:abstractNum w:abstractNumId="16">
    <w:nsid w:val="613EFDC5"/>
    <w:multiLevelType w:val="hybridMultilevel"/>
    <w:lvl w:ilvl="0">
      <w:lvlJc w:val="left"/>
      <w:lvlText w:val="(%1)"/>
      <w:numFmt w:val="lowerRoman"/>
      <w:start w:val="1"/>
    </w:lvl>
  </w:abstractNum>
  <w:abstractNum w:abstractNumId="17">
    <w:nsid w:val="BF72B14"/>
    <w:multiLevelType w:val="hybridMultilevel"/>
    <w:lvl w:ilvl="0">
      <w:lvlJc w:val="left"/>
      <w:lvlText w:val="(%1)"/>
      <w:numFmt w:val="lowerLetter"/>
      <w:start w:val="1"/>
    </w:lvl>
  </w:abstractNum>
  <w:abstractNum w:abstractNumId="18">
    <w:nsid w:val="11447B73"/>
    <w:multiLevelType w:val="hybridMultilevel"/>
    <w:lvl w:ilvl="0">
      <w:lvlJc w:val="left"/>
      <w:lvlText w:val="(%1)"/>
      <w:numFmt w:val="lowerLetter"/>
      <w:start w:val="2"/>
    </w:lvl>
  </w:abstractNum>
  <w:abstractNum w:abstractNumId="19">
    <w:nsid w:val="42963E5A"/>
    <w:multiLevelType w:val="hybridMultilevel"/>
    <w:lvl w:ilvl="0">
      <w:lvlJc w:val="left"/>
      <w:lvlText w:val="(%1)"/>
      <w:numFmt w:val="lowerLetter"/>
      <w:start w:val="1"/>
    </w:lvl>
    <w:lvl w:ilvl="1">
      <w:lvlJc w:val="left"/>
      <w:lvlText w:val="(%2)"/>
      <w:numFmt w:val="lowerRoman"/>
      <w:start w:val="1"/>
    </w:lvl>
  </w:abstractNum>
  <w:abstractNum w:abstractNumId="20">
    <w:nsid w:val="A0382C5"/>
    <w:multiLevelType w:val="hybridMultilevel"/>
    <w:lvl w:ilvl="0">
      <w:lvlJc w:val="left"/>
      <w:lvlText w:val="(%1)"/>
      <w:numFmt w:val="lowerLetter"/>
      <w:start w:val="3"/>
    </w:lvl>
  </w:abstractNum>
  <w:abstractNum w:abstractNumId="21">
    <w:nsid w:val="8F2B15E"/>
    <w:multiLevelType w:val="hybridMultilevel"/>
    <w:lvl w:ilvl="0">
      <w:lvlJc w:val="left"/>
      <w:lvlText w:val="(%1)"/>
      <w:numFmt w:val="lowerLetter"/>
      <w:start w:val="5"/>
    </w:lvl>
  </w:abstractNum>
  <w:abstractNum w:abstractNumId="22">
    <w:nsid w:val="1A32234B"/>
    <w:multiLevelType w:val="hybridMultilevel"/>
    <w:lvl w:ilvl="0">
      <w:lvlJc w:val="left"/>
      <w:lvlText w:val="%1"/>
      <w:numFmt w:val="lowerLetter"/>
      <w:start w:val="1"/>
    </w:lvl>
    <w:lvl w:ilvl="1">
      <w:lvlJc w:val="left"/>
      <w:lvlText w:val="(%2)"/>
      <w:numFmt w:val="lowerLetter"/>
      <w:start w:val="1"/>
    </w:lvl>
  </w:abstractNum>
  <w:abstractNum w:abstractNumId="23">
    <w:nsid w:val="3B0FD379"/>
    <w:multiLevelType w:val="hybridMultilevel"/>
    <w:lvl w:ilvl="0">
      <w:lvlJc w:val="left"/>
      <w:lvlText w:val="(%1)"/>
      <w:numFmt w:val="lowerLetter"/>
      <w:start w:val="61"/>
    </w:lvl>
    <w:lvl w:ilvl="1">
      <w:lvlJc w:val="left"/>
      <w:lvlText w:val="%2"/>
      <w:numFmt w:val="lowerLetter"/>
      <w:start w:val="1"/>
    </w:lvl>
  </w:abstractNum>
  <w:abstractNum w:abstractNumId="24">
    <w:nsid w:val="68EB2F63"/>
    <w:multiLevelType w:val="hybridMultilevel"/>
    <w:lvl w:ilvl="0">
      <w:lvlJc w:val="left"/>
      <w:lvlText w:val="(%1)"/>
      <w:numFmt w:val="lowerLetter"/>
      <w:start w:val="1"/>
    </w:lvl>
  </w:abstractNum>
  <w:abstractNum w:abstractNumId="25">
    <w:nsid w:val="4962813B"/>
    <w:multiLevelType w:val="hybridMultilevel"/>
    <w:lvl w:ilvl="0">
      <w:lvlJc w:val="left"/>
      <w:lvlText w:val="%1"/>
      <w:numFmt w:val="lowerLetter"/>
      <w:start w:val="1"/>
    </w:lvl>
    <w:lvl w:ilvl="1">
      <w:lvlJc w:val="left"/>
      <w:lvlText w:val="(%2)"/>
      <w:numFmt w:val="lowerLetter"/>
      <w:start w:val="1"/>
    </w:lvl>
  </w:abstractNum>
  <w:abstractNum w:abstractNumId="26">
    <w:nsid w:val="60B6DF70"/>
    <w:multiLevelType w:val="hybridMultilevel"/>
    <w:lvl w:ilvl="0">
      <w:lvlJc w:val="left"/>
      <w:lvlText w:val="(%1)"/>
      <w:numFmt w:val="lowerLetter"/>
      <w:start w:val="22"/>
    </w:lvl>
    <w:lvl w:ilvl="1">
      <w:lvlJc w:val="left"/>
      <w:lvlText w:val="(%2)"/>
      <w:numFmt w:val="lowerLetter"/>
      <w:start w:val="3"/>
    </w:lvl>
  </w:abstractNum>
  <w:abstractNum w:abstractNumId="27">
    <w:nsid w:val="6A5EE64"/>
    <w:multiLevelType w:val="hybridMultilevel"/>
    <w:lvl w:ilvl="0">
      <w:lvlJc w:val="left"/>
      <w:lvlText w:val="(%1)"/>
      <w:numFmt w:val="lowerLetter"/>
      <w:start w:val="61"/>
    </w:lvl>
    <w:lvl w:ilvl="1">
      <w:lvlJc w:val="left"/>
      <w:lvlText w:val="%2"/>
      <w:numFmt w:val="lowerLetter"/>
      <w:start w:val="1"/>
    </w:lvl>
  </w:abstractNum>
  <w:abstractNum w:abstractNumId="28">
    <w:nsid w:val="14330624"/>
    <w:multiLevelType w:val="hybridMultilevel"/>
    <w:lvl w:ilvl="0">
      <w:lvlJc w:val="left"/>
      <w:lvlText w:val="%1"/>
      <w:numFmt w:val="lowerLetter"/>
      <w:start w:val="1"/>
    </w:lvl>
    <w:lvl w:ilvl="1">
      <w:lvlJc w:val="left"/>
      <w:lvlText w:val="(%2)"/>
      <w:numFmt w:val="lowerLetter"/>
      <w:start w:val="4"/>
    </w:lvl>
  </w:abstractNum>
  <w:abstractNum w:abstractNumId="29">
    <w:nsid w:val="7FFFCA11"/>
    <w:multiLevelType w:val="hybridMultilevel"/>
    <w:lvl w:ilvl="0">
      <w:lvlJc w:val="left"/>
      <w:lvlText w:val="(%1)"/>
      <w:numFmt w:val="lowerLetter"/>
      <w:start w:val="61"/>
    </w:lvl>
    <w:lvl w:ilvl="1">
      <w:lvlJc w:val="left"/>
      <w:lvlText w:val="%2"/>
      <w:numFmt w:val="lowerLetter"/>
      <w:start w:val="1"/>
    </w:lvl>
  </w:abstractNum>
  <w:abstractNum w:abstractNumId="30">
    <w:nsid w:val="1A27709E"/>
    <w:multiLevelType w:val="hybridMultilevel"/>
    <w:lvl w:ilvl="0">
      <w:lvlJc w:val="left"/>
      <w:lvlText w:val="(%1)"/>
      <w:numFmt w:val="lowerLetter"/>
      <w:start w:val="8"/>
    </w:lvl>
  </w:abstractNum>
  <w:abstractNum w:abstractNumId="31">
    <w:nsid w:val="71EA1109"/>
    <w:multiLevelType w:val="hybridMultilevel"/>
    <w:lvl w:ilvl="0">
      <w:lvlJc w:val="left"/>
      <w:lvlText w:val="(%1)"/>
      <w:numFmt w:val="lowerLetter"/>
      <w:start w:val="12"/>
    </w:lvl>
  </w:abstractNum>
  <w:abstractNum w:abstractNumId="32">
    <w:nsid w:val="100F59DC"/>
    <w:multiLevelType w:val="hybridMultilevel"/>
    <w:lvl w:ilvl="0">
      <w:lvlJc w:val="left"/>
      <w:lvlText w:val="(%1)"/>
      <w:numFmt w:val="lowerLetter"/>
      <w:start w:val="1"/>
    </w:lvl>
  </w:abstractNum>
  <w:abstractNum w:abstractNumId="33">
    <w:nsid w:val="7FB7E0AA"/>
    <w:multiLevelType w:val="hybridMultilevel"/>
    <w:lvl w:ilvl="0">
      <w:lvlJc w:val="left"/>
      <w:lvlText w:val="%1"/>
      <w:numFmt w:val="lowerLetter"/>
      <w:start w:val="1"/>
    </w:lvl>
    <w:lvl w:ilvl="1">
      <w:lvlJc w:val="left"/>
      <w:lvlText w:val="(%2)"/>
      <w:numFmt w:val="lowerLetter"/>
      <w:start w:val="2"/>
    </w:lvl>
  </w:abstractNum>
  <w:abstractNum w:abstractNumId="34">
    <w:nsid w:val="6EB5BD4"/>
    <w:multiLevelType w:val="hybridMultilevel"/>
    <w:lvl w:ilvl="0">
      <w:lvlJc w:val="left"/>
      <w:lvlText w:val="(%1)"/>
      <w:numFmt w:val="lowerLetter"/>
      <w:start w:val="61"/>
    </w:lvl>
    <w:lvl w:ilvl="1">
      <w:lvlJc w:val="left"/>
      <w:lvlText w:val="(%2)"/>
      <w:numFmt w:val="lowerLetter"/>
      <w:start w:val="5"/>
    </w:lvl>
  </w:abstractNum>
  <w:abstractNum w:abstractNumId="35">
    <w:nsid w:val="6F6DD9AC"/>
    <w:multiLevelType w:val="hybridMultilevel"/>
    <w:lvl w:ilvl="0">
      <w:lvlJc w:val="left"/>
      <w:lvlText w:val="(%1)"/>
      <w:numFmt w:val="lowerLetter"/>
      <w:start w:val="6"/>
    </w:lvl>
  </w:abstractNum>
  <w:abstractNum w:abstractNumId="36">
    <w:nsid w:val="94211F2"/>
    <w:multiLevelType w:val="hybridMultilevel"/>
    <w:lvl w:ilvl="0">
      <w:lvlJc w:val="left"/>
      <w:lvlText w:val="(%1)"/>
      <w:numFmt w:val="lowerLetter"/>
      <w:start w:val="9"/>
    </w:lvl>
  </w:abstractNum>
  <w:abstractNum w:abstractNumId="37">
    <w:nsid w:val="885E1B"/>
    <w:multiLevelType w:val="hybridMultilevel"/>
    <w:lvl w:ilvl="0">
      <w:lvlJc w:val="left"/>
      <w:lvlText w:val="(%1)"/>
      <w:numFmt w:val="lowerLetter"/>
      <w:start w:val="1"/>
    </w:lvl>
  </w:abstractNum>
  <w:abstractNum w:abstractNumId="38">
    <w:nsid w:val="76272110"/>
    <w:multiLevelType w:val="hybridMultilevel"/>
    <w:lvl w:ilvl="0">
      <w:lvlJc w:val="left"/>
      <w:lvlText w:val="(%1)"/>
      <w:numFmt w:val="lowerLetter"/>
      <w:start w:val="3"/>
    </w:lvl>
  </w:abstractNum>
  <w:abstractNum w:abstractNumId="39">
    <w:nsid w:val="4C04A8AF"/>
    <w:multiLevelType w:val="hybridMultilevel"/>
    <w:lvl w:ilvl="0">
      <w:lvlJc w:val="left"/>
      <w:lvlText w:val="(%1)"/>
      <w:numFmt w:val="lowerLetter"/>
      <w:start w:val="6"/>
    </w:lvl>
  </w:abstractNum>
  <w:abstractNum w:abstractNumId="40">
    <w:nsid w:val="1716703B"/>
    <w:multiLevelType w:val="hybridMultilevel"/>
    <w:lvl w:ilvl="0">
      <w:lvlJc w:val="left"/>
      <w:lvlText w:val="(%1)"/>
      <w:numFmt w:val="lowerLetter"/>
      <w:start w:val="1"/>
    </w:lvl>
  </w:abstractNum>
  <w:abstractNum w:abstractNumId="41">
    <w:nsid w:val="14E17E33"/>
    <w:multiLevelType w:val="hybridMultilevel"/>
    <w:lvl w:ilvl="0">
      <w:lvlJc w:val="left"/>
      <w:lvlText w:val="(%1)"/>
      <w:numFmt w:val="lowerLetter"/>
      <w:start w:val="2"/>
    </w:lvl>
  </w:abstractNum>
  <w:abstractNum w:abstractNumId="42">
    <w:nsid w:val="3222E7CD"/>
    <w:multiLevelType w:val="hybridMultilevel"/>
    <w:lvl w:ilvl="0">
      <w:lvlJc w:val="left"/>
      <w:lvlText w:val="%1"/>
      <w:numFmt w:val="lowerRoman"/>
      <w:start w:val="1"/>
    </w:lvl>
    <w:lvl w:ilvl="1">
      <w:lvlJc w:val="left"/>
      <w:lvlText w:val="(%2)"/>
      <w:numFmt w:val="lowerLetter"/>
      <w:start w:val="3"/>
    </w:lvl>
  </w:abstractNum>
  <w:abstractNum w:abstractNumId="43">
    <w:nsid w:val="74DE0EE3"/>
    <w:multiLevelType w:val="hybridMultilevel"/>
    <w:lvl w:ilvl="0">
      <w:lvlJc w:val="left"/>
      <w:lvlText w:val="(%1)"/>
      <w:numFmt w:val="lowerRoman"/>
      <w:start w:val="4"/>
    </w:lvl>
    <w:lvl w:ilvl="1">
      <w:lvlJc w:val="left"/>
      <w:lvlText w:val="(%2)"/>
      <w:numFmt w:val="lowerLetter"/>
      <w:start w:val="5"/>
    </w:lvl>
  </w:abstractNum>
  <w:abstractNum w:abstractNumId="44">
    <w:nsid w:val="68EBC550"/>
    <w:multiLevelType w:val="hybridMultilevel"/>
    <w:lvl w:ilvl="0">
      <w:lvlJc w:val="left"/>
      <w:lvlText w:val="(%1)"/>
      <w:numFmt w:val="lowerLetter"/>
      <w:start w:val="6"/>
    </w:lvl>
  </w:abstractNum>
  <w:abstractNum w:abstractNumId="45">
    <w:nsid w:val="2DF6D648"/>
    <w:multiLevelType w:val="hybridMultilevel"/>
    <w:lvl w:ilvl="0">
      <w:lvlJc w:val="left"/>
      <w:lvlText w:val="%1"/>
      <w:numFmt w:val="lowerLetter"/>
      <w:start w:val="1"/>
    </w:lvl>
    <w:lvl w:ilvl="1">
      <w:lvlJc w:val="left"/>
      <w:lvlText w:val="(%2)"/>
      <w:numFmt w:val="lowerLetter"/>
      <w:start w:val="1"/>
    </w:lvl>
  </w:abstractNum>
  <w:abstractNum w:abstractNumId="46">
    <w:nsid w:val="46B7D447"/>
    <w:multiLevelType w:val="hybridMultilevel"/>
    <w:lvl w:ilvl="0">
      <w:lvlJc w:val="left"/>
      <w:lvlText w:val="(%1)"/>
      <w:numFmt w:val="lowerLetter"/>
      <w:start w:val="61"/>
    </w:lvl>
    <w:lvl w:ilvl="1">
      <w:lvlJc w:val="left"/>
      <w:lvlText w:val="%2"/>
      <w:numFmt w:val="lowerLetter"/>
      <w:start w:val="1"/>
    </w:lvl>
  </w:abstractNum>
  <w:abstractNum w:abstractNumId="47">
    <w:nsid w:val="4A2AC315"/>
    <w:multiLevelType w:val="hybridMultilevel"/>
    <w:lvl w:ilvl="0">
      <w:lvlJc w:val="left"/>
      <w:lvlText w:val="(%1)"/>
      <w:numFmt w:val="lowerLetter"/>
      <w:start w:val="3"/>
    </w:lvl>
  </w:abstractNum>
  <w:abstractNum w:abstractNumId="48">
    <w:nsid w:val="39EE015C"/>
    <w:multiLevelType w:val="hybridMultilevel"/>
    <w:lvl w:ilvl="0">
      <w:lvlJc w:val="left"/>
      <w:lvlText w:val="%1"/>
      <w:numFmt w:val="lowerLetter"/>
      <w:start w:val="1"/>
    </w:lvl>
    <w:lvl w:ilvl="1">
      <w:lvlJc w:val="left"/>
      <w:lvlText w:val="(%2)"/>
      <w:numFmt w:val="lowerLetter"/>
      <w:start w:val="1"/>
    </w:lvl>
  </w:abstractNum>
  <w:abstractNum w:abstractNumId="49">
    <w:nsid w:val="57FC4FBB"/>
    <w:multiLevelType w:val="hybridMultilevel"/>
    <w:lvl w:ilvl="0">
      <w:lvlJc w:val="left"/>
      <w:lvlText w:val="(%1)"/>
      <w:numFmt w:val="lowerLetter"/>
      <w:start w:val="9"/>
    </w:lvl>
    <w:lvl w:ilvl="1">
      <w:lvlJc w:val="left"/>
      <w:lvlText w:val="%2"/>
      <w:numFmt w:val="lowerLetter"/>
      <w:start w:val="1"/>
    </w:lvl>
  </w:abstractNum>
  <w:abstractNum w:abstractNumId="50">
    <w:nsid w:val="CC1016F"/>
    <w:multiLevelType w:val="hybridMultilevel"/>
    <w:lvl w:ilvl="0">
      <w:lvlJc w:val="left"/>
      <w:lvlText w:val="(%1)"/>
      <w:numFmt w:val="lowerLetter"/>
      <w:start w:val="5"/>
    </w:lvl>
  </w:abstractNum>
  <w:abstractNum w:abstractNumId="51">
    <w:nsid w:val="43F18422"/>
    <w:multiLevelType w:val="hybridMultilevel"/>
    <w:lvl w:ilvl="0">
      <w:lvlJc w:val="left"/>
      <w:lvlText w:val="(%1)"/>
      <w:numFmt w:val="lowerLetter"/>
      <w:start w:val="9"/>
    </w:lvl>
  </w:abstractNum>
  <w:abstractNum w:abstractNumId="52">
    <w:nsid w:val="60EF0119"/>
    <w:multiLevelType w:val="hybridMultilevel"/>
    <w:lvl w:ilvl="0">
      <w:lvlJc w:val="left"/>
      <w:lvlText w:val="(%1)"/>
      <w:numFmt w:val="lowerLetter"/>
      <w:start w:val="12"/>
    </w:lvl>
  </w:abstractNum>
  <w:abstractNum w:abstractNumId="53">
    <w:nsid w:val="26F324BA"/>
    <w:multiLevelType w:val="hybridMultilevel"/>
    <w:lvl w:ilvl="0">
      <w:lvlJc w:val="left"/>
      <w:lvlText w:val="(%1)"/>
      <w:numFmt w:val="lowerLetter"/>
      <w:start w:val="1"/>
    </w:lvl>
  </w:abstractNum>
  <w:abstractNum w:abstractNumId="54">
    <w:nsid w:val="7F01579B"/>
    <w:multiLevelType w:val="hybridMultilevel"/>
    <w:lvl w:ilvl="0">
      <w:lvlJc w:val="left"/>
      <w:lvlText w:val="(%1)"/>
      <w:numFmt w:val="lowerLetter"/>
      <w:start w:val="4"/>
    </w:lvl>
  </w:abstractNum>
  <w:abstractNum w:abstractNumId="55">
    <w:nsid w:val="49DA307D"/>
    <w:multiLevelType w:val="hybridMultilevel"/>
    <w:lvl w:ilvl="0">
      <w:lvlJc w:val="left"/>
      <w:lvlText w:val="(%1)"/>
      <w:numFmt w:val="lowerLetter"/>
      <w:start w:val="10"/>
    </w:lvl>
  </w:abstractNum>
  <w:abstractNum w:abstractNumId="56">
    <w:nsid w:val="7055A5F5"/>
    <w:multiLevelType w:val="hybridMultilevel"/>
    <w:lvl w:ilvl="0">
      <w:lvlJc w:val="left"/>
      <w:lvlText w:val="(%1)"/>
      <w:numFmt w:val="lowerLetter"/>
      <w:start w:val="16"/>
    </w:lvl>
  </w:abstractNum>
  <w:abstractNum w:abstractNumId="57">
    <w:nsid w:val="5FB8370B"/>
    <w:multiLevelType w:val="hybridMultilevel"/>
    <w:lvl w:ilvl="0">
      <w:lvlJc w:val="left"/>
      <w:lvlText w:val="(%1)"/>
      <w:numFmt w:val="lowerLetter"/>
      <w:start w:val="1"/>
    </w:lvl>
  </w:abstractNum>
  <w:abstractNum w:abstractNumId="58">
    <w:nsid w:val="50801EE1"/>
    <w:multiLevelType w:val="hybridMultilevel"/>
    <w:lvl w:ilvl="0">
      <w:lvlJc w:val="left"/>
      <w:lvlText w:val="(%1)"/>
      <w:numFmt w:val="lowerLetter"/>
      <w:start w:val="7"/>
    </w:lvl>
  </w:abstractNum>
  <w:abstractNum w:abstractNumId="59">
    <w:nsid w:val="488AC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0">
    <w:nsid w:val="5FB801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1">
    <w:nsid w:val="6AA78F7F"/>
    <w:multiLevelType w:val="hybridMultilevel"/>
    <w:lvl w:ilvl="0">
      <w:lvlJc w:val="left"/>
      <w:lvlText w:val="(%1)"/>
      <w:numFmt w:val="lowerRoman"/>
      <w:start w:val="5"/>
    </w:lvl>
  </w:abstractNum>
  <w:abstractNum w:abstractNumId="62">
    <w:nsid w:val="7672BD23"/>
    <w:multiLevelType w:val="hybridMultilevel"/>
    <w:lvl w:ilvl="0">
      <w:lvlJc w:val="left"/>
      <w:lvlText w:val="(%1)"/>
      <w:numFmt w:val="lowerRoman"/>
      <w:start w:val="10"/>
    </w:lvl>
  </w:abstractNum>
  <w:abstractNum w:abstractNumId="63">
    <w:nsid w:val="6FC75AF8"/>
    <w:multiLevelType w:val="hybridMultilevel"/>
    <w:lvl w:ilvl="0">
      <w:lvlJc w:val="left"/>
      <w:lvlText w:val="(%1)"/>
      <w:numFmt w:val="lowerLetter"/>
      <w:start w:val="2"/>
    </w:lvl>
  </w:abstractNum>
  <w:abstractNum w:abstractNumId="64">
    <w:nsid w:val="6A5F7029"/>
    <w:multiLevelType w:val="hybridMultilevel"/>
    <w:lvl w:ilvl="0">
      <w:lvlJc w:val="left"/>
      <w:lvlText w:val="(%1)"/>
      <w:numFmt w:val="lowerLetter"/>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Letter"/>
      <w:start w:val="1"/>
    </w:lvl>
  </w:abstractNum>
  <w:abstractNum w:abstractNumId="67">
    <w:nsid w:val="73A1821B"/>
    <w:multiLevelType w:val="hybridMultilevel"/>
    <w:lvl w:ilvl="0">
      <w:lvlJc w:val="left"/>
      <w:lvlText w:val="(%1)"/>
      <w:numFmt w:val="lowerLetter"/>
      <w:start w:val="1"/>
    </w:lvl>
  </w:abstractNum>
  <w:abstractNum w:abstractNumId="68">
    <w:nsid w:val="7DE67713"/>
    <w:multiLevelType w:val="hybridMultilevel"/>
    <w:lvl w:ilvl="0">
      <w:lvlJc w:val="left"/>
      <w:lvlText w:val="(%1)"/>
      <w:numFmt w:val="lowerLetter"/>
      <w:start w:val="2"/>
    </w:lvl>
  </w:abstractNum>
  <w:abstractNum w:abstractNumId="69">
    <w:nsid w:val="555C55B5"/>
    <w:multiLevelType w:val="hybridMultilevel"/>
    <w:lvl w:ilvl="0">
      <w:lvlJc w:val="left"/>
      <w:lvlText w:val="%1"/>
      <w:numFmt w:val="lowerRoman"/>
      <w:start w:val="1"/>
    </w:lvl>
    <w:lvl w:ilvl="1">
      <w:lvlJc w:val="left"/>
      <w:lvlText w:val="(%2)"/>
      <w:numFmt w:val="lowerLetter"/>
      <w:start w:val="1"/>
    </w:lvl>
  </w:abstractNum>
  <w:abstractNum w:abstractNumId="70">
    <w:nsid w:val="3FA62ACA"/>
    <w:multiLevelType w:val="hybridMultilevel"/>
    <w:lvl w:ilvl="0">
      <w:lvlJc w:val="left"/>
      <w:lvlText w:val="(%1)"/>
      <w:numFmt w:val="lowerRoman"/>
      <w:start w:val="4"/>
    </w:lvl>
    <w:lvl w:ilvl="1">
      <w:lvlJc w:val="left"/>
      <w:lvlText w:val="%2"/>
      <w:numFmt w:val="lowerLetter"/>
      <w:start w:val="1"/>
    </w:lvl>
  </w:abstractNum>
  <w:abstractNum w:abstractNumId="71">
    <w:nsid w:val="14FCE74E"/>
    <w:multiLevelType w:val="hybridMultilevel"/>
    <w:lvl w:ilvl="0">
      <w:lvlJc w:val="left"/>
      <w:lvlText w:val="(%1)"/>
      <w:numFmt w:val="lowerLetter"/>
      <w:start w:val="61"/>
    </w:lvl>
    <w:lvl w:ilvl="1">
      <w:lvlJc w:val="left"/>
      <w:lvlText w:val="(%2)"/>
      <w:numFmt w:val="lowerLetter"/>
      <w:start w:val="1"/>
    </w:lvl>
  </w:abstractNum>
  <w:abstractNum w:abstractNumId="72">
    <w:nsid w:val="6A3DD3E8"/>
    <w:multiLevelType w:val="hybridMultilevel"/>
    <w:lvl w:ilvl="0">
      <w:lvlJc w:val="left"/>
      <w:lvlText w:val="(%1)"/>
      <w:numFmt w:val="lowerLetter"/>
      <w:start w:val="2"/>
    </w:lvl>
    <w:lvl w:ilvl="1">
      <w:lvlJc w:val="left"/>
      <w:lvlText w:val="(%2)"/>
      <w:numFmt w:val="lowerRoman"/>
      <w:start w:val="1"/>
    </w:lvl>
  </w:abstractNum>
  <w:abstractNum w:abstractNumId="73">
    <w:nsid w:val="71C91298"/>
    <w:multiLevelType w:val="hybridMultilevel"/>
    <w:lvl w:ilvl="0">
      <w:lvlJc w:val="left"/>
      <w:lvlText w:val="%1"/>
      <w:numFmt w:val="lowerLetter"/>
      <w:start w:val="1"/>
    </w:lvl>
    <w:lvl w:ilvl="1">
      <w:lvlJc w:val="left"/>
      <w:lvlText w:val="(%2)"/>
      <w:numFmt w:val="lowerRoman"/>
      <w:start w:val="6"/>
    </w:lvl>
  </w:abstractNum>
  <w:abstractNum w:abstractNumId="74">
    <w:nsid w:val="9DAF632"/>
    <w:multiLevelType w:val="hybridMultilevel"/>
    <w:lvl w:ilvl="0">
      <w:lvlJc w:val="left"/>
      <w:lvlText w:val="(%1)"/>
      <w:numFmt w:val="lowerLetter"/>
      <w:start w:val="4"/>
    </w:lvl>
    <w:lvl w:ilvl="1">
      <w:lvlJc w:val="left"/>
      <w:lvlText w:val="%2"/>
      <w:numFmt w:val="lowerRoman"/>
      <w:start w:val="1"/>
    </w:lvl>
  </w:abstractNum>
  <w:abstractNum w:abstractNumId="75">
    <w:nsid w:val="53299938"/>
    <w:multiLevelType w:val="hybridMultilevel"/>
    <w:lvl w:ilvl="0">
      <w:lvlJc w:val="left"/>
      <w:lvlText w:val="(%1)"/>
      <w:numFmt w:val="lowerLetter"/>
      <w:start w:val="8"/>
    </w:lvl>
  </w:abstractNum>
  <w:abstractNum w:abstractNumId="76">
    <w:nsid w:val="1FBFE8E0"/>
    <w:multiLevelType w:val="hybridMultilevel"/>
    <w:lvl w:ilvl="0">
      <w:lvlJc w:val="left"/>
      <w:lvlText w:val="%1"/>
      <w:numFmt w:val="upperLetter"/>
      <w:start w:val="1"/>
    </w:lvl>
    <w:lvl w:ilvl="1">
      <w:lvlJc w:val="left"/>
      <w:lvlText w:val="(%2)"/>
      <w:numFmt w:val="lowerLetter"/>
      <w:start w:val="12"/>
    </w:lvl>
  </w:abstractNum>
  <w:abstractNum w:abstractNumId="77">
    <w:nsid w:val="5092CA79"/>
    <w:multiLevelType w:val="hybridMultilevel"/>
    <w:lvl w:ilvl="0">
      <w:lvlJc w:val="left"/>
      <w:lvlText w:val="(%1)"/>
      <w:numFmt w:val="upperLetter"/>
      <w:start w:val="4"/>
    </w:lvl>
    <w:lvl w:ilvl="1">
      <w:lvlJc w:val="left"/>
      <w:lvlText w:val="(%2)"/>
      <w:numFmt w:val="lowerLetter"/>
      <w:start w:val="13"/>
    </w:lvl>
  </w:abstractNum>
  <w:abstractNum w:abstractNumId="78">
    <w:nsid w:val="1D545C4D"/>
    <w:multiLevelType w:val="hybridMultilevel"/>
    <w:lvl w:ilvl="0">
      <w:lvlJc w:val="left"/>
      <w:lvlText w:val="(%1)"/>
      <w:numFmt w:val="lowerLetter"/>
      <w:start w:val="17"/>
    </w:lvl>
  </w:abstractNum>
  <w:abstractNum w:abstractNumId="79">
    <w:nsid w:val="59ADEA3D"/>
    <w:multiLevelType w:val="hybridMultilevel"/>
    <w:lvl w:ilvl="0">
      <w:lvlJc w:val="left"/>
      <w:lvlText w:val="%1"/>
      <w:numFmt w:val="lowerLetter"/>
      <w:start w:val="1"/>
    </w:lvl>
    <w:lvl w:ilvl="1">
      <w:lvlJc w:val="left"/>
      <w:lvlText w:val="(%2)"/>
      <w:numFmt w:val="lowerLetter"/>
      <w:start w:val="1"/>
    </w:lvl>
  </w:abstractNum>
  <w:abstractNum w:abstractNumId="80">
    <w:nsid w:val="288F1A34"/>
    <w:multiLevelType w:val="hybridMultilevel"/>
    <w:lvl w:ilvl="0">
      <w:lvlJc w:val="left"/>
      <w:lvlText w:val="(%1)"/>
      <w:numFmt w:val="lowerLetter"/>
      <w:start w:val="61"/>
    </w:lvl>
    <w:lvl w:ilvl="1">
      <w:lvlJc w:val="left"/>
      <w:lvlText w:val="(%2)"/>
      <w:numFmt w:val="lowerLetter"/>
      <w:start w:val="2"/>
    </w:lvl>
  </w:abstractNum>
  <w:abstractNum w:abstractNumId="81">
    <w:nsid w:val="2A155DBC"/>
    <w:multiLevelType w:val="hybridMultilevel"/>
    <w:lvl w:ilvl="0">
      <w:lvlJc w:val="left"/>
      <w:lvlText w:val="(%1)"/>
      <w:numFmt w:val="lowerLetter"/>
      <w:start w:val="3"/>
    </w:lvl>
  </w:abstractNum>
  <w:abstractNum w:abstractNumId="82">
    <w:nsid w:val="1D9F6E5F"/>
    <w:multiLevelType w:val="hybridMultilevel"/>
    <w:lvl w:ilvl="0">
      <w:lvlJc w:val="left"/>
      <w:lvlText w:val="(%1)"/>
      <w:numFmt w:val="lowerLetter"/>
      <w:start w:val="5"/>
    </w:lvl>
  </w:abstractNum>
  <w:abstractNum w:abstractNumId="83">
    <w:nsid w:val="97E1B4E"/>
    <w:multiLevelType w:val="hybridMultilevel"/>
    <w:lvl w:ilvl="0">
      <w:lvlJc w:val="left"/>
      <w:lvlText w:val="%1"/>
      <w:numFmt w:val="lowerLetter"/>
      <w:start w:val="1"/>
    </w:lvl>
    <w:lvl w:ilvl="1">
      <w:lvlJc w:val="left"/>
      <w:lvlText w:val="(%2)"/>
      <w:numFmt w:val="lowerLetter"/>
      <w:start w:val="7"/>
    </w:lvl>
  </w:abstractNum>
  <w:abstractNum w:abstractNumId="84">
    <w:nsid w:val="51088277"/>
    <w:multiLevelType w:val="hybridMultilevel"/>
    <w:lvl w:ilvl="0">
      <w:lvlJc w:val="left"/>
      <w:lvlText w:val="(%1)"/>
      <w:numFmt w:val="lowerLetter"/>
      <w:start w:val="9"/>
    </w:lvl>
    <w:lvl w:ilvl="1">
      <w:lvlJc w:val="left"/>
      <w:lvlText w:val="%2"/>
      <w:numFmt w:val="lowerLetter"/>
      <w:start w:val="1"/>
    </w:lvl>
  </w:abstractNum>
  <w:abstractNum w:abstractNumId="85">
    <w:nsid w:val="1CA0C5FA"/>
    <w:multiLevelType w:val="hybridMultilevel"/>
    <w:lvl w:ilvl="0">
      <w:lvlJc w:val="left"/>
      <w:lvlText w:val="%1"/>
      <w:numFmt w:val="decimal"/>
      <w:start w:val="1"/>
    </w:lvl>
    <w:lvl w:ilvl="1">
      <w:lvlJc w:val="left"/>
      <w:lvlText w:val="(%2)"/>
      <w:numFmt w:val="lowerLetter"/>
      <w:start w:val="1"/>
    </w:lvl>
  </w:abstractNum>
  <w:abstractNum w:abstractNumId="86">
    <w:nsid w:val="53584BCB"/>
    <w:multiLevelType w:val="hybridMultilevel"/>
    <w:lvl w:ilvl="0">
      <w:lvlJc w:val="left"/>
      <w:lvlText w:val="(%1)"/>
      <w:numFmt w:val="decimal"/>
      <w:start w:val="2"/>
    </w:lvl>
    <w:lvl w:ilvl="1">
      <w:lvlJc w:val="left"/>
      <w:lvlText w:val="%2"/>
      <w:numFmt w:val="lowerLetter"/>
      <w:start w:val="1"/>
    </w:lvl>
  </w:abstractNum>
  <w:abstractNum w:abstractNumId="87">
    <w:nsid w:val="415E286C"/>
    <w:multiLevelType w:val="hybridMultilevel"/>
    <w:lvl w:ilvl="0">
      <w:lvlJc w:val="left"/>
      <w:lvlText w:val="(%1)"/>
      <w:numFmt w:val="lowerLetter"/>
      <w:start w:val="2"/>
    </w:lvl>
  </w:abstractNum>
  <w:abstractNum w:abstractNumId="88">
    <w:nsid w:val="7C58FD05"/>
    <w:multiLevelType w:val="hybridMultilevel"/>
    <w:lvl w:ilvl="0">
      <w:lvlJc w:val="left"/>
      <w:lvlText w:val="(%1)"/>
      <w:numFmt w:val="lowerLetter"/>
      <w:start w:val="1"/>
    </w:lvl>
  </w:abstractNum>
  <w:abstractNum w:abstractNumId="89">
    <w:nsid w:val="23D86AAC"/>
    <w:multiLevelType w:val="hybridMultilevel"/>
    <w:lvl w:ilvl="0">
      <w:lvlJc w:val="left"/>
      <w:lvlText w:val="%1)"/>
      <w:numFmt w:val="upperLetter"/>
      <w:start w:val="7"/>
    </w:lvl>
  </w:abstractNum>
  <w:abstractNum w:abstractNumId="90">
    <w:nsid w:val="45E6D486"/>
    <w:multiLevelType w:val="hybridMultilevel"/>
    <w:lvl w:ilvl="0">
      <w:lvlJc w:val="left"/>
      <w:lvlText w:val="(%1)"/>
      <w:numFmt w:val="lowerLetter"/>
      <w:start w:val="1"/>
    </w:lvl>
  </w:abstractNum>
  <w:abstractNum w:abstractNumId="91">
    <w:nsid w:val="5C10FE21"/>
    <w:multiLevelType w:val="hybridMultilevel"/>
    <w:lvl w:ilvl="0">
      <w:lvlJc w:val="left"/>
      <w:lvlText w:val="(%1)"/>
      <w:numFmt w:val="lowerLetter"/>
      <w:start w:val="2"/>
    </w:lvl>
  </w:abstractNum>
  <w:abstractNum w:abstractNumId="92">
    <w:nsid w:val="E7FFA2B"/>
    <w:multiLevelType w:val="hybridMultilevel"/>
    <w:lvl w:ilvl="0">
      <w:lvlJc w:val="left"/>
      <w:lvlText w:val="(%1)"/>
      <w:numFmt w:val="lowerLetter"/>
      <w:start w:val="1"/>
    </w:lvl>
  </w:abstractNum>
  <w:abstractNum w:abstractNumId="93">
    <w:nsid w:val="3C5991AA"/>
    <w:multiLevelType w:val="hybridMultilevel"/>
    <w:lvl w:ilvl="0">
      <w:lvlJc w:val="left"/>
      <w:lvlText w:val="(%1)"/>
      <w:numFmt w:val="lowerLetter"/>
      <w:start w:val="3"/>
    </w:lvl>
  </w:abstractNum>
  <w:abstractNum w:abstractNumId="94">
    <w:nsid w:val="4BD8591A"/>
    <w:multiLevelType w:val="hybridMultilevel"/>
    <w:lvl w:ilvl="0">
      <w:lvlJc w:val="left"/>
      <w:lvlText w:val="(%1)"/>
      <w:numFmt w:val="lowerLetter"/>
      <w:start w:val="6"/>
    </w:lvl>
  </w:abstractNum>
  <w:abstractNum w:abstractNumId="95">
    <w:nsid w:val="78DF6A55"/>
    <w:multiLevelType w:val="hybridMultilevel"/>
    <w:lvl w:ilvl="0">
      <w:lvlJc w:val="left"/>
      <w:lvlText w:val="(%1)"/>
      <w:numFmt w:val="lowerLetter"/>
      <w:start w:val="9"/>
    </w:lvl>
  </w:abstractNum>
  <w:abstractNum w:abstractNumId="96">
    <w:nsid w:val="39B7AAA2"/>
    <w:multiLevelType w:val="hybridMultilevel"/>
    <w:lvl w:ilvl="0">
      <w:lvlJc w:val="left"/>
      <w:lvlText w:val="(%1)"/>
      <w:numFmt w:val="lowerLetter"/>
      <w:start w:val="13"/>
    </w:lvl>
  </w:abstractNum>
  <w:abstractNum w:abstractNumId="97">
    <w:nsid w:val="2B0D8DBE"/>
    <w:multiLevelType w:val="hybridMultilevel"/>
    <w:lvl w:ilvl="0">
      <w:lvlJc w:val="left"/>
      <w:lvlText w:val="(%1)"/>
      <w:numFmt w:val="lowerLetter"/>
      <w:start w:val="1"/>
    </w:lvl>
  </w:abstractNum>
  <w:abstractNum w:abstractNumId="98">
    <w:nsid w:val="6C80EC70"/>
    <w:multiLevelType w:val="hybridMultilevel"/>
    <w:lvl w:ilvl="0">
      <w:lvlJc w:val="left"/>
      <w:lvlText w:val="(%1)"/>
      <w:numFmt w:val="lowerLetter"/>
      <w:start w:val="5"/>
    </w:lvl>
  </w:abstractNum>
  <w:abstractNum w:abstractNumId="99">
    <w:nsid w:val="379E21B5"/>
    <w:multiLevelType w:val="hybridMultilevel"/>
    <w:lvl w:ilvl="0">
      <w:lvlJc w:val="left"/>
      <w:lvlText w:val="(%1)"/>
      <w:numFmt w:val="lowerLetter"/>
      <w:start w:val="1"/>
    </w:lvl>
  </w:abstractNum>
  <w:abstractNum w:abstractNumId="100">
    <w:nsid w:val="69E373"/>
    <w:multiLevelType w:val="hybridMultilevel"/>
    <w:lvl w:ilvl="0">
      <w:lvlJc w:val="left"/>
      <w:lvlText w:val="(%1)"/>
      <w:numFmt w:val="lowerLetter"/>
      <w:start w:val="2"/>
    </w:lvl>
  </w:abstractNum>
  <w:abstractNum w:abstractNumId="101">
    <w:nsid w:val="2C27173B"/>
    <w:multiLevelType w:val="hybridMultilevel"/>
    <w:lvl w:ilvl="0">
      <w:lvlJc w:val="left"/>
      <w:lvlText w:val="(%1)"/>
      <w:numFmt w:val="lowerLetter"/>
      <w:start w:val="5"/>
    </w:lvl>
  </w:abstractNum>
  <w:abstractNum w:abstractNumId="102">
    <w:nsid w:val="4C9B0904"/>
    <w:multiLevelType w:val="hybridMultilevel"/>
    <w:lvl w:ilvl="0">
      <w:lvlJc w:val="left"/>
      <w:lvlText w:val="(%1)"/>
      <w:numFmt w:val="lowerLetter"/>
      <w:start w:val="1"/>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2"/>
    </w:lvl>
  </w:abstractNum>
  <w:abstractNum w:abstractNumId="105">
    <w:nsid w:val="5675FF36"/>
    <w:multiLevelType w:val="hybridMultilevel"/>
    <w:lvl w:ilvl="0">
      <w:lvlJc w:val="left"/>
      <w:lvlText w:val="(%1)"/>
      <w:numFmt w:val="lowerLetter"/>
      <w:start w:val="4"/>
    </w:lvl>
  </w:abstractNum>
  <w:abstractNum w:abstractNumId="106">
    <w:nsid w:val="3DD15094"/>
    <w:multiLevelType w:val="hybridMultilevel"/>
    <w:lvl w:ilvl="0">
      <w:lvlJc w:val="left"/>
      <w:lvlText w:val="(%1)"/>
      <w:numFmt w:val="lowerLetter"/>
      <w:start w:val="1"/>
    </w:lvl>
  </w:abstractNum>
  <w:abstractNum w:abstractNumId="107">
    <w:nsid w:val="3DB012B3"/>
    <w:multiLevelType w:val="hybridMultilevel"/>
    <w:lvl w:ilvl="0">
      <w:lvlJc w:val="left"/>
      <w:lvlText w:val="(%1)"/>
      <w:numFmt w:val="lowerLetter"/>
      <w:start w:val="4"/>
    </w:lvl>
  </w:abstractNum>
  <w:abstractNum w:abstractNumId="108">
    <w:nsid w:val="2708C9AF"/>
    <w:multiLevelType w:val="hybridMultilevel"/>
    <w:lvl w:ilvl="0">
      <w:lvlJc w:val="left"/>
      <w:lvlText w:val="%1"/>
      <w:numFmt w:val="lowerLetter"/>
      <w:start w:val="1"/>
    </w:lvl>
    <w:lvl w:ilvl="1">
      <w:lvlJc w:val="left"/>
      <w:lvlText w:val="(%2)"/>
      <w:numFmt w:val="lowerLetter"/>
      <w:start w:val="1"/>
    </w:lvl>
  </w:abstractNum>
  <w:abstractNum w:abstractNumId="109">
    <w:nsid w:val="5B25ACE2"/>
    <w:multiLevelType w:val="hybridMultilevel"/>
    <w:lvl w:ilvl="0">
      <w:lvlJc w:val="left"/>
      <w:lvlText w:val="(%1)"/>
      <w:numFmt w:val="lowerLetter"/>
      <w:start w:val="2"/>
    </w:lvl>
    <w:lvl w:ilvl="1">
      <w:lvlJc w:val="left"/>
      <w:lvlText w:val="%2"/>
      <w:numFmt w:val="lowerLetter"/>
      <w:start w:val="1"/>
    </w:lvl>
  </w:abstractNum>
  <w:abstractNum w:abstractNumId="110">
    <w:nsid w:val="175DFCF0"/>
    <w:multiLevelType w:val="hybridMultilevel"/>
    <w:lvl w:ilvl="0">
      <w:lvlJc w:val="left"/>
      <w:lvlText w:val="%1"/>
      <w:numFmt w:val="lowerLetter"/>
      <w:start w:val="1"/>
    </w:lvl>
    <w:lvl w:ilvl="1">
      <w:lvlJc w:val="left"/>
      <w:lvlText w:val="(%2)"/>
      <w:numFmt w:val="lowerLetter"/>
      <w:start w:val="2"/>
    </w:lvl>
  </w:abstractNum>
  <w:abstractNum w:abstractNumId="111">
    <w:nsid w:val="4F97E3E4"/>
    <w:multiLevelType w:val="hybridMultilevel"/>
    <w:lvl w:ilvl="0">
      <w:lvlJc w:val="left"/>
      <w:lvlText w:val="(%1)"/>
      <w:numFmt w:val="lowerLetter"/>
      <w:start w:val="1"/>
    </w:lvl>
    <w:lvl w:ilvl="1">
      <w:lvlJc w:val="left"/>
      <w:lvlText w:val="(%2)"/>
      <w:numFmt w:val="lowerLetter"/>
      <w:start w:val="4"/>
    </w:lvl>
  </w:abstractNum>
  <w:abstractNum w:abstractNumId="112">
    <w:nsid w:val="53B0A9E"/>
    <w:multiLevelType w:val="hybridMultilevel"/>
    <w:lvl w:ilvl="0">
      <w:lvlJc w:val="left"/>
      <w:lvlText w:val="%1"/>
      <w:numFmt w:val="lowerLetter"/>
      <w:start w:val="1"/>
    </w:lvl>
    <w:lvl w:ilvl="1">
      <w:lvlJc w:val="left"/>
      <w:lvlText w:val="(%2)"/>
      <w:numFmt w:val="lowerLetter"/>
      <w:start w:val="1"/>
    </w:lvl>
  </w:abstractNum>
  <w:abstractNum w:abstractNumId="113">
    <w:nsid w:val="34FD6B4F"/>
    <w:multiLevelType w:val="hybridMultilevel"/>
    <w:lvl w:ilvl="0">
      <w:lvlJc w:val="left"/>
      <w:lvlText w:val="(%1)"/>
      <w:numFmt w:val="lowerLetter"/>
      <w:start w:val="61"/>
    </w:lvl>
    <w:lvl w:ilvl="1">
      <w:lvlJc w:val="left"/>
      <w:lvlText w:val="%2"/>
      <w:numFmt w:val="lowerLetter"/>
      <w:start w:val="1"/>
    </w:lvl>
  </w:abstractNum>
  <w:abstractNum w:abstractNumId="114">
    <w:nsid w:val="5915FF32"/>
    <w:multiLevelType w:val="hybridMultilevel"/>
    <w:lvl w:ilvl="0">
      <w:lvlJc w:val="left"/>
      <w:lvlText w:val="(%1)"/>
      <w:numFmt w:val="lowerLetter"/>
      <w:start w:val="2"/>
    </w:lvl>
  </w:abstractNum>
  <w:abstractNum w:abstractNumId="115">
    <w:nsid w:val="56438D15"/>
    <w:multiLevelType w:val="hybridMultilevel"/>
    <w:lvl w:ilvl="0">
      <w:lvlJc w:val="left"/>
      <w:lvlText w:val="(%1)"/>
      <w:numFmt w:val="lowerLetter"/>
      <w:start w:val="1"/>
    </w:lvl>
  </w:abstractNum>
  <w:abstractNum w:abstractNumId="116">
    <w:nsid w:val="519E3149"/>
    <w:multiLevelType w:val="hybridMultilevel"/>
    <w:lvl w:ilvl="0">
      <w:lvlJc w:val="left"/>
      <w:lvlText w:val="(%1)"/>
      <w:numFmt w:val="lowerLetter"/>
      <w:start w:val="4"/>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9">
    <w:nsid w:val="4DF72E4E"/>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20">
    <w:nsid w:val="5046B5A9"/>
    <w:multiLevelType w:val="hybridMultilevel"/>
    <w:lvl w:ilvl="0">
      <w:lvlJc w:val="left"/>
      <w:lvlText w:val="(%1)"/>
      <w:numFmt w:val="lowerRoman"/>
      <w:start w:val="4"/>
    </w:lvl>
  </w:abstractNum>
  <w:abstractNum w:abstractNumId="121">
    <w:nsid w:val="5D888A08"/>
    <w:multiLevelType w:val="hybridMultilevel"/>
    <w:lvl w:ilvl="0">
      <w:lvlJc w:val="left"/>
      <w:lvlText w:val="%1"/>
      <w:numFmt w:val="lowerLetter"/>
      <w:start w:val="1"/>
    </w:lvl>
    <w:lvl w:ilvl="1">
      <w:lvlJc w:val="left"/>
      <w:lvlText w:val="(%2)"/>
      <w:numFmt w:val="lowerRoman"/>
      <w:start w:val="6"/>
    </w:lvl>
  </w:abstractNum>
  <w:abstractNum w:abstractNumId="122">
    <w:nsid w:val="2A082C70"/>
    <w:multiLevelType w:val="hybridMultilevel"/>
    <w:lvl w:ilvl="0">
      <w:lvlJc w:val="left"/>
      <w:lvlText w:val="(%1)"/>
      <w:numFmt w:val="lowerLetter"/>
      <w:start w:val="3"/>
    </w:lvl>
    <w:lvl w:ilvl="1">
      <w:lvlJc w:val="left"/>
      <w:lvlText w:val="(%2)"/>
      <w:numFmt w:val="lowerRoman"/>
      <w:start w:val="1"/>
    </w:lvl>
  </w:abstractNum>
  <w:abstractNum w:abstractNumId="123">
    <w:nsid w:val="5EC6AFD4"/>
    <w:multiLevelType w:val="hybridMultilevel"/>
    <w:lvl w:ilvl="0">
      <w:lvlJc w:val="left"/>
      <w:lvlText w:val="(%1)"/>
      <w:numFmt w:val="lowerRoman"/>
      <w:start w:val="3"/>
    </w:lvl>
  </w:abstractNum>
  <w:abstractNum w:abstractNumId="124">
    <w:nsid w:val="19E21BB2"/>
    <w:multiLevelType w:val="hybridMultilevel"/>
    <w:lvl w:ilvl="0">
      <w:lvlJc w:val="left"/>
      <w:lvlText w:val="(%1)"/>
      <w:numFmt w:val="lowerLetter"/>
      <w:start w:val="1"/>
    </w:lvl>
  </w:abstractNum>
  <w:abstractNum w:abstractNumId="125">
    <w:nsid w:val="75E0858A"/>
    <w:multiLevelType w:val="hybridMultilevel"/>
    <w:lvl w:ilvl="0">
      <w:lvlJc w:val="left"/>
      <w:lvlText w:val="(%1)"/>
      <w:numFmt w:val="lowerLetter"/>
      <w:start w:val="2"/>
    </w:lvl>
  </w:abstractNum>
  <w:abstractNum w:abstractNumId="126">
    <w:nsid w:val="57A61A29"/>
    <w:multiLevelType w:val="hybridMultilevel"/>
    <w:lvl w:ilvl="0">
      <w:lvlJc w:val="left"/>
      <w:lvlText w:val="(%1)"/>
      <w:numFmt w:val="lowerLetter"/>
      <w:start w:val="3"/>
    </w:lvl>
  </w:abstractNum>
  <w:abstractNum w:abstractNumId="127">
    <w:nsid w:val="5399C654"/>
    <w:multiLevelType w:val="hybridMultilevel"/>
    <w:lvl w:ilvl="0">
      <w:lvlJc w:val="left"/>
      <w:lvlText w:val="(%1)"/>
      <w:numFmt w:val="lowerRoman"/>
      <w:start w:val="8"/>
    </w:lvl>
  </w:abstractNum>
  <w:abstractNum w:abstractNumId="128">
    <w:nsid w:val="20EE1348"/>
    <w:multiLevelType w:val="hybridMultilevel"/>
    <w:lvl w:ilvl="0">
      <w:lvlJc w:val="left"/>
      <w:lvlText w:val="(%1)"/>
      <w:numFmt w:val="lowerLetter"/>
      <w:start w:val="22"/>
    </w:lvl>
  </w:abstractNum>
  <w:abstractNum w:abstractNumId="129">
    <w:nsid w:val="4427069A"/>
    <w:multiLevelType w:val="hybridMultilevel"/>
    <w:lvl w:ilvl="0">
      <w:lvlJc w:val="left"/>
      <w:lvlText w:val="(%1)"/>
      <w:numFmt w:val="lowerLetter"/>
      <w:start w:val="3"/>
    </w:lvl>
  </w:abstractNum>
  <w:abstractNum w:abstractNumId="130">
    <w:nsid w:val="B37E80A"/>
    <w:multiLevelType w:val="hybridMultilevel"/>
    <w:lvl w:ilvl="0">
      <w:lvlJc w:val="left"/>
      <w:lvlText w:val="(%1)"/>
      <w:numFmt w:val="lowerLetter"/>
      <w:start w:val="1"/>
    </w:lvl>
  </w:abstractNum>
  <w:abstractNum w:abstractNumId="131">
    <w:nsid w:val="2157F6BC"/>
    <w:multiLevelType w:val="hybridMultilevel"/>
    <w:lvl w:ilvl="0">
      <w:lvlJc w:val="left"/>
      <w:lvlText w:val="(%1)"/>
      <w:numFmt w:val="lowerLetter"/>
      <w:start w:val="1"/>
    </w:lvl>
  </w:abstractNum>
  <w:abstractNum w:abstractNumId="132">
    <w:nsid w:val="704E1DD5"/>
    <w:multiLevelType w:val="hybridMultilevel"/>
    <w:lvl w:ilvl="0">
      <w:lvlJc w:val="left"/>
      <w:lvlText w:val="(%1)"/>
      <w:numFmt w:val="lowerLetter"/>
      <w:start w:val="1"/>
    </w:lvl>
  </w:abstractNum>
  <w:abstractNum w:abstractNumId="133">
    <w:nsid w:val="57D2F10E"/>
    <w:multiLevelType w:val="hybridMultilevel"/>
    <w:lvl w:ilvl="0">
      <w:lvlJc w:val="left"/>
      <w:lvlText w:val="•"/>
      <w:numFmt w:val="bullet"/>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2022-02-16T16:09:15Z</dcterms:created>
  <dcterms:modified xsi:type="dcterms:W3CDTF">2022-02-16T16:09:15Z</dcterms:modified>
</cp:coreProperties>
</file>