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340"/>
        <w:spacing w:after="0"/>
        <w:rPr>
          <w:sz w:val="20"/>
          <w:szCs w:val="20"/>
          <w:color w:val="auto"/>
        </w:rPr>
      </w:pPr>
      <w:r>
        <w:rPr>
          <w:rFonts w:ascii="Arial" w:cs="Arial" w:eastAsia="Arial" w:hAnsi="Arial"/>
          <w:sz w:val="22"/>
          <w:szCs w:val="22"/>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-154940</wp:posOffset>
            </wp:positionV>
            <wp:extent cx="159512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97560"/>
                    </a:xfrm>
                    <a:prstGeom prst="rect">
                      <a:avLst/>
                    </a:prstGeom>
                    <a:noFill/>
                  </pic:spPr>
                </pic:pic>
              </a:graphicData>
            </a:graphic>
          </wp:anchor>
        </w:drawing>
      </w:r>
    </w:p>
    <w:p>
      <w:pPr>
        <w:spacing w:after="0" w:line="2" w:lineRule="exact"/>
        <w:rPr>
          <w:sz w:val="20"/>
          <w:szCs w:val="20"/>
          <w:color w:val="auto"/>
        </w:rPr>
      </w:pPr>
    </w:p>
    <w:p>
      <w:pPr>
        <w:ind w:left="8980"/>
        <w:spacing w:after="0"/>
        <w:rPr>
          <w:sz w:val="20"/>
          <w:szCs w:val="20"/>
          <w:color w:val="auto"/>
        </w:rPr>
      </w:pPr>
      <w:r>
        <w:rPr>
          <w:rFonts w:ascii="Arial" w:cs="Arial" w:eastAsia="Arial" w:hAnsi="Arial"/>
          <w:sz w:val="21"/>
          <w:szCs w:val="21"/>
          <w:color w:val="auto"/>
        </w:rPr>
        <w:t>OMB Number: 3235-0145</w:t>
      </w:r>
    </w:p>
    <w:p>
      <w:pPr>
        <w:spacing w:after="0" w:line="2"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Expires: February 28, 2009</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Estimated average burden</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22"/>
          <w:szCs w:val="22"/>
          <w:color w:val="auto"/>
        </w:rPr>
        <w:t>hours per response...15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35"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RULE 13d-1(a) AND AMENDMENTS THERETO FILED PURSUANT TO</w:t>
      </w:r>
    </w:p>
    <w:p>
      <w:pPr>
        <w:jc w:val="center"/>
        <w:ind w:right="-19"/>
        <w:spacing w:after="0"/>
        <w:rPr>
          <w:sz w:val="20"/>
          <w:szCs w:val="20"/>
          <w:color w:val="auto"/>
        </w:rPr>
      </w:pPr>
      <w:r>
        <w:rPr>
          <w:rFonts w:ascii="Arial" w:cs="Arial" w:eastAsia="Arial" w:hAnsi="Arial"/>
          <w:sz w:val="22"/>
          <w:szCs w:val="22"/>
          <w:b w:val="1"/>
          <w:bCs w:val="1"/>
          <w:color w:val="auto"/>
        </w:rPr>
        <w:t>RULE 13d-2(a)</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1 )*</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Ordinary Shares, NIS 1.00 per share**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M87915100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Charles Van Orden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601 McCarthy Blvd.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Milpitas, California 95035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(408) 801-1000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Timothy R. Curry, Esq.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O’Melveny &amp; Meyers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2765 Sand Hill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(650) 473-2600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28, 2006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Arial" w:cs="Arial" w:eastAsia="Arial" w:hAnsi="Arial"/>
          <w:sz w:val="17"/>
          <w:szCs w:val="17"/>
          <w:color w:val="auto"/>
        </w:rPr>
        <w:t>o</w:t>
      </w:r>
    </w:p>
    <w:p>
      <w:pPr>
        <w:spacing w:after="0" w:line="12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39" w:lineRule="exact"/>
        <w:rPr>
          <w:sz w:val="20"/>
          <w:szCs w:val="20"/>
          <w:color w:val="auto"/>
        </w:rPr>
      </w:pPr>
    </w:p>
    <w:p>
      <w:pPr>
        <w:ind w:right="2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283845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88" w:right="239" w:bottom="216" w:gutter="0" w:footer="0" w:header="0"/>
        </w:sectPr>
      </w:pPr>
    </w:p>
    <w:bookmarkStart w:id="2" w:name="page3"/>
    <w:bookmarkEnd w:id="2"/>
    <w:p>
      <w:pPr>
        <w:ind w:right="5780" w:firstLine="8"/>
        <w:spacing w:after="0" w:line="437"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“NIS” represents the New Israeli Shekel, the currency of the State of Israel. CUSIP No. </w:t>
      </w:r>
      <w:r>
        <w:rPr>
          <w:rFonts w:ascii="Arial" w:cs="Arial" w:eastAsia="Arial" w:hAnsi="Arial"/>
          <w:sz w:val="1"/>
          <w:szCs w:val="1"/>
          <w:color w:val="auto"/>
        </w:rPr>
        <w:drawing>
          <wp:inline distT="0" distB="0" distL="0" distR="0">
            <wp:extent cx="1367790" cy="15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7790" cy="158750"/>
                    </a:xfrm>
                    <a:prstGeom prst="rect">
                      <a:avLst/>
                    </a:prstGeom>
                    <a:noFill/>
                    <a:ln>
                      <a:noFill/>
                    </a:ln>
                  </pic:spPr>
                </pic:pic>
              </a:graphicData>
            </a:graphic>
          </wp:inline>
        </w:drawing>
        <w:drawing>
          <wp:inline distT="0" distB="0" distL="0" distR="0">
            <wp:extent cx="12700" cy="158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67575" cy="8391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839152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SanDisk Corporation</w:t>
      </w:r>
    </w:p>
    <w:p>
      <w:pPr>
        <w:ind w:left="240"/>
        <w:spacing w:after="0" w:line="207" w:lineRule="auto"/>
        <w:rPr>
          <w:sz w:val="20"/>
          <w:szCs w:val="20"/>
          <w:color w:val="auto"/>
        </w:rPr>
      </w:pPr>
      <w:r>
        <w:rPr>
          <w:rFonts w:ascii="Arial" w:cs="Arial" w:eastAsia="Arial" w:hAnsi="Arial"/>
          <w:sz w:val="32"/>
          <w:szCs w:val="32"/>
          <w:b w:val="1"/>
          <w:bCs w:val="1"/>
          <w:color w:val="auto"/>
        </w:rPr>
        <w:t>1</w:t>
      </w:r>
    </w:p>
    <w:p>
      <w:pPr>
        <w:ind w:left="7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IRS I.D.# 77-0191793</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CHECK THE APPROPRIATE BOX IF A MEMBER OF A GROUP (SEE INSTRUCTIONS):</w:t>
      </w:r>
    </w:p>
    <w:p>
      <w:pPr>
        <w:ind w:left="740" w:hanging="502"/>
        <w:spacing w:after="0" w:line="180" w:lineRule="auto"/>
        <w:tabs>
          <w:tab w:leader="none" w:pos="740" w:val="left"/>
        </w:tabs>
        <w:numPr>
          <w:ilvl w:val="0"/>
          <w:numId w:val="3"/>
        </w:numPr>
        <w:rPr>
          <w:rFonts w:ascii="Arial" w:cs="Arial" w:eastAsia="Arial" w:hAnsi="Arial"/>
          <w:sz w:val="57"/>
          <w:szCs w:val="57"/>
          <w:b w:val="1"/>
          <w:bCs w:val="1"/>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31" w:lineRule="exact"/>
        <w:rPr>
          <w:rFonts w:ascii="Arial" w:cs="Arial" w:eastAsia="Arial" w:hAnsi="Arial"/>
          <w:sz w:val="57"/>
          <w:szCs w:val="57"/>
          <w:b w:val="1"/>
          <w:bCs w:val="1"/>
          <w:color w:val="auto"/>
          <w:vertAlign w:val="superscript"/>
        </w:rPr>
      </w:pPr>
    </w:p>
    <w:p>
      <w:pPr>
        <w:ind w:left="1080" w:hanging="343"/>
        <w:spacing w:after="0" w:line="207" w:lineRule="exact"/>
        <w:tabs>
          <w:tab w:leader="none" w:pos="10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ectPr>
          <w:pgSz w:w="11900" w:h="16838" w:orient="portrait"/>
          <w:cols w:equalWidth="0" w:num="1">
            <w:col w:w="11460"/>
          </w:cols>
          <w:pgMar w:left="240" w:top="935" w:right="199" w:bottom="0" w:gutter="0" w:footer="0" w:header="0"/>
        </w:sect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3</w:t>
      </w: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4</w:t>
      </w: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5</w:t>
      </w: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6</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CHECK IF DISCLOSURE OF LEGAL PROCEEDINGS IS REQUIRED PURSUANT TO ITEMS 2(d) OR 2(e):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ectPr>
          <w:pgSz w:w="11900" w:h="16838" w:orient="portrait"/>
          <w:cols w:equalWidth="0" w:num="2">
            <w:col w:w="400" w:space="340"/>
            <w:col w:w="10720"/>
          </w:cols>
          <w:pgMar w:left="240" w:top="935" w:right="199" w:bottom="0" w:gutter="0" w:footer="0" w:header="0"/>
          <w:type w:val="continuous"/>
        </w:sectPr>
      </w:pPr>
    </w:p>
    <w:tbl>
      <w:tblPr>
        <w:tblLayout w:type="fixed"/>
        <w:tblInd w:w="0" w:type="dxa"/>
        <w:tblCellMar>
          <w:top w:w="0" w:type="dxa"/>
          <w:left w:w="0" w:type="dxa"/>
          <w:bottom w:w="0" w:type="dxa"/>
          <w:right w:w="0" w:type="dxa"/>
        </w:tblCellMar>
      </w:tblPr>
      <w:tr>
        <w:trPr>
          <w:trHeight w:val="529"/>
        </w:trPr>
        <w:tc>
          <w:tcPr>
            <w:tcW w:w="134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9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8"/>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1"/>
                <w:szCs w:val="21"/>
                <w:color w:val="auto"/>
              </w:rPr>
            </w:pPr>
          </w:p>
        </w:tc>
        <w:tc>
          <w:tcPr>
            <w:tcW w:w="9580" w:type="dxa"/>
            <w:vAlign w:val="bottom"/>
            <w:tcBorders>
              <w:bottom w:val="single" w:sz="8" w:color="auto"/>
            </w:tcBorders>
          </w:tcPr>
          <w:p>
            <w:pPr>
              <w:ind w:left="120"/>
              <w:spacing w:after="0" w:line="249" w:lineRule="exact"/>
              <w:rPr>
                <w:sz w:val="20"/>
                <w:szCs w:val="20"/>
                <w:color w:val="auto"/>
              </w:rPr>
            </w:pPr>
            <w:r>
              <w:rPr>
                <w:rFonts w:ascii="Arial" w:cs="Arial" w:eastAsia="Arial" w:hAnsi="Arial"/>
                <w:sz w:val="18"/>
                <w:szCs w:val="18"/>
                <w:color w:val="auto"/>
              </w:rPr>
              <w:t>15,122,570 ordinary shares</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64"/>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tcPr>
          <w:p>
            <w:pPr>
              <w:spacing w:after="0"/>
              <w:rPr>
                <w:sz w:val="22"/>
                <w:szCs w:val="22"/>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7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8</w:t>
            </w:r>
          </w:p>
        </w:tc>
        <w:tc>
          <w:tcPr>
            <w:tcW w:w="9580" w:type="dxa"/>
            <w:vAlign w:val="bottom"/>
          </w:tcPr>
          <w:p>
            <w:pPr>
              <w:ind w:left="120"/>
              <w:spacing w:after="0"/>
              <w:rPr>
                <w:sz w:val="20"/>
                <w:szCs w:val="20"/>
                <w:color w:val="auto"/>
              </w:rPr>
            </w:pPr>
            <w:r>
              <w:rPr>
                <w:rFonts w:ascii="Arial" w:cs="Arial" w:eastAsia="Arial" w:hAnsi="Arial"/>
                <w:sz w:val="18"/>
                <w:szCs w:val="18"/>
                <w:color w:val="auto"/>
                <w:w w:val="90"/>
              </w:rPr>
              <w:t>133,391,794 ordinary shares</w:t>
            </w:r>
            <w:r>
              <w:rPr>
                <w:rFonts w:ascii="Arial" w:cs="Arial" w:eastAsia="Arial" w:hAnsi="Arial"/>
                <w:sz w:val="28"/>
                <w:szCs w:val="28"/>
                <w:color w:val="auto"/>
                <w:w w:val="90"/>
                <w:vertAlign w:val="superscript"/>
              </w:rPr>
              <w:t>2</w:t>
            </w:r>
            <w:r>
              <w:rPr>
                <w:rFonts w:ascii="Arial" w:cs="Arial" w:eastAsia="Arial" w:hAnsi="Arial"/>
                <w:sz w:val="18"/>
                <w:szCs w:val="18"/>
                <w:color w:val="auto"/>
                <w:w w:val="90"/>
              </w:rPr>
              <w:t xml:space="preserve"> (with respect to certain matters as set forth in the Consolidated Shareholders Agreement, dated as of</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January 18, 2001, as amended)</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5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9580" w:type="dxa"/>
            <w:vAlign w:val="bottom"/>
            <w:vMerge w:val="restart"/>
          </w:tcPr>
          <w:p>
            <w:pPr>
              <w:ind w:left="120"/>
              <w:spacing w:after="0"/>
              <w:rPr>
                <w:sz w:val="20"/>
                <w:szCs w:val="20"/>
                <w:color w:val="auto"/>
              </w:rPr>
            </w:pPr>
            <w:r>
              <w:rPr>
                <w:rFonts w:ascii="Arial" w:cs="Arial" w:eastAsia="Arial" w:hAnsi="Arial"/>
                <w:sz w:val="18"/>
                <w:szCs w:val="18"/>
                <w:color w:val="auto"/>
              </w:rPr>
              <w:t>15,122,570 ordinary shares</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44"/>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540" w:type="dxa"/>
            <w:vAlign w:val="bottom"/>
            <w:tcBorders>
              <w:bottom w:val="single" w:sz="8" w:color="auto"/>
              <w:right w:val="single" w:sz="8" w:color="auto"/>
            </w:tcBorders>
          </w:tcPr>
          <w:p>
            <w:pPr>
              <w:spacing w:after="0"/>
              <w:rPr>
                <w:sz w:val="21"/>
                <w:szCs w:val="21"/>
                <w:color w:val="auto"/>
              </w:rPr>
            </w:pPr>
          </w:p>
        </w:tc>
        <w:tc>
          <w:tcPr>
            <w:tcW w:w="9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spacing w:after="0"/>
              <w:rPr>
                <w:sz w:val="22"/>
                <w:szCs w:val="22"/>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72"/>
        </w:trPr>
        <w:tc>
          <w:tcPr>
            <w:tcW w:w="1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580" w:type="dxa"/>
            <w:vAlign w:val="bottom"/>
          </w:tcPr>
          <w:p>
            <w:pPr>
              <w:ind w:left="120"/>
              <w:spacing w:after="0"/>
              <w:rPr>
                <w:sz w:val="20"/>
                <w:szCs w:val="20"/>
                <w:color w:val="auto"/>
              </w:rPr>
            </w:pPr>
            <w:r>
              <w:rPr>
                <w:rFonts w:ascii="Arial" w:cs="Arial" w:eastAsia="Arial" w:hAnsi="Arial"/>
                <w:sz w:val="18"/>
                <w:szCs w:val="18"/>
                <w:color w:val="auto"/>
                <w:w w:val="90"/>
              </w:rPr>
              <w:t>133,391,794 ordinary shares</w:t>
            </w:r>
            <w:r>
              <w:rPr>
                <w:rFonts w:ascii="Arial" w:cs="Arial" w:eastAsia="Arial" w:hAnsi="Arial"/>
                <w:sz w:val="28"/>
                <w:szCs w:val="28"/>
                <w:color w:val="auto"/>
                <w:w w:val="90"/>
                <w:vertAlign w:val="superscript"/>
              </w:rPr>
              <w:t>2</w:t>
            </w:r>
            <w:r>
              <w:rPr>
                <w:rFonts w:ascii="Arial" w:cs="Arial" w:eastAsia="Arial" w:hAnsi="Arial"/>
                <w:sz w:val="18"/>
                <w:szCs w:val="18"/>
                <w:color w:val="auto"/>
                <w:w w:val="90"/>
              </w:rPr>
              <w:t xml:space="preserve"> (with respect to certain matters as set forth in the Consolidated Shareholders Agreement, dated as of</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January 18, 2001, as amended)</w:t>
            </w:r>
          </w:p>
        </w:tc>
        <w:tc>
          <w:tcPr>
            <w:tcW w:w="0" w:type="dxa"/>
            <w:vAlign w:val="bottom"/>
          </w:tcPr>
          <w:p>
            <w:pPr>
              <w:spacing w:after="0"/>
              <w:rPr>
                <w:sz w:val="1"/>
                <w:szCs w:val="1"/>
                <w:color w:val="auto"/>
              </w:rPr>
            </w:pPr>
          </w:p>
        </w:tc>
      </w:tr>
    </w:tbl>
    <w:p>
      <w:pPr>
        <w:ind w:left="160"/>
        <w:spacing w:after="0"/>
        <w:tabs>
          <w:tab w:leader="none" w:pos="720" w:val="left"/>
        </w:tabs>
        <w:rPr>
          <w:sz w:val="20"/>
          <w:szCs w:val="20"/>
          <w:color w:val="auto"/>
        </w:rPr>
      </w:pPr>
      <w:r>
        <w:rPr>
          <w:rFonts w:ascii="Arial" w:cs="Arial" w:eastAsia="Arial" w:hAnsi="Arial"/>
          <w:sz w:val="61"/>
          <w:szCs w:val="61"/>
          <w:b w:val="1"/>
          <w:bCs w:val="1"/>
          <w:color w:val="auto"/>
          <w:vertAlign w:val="subscript"/>
        </w:rPr>
        <w:t>11</w:t>
      </w:r>
      <w:r>
        <w:rPr>
          <w:sz w:val="20"/>
          <w:szCs w:val="20"/>
          <w:color w:val="auto"/>
        </w:rPr>
        <w:tab/>
      </w:r>
      <w:r>
        <w:rPr>
          <w:rFonts w:ascii="Arial" w:cs="Arial" w:eastAsia="Arial" w:hAnsi="Arial"/>
          <w:sz w:val="17"/>
          <w:szCs w:val="17"/>
          <w:color w:val="auto"/>
        </w:rPr>
        <w:t>AGGREGATE AMOUNT BENEFICIALLY OWNED BY EACH REPORTING PERSON:</w:t>
      </w:r>
    </w:p>
    <w:p>
      <w:pPr>
        <w:ind w:left="740"/>
        <w:spacing w:after="0" w:line="228" w:lineRule="auto"/>
        <w:rPr>
          <w:sz w:val="20"/>
          <w:szCs w:val="20"/>
          <w:color w:val="auto"/>
        </w:rPr>
      </w:pPr>
      <w:r>
        <w:rPr>
          <w:rFonts w:ascii="Arial" w:cs="Arial" w:eastAsia="Arial" w:hAnsi="Arial"/>
          <w:sz w:val="18"/>
          <w:szCs w:val="18"/>
          <w:color w:val="auto"/>
        </w:rPr>
        <w:t>133,391,794 ordinary shares</w:t>
      </w:r>
      <w:r>
        <w:rPr>
          <w:rFonts w:ascii="Arial" w:cs="Arial" w:eastAsia="Arial" w:hAnsi="Arial"/>
          <w:sz w:val="28"/>
          <w:szCs w:val="28"/>
          <w:color w:val="auto"/>
          <w:vertAlign w:val="superscript"/>
        </w:rPr>
        <w:t>2</w:t>
      </w:r>
    </w:p>
    <w:p>
      <w:pPr>
        <w:sectPr>
          <w:pgSz w:w="11900" w:h="16838" w:orient="portrait"/>
          <w:cols w:equalWidth="0" w:num="1">
            <w:col w:w="11460"/>
          </w:cols>
          <w:pgMar w:left="240" w:top="935" w:right="199" w:bottom="0" w:gutter="0" w:footer="0" w:header="0"/>
          <w:type w:val="continuous"/>
        </w:sectPr>
      </w:pPr>
    </w:p>
    <w:p>
      <w:pPr>
        <w:spacing w:after="0" w:line="120"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75.8%</w:t>
      </w:r>
      <w:r>
        <w:rPr>
          <w:rFonts w:ascii="Arial" w:cs="Arial" w:eastAsia="Arial" w:hAnsi="Arial"/>
          <w:sz w:val="28"/>
          <w:szCs w:val="28"/>
          <w:color w:val="auto"/>
          <w:vertAlign w:val="superscript"/>
        </w:rPr>
        <w:t>3</w:t>
      </w:r>
    </w:p>
    <w:p>
      <w:pPr>
        <w:spacing w:after="0"/>
        <w:rPr>
          <w:sz w:val="20"/>
          <w:szCs w:val="20"/>
          <w:color w:val="auto"/>
        </w:rPr>
      </w:pPr>
      <w:r>
        <w:rPr>
          <w:rFonts w:ascii="Arial" w:cs="Arial" w:eastAsia="Arial" w:hAnsi="Arial"/>
          <w:sz w:val="18"/>
          <w:szCs w:val="18"/>
          <w:color w:val="auto"/>
        </w:rPr>
        <w:t>TYPE OF REPORTING PERSON (SEE INSTRUCTIONS):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220980</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 w:space="260"/>
            <w:col w:w="10720"/>
          </w:cols>
          <w:pgMar w:left="240" w:top="935" w:right="199" w:bottom="0" w:gutter="0" w:footer="0" w:header="0"/>
          <w:type w:val="continuous"/>
        </w:sectPr>
      </w:pPr>
    </w:p>
    <w:p>
      <w:pPr>
        <w:spacing w:after="0" w:line="214" w:lineRule="exact"/>
        <w:rPr>
          <w:sz w:val="20"/>
          <w:szCs w:val="20"/>
          <w:color w:val="auto"/>
        </w:rPr>
      </w:pPr>
    </w:p>
    <w:p>
      <w:pPr>
        <w:ind w:left="460" w:right="22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Represents 11,580,440 ordinary shares currently owned by SanDisk Corporation (“SanDisk”) plus 3,542,130 ordinary shares purchasable by SanDisk within 60 days of the date hereof upon the exercise of warrants and upon the conversion of debentures.</w:t>
      </w:r>
    </w:p>
    <w:p>
      <w:pPr>
        <w:spacing w:after="0" w:line="22" w:lineRule="exact"/>
        <w:rPr>
          <w:sz w:val="20"/>
          <w:szCs w:val="20"/>
          <w:color w:val="auto"/>
        </w:rPr>
      </w:pPr>
    </w:p>
    <w:p>
      <w:pPr>
        <w:ind w:left="460" w:right="60" w:hanging="452"/>
        <w:spacing w:after="0" w:line="302"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6"/>
          <w:szCs w:val="16"/>
          <w:color w:val="auto"/>
        </w:rPr>
        <w:t>133,391,794 ordinary shares of Tower Semiconductor Ltd. (the “Issuer”) are subject to a Consolidated Shareholders Agreement, dated as of January 18, 2001, as amended (the “CSA”), by and among the Lead Investors (as defined below). The CSA was filed as Exhibit 4 to the original Schedule 13D, filed on February 1, 2001, and the terms thereof are specifically incorporated by reference herein. The CSA provides certain obligations and restrictions with respect to the voting and disposition of the shares of the Issuer held by the Lead Investors. Neither the filing of this amendment to the</w:t>
      </w:r>
    </w:p>
    <w:p>
      <w:pPr>
        <w:sectPr>
          <w:pgSz w:w="11900" w:h="16838" w:orient="portrait"/>
          <w:cols w:equalWidth="0" w:num="1">
            <w:col w:w="11460"/>
          </w:cols>
          <w:pgMar w:left="240" w:top="935" w:right="199" w:bottom="0" w:gutter="0" w:footer="0" w:header="0"/>
          <w:type w:val="continuous"/>
        </w:sectPr>
      </w:pPr>
    </w:p>
    <w:bookmarkStart w:id="3" w:name="page4"/>
    <w:bookmarkEnd w:id="3"/>
    <w:p>
      <w:pPr>
        <w:ind w:left="452"/>
        <w:spacing w:after="0" w:line="257" w:lineRule="auto"/>
        <w:rPr>
          <w:sz w:val="20"/>
          <w:szCs w:val="20"/>
          <w:color w:val="auto"/>
        </w:rPr>
      </w:pPr>
      <w:r>
        <w:rPr>
          <w:rFonts w:ascii="Arial" w:cs="Arial" w:eastAsia="Arial" w:hAnsi="Arial"/>
          <w:sz w:val="18"/>
          <w:szCs w:val="18"/>
          <w:color w:val="auto"/>
        </w:rPr>
        <w:t>Schedule 13D nor any of its contents shall be deemed to constitute an admission by SanDisk that it is the beneficial owner of any of the shares of Issuer covered by the CSA, other than the shares held of record by SanDisk, for purposes of Section 13(d) of the Securities Exchange Act of 1934, as amended, or for any other purpose, and such beneficial ownership is expressly disclaimed. SanDisk expressly disclaims (i) the existence of any group and (ii) beneficial ownership with respect to any shares other than shares currently held of record or purchasable within 60 days of the date hereof by SanDisk.</w:t>
      </w:r>
    </w:p>
    <w:p>
      <w:pPr>
        <w:spacing w:after="0" w:line="40"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5"/>
          <w:szCs w:val="15"/>
          <w:color w:val="auto"/>
        </w:rPr>
      </w:pPr>
      <w:r>
        <w:rPr>
          <w:rFonts w:ascii="Arial" w:cs="Arial" w:eastAsia="Arial" w:hAnsi="Arial"/>
          <w:sz w:val="18"/>
          <w:szCs w:val="18"/>
          <w:color w:val="auto"/>
        </w:rPr>
        <w:t>Based on the number of ordinary shares outstanding as of September 30, 2006 and calculated in accordance with Rule 13d-3(d)(i).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AMENDMENT NO. 1 TO STATEMENT ON SCHEDULE 13D</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This Amendment No. 1 amends the Schedule 13D filed on February 1, 2001 by SanDisk Corporation, a Delaware corporation (“SanDisk”), with respect to the ordinary shares, NIS 1.00 per share, of Tower Semiconductor Ltd., an Israeli corporation (the “Issuer”). Other than the Items expressly amended below, all Items in the original Schedule 13D remain unchanged. Terms not defined herein have the respective meanings set forth in the Schedule 13D filed on February 1, 2001.</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Item 6 of the Schedule 13D filed on January 21, 2001 is hereby amended and restated in its entirety to read:</w:t>
      </w:r>
    </w:p>
    <w:p>
      <w:pPr>
        <w:spacing w:after="0" w:line="225" w:lineRule="exact"/>
        <w:rPr>
          <w:sz w:val="20"/>
          <w:szCs w:val="20"/>
          <w:color w:val="auto"/>
        </w:rPr>
      </w:pPr>
    </w:p>
    <w:p>
      <w:pPr>
        <w:ind w:left="1160" w:right="40"/>
        <w:spacing w:after="0" w:line="257" w:lineRule="auto"/>
        <w:rPr>
          <w:sz w:val="20"/>
          <w:szCs w:val="20"/>
          <w:color w:val="auto"/>
        </w:rPr>
      </w:pPr>
      <w:r>
        <w:rPr>
          <w:rFonts w:ascii="Arial" w:cs="Arial" w:eastAsia="Arial" w:hAnsi="Arial"/>
          <w:sz w:val="18"/>
          <w:szCs w:val="18"/>
          <w:color w:val="auto"/>
        </w:rPr>
        <w:t>On November 11, 2003, that certain Consolidated Shareholder Agreement dated January 18, 2001 (the “CSA”), by and among SanDisk, The Israel Corporation Ltd., Alliance Semiconductor Corporation and Macronix International Co. Ltd. (together with SanDisk, the “Lead Investors”) was amended to amend the definition of “Initial Restricted Period” to generally extend such period for five years from the Closing (as defined therein). A copy of such amendment was filed as Exhibit 10.37 to the SanDisk Annual Report on Form 10-K filed on March 12, 2004 and is incorporated by reference herein.</w:t>
      </w:r>
    </w:p>
    <w:p>
      <w:pPr>
        <w:spacing w:after="0" w:line="188" w:lineRule="exact"/>
        <w:rPr>
          <w:sz w:val="20"/>
          <w:szCs w:val="20"/>
          <w:color w:val="auto"/>
        </w:rPr>
      </w:pPr>
    </w:p>
    <w:p>
      <w:pPr>
        <w:ind w:left="1160" w:right="400"/>
        <w:spacing w:after="0" w:line="308" w:lineRule="auto"/>
        <w:rPr>
          <w:sz w:val="20"/>
          <w:szCs w:val="20"/>
          <w:color w:val="auto"/>
        </w:rPr>
      </w:pPr>
      <w:r>
        <w:rPr>
          <w:rFonts w:ascii="Arial" w:cs="Arial" w:eastAsia="Arial" w:hAnsi="Arial"/>
          <w:sz w:val="17"/>
          <w:szCs w:val="17"/>
          <w:color w:val="auto"/>
        </w:rPr>
        <w:t>On September 28, 2006, SanDisk entered into an agreement by and among Bank Leumi Le-Israel B.M., a banking corporation organized under the laws of the State of Israel (“Leumi Le-Israel”) and the Lead Investors (the “Leumi Le-Israel Agreement”).</w:t>
      </w:r>
    </w:p>
    <w:p>
      <w:pPr>
        <w:spacing w:after="0" w:line="147" w:lineRule="exact"/>
        <w:rPr>
          <w:sz w:val="20"/>
          <w:szCs w:val="20"/>
          <w:color w:val="auto"/>
        </w:rPr>
      </w:pPr>
    </w:p>
    <w:p>
      <w:pPr>
        <w:ind w:left="1160" w:right="80"/>
        <w:spacing w:after="0" w:line="297" w:lineRule="auto"/>
        <w:rPr>
          <w:sz w:val="20"/>
          <w:szCs w:val="20"/>
          <w:color w:val="auto"/>
        </w:rPr>
      </w:pPr>
      <w:r>
        <w:rPr>
          <w:rFonts w:ascii="Arial" w:cs="Arial" w:eastAsia="Arial" w:hAnsi="Arial"/>
          <w:sz w:val="16"/>
          <w:szCs w:val="16"/>
          <w:color w:val="auto"/>
        </w:rPr>
        <w:t>On September 28, 2006, SanDisk also entered into an agreement by and among Bank Hapoalim B.M., a banking corporation organized under the laws of the State of Israel (“Hapoalim”) and the Lead Investors (the “Hapoalim Agreement”). The Leumi Le-Israel Agreement and the Hapoalim Agreement are substantially identical and are referred to herein as the “Agreement” or the “Agreements.” Each of Leumi Le-Israel and Hapoalim are referred to as the “Bank” or collectively as the “Banks.” The following description of the Agreements is only a summary and is qualified in its entirety by the full text of the Agreements, each of which is filed as an exhibit hereto.</w:t>
      </w:r>
    </w:p>
    <w:p>
      <w:pPr>
        <w:spacing w:after="0" w:line="158" w:lineRule="exact"/>
        <w:rPr>
          <w:sz w:val="20"/>
          <w:szCs w:val="20"/>
          <w:color w:val="auto"/>
        </w:rPr>
      </w:pPr>
    </w:p>
    <w:p>
      <w:pPr>
        <w:ind w:left="1160" w:right="60"/>
        <w:spacing w:after="0" w:line="271" w:lineRule="auto"/>
        <w:rPr>
          <w:sz w:val="20"/>
          <w:szCs w:val="20"/>
          <w:color w:val="auto"/>
        </w:rPr>
      </w:pPr>
      <w:r>
        <w:rPr>
          <w:rFonts w:ascii="Arial" w:cs="Arial" w:eastAsia="Arial" w:hAnsi="Arial"/>
          <w:sz w:val="17"/>
          <w:szCs w:val="17"/>
          <w:color w:val="auto"/>
        </w:rPr>
        <w:t>Subject to the terms and conditions therein, each Agreement provides, among other things, that in the event that (i) any person or entity acquires 5% or more of the then-outstanding shares of Issuer from the applicable Bank upon the conversion of a Capital Note (as defined in the Agreements) (an “Acquiring Person”) and (ii) such Bank notifies the Lead Investors that such Acquiring Person shall be entitled to the benefits of the Agreement, then each of the Lead Investors has agreed to vote all of its respective shares of the Issuer (x) for any amendment to the Issuer’s articles of incorporation that may be required to ensure that there is an additional seat on the Issuer’s Board of Directors for the nominee of such Acquiring Person, (y) for the election of the nominee of such Acquiring Person to the Board of Directors of Issuer and for any other resolution necessary to effect such election, and (z) against any resolution which would have the effect of preventing the election to the Board of Directors of Issuer of the nominee of such Acquiring Person.</w:t>
      </w:r>
    </w:p>
    <w:p>
      <w:pPr>
        <w:spacing w:after="0" w:line="179" w:lineRule="exact"/>
        <w:rPr>
          <w:sz w:val="20"/>
          <w:szCs w:val="20"/>
          <w:color w:val="auto"/>
        </w:rPr>
      </w:pPr>
    </w:p>
    <w:p>
      <w:pPr>
        <w:ind w:left="1160" w:right="120"/>
        <w:spacing w:after="0" w:line="277" w:lineRule="auto"/>
        <w:rPr>
          <w:sz w:val="20"/>
          <w:szCs w:val="20"/>
          <w:color w:val="auto"/>
        </w:rPr>
      </w:pPr>
      <w:r>
        <w:rPr>
          <w:rFonts w:ascii="Arial" w:cs="Arial" w:eastAsia="Arial" w:hAnsi="Arial"/>
          <w:sz w:val="18"/>
          <w:szCs w:val="18"/>
          <w:color w:val="auto"/>
        </w:rPr>
        <w:t>The obligations of the Lead Investor under each of the Agreements to vote in favor of the nominee of the Acquiring Person are subject to the condition that the applicable Acquiring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ind w:left="1160" w:right="160"/>
        <w:spacing w:after="0" w:line="257" w:lineRule="auto"/>
        <w:rPr>
          <w:sz w:val="20"/>
          <w:szCs w:val="20"/>
          <w:color w:val="auto"/>
        </w:rPr>
      </w:pPr>
      <w:r>
        <w:rPr>
          <w:rFonts w:ascii="Arial" w:cs="Arial" w:eastAsia="Arial" w:hAnsi="Arial"/>
          <w:sz w:val="18"/>
          <w:szCs w:val="18"/>
          <w:color w:val="auto"/>
        </w:rPr>
        <w:t>Person vote all of its shares of the Issuer in favor of (and only for) (i) the election of the nominee of the Acquiring Person to the Board of Directors of the Issuer, (ii) the nominees to the Board of Directors of Issuer for which any of the Lead Investors shall be obligated to vote pursuant to the CSA, (iii) a representative of The Israel Corporation Ltd. as Chairman of the Board of Directors of Issuer and (iv) any other resolution which is necessary to finalize the elections referenced in (i)-(iii) above, and against any resolution which would have the effect of preventing such elections.</w:t>
      </w:r>
    </w:p>
    <w:p>
      <w:pPr>
        <w:spacing w:after="0" w:line="188" w:lineRule="exact"/>
        <w:rPr>
          <w:sz w:val="20"/>
          <w:szCs w:val="20"/>
          <w:color w:val="auto"/>
        </w:rPr>
      </w:pPr>
    </w:p>
    <w:p>
      <w:pPr>
        <w:jc w:val="both"/>
        <w:ind w:left="1160" w:right="80"/>
        <w:spacing w:after="0" w:line="312" w:lineRule="auto"/>
        <w:rPr>
          <w:sz w:val="20"/>
          <w:szCs w:val="20"/>
          <w:color w:val="auto"/>
        </w:rPr>
      </w:pPr>
      <w:r>
        <w:rPr>
          <w:rFonts w:ascii="Arial" w:cs="Arial" w:eastAsia="Arial" w:hAnsi="Arial"/>
          <w:sz w:val="16"/>
          <w:szCs w:val="16"/>
          <w:color w:val="auto"/>
        </w:rPr>
        <w:t>Each of the Agreements terminates upon January 18, 2013 or such later date to which the CSA has been extended. In addition, the applicable Acquiring Person is not required to vote its shares of Issuer as set forth above and may terminate its obligations under each of the respective Agreements at any time, in which case the Lead Investors are discharged from their obligations under the applicable Agreement.</w:t>
      </w:r>
    </w:p>
    <w:p>
      <w:pPr>
        <w:spacing w:after="0" w:line="147" w:lineRule="exact"/>
        <w:rPr>
          <w:sz w:val="20"/>
          <w:szCs w:val="20"/>
          <w:color w:val="auto"/>
        </w:rPr>
      </w:pPr>
    </w:p>
    <w:p>
      <w:pPr>
        <w:ind w:left="1160" w:right="80"/>
        <w:spacing w:after="0" w:line="255" w:lineRule="auto"/>
        <w:rPr>
          <w:sz w:val="20"/>
          <w:szCs w:val="20"/>
          <w:color w:val="auto"/>
        </w:rPr>
      </w:pPr>
      <w:r>
        <w:rPr>
          <w:rFonts w:ascii="Arial" w:cs="Arial" w:eastAsia="Arial" w:hAnsi="Arial"/>
          <w:sz w:val="18"/>
          <w:szCs w:val="18"/>
          <w:color w:val="auto"/>
        </w:rPr>
        <w:t>Other than the Purchase Agreement, Additional Purchase Agreement, the Registration Rights Agreement, the CSA, the Leumi Le-Israel Agreement and the Hapoalim Agreement described above (and incorporated herein in their entirety by reference), to the knowledge of SanDisk, there are no contracts, arrangements, understandings or relationships (legal or otherwise) among the persons named in Item 2 of the original Schedule 13D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93" w:lineRule="exact"/>
        <w:rPr>
          <w:sz w:val="20"/>
          <w:szCs w:val="20"/>
          <w:color w:val="auto"/>
        </w:rPr>
      </w:pPr>
    </w:p>
    <w:p>
      <w:pPr>
        <w:ind w:left="1160" w:right="140"/>
        <w:spacing w:after="0" w:line="277" w:lineRule="auto"/>
        <w:rPr>
          <w:sz w:val="20"/>
          <w:szCs w:val="20"/>
          <w:color w:val="auto"/>
        </w:rPr>
      </w:pPr>
      <w:r>
        <w:rPr>
          <w:rFonts w:ascii="Arial" w:cs="Arial" w:eastAsia="Arial" w:hAnsi="Arial"/>
          <w:sz w:val="18"/>
          <w:szCs w:val="18"/>
          <w:color w:val="auto"/>
        </w:rPr>
        <w:t>Notwithstanding the fact that SanDisk entered into the Leumi Le-Israel Agreement and the Hapoalim Agreement with each of the respective Banks, SanDisk expressly disclaims the existence of a group with either or both of the Banks.</w:t>
      </w:r>
    </w:p>
    <w:p>
      <w:pPr>
        <w:spacing w:after="0" w:line="170" w:lineRule="exact"/>
        <w:rPr>
          <w:sz w:val="20"/>
          <w:szCs w:val="20"/>
          <w:color w:val="auto"/>
        </w:rPr>
      </w:pPr>
    </w:p>
    <w:p>
      <w:pPr>
        <w:jc w:val="both"/>
        <w:ind w:left="1160" w:right="160"/>
        <w:spacing w:after="0" w:line="312" w:lineRule="auto"/>
        <w:rPr>
          <w:sz w:val="20"/>
          <w:szCs w:val="20"/>
          <w:color w:val="auto"/>
        </w:rPr>
      </w:pPr>
      <w:r>
        <w:rPr>
          <w:rFonts w:ascii="Arial" w:cs="Arial" w:eastAsia="Arial" w:hAnsi="Arial"/>
          <w:sz w:val="16"/>
          <w:szCs w:val="16"/>
          <w:color w:val="auto"/>
        </w:rPr>
        <w:t>Nothing herein shall be construed as an admission that any of the aforementioned shareholders is the beneficial owner of any of the Issuer’s securities, other than the Issuer’s securities held directly by such party, nor that any such shareholder or other persons or entities constitute a “group”, for purposes of Section 13(d) of the Securities Exchange Act of 1934, as amended, and the rules promulgated thereunder.</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an Exhibit</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Item 7 is amended and supplemented to add the following exhibits:</w:t>
      </w:r>
    </w:p>
    <w:p>
      <w:pPr>
        <w:spacing w:after="0" w:line="225" w:lineRule="exact"/>
        <w:rPr>
          <w:sz w:val="20"/>
          <w:szCs w:val="20"/>
          <w:color w:val="auto"/>
        </w:rPr>
      </w:pPr>
    </w:p>
    <w:p>
      <w:pPr>
        <w:ind w:left="2180" w:hanging="1052"/>
        <w:spacing w:after="0" w:line="257" w:lineRule="auto"/>
        <w:tabs>
          <w:tab w:leader="none" w:pos="2160"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8"/>
          <w:szCs w:val="18"/>
          <w:color w:val="auto"/>
        </w:rPr>
        <w:t>Letter Agreement regarding Amendment No.3 To Payment Schedule Of Series A-5 Additional Purchase Obligations, Waiver Of Series A-5 Conditions, Conversion Of Series A-4 Wafer Credits And Other Provisions, dated as of November 11, 2003, by and among Tower Semiconductor Ltd. SanDisk Corporation, The Israel Corporation Ltd., Alliance Semiconductor Corporation, Macronix International Co. Ltd. and Israel Corporation Technologies Ltd. (Incorporated by reference to Exhibit 10.37 of the SanDisk Form 10-K filed on March 12, 2004).</w:t>
      </w:r>
    </w:p>
    <w:p>
      <w:pPr>
        <w:spacing w:after="0" w:line="188" w:lineRule="exact"/>
        <w:rPr>
          <w:sz w:val="20"/>
          <w:szCs w:val="20"/>
          <w:color w:val="auto"/>
        </w:rPr>
      </w:pPr>
    </w:p>
    <w:p>
      <w:pPr>
        <w:ind w:left="2180" w:right="40" w:hanging="1052"/>
        <w:spacing w:after="0" w:line="264" w:lineRule="auto"/>
        <w:tabs>
          <w:tab w:leader="none" w:pos="2160" w:val="left"/>
        </w:tabs>
        <w:rPr>
          <w:sz w:val="20"/>
          <w:szCs w:val="20"/>
          <w:color w:val="auto"/>
        </w:rPr>
      </w:pPr>
      <w:r>
        <w:rPr>
          <w:rFonts w:ascii="Arial" w:cs="Arial" w:eastAsia="Arial" w:hAnsi="Arial"/>
          <w:sz w:val="18"/>
          <w:szCs w:val="18"/>
          <w:color w:val="auto"/>
        </w:rPr>
        <w:t>Exhibit 6:</w:t>
      </w:r>
      <w:r>
        <w:rPr>
          <w:sz w:val="20"/>
          <w:szCs w:val="20"/>
          <w:color w:val="auto"/>
        </w:rPr>
        <w:tab/>
      </w:r>
      <w:r>
        <w:rPr>
          <w:rFonts w:ascii="Arial" w:cs="Arial" w:eastAsia="Arial" w:hAnsi="Arial"/>
          <w:sz w:val="18"/>
          <w:szCs w:val="18"/>
          <w:color w:val="auto"/>
        </w:rPr>
        <w:t>Agreement, dated as of September 28, 2006, by and among Bank Leumi Le Israel B.M., a banking corporation organized under the laws of the State of Israel, SanDisk Corporation, The Israel Corporation Ltd., Alliance Semiconductor Corporation and Macronix International Co. Ltd.*</w:t>
      </w:r>
    </w:p>
    <w:p>
      <w:pPr>
        <w:spacing w:after="0" w:line="181" w:lineRule="exact"/>
        <w:rPr>
          <w:sz w:val="20"/>
          <w:szCs w:val="20"/>
          <w:color w:val="auto"/>
        </w:rPr>
      </w:pPr>
    </w:p>
    <w:p>
      <w:pPr>
        <w:ind w:left="2180" w:right="220" w:hanging="1052"/>
        <w:spacing w:after="0" w:line="264" w:lineRule="auto"/>
        <w:tabs>
          <w:tab w:leader="none" w:pos="2160" w:val="left"/>
        </w:tabs>
        <w:rPr>
          <w:sz w:val="20"/>
          <w:szCs w:val="20"/>
          <w:color w:val="auto"/>
        </w:rPr>
      </w:pPr>
      <w:r>
        <w:rPr>
          <w:rFonts w:ascii="Arial" w:cs="Arial" w:eastAsia="Arial" w:hAnsi="Arial"/>
          <w:sz w:val="18"/>
          <w:szCs w:val="18"/>
          <w:color w:val="auto"/>
        </w:rPr>
        <w:t>Exhibit 7:</w:t>
      </w:r>
      <w:r>
        <w:rPr>
          <w:sz w:val="20"/>
          <w:szCs w:val="20"/>
          <w:color w:val="auto"/>
        </w:rPr>
        <w:tab/>
      </w:r>
      <w:r>
        <w:rPr>
          <w:rFonts w:ascii="Arial" w:cs="Arial" w:eastAsia="Arial" w:hAnsi="Arial"/>
          <w:sz w:val="18"/>
          <w:szCs w:val="18"/>
          <w:color w:val="auto"/>
        </w:rPr>
        <w:t>Agreement, dated as of September 28, 2006, by and among Bank Hapoalim B.M., a banking corporation organized under the laws of the State of Israel, SanDisk Corporation, The Israel Corporation Ltd., Alliance Semiconductor Corporation and Macronix International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8"/>
          <w:szCs w:val="18"/>
          <w:u w:val="single" w:color="auto"/>
          <w:color w:val="auto"/>
        </w:rPr>
        <w:t>Signature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SANDISK CORPORATION</w:t>
      </w:r>
    </w:p>
    <w:p>
      <w:pPr>
        <w:spacing w:after="0" w:line="200" w:lineRule="exact"/>
        <w:rPr>
          <w:sz w:val="20"/>
          <w:szCs w:val="20"/>
          <w:color w:val="auto"/>
        </w:rPr>
      </w:pPr>
    </w:p>
    <w:p>
      <w:pPr>
        <w:spacing w:after="0" w:line="24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October 11, 2006</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Judy Bruner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Executive Vice President, Administration and</w:t>
      </w:r>
    </w:p>
    <w:p>
      <w:pPr>
        <w:spacing w:after="0" w:line="23"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jc w:val="center"/>
        <w:ind w:left="370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62" w:right="5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Schedule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SanDisk Corporation</w:t>
      </w:r>
    </w:p>
    <w:p>
      <w:pPr>
        <w:spacing w:after="0" w:line="121" w:lineRule="exact"/>
        <w:rPr>
          <w:sz w:val="20"/>
          <w:szCs w:val="20"/>
          <w:color w:val="auto"/>
        </w:rPr>
      </w:pPr>
    </w:p>
    <w:p>
      <w:pPr>
        <w:jc w:val="both"/>
        <w:ind w:right="60" w:firstLine="222"/>
        <w:spacing w:after="0" w:line="312" w:lineRule="auto"/>
        <w:rPr>
          <w:sz w:val="20"/>
          <w:szCs w:val="20"/>
          <w:color w:val="auto"/>
        </w:rPr>
      </w:pPr>
      <w:r>
        <w:rPr>
          <w:rFonts w:ascii="Arial" w:cs="Arial" w:eastAsia="Arial" w:hAnsi="Arial"/>
          <w:sz w:val="16"/>
          <w:szCs w:val="16"/>
          <w:color w:val="auto"/>
        </w:rPr>
        <w:t>The name, present principal occupation or employment, and the name of any corporation or other organization in which such employment is conducted, of each of the directors and executive officers of SanDisk Corporation is set forth below. Except as set forth below each of the directors and executive officers is a citizen of the United States. The business address of each director and officer is SanDisk Corporation, 601 McCarthy Blvd, Milpitas, California 95035.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Name</w:t>
            </w:r>
          </w:p>
        </w:tc>
        <w:tc>
          <w:tcPr>
            <w:tcW w:w="580" w:type="dxa"/>
            <w:vAlign w:val="bottom"/>
          </w:tcPr>
          <w:p>
            <w:pPr>
              <w:spacing w:after="0"/>
              <w:rPr>
                <w:sz w:val="14"/>
                <w:szCs w:val="14"/>
                <w:color w:val="auto"/>
              </w:rPr>
            </w:pPr>
          </w:p>
        </w:tc>
        <w:tc>
          <w:tcPr>
            <w:tcW w:w="8540" w:type="dxa"/>
            <w:vAlign w:val="bottom"/>
          </w:tcPr>
          <w:p>
            <w:pPr>
              <w:spacing w:after="0"/>
              <w:rPr>
                <w:sz w:val="20"/>
                <w:szCs w:val="20"/>
                <w:color w:val="auto"/>
              </w:rPr>
            </w:pPr>
            <w:r>
              <w:rPr>
                <w:rFonts w:ascii="Arial" w:cs="Arial" w:eastAsia="Arial" w:hAnsi="Arial"/>
                <w:sz w:val="14"/>
                <w:szCs w:val="14"/>
                <w:color w:val="auto"/>
              </w:rPr>
              <w:t>Present Principal Occupation or Employment</w:t>
            </w: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Eli Harari</w:t>
            </w:r>
          </w:p>
        </w:tc>
        <w:tc>
          <w:tcPr>
            <w:tcW w:w="580" w:type="dxa"/>
            <w:vAlign w:val="bottom"/>
            <w:shd w:val="clear" w:color="auto" w:fill="CCEEFF"/>
          </w:tcPr>
          <w:p>
            <w:pPr>
              <w:spacing w:after="0"/>
              <w:rPr>
                <w:sz w:val="18"/>
                <w:szCs w:val="18"/>
                <w:color w:val="auto"/>
              </w:rPr>
            </w:pPr>
          </w:p>
        </w:tc>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Chief Executive Officer and Chairman of the Board of SanDisk Corporation; Director of Tower Semiconductor Ltd.</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Sanjay Mehrotra</w:t>
            </w: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President and Chief Operating Officer of SanDisk Corporation</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Nelson Chan</w:t>
            </w:r>
          </w:p>
        </w:tc>
        <w:tc>
          <w:tcPr>
            <w:tcW w:w="58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General Manager, Consumer and Handset Business of SanDisk Corporation</w:t>
            </w:r>
          </w:p>
        </w:tc>
      </w:tr>
      <w:tr>
        <w:trPr>
          <w:trHeight w:val="202"/>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40" w:type="dxa"/>
            <w:vAlign w:val="bottom"/>
          </w:tcPr>
          <w:p>
            <w:pPr>
              <w:spacing w:after="0" w:line="201" w:lineRule="exact"/>
              <w:rPr>
                <w:sz w:val="20"/>
                <w:szCs w:val="20"/>
                <w:color w:val="auto"/>
              </w:rPr>
            </w:pPr>
            <w:r>
              <w:rPr>
                <w:rFonts w:ascii="Arial" w:cs="Arial" w:eastAsia="Arial" w:hAnsi="Arial"/>
                <w:sz w:val="18"/>
                <w:szCs w:val="18"/>
                <w:color w:val="auto"/>
                <w:w w:val="93"/>
              </w:rPr>
              <w:t>Executive Vice President, Administration and Chief Financial Officer of SanDisk Corporation; Director of Ciphergen</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Judy Bruner</w:t>
            </w:r>
          </w:p>
        </w:tc>
        <w:tc>
          <w:tcPr>
            <w:tcW w:w="58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Biosystems, Inc.</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Randhir Thakur</w:t>
            </w:r>
          </w:p>
        </w:tc>
        <w:tc>
          <w:tcPr>
            <w:tcW w:w="58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Technology and Worldwide Operations of SanDisk Corporation</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Yoram Cedar</w:t>
            </w: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Executive Vice President, Handset Business and Corporate Engineering of SanDisk Corporation</w:t>
            </w: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Director and Vice Chairman of the Board of SanDisk Corporation; General Partner of U.S. Venture Partners; Director</w:t>
            </w: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Irwin Federman</w:t>
            </w:r>
          </w:p>
        </w:tc>
        <w:tc>
          <w:tcPr>
            <w:tcW w:w="580" w:type="dxa"/>
            <w:vAlign w:val="bottom"/>
            <w:shd w:val="clear" w:color="auto" w:fill="CCEEFF"/>
          </w:tcPr>
          <w:p>
            <w:pPr>
              <w:spacing w:after="0"/>
              <w:rPr>
                <w:sz w:val="20"/>
                <w:szCs w:val="20"/>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of Check Point Software Technologies Ltd.</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Steven J. Gomo</w:t>
            </w: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5"/>
              </w:rPr>
              <w:t>Director of SanDisk Corporation; Executive Vice President and Chief Financial Officer of Network Appliance, Inc.</w:t>
            </w: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Director of SanDisk Corporation; Director of each of XM Satellite Radio Holdings, Inc., Thomas S.A. and Consumer</w:t>
            </w: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Eddy W. Hartenstein</w:t>
            </w:r>
          </w:p>
        </w:tc>
        <w:tc>
          <w:tcPr>
            <w:tcW w:w="580" w:type="dxa"/>
            <w:vAlign w:val="bottom"/>
            <w:shd w:val="clear" w:color="auto" w:fill="CCEEFF"/>
          </w:tcPr>
          <w:p>
            <w:pPr>
              <w:spacing w:after="0"/>
              <w:rPr>
                <w:sz w:val="20"/>
                <w:szCs w:val="20"/>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Electronics Association</w:t>
            </w:r>
          </w:p>
        </w:tc>
      </w:tr>
      <w:tr>
        <w:trPr>
          <w:trHeight w:val="202"/>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40" w:type="dxa"/>
            <w:vAlign w:val="bottom"/>
          </w:tcPr>
          <w:p>
            <w:pPr>
              <w:spacing w:after="0" w:line="201" w:lineRule="exact"/>
              <w:rPr>
                <w:sz w:val="20"/>
                <w:szCs w:val="20"/>
                <w:color w:val="auto"/>
              </w:rPr>
            </w:pPr>
            <w:r>
              <w:rPr>
                <w:rFonts w:ascii="Arial" w:cs="Arial" w:eastAsia="Arial" w:hAnsi="Arial"/>
                <w:sz w:val="18"/>
                <w:szCs w:val="18"/>
                <w:color w:val="auto"/>
                <w:w w:val="93"/>
              </w:rPr>
              <w:t>Director of SanDisk Corporation; General Partner of The Photonics Fund; Director of each of WJ Communications,</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Catherine P. Lego</w:t>
            </w:r>
          </w:p>
        </w:tc>
        <w:tc>
          <w:tcPr>
            <w:tcW w:w="58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 Lam Research and tau-Metrix</w:t>
            </w: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Director of SanDisk Corporation; Member of Kohlberg Kravis Roberts &amp; Co.; Chairman of the Board of Flextronics,</w:t>
            </w: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580" w:type="dxa"/>
            <w:vAlign w:val="bottom"/>
            <w:shd w:val="clear" w:color="auto" w:fill="CCEEFF"/>
          </w:tcPr>
          <w:p>
            <w:pPr>
              <w:spacing w:after="0"/>
              <w:rPr>
                <w:sz w:val="20"/>
                <w:szCs w:val="20"/>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w w:val="98"/>
              </w:rPr>
              <w:t>Inc.; Director of each of KLA Tencor, Crocs, Inc., Schlumberger Limited and Foundation for Cancer Research</w:t>
            </w:r>
          </w:p>
        </w:tc>
      </w:tr>
      <w:tr>
        <w:trPr>
          <w:trHeight w:val="202"/>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40" w:type="dxa"/>
            <w:vAlign w:val="bottom"/>
          </w:tcPr>
          <w:p>
            <w:pPr>
              <w:spacing w:after="0" w:line="201" w:lineRule="exact"/>
              <w:rPr>
                <w:sz w:val="20"/>
                <w:szCs w:val="20"/>
                <w:color w:val="auto"/>
              </w:rPr>
            </w:pPr>
            <w:r>
              <w:rPr>
                <w:rFonts w:ascii="Arial" w:cs="Arial" w:eastAsia="Arial" w:hAnsi="Arial"/>
                <w:sz w:val="18"/>
                <w:szCs w:val="18"/>
                <w:color w:val="auto"/>
                <w:w w:val="96"/>
              </w:rPr>
              <w:t>Director of SanDisk Corporation; Joseph M. Pettit Chair Professor of Microelectronics at the Georgia Institute of</w:t>
            </w: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Dr. James D. Meindl</w:t>
            </w:r>
          </w:p>
        </w:tc>
        <w:tc>
          <w:tcPr>
            <w:tcW w:w="58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Technology; Director of each of Zoran, Inc. and Stratex Networks, Inc.</w:t>
            </w:r>
          </w:p>
        </w:tc>
      </w:tr>
      <w:tr>
        <w:trPr>
          <w:trHeight w:val="632"/>
        </w:trPr>
        <w:tc>
          <w:tcPr>
            <w:tcW w:w="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2172" w:hanging="1052"/>
        <w:spacing w:after="0" w:line="257" w:lineRule="auto"/>
        <w:tabs>
          <w:tab w:leader="none" w:pos="2152"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8"/>
          <w:szCs w:val="18"/>
          <w:color w:val="auto"/>
        </w:rPr>
        <w:t>Letter Agreement regarding Amendment No.3 To Payment Schedule Of Series A-5 Additional Purchase Obligations, Waiver Of Series A-5 Conditions, Conversion Of Series A-4 Wafer Credits And Other Provisions, dated as of November 11, 2003, by and among Tower Semiconductor Ltd. SanDisk Corporation, The Israel Corporation Ltd., Alliance Semiconductor Corporation, Macronix International Co. Ltd. and Israel Corporation Technologies Ltd. (Incorporated by reference to Exhibit 10.37 of the SanDisk Form 10-K filed on March 12, 2004).</w:t>
      </w:r>
    </w:p>
    <w:p>
      <w:pPr>
        <w:spacing w:after="0" w:line="188" w:lineRule="exact"/>
        <w:rPr>
          <w:sz w:val="20"/>
          <w:szCs w:val="20"/>
          <w:color w:val="auto"/>
        </w:rPr>
      </w:pPr>
    </w:p>
    <w:p>
      <w:pPr>
        <w:ind w:left="2172" w:right="40" w:hanging="1052"/>
        <w:spacing w:after="0" w:line="264" w:lineRule="auto"/>
        <w:tabs>
          <w:tab w:leader="none" w:pos="2152" w:val="left"/>
        </w:tabs>
        <w:rPr>
          <w:sz w:val="20"/>
          <w:szCs w:val="20"/>
          <w:color w:val="auto"/>
        </w:rPr>
      </w:pPr>
      <w:r>
        <w:rPr>
          <w:rFonts w:ascii="Arial" w:cs="Arial" w:eastAsia="Arial" w:hAnsi="Arial"/>
          <w:sz w:val="18"/>
          <w:szCs w:val="18"/>
          <w:color w:val="auto"/>
        </w:rPr>
        <w:t>Exhibit 6:</w:t>
      </w:r>
      <w:r>
        <w:rPr>
          <w:sz w:val="20"/>
          <w:szCs w:val="20"/>
          <w:color w:val="auto"/>
        </w:rPr>
        <w:tab/>
      </w:r>
      <w:r>
        <w:rPr>
          <w:rFonts w:ascii="Arial" w:cs="Arial" w:eastAsia="Arial" w:hAnsi="Arial"/>
          <w:sz w:val="18"/>
          <w:szCs w:val="18"/>
          <w:color w:val="auto"/>
        </w:rPr>
        <w:t>Agreement, dated as of September 28, 2006, by and among Bank Leumi Le Israel B.M., a banking corporation organized under the laws of the State of Israel, SanDisk Corporation, The Israel Corporation Ltd., Alliance Semiconductor Corporation and Macronix International Co. Ltd.*</w:t>
      </w:r>
    </w:p>
    <w:p>
      <w:pPr>
        <w:spacing w:after="0" w:line="181" w:lineRule="exact"/>
        <w:rPr>
          <w:sz w:val="20"/>
          <w:szCs w:val="20"/>
          <w:color w:val="auto"/>
        </w:rPr>
      </w:pPr>
    </w:p>
    <w:p>
      <w:pPr>
        <w:ind w:left="2172" w:right="220" w:hanging="1052"/>
        <w:spacing w:after="0" w:line="264" w:lineRule="auto"/>
        <w:tabs>
          <w:tab w:leader="none" w:pos="2152" w:val="left"/>
        </w:tabs>
        <w:rPr>
          <w:sz w:val="20"/>
          <w:szCs w:val="20"/>
          <w:color w:val="auto"/>
        </w:rPr>
      </w:pPr>
      <w:r>
        <w:rPr>
          <w:rFonts w:ascii="Arial" w:cs="Arial" w:eastAsia="Arial" w:hAnsi="Arial"/>
          <w:sz w:val="18"/>
          <w:szCs w:val="18"/>
          <w:color w:val="auto"/>
        </w:rPr>
        <w:t>Exhibit 7:</w:t>
      </w:r>
      <w:r>
        <w:rPr>
          <w:sz w:val="20"/>
          <w:szCs w:val="20"/>
          <w:color w:val="auto"/>
        </w:rPr>
        <w:tab/>
      </w:r>
      <w:r>
        <w:rPr>
          <w:rFonts w:ascii="Arial" w:cs="Arial" w:eastAsia="Arial" w:hAnsi="Arial"/>
          <w:sz w:val="18"/>
          <w:szCs w:val="18"/>
          <w:color w:val="auto"/>
        </w:rPr>
        <w:t>Agreement, dated as of September 28, 2006, by and among Bank Hapoalim B.M., a banking corporation organized under the laws of the State of Israel, SanDisk Corporation, The Israel Corporation Ltd., Alliance Semiconductor Corporation and Macronix International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392"/>
          </w:cols>
          <w:pgMar w:left="248" w:top="958"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17" w:lineRule="exact"/>
        <w:rPr>
          <w:sz w:val="20"/>
          <w:szCs w:val="20"/>
          <w:color w:val="auto"/>
        </w:rPr>
      </w:pPr>
    </w:p>
    <w:p>
      <w:pPr>
        <w:ind w:right="140" w:firstLine="222"/>
        <w:spacing w:after="0" w:line="266"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September 28, 2006 by and between </w:t>
      </w:r>
      <w:r>
        <w:rPr>
          <w:rFonts w:ascii="Arial" w:cs="Arial" w:eastAsia="Arial" w:hAnsi="Arial"/>
          <w:sz w:val="18"/>
          <w:szCs w:val="18"/>
          <w:b w:val="1"/>
          <w:bCs w:val="1"/>
          <w:color w:val="auto"/>
        </w:rPr>
        <w:t>each of the parties listed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Schedule hereto, </w:t>
      </w:r>
      <w:r>
        <w:rPr>
          <w:rFonts w:ascii="Arial" w:cs="Arial" w:eastAsia="Arial" w:hAnsi="Arial"/>
          <w:sz w:val="18"/>
          <w:szCs w:val="18"/>
          <w:color w:val="auto"/>
        </w:rPr>
        <w:t>severally, of the one part ( the “</w:t>
      </w:r>
      <w:r>
        <w:rPr>
          <w:rFonts w:ascii="Arial" w:cs="Arial" w:eastAsia="Arial" w:hAnsi="Arial"/>
          <w:sz w:val="18"/>
          <w:szCs w:val="18"/>
          <w:b w:val="1"/>
          <w:bCs w:val="1"/>
          <w:color w:val="auto"/>
        </w:rPr>
        <w:t>Lead Investors</w:t>
      </w:r>
      <w:r>
        <w:rPr>
          <w:rFonts w:ascii="Arial" w:cs="Arial" w:eastAsia="Arial" w:hAnsi="Arial"/>
          <w:sz w:val="18"/>
          <w:szCs w:val="18"/>
          <w:color w:val="auto"/>
        </w:rPr>
        <w:t>”), and Bank Leumi Le–Israel B.M., a banking corporation organized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Israel (the “</w:t>
      </w:r>
      <w:r>
        <w:rPr>
          <w:rFonts w:ascii="Arial" w:cs="Arial" w:eastAsia="Arial" w:hAnsi="Arial"/>
          <w:sz w:val="18"/>
          <w:szCs w:val="18"/>
          <w:b w:val="1"/>
          <w:bCs w:val="1"/>
          <w:color w:val="auto"/>
        </w:rPr>
        <w:t>Bank</w:t>
      </w:r>
      <w:r>
        <w:rPr>
          <w:rFonts w:ascii="Arial" w:cs="Arial" w:eastAsia="Arial" w:hAnsi="Arial"/>
          <w:sz w:val="18"/>
          <w:szCs w:val="18"/>
          <w:color w:val="auto"/>
        </w:rPr>
        <w:t>”) of the other part.</w:t>
      </w:r>
    </w:p>
    <w:p>
      <w:pPr>
        <w:spacing w:after="0" w:line="68" w:lineRule="exact"/>
        <w:rPr>
          <w:sz w:val="20"/>
          <w:szCs w:val="20"/>
          <w:color w:val="auto"/>
        </w:rPr>
      </w:pPr>
    </w:p>
    <w:p>
      <w:pPr>
        <w:ind w:right="120" w:firstLine="222"/>
        <w:spacing w:after="0" w:line="266" w:lineRule="auto"/>
        <w:rPr>
          <w:sz w:val="20"/>
          <w:szCs w:val="20"/>
          <w:color w:val="auto"/>
        </w:rPr>
      </w:pPr>
      <w:r>
        <w:rPr>
          <w:rFonts w:ascii="Arial" w:cs="Arial" w:eastAsia="Arial" w:hAnsi="Arial"/>
          <w:sz w:val="18"/>
          <w:szCs w:val="18"/>
          <w:color w:val="auto"/>
        </w:rPr>
        <w:t>WHEREAS, the Lead Investors are the leading investors in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an independent manufacturer of semiconductor wafers whose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are traded on the Nasdaq Stock Market under the symbol TSEM and whose Ordinary Shares and certain other securities are traded on the Tel-Aviv Stock Exchange under the symbol TSEM;</w:t>
      </w:r>
    </w:p>
    <w:p>
      <w:pPr>
        <w:spacing w:after="0" w:line="68" w:lineRule="exact"/>
        <w:rPr>
          <w:sz w:val="20"/>
          <w:szCs w:val="20"/>
          <w:color w:val="auto"/>
        </w:rPr>
      </w:pPr>
    </w:p>
    <w:p>
      <w:pPr>
        <w:ind w:right="400" w:firstLine="222"/>
        <w:spacing w:after="0" w:line="282" w:lineRule="auto"/>
        <w:rPr>
          <w:sz w:val="20"/>
          <w:szCs w:val="20"/>
          <w:color w:val="auto"/>
        </w:rPr>
      </w:pPr>
      <w:r>
        <w:rPr>
          <w:rFonts w:ascii="Arial" w:cs="Arial" w:eastAsia="Arial" w:hAnsi="Arial"/>
          <w:sz w:val="18"/>
          <w:szCs w:val="18"/>
          <w:color w:val="auto"/>
        </w:rPr>
        <w:t>WHEREAS, the Bank and Bank Hapoalim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54" w:lineRule="exact"/>
        <w:rPr>
          <w:sz w:val="20"/>
          <w:szCs w:val="20"/>
          <w:color w:val="auto"/>
        </w:rPr>
      </w:pPr>
    </w:p>
    <w:p>
      <w:pPr>
        <w:ind w:right="240" w:firstLine="222"/>
        <w:spacing w:after="0" w:line="266" w:lineRule="auto"/>
        <w:rPr>
          <w:sz w:val="20"/>
          <w:szCs w:val="20"/>
          <w:color w:val="auto"/>
        </w:rPr>
      </w:pPr>
      <w:r>
        <w:rPr>
          <w:rFonts w:ascii="Arial" w:cs="Arial" w:eastAsia="Arial" w:hAnsi="Arial"/>
          <w:sz w:val="18"/>
          <w:szCs w:val="18"/>
          <w:color w:val="auto"/>
        </w:rPr>
        <w:t>WHEREAS, at the request of Tower, the Banks and Tower have entered into an Amending Agreement dated August 24, 2006 (the “</w:t>
      </w:r>
      <w:r>
        <w:rPr>
          <w:rFonts w:ascii="Arial" w:cs="Arial" w:eastAsia="Arial" w:hAnsi="Arial"/>
          <w:sz w:val="18"/>
          <w:szCs w:val="18"/>
          <w:b w:val="1"/>
          <w:bCs w:val="1"/>
          <w:color w:val="auto"/>
        </w:rPr>
        <w:t>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one of the conditions to the effectiveness of which includes,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entering into by each of the Banks with the Lead Investors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7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5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 In this Agreement:</w:t>
      </w:r>
    </w:p>
    <w:p>
      <w:pPr>
        <w:spacing w:after="0" w:line="113" w:lineRule="exact"/>
        <w:rPr>
          <w:sz w:val="20"/>
          <w:szCs w:val="20"/>
          <w:color w:val="auto"/>
        </w:rPr>
      </w:pPr>
    </w:p>
    <w:p>
      <w:pPr>
        <w:ind w:left="1200" w:right="280" w:hanging="512"/>
        <w:spacing w:after="0" w:line="31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with respect to any person, any company which controls, is controlled by, or under common control with, such person; </w:t>
      </w:r>
      <w:r>
        <w:rPr>
          <w:rFonts w:ascii="Arial" w:cs="Arial" w:eastAsia="Arial" w:hAnsi="Arial"/>
          <w:sz w:val="17"/>
          <w:szCs w:val="17"/>
          <w:b w:val="1"/>
          <w:bCs w:val="1"/>
          <w:color w:val="auto"/>
        </w:rPr>
        <w:t xml:space="preserve">“control” </w:t>
      </w:r>
      <w:r>
        <w:rPr>
          <w:rFonts w:ascii="Arial" w:cs="Arial" w:eastAsia="Arial" w:hAnsi="Arial"/>
          <w:sz w:val="17"/>
          <w:szCs w:val="17"/>
          <w:color w:val="auto"/>
        </w:rPr>
        <w:t>shall in this Section 1.1.1 bear the meaning assigned to such term in Section 1 of the Securities Law, 1968;</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and </w:t>
      </w:r>
      <w:r>
        <w:rPr>
          <w:rFonts w:ascii="Arial" w:cs="Arial" w:eastAsia="Arial" w:hAnsi="Arial"/>
          <w:sz w:val="18"/>
          <w:szCs w:val="18"/>
          <w:b w:val="1"/>
          <w:bCs w:val="1"/>
          <w:color w:val="auto"/>
        </w:rPr>
        <w:t>“includes”</w:t>
      </w:r>
      <w:r>
        <w:rPr>
          <w:rFonts w:ascii="Arial" w:cs="Arial" w:eastAsia="Arial" w:hAnsi="Arial"/>
          <w:sz w:val="18"/>
          <w:szCs w:val="18"/>
          <w:color w:val="auto"/>
        </w:rPr>
        <w:t xml:space="preserve"> means including, without limiting the generality of any description preceding such terms;</w:t>
      </w:r>
    </w:p>
    <w:p>
      <w:pPr>
        <w:spacing w:after="0" w:line="131" w:lineRule="exact"/>
        <w:rPr>
          <w:sz w:val="20"/>
          <w:szCs w:val="20"/>
          <w:color w:val="auto"/>
        </w:rPr>
      </w:pPr>
    </w:p>
    <w:p>
      <w:pPr>
        <w:ind w:left="1200" w:right="640" w:hanging="512"/>
        <w:spacing w:after="0" w:line="313" w:lineRule="auto"/>
        <w:rPr>
          <w:sz w:val="20"/>
          <w:szCs w:val="20"/>
          <w:color w:val="auto"/>
        </w:rPr>
      </w:pPr>
      <w:r>
        <w:rPr>
          <w:rFonts w:ascii="Arial" w:cs="Arial" w:eastAsia="Arial" w:hAnsi="Arial"/>
          <w:sz w:val="17"/>
          <w:szCs w:val="17"/>
          <w:color w:val="auto"/>
        </w:rPr>
        <w:t xml:space="preserve">1.1.3. a </w:t>
      </w:r>
      <w:r>
        <w:rPr>
          <w:rFonts w:ascii="Arial" w:cs="Arial" w:eastAsia="Arial" w:hAnsi="Arial"/>
          <w:sz w:val="17"/>
          <w:szCs w:val="17"/>
          <w:b w:val="1"/>
          <w:bCs w:val="1"/>
          <w:color w:val="auto"/>
        </w:rPr>
        <w:t>“person”</w:t>
      </w:r>
      <w:r>
        <w:rPr>
          <w:rFonts w:ascii="Arial" w:cs="Arial" w:eastAsia="Arial" w:hAnsi="Arial"/>
          <w:sz w:val="17"/>
          <w:szCs w:val="17"/>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the ordinary shares of Tower or any other shares of Tower having voting rights;</w:t>
      </w:r>
    </w:p>
    <w:p>
      <w:pPr>
        <w:spacing w:after="0" w:line="131" w:lineRule="exact"/>
        <w:rPr>
          <w:sz w:val="20"/>
          <w:szCs w:val="20"/>
          <w:color w:val="auto"/>
        </w:rPr>
      </w:pPr>
    </w:p>
    <w:p>
      <w:pPr>
        <w:ind w:left="1200" w:right="220" w:hanging="512"/>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of a person means any company in which such person holds directly at least 51% (fifty-one percent) of the total issued share capital and other means of control (including voting rights and rights to appoint directors).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 The preamble to this Agreement constitutes an integral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color w:val="auto"/>
        </w:rPr>
        <w:t>- 2 -</w:t>
      </w:r>
    </w:p>
    <w:p>
      <w:pPr>
        <w:spacing w:after="0" w:line="11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of Lead Investors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2.1. In the event that a person shall acquire and hold Shares representing 5% (five percent) or more of the then outstanding Shares of Tower from the Bank and/or its Affiliates and the Bank notifies the Lead Investors that such acquiring person shall have the benefit of the undertakings of the Lead Investors contained in this Agreement (the “</w:t>
      </w:r>
      <w:r>
        <w:rPr>
          <w:rFonts w:ascii="Arial" w:cs="Arial" w:eastAsia="Arial" w:hAnsi="Arial"/>
          <w:sz w:val="16"/>
          <w:szCs w:val="16"/>
          <w:b w:val="1"/>
          <w:bCs w:val="1"/>
          <w:color w:val="auto"/>
        </w:rPr>
        <w:t>Acquiring Person</w:t>
      </w:r>
      <w:r>
        <w:rPr>
          <w:rFonts w:ascii="Arial" w:cs="Arial" w:eastAsia="Arial" w:hAnsi="Arial"/>
          <w:sz w:val="16"/>
          <w:szCs w:val="16"/>
          <w:color w:val="auto"/>
        </w:rPr>
        <w:t>”), then each of the Lead Investors shall as soon as practicable, take such action to cause a general meeting of shareholders to be assembled and to vote (and/or, if applicable, cause any and all of its Subsidiaries holding Shares to vote) all of the Shares held by such Lead Investor and its Subsidiaries for the nominee of such Acquiring Person to be appointed as a director of Tower; provided, however, that the fulfilment of such undertakings shall apply only in respect of one such Acquiring Person. For the avoidance of doubt, without derogating from the terms and conditions of this Agreement, the Bank need not designate the first acquirer of such 5% (five percent) or more holding from the Bank and/or its Affiliates as the Acquiring Person and may, in its discretion, so designate a subsequent acquirer from the Bank and/or its Affiliates of such 5% (five percent) or more holding as the Acquiring Person or may, in its discretion, not designate any acquirer as the Acquiring Person. For the further removal of doubt, the Acquiring Person may not assign any rights or benefits of the undertakings of the Lead Investors contained in this Agreement that may be owed or owing to the Acquiring Person, except to a Subsidiary of such Acquiring Person. Only (1) Shares received by the Bank and/or its Affiliates upon the conversion of a capital note (or any other capital note or capital notes issued in substitution therefor) issued pursuant to clause 5.4 of the Amending Agreement (the “</w:t>
      </w:r>
      <w:r>
        <w:rPr>
          <w:rFonts w:ascii="Arial" w:cs="Arial" w:eastAsia="Arial" w:hAnsi="Arial"/>
          <w:sz w:val="16"/>
          <w:szCs w:val="16"/>
          <w:b w:val="1"/>
          <w:b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(2) Shares received upon the conversion of Capital Notes acquired from the Bank and/or its Affiliates shall be considered Shares acquired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Bank and/or its Affiliates for the purpose of the first sentence of this Section 2.1.</w:t>
      </w:r>
    </w:p>
    <w:p>
      <w:pPr>
        <w:spacing w:after="0" w:line="64"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2.2. Each of the Lead Investors agrees, separately but not jointly, to attend and vote (and/or, if applicable, cause any and all of its Subsidiaries holding Shares to vote) at general meetings of shareholders of Tower all of the Shares held by such Lead Investor and its Subsidiaries: (i) for any amendment to Tower’s articles of association (the “</w:t>
      </w:r>
      <w:r>
        <w:rPr>
          <w:rFonts w:ascii="Arial" w:cs="Arial" w:eastAsia="Arial" w:hAnsi="Arial"/>
          <w:sz w:val="16"/>
          <w:szCs w:val="16"/>
          <w:b w:val="1"/>
          <w:bCs w:val="1"/>
          <w:color w:val="auto"/>
        </w:rPr>
        <w:t>Articles</w:t>
      </w:r>
      <w:r>
        <w:rPr>
          <w:rFonts w:ascii="Arial" w:cs="Arial" w:eastAsia="Arial" w:hAnsi="Arial"/>
          <w:sz w:val="16"/>
          <w:szCs w:val="16"/>
          <w:color w:val="auto"/>
        </w:rPr>
        <w:t>”) that may be required in order that at all times the maximum number of directors in the Board of Directors of Tower as set forth in the Articles shall be more than the then current or proposed number of directors so as to permit the Acquiring Person’s nominee to serve as a director; (ii) for the election of the Acquiring Person’s nominee to the Board of Directors of Tower and for any other resolution which is necessary in order to finalize such election; and (iii) against any resolution the effect of which is to prevent such election. Subject to Sections 4.9.1 and 4.9.2 below, the obligations of each of the Lead Investors towards the Acquiring Person and the Acquiring Person’s nominee under this Agreement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(ii) the nominees to the Board of Directors of Tower for which any of the Lead Investors shall be obligated to vote for pursuant to that certain Consolidated Shareholders Agreement by and among the Lead Investors, dated January 18, 2001, as amended and as may be amended from time to time (the “</w:t>
      </w:r>
      <w:r>
        <w:rPr>
          <w:rFonts w:ascii="Arial" w:cs="Arial" w:eastAsia="Arial" w:hAnsi="Arial"/>
          <w:sz w:val="16"/>
          <w:szCs w:val="16"/>
          <w:b w:val="1"/>
          <w:bCs w:val="1"/>
          <w:color w:val="auto"/>
        </w:rPr>
        <w:t>CSA</w:t>
      </w:r>
      <w:r>
        <w:rPr>
          <w:rFonts w:ascii="Arial" w:cs="Arial" w:eastAsia="Arial" w:hAnsi="Arial"/>
          <w:sz w:val="16"/>
          <w:szCs w:val="16"/>
          <w:color w:val="auto"/>
        </w:rPr>
        <w:t>”); and (iii) a representative of Israel Corporation Ltd. as Chairman of the Board of Directors of Tower if any of the Lead Investors shall be obligated to vote therefor pursuant to the CSA and (b) in the case of each of (a)(i), (ii) and (iii) above,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t>- 3 -</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other resolution which is necessary in order to finalize each such election and against any resolution the effect of which is to prevent or impede each such election. For the removal of doubt, the provisions of this Section 2.2 shall apply to voting in relation only to the matters set out in (a) and (b) above and shall not restrict the rights of the Acquiring Person or the Lead Investors (and/or their respective Subsidiaries) to vote on other matters in such manner as they deem fit. For the avoidance of doubt, the Acquiring Person shall not be </w:t>
      </w:r>
      <w:r>
        <w:rPr>
          <w:rFonts w:ascii="Arial" w:cs="Arial" w:eastAsia="Arial" w:hAnsi="Arial"/>
          <w:sz w:val="16"/>
          <w:szCs w:val="16"/>
          <w:u w:val="single" w:color="auto"/>
          <w:color w:val="auto"/>
        </w:rPr>
        <w:t>required</w:t>
      </w:r>
      <w:r>
        <w:rPr>
          <w:rFonts w:ascii="Arial" w:cs="Arial" w:eastAsia="Arial" w:hAnsi="Arial"/>
          <w:sz w:val="16"/>
          <w:szCs w:val="16"/>
          <w:color w:val="auto"/>
        </w:rPr>
        <w:t xml:space="preserve"> to agree to vote as set out in the immediately preceding sentence (or, as applicable, in Section 4.9.1 below) and may at any time terminate such agreement (in which case, the Acquiring Person shall be relieved of any obligation so to vote) and, with respect to the Lead Investors, the sole consequence of an Acquiring Person’s failure to agree or termination of such agreement as aforesaid shall be that the Lead Investors will not be obligated to vote for the Acquiring Person’s nominee, including pursuant to Section 4.9 below.</w:t>
      </w:r>
    </w:p>
    <w:p>
      <w:pPr>
        <w:spacing w:after="0" w:line="5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2.3. Subject to Section 2.4 below, in the event that the Acquiring Person and its Subsidiaries hold together in the aggregate less than 5% (five percent) of the outstanding Shares, then the Acquiring Person shall not be entitled to designate any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64" w:lineRule="exact"/>
        <w:rPr>
          <w:sz w:val="20"/>
          <w:szCs w:val="20"/>
          <w:color w:val="auto"/>
        </w:rPr>
      </w:pPr>
    </w:p>
    <w:p>
      <w:pPr>
        <w:ind w:right="160" w:firstLine="225"/>
        <w:spacing w:after="0" w:line="289" w:lineRule="auto"/>
        <w:rPr>
          <w:sz w:val="20"/>
          <w:szCs w:val="20"/>
          <w:color w:val="auto"/>
        </w:rPr>
      </w:pPr>
      <w:r>
        <w:rPr>
          <w:rFonts w:ascii="Arial" w:cs="Arial" w:eastAsia="Arial" w:hAnsi="Arial"/>
          <w:sz w:val="16"/>
          <w:szCs w:val="16"/>
          <w:color w:val="auto"/>
        </w:rPr>
        <w:t>2.4. Notwithstanding Section 2.3, in the event that the Acquiring Person and its Subsidiaries hold together at any one time in the aggregate 6% (six percent) or more of the outstanding Shares, and, subsequent to such time, the Acquiring Person and its Subsidiaries hold together in the aggregate less than 5% (five percent) of the outstanding Shares solely as a result of additional Shares having become issued and outstanding (and not as a result of any sales of Shares by the Acquiring Person or its Subsidiaries) (such date, the “</w:t>
      </w:r>
      <w:r>
        <w:rPr>
          <w:rFonts w:ascii="Arial" w:cs="Arial" w:eastAsia="Arial" w:hAnsi="Arial"/>
          <w:sz w:val="16"/>
          <w:szCs w:val="16"/>
          <w:b w:val="1"/>
          <w:bCs w:val="1"/>
          <w:color w:val="auto"/>
        </w:rPr>
        <w:t>Dilution Date</w:t>
      </w:r>
      <w:r>
        <w:rPr>
          <w:rFonts w:ascii="Arial" w:cs="Arial" w:eastAsia="Arial" w:hAnsi="Arial"/>
          <w:sz w:val="16"/>
          <w:szCs w:val="16"/>
          <w:color w:val="auto"/>
        </w:rPr>
        <w:t>”), and within 90 (ninety) days of the Dilution Date, the Acquiring Person and its Subsidiaries shall not again become together the holders of 5% (five percent) or more of the outstanding Shares (such 90</w:t>
      </w:r>
      <w:r>
        <w:rPr>
          <w:rFonts w:ascii="Arial" w:cs="Arial" w:eastAsia="Arial" w:hAnsi="Arial"/>
          <w:sz w:val="13"/>
          <w:szCs w:val="13"/>
          <w:color w:val="auto"/>
        </w:rPr>
        <w:t>th</w:t>
      </w:r>
      <w:r>
        <w:rPr>
          <w:rFonts w:ascii="Arial" w:cs="Arial" w:eastAsia="Arial" w:hAnsi="Arial"/>
          <w:sz w:val="16"/>
          <w:szCs w:val="16"/>
          <w:color w:val="auto"/>
        </w:rPr>
        <w:t xml:space="preserve"> day, the “</w:t>
      </w:r>
      <w:r>
        <w:rPr>
          <w:rFonts w:ascii="Arial" w:cs="Arial" w:eastAsia="Arial" w:hAnsi="Arial"/>
          <w:sz w:val="16"/>
          <w:szCs w:val="16"/>
          <w:b w:val="1"/>
          <w:bCs w:val="1"/>
          <w:color w:val="auto"/>
        </w:rPr>
        <w:t>Loss of Right</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Acquiring Person shall not, after the Loss of Right Date, be entitled to designate a nominee and, if requested by any of the Lead Investors,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5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2.5. Each of the Lead Investors further agrees that in the event that the Acquiring Person decides to terminate or replace its director, then each shall vote (and/or, if applicable, cause any and all of its Subsidiaries holding Shares to vote) all of the Shares held by such Lead Investor and its Subsidiaries to cause the termination of office or, subject to the Acquiring Person having the right to nominate a person to serve as a director of Tower under this Agreement, the replacement of such director, in accordance with the decision of the Acquiring Person and cause, if required, a general meeting of shareholders of Tower to be held for such purpose. This Section 2.5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obligations of the Acquiring Person (and/or, if applicable, its Subsidiaries) to vote for nominees of the Lead Investors under Section 2.2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t>- 4 -</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 Notwithstanding the above,</w:t>
      </w:r>
    </w:p>
    <w:p>
      <w:pPr>
        <w:spacing w:after="0" w:line="117"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2.6.1. a majority (in number and not shareholdings) of the Lead Investors then having the right to have one of its nominees elected to the Board of Directors of Tower pursuant to the CSA (“</w:t>
      </w:r>
      <w:r>
        <w:rPr>
          <w:rFonts w:ascii="Arial" w:cs="Arial" w:eastAsia="Arial" w:hAnsi="Arial"/>
          <w:sz w:val="16"/>
          <w:szCs w:val="16"/>
          <w:b w:val="1"/>
          <w:bCs w:val="1"/>
          <w:color w:val="auto"/>
        </w:rPr>
        <w:t>Eligible Lead Investors</w:t>
      </w:r>
      <w:r>
        <w:rPr>
          <w:rFonts w:ascii="Arial" w:cs="Arial" w:eastAsia="Arial" w:hAnsi="Arial"/>
          <w:sz w:val="16"/>
          <w:szCs w:val="16"/>
          <w:color w:val="auto"/>
        </w:rPr>
        <w:t>”) shall be entitled, by a single written notice to the Acquiring Person, signed by such majority of the Lead Investors, to object to the appointment of any particular individual nominated by an Acquiring Person as a director of Tower on reasonable grounds (including, without limitation, that the nominee is a competitor of Tower, or is an employee of, or consultant to, Tower or to a competitor of Tower). For the avoidance of doubt, if any such objection on reasonable grounds is made, the Acquiring Person shall be entitled to nominate another individual to serve as a director of Tower, whose appointment shall be also subject to the terms and conditions of this Agreement, including this Section 2.6.1.</w:t>
      </w:r>
    </w:p>
    <w:p>
      <w:pPr>
        <w:spacing w:after="0" w:line="57" w:lineRule="exact"/>
        <w:rPr>
          <w:sz w:val="20"/>
          <w:szCs w:val="20"/>
          <w:color w:val="auto"/>
        </w:rPr>
      </w:pPr>
    </w:p>
    <w:p>
      <w:pPr>
        <w:jc w:val="both"/>
        <w:ind w:right="60" w:firstLine="450"/>
        <w:spacing w:after="0" w:line="276" w:lineRule="auto"/>
        <w:rPr>
          <w:sz w:val="20"/>
          <w:szCs w:val="20"/>
          <w:color w:val="auto"/>
        </w:rPr>
      </w:pPr>
      <w:r>
        <w:rPr>
          <w:rFonts w:ascii="Arial" w:cs="Arial" w:eastAsia="Arial" w:hAnsi="Arial"/>
          <w:sz w:val="17"/>
          <w:szCs w:val="17"/>
          <w:color w:val="auto"/>
        </w:rPr>
        <w:t>2.6.2. an Acquiring Person shall not have any rights under this Agreement (or enjoy any benefit of the undertakings of the Lead Investors hereunder) if a majority (in number and not shareholdings) of the Eligible Lead Investors shall, by a single written notice to the Acquiring Person, signed by such majority of the Lead Investors, object to the identity thereof but only on the following grounds: that the Acquiring Person is a competitor of Tower or an employee of, or consultant to, Tower or to a competitor of Tower or is a person organized under the laws of a state that either (a) is at war with the State of Israel or (b) has been declared by the Israel Minister of Defence as a state “hostile” to Israel.</w:t>
      </w:r>
    </w:p>
    <w:p>
      <w:pPr>
        <w:spacing w:after="0" w:line="6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Lead Investors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Each of the Lead Investors hereby represents and warrants to the Bank that:</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3.1. it is duly incorporated and validly existing under the laws of its jurisdiction of incorporation;</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3.2. its signature on this Agreement and the performance by it of its obligations pursuant to this Agreement do not in any way contradict any rights of third parties, any contracts or agreements to which it is a party, its charter documents or any applicable law;</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3.3. the execution of this Agreement and performance by it of its obligations under this Agreement are within its power and authority and have been duly and validly authorised by all necessary corporate action; and</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3.4. this Agreement has been duly and validly executed by it and constitutes its valid, legal and binding obligations, enforceable against it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- 5 -</w:t>
      </w:r>
    </w:p>
    <w:p>
      <w:pPr>
        <w:spacing w:after="0" w:line="11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shall be entitled to sue any of the Lead Investors in any jurisdiction in which such Lead Investor has an office or holds assets.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any Subsidiary of the Lead Investors or the Acquiring Person holding Shares, the successors and permitted assigns of the parties hereto. This Agreement may not be assigned by any party without the prior written consent of the other party hereto, provided that the Bank may assign this Agreement, in whole or in part, to any Affiliate of the Bank.</w:t>
      </w:r>
    </w:p>
    <w:p>
      <w:pPr>
        <w:spacing w:after="0" w:line="79"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Entire Agreement; Amendment and Waiver</w:t>
      </w:r>
      <w:r>
        <w:rPr>
          <w:rFonts w:ascii="Arial" w:cs="Arial" w:eastAsia="Arial" w:hAnsi="Arial"/>
          <w:sz w:val="17"/>
          <w:szCs w:val="17"/>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57"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5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8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62"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- 6 -</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and, for the avoidance of doubt, any rights that may have been previously enjoyed by the Acquiring Person and the Acquiring Person’s nominee, shall not have any further force or effect and shall terminate upon the January 18, 2013 or such later date to which the CSA shall have been extended, provided that nothing in this Section 4.9 shall derogate from the last sentence of Section 2.2 above.</w:t>
      </w:r>
    </w:p>
    <w:p>
      <w:pPr>
        <w:spacing w:after="0" w:line="57" w:lineRule="exact"/>
        <w:rPr>
          <w:sz w:val="20"/>
          <w:szCs w:val="20"/>
          <w:color w:val="auto"/>
        </w:rPr>
      </w:pPr>
    </w:p>
    <w:p>
      <w:pPr>
        <w:ind w:left="1200" w:right="40" w:hanging="512"/>
        <w:spacing w:after="0" w:line="284" w:lineRule="auto"/>
        <w:rPr>
          <w:sz w:val="20"/>
          <w:szCs w:val="20"/>
          <w:color w:val="auto"/>
        </w:rPr>
      </w:pPr>
      <w:r>
        <w:rPr>
          <w:rFonts w:ascii="Arial" w:cs="Arial" w:eastAsia="Arial" w:hAnsi="Arial"/>
          <w:sz w:val="16"/>
          <w:szCs w:val="16"/>
          <w:color w:val="auto"/>
        </w:rPr>
        <w:t>4.9.1. In the event the CSA terminates prior to January 18, 2013, each of the Lead Investors will remain obligated to the Acquiring Person and the Acquiring Person’s nominee under this Agreement, including the first sentence of Section 2.2 above, provided that, if such Lead Investor has a nominee to the Board of Directors of Tower, each such Lead Investor’s obligations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and (ii) such Lead Investor’s nominee or nominees to the Board of Directors of Tower and (b) in the case of (i) and (ii) above, any other resolution which is necessary in order to finalize each such election and against any resolution the effect of which is to prevent each such election. For the removal of doubt, the provisions of this Section 4.9.1 shall apply to voting in relation only to the matters set out in</w:t>
      </w:r>
    </w:p>
    <w:p>
      <w:pPr>
        <w:spacing w:after="0" w:line="1" w:lineRule="exact"/>
        <w:rPr>
          <w:sz w:val="20"/>
          <w:szCs w:val="20"/>
          <w:color w:val="auto"/>
        </w:rPr>
      </w:pPr>
    </w:p>
    <w:p>
      <w:pPr>
        <w:ind w:left="1200" w:right="160" w:hanging="3"/>
        <w:spacing w:after="0" w:line="261" w:lineRule="auto"/>
        <w:tabs>
          <w:tab w:leader="none" w:pos="14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 above and shall not restrict the rights of the Acquiring Person or the Lead Investors (and/or their respective Subsidiaries) to vote on other matters in such manner as they deem fit.</w:t>
      </w:r>
    </w:p>
    <w:p>
      <w:pPr>
        <w:spacing w:after="0" w:line="89" w:lineRule="exact"/>
        <w:rPr>
          <w:sz w:val="20"/>
          <w:szCs w:val="20"/>
          <w:color w:val="auto"/>
        </w:rPr>
      </w:pPr>
    </w:p>
    <w:p>
      <w:pPr>
        <w:ind w:left="1200" w:hanging="512"/>
        <w:spacing w:after="0" w:line="289" w:lineRule="auto"/>
        <w:rPr>
          <w:sz w:val="20"/>
          <w:szCs w:val="20"/>
          <w:color w:val="auto"/>
        </w:rPr>
      </w:pPr>
      <w:r>
        <w:rPr>
          <w:rFonts w:ascii="Arial" w:cs="Arial" w:eastAsia="Arial" w:hAnsi="Arial"/>
          <w:sz w:val="16"/>
          <w:szCs w:val="16"/>
          <w:color w:val="auto"/>
        </w:rPr>
        <w:t>4.9.2. For the avoidance of doubt (a) if any such Lead Investor shall not have a nominee to the Board of Directors of Tower, such Lead Investor shall nonetheless remain obligated to the Acquiring Person and the Acquiring Person’s nominee under this Agreement, including the first sentence of Section 2.2 above; (b) if Section 4.9.1 above is applicable and two or more Lead Investors have agreed to vote for one another’s nominees, the vote by the Acquiring Person and, if applicable, its Subsidiaries, for all such nominees of such Lead Investors shall be deemed a vote for “(and only for)” the nominee of each such Lead Investor for the purposes of Section 4.9.1 above; and (c) nothing in this Agreement shall be deemed to constitute an undertaking by any of the Lead Investors to the Bank or to the Acquiring Person not to dispose of any Shares (without derogating from the provisions of the Facility Agreement, pursuant to which certain disposals of Shares by the Lead Investors would constitute an Event of Default (as defined in the Facility Agreement) of Tower or from the provisions of the CSA, pursuant to which certain disposals may not be permitted or may be subject to certain rights of the other Lead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left="5560"/>
        <w:spacing w:after="0"/>
        <w:rPr>
          <w:sz w:val="20"/>
          <w:szCs w:val="20"/>
          <w:color w:val="auto"/>
        </w:rPr>
      </w:pPr>
      <w:r>
        <w:rPr>
          <w:rFonts w:ascii="Arial" w:cs="Arial" w:eastAsia="Arial" w:hAnsi="Arial"/>
          <w:sz w:val="18"/>
          <w:szCs w:val="18"/>
          <w:color w:val="auto"/>
        </w:rPr>
        <w:t>- 7 -</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BANK LEUMI LE–ISRAEL B.M.</w:t>
            </w:r>
          </w:p>
        </w:tc>
        <w:tc>
          <w:tcPr>
            <w:tcW w:w="5840" w:type="dxa"/>
            <w:vAlign w:val="bottom"/>
            <w:gridSpan w:val="3"/>
          </w:tcPr>
          <w:p>
            <w:pPr>
              <w:ind w:left="1420"/>
              <w:spacing w:after="0"/>
              <w:rPr>
                <w:sz w:val="20"/>
                <w:szCs w:val="20"/>
                <w:color w:val="auto"/>
              </w:rPr>
            </w:pPr>
            <w:r>
              <w:rPr>
                <w:rFonts w:ascii="Arial" w:cs="Arial" w:eastAsia="Arial" w:hAnsi="Arial"/>
                <w:sz w:val="18"/>
                <w:szCs w:val="18"/>
                <w:b w:val="1"/>
                <w:bCs w:val="1"/>
                <w:color w:val="auto"/>
              </w:rPr>
              <w:t>THE ISRAEL CORPORATION LTD.</w:t>
            </w:r>
          </w:p>
        </w:tc>
        <w:tc>
          <w:tcPr>
            <w:tcW w:w="134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Meir Marom</w:t>
            </w:r>
          </w:p>
        </w:tc>
        <w:tc>
          <w:tcPr>
            <w:tcW w:w="1980" w:type="dxa"/>
            <w:vAlign w:val="bottom"/>
          </w:tcPr>
          <w:p>
            <w:pPr>
              <w:ind w:left="1420"/>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 Yossi Rosen</w:t>
            </w:r>
          </w:p>
        </w:tc>
        <w:tc>
          <w:tcPr>
            <w:tcW w:w="1340" w:type="dxa"/>
            <w:vAlign w:val="bottom"/>
          </w:tcPr>
          <w:p>
            <w:pPr>
              <w:spacing w:after="0"/>
              <w:rPr>
                <w:sz w:val="24"/>
                <w:szCs w:val="24"/>
                <w:color w:val="auto"/>
              </w:rPr>
            </w:pP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Meir Marom</w:t>
            </w:r>
          </w:p>
        </w:tc>
        <w:tc>
          <w:tcPr>
            <w:tcW w:w="1980" w:type="dxa"/>
            <w:vAlign w:val="bottom"/>
          </w:tcPr>
          <w:p>
            <w:pPr>
              <w:ind w:left="142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8"/>
                <w:szCs w:val="18"/>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Yossi Rosen</w:t>
            </w:r>
          </w:p>
        </w:tc>
        <w:tc>
          <w:tcPr>
            <w:tcW w:w="13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Sector Manager</w:t>
            </w:r>
          </w:p>
        </w:tc>
        <w:tc>
          <w:tcPr>
            <w:tcW w:w="1980" w:type="dxa"/>
            <w:vAlign w:val="bottom"/>
          </w:tcPr>
          <w:p>
            <w:pPr>
              <w:ind w:left="1420"/>
              <w:spacing w:after="0"/>
              <w:rPr>
                <w:sz w:val="20"/>
                <w:szCs w:val="20"/>
                <w:color w:val="auto"/>
              </w:rPr>
            </w:pPr>
            <w:r>
              <w:rPr>
                <w:rFonts w:ascii="Arial" w:cs="Arial" w:eastAsia="Arial" w:hAnsi="Arial"/>
                <w:sz w:val="18"/>
                <w:szCs w:val="18"/>
                <w:color w:val="auto"/>
              </w:rPr>
              <w:t>Title:</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President and CEO</w:t>
            </w:r>
          </w:p>
        </w:tc>
        <w:tc>
          <w:tcPr>
            <w:tcW w:w="134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Shmulik Arbel</w:t>
            </w:r>
          </w:p>
        </w:tc>
        <w:tc>
          <w:tcPr>
            <w:tcW w:w="1980" w:type="dxa"/>
            <w:vAlign w:val="bottom"/>
          </w:tcPr>
          <w:p>
            <w:pPr>
              <w:ind w:left="1420"/>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 Avisar Paz</w:t>
            </w:r>
          </w:p>
        </w:tc>
        <w:tc>
          <w:tcPr>
            <w:tcW w:w="1340" w:type="dxa"/>
            <w:vAlign w:val="bottom"/>
          </w:tcPr>
          <w:p>
            <w:pPr>
              <w:spacing w:after="0"/>
              <w:rPr>
                <w:sz w:val="24"/>
                <w:szCs w:val="24"/>
                <w:color w:val="auto"/>
              </w:rPr>
            </w:pP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Shmulik Arbel</w:t>
            </w:r>
          </w:p>
        </w:tc>
        <w:tc>
          <w:tcPr>
            <w:tcW w:w="1980" w:type="dxa"/>
            <w:vAlign w:val="bottom"/>
          </w:tcPr>
          <w:p>
            <w:pPr>
              <w:ind w:left="142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8"/>
                <w:szCs w:val="18"/>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Avisar Paz</w:t>
            </w:r>
          </w:p>
        </w:tc>
        <w:tc>
          <w:tcPr>
            <w:tcW w:w="13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SRM</w:t>
            </w:r>
          </w:p>
        </w:tc>
        <w:tc>
          <w:tcPr>
            <w:tcW w:w="1980" w:type="dxa"/>
            <w:vAlign w:val="bottom"/>
          </w:tcPr>
          <w:p>
            <w:pPr>
              <w:ind w:left="1420"/>
              <w:spacing w:after="0"/>
              <w:rPr>
                <w:sz w:val="20"/>
                <w:szCs w:val="20"/>
                <w:color w:val="auto"/>
              </w:rPr>
            </w:pPr>
            <w:r>
              <w:rPr>
                <w:rFonts w:ascii="Arial" w:cs="Arial" w:eastAsia="Arial" w:hAnsi="Arial"/>
                <w:sz w:val="18"/>
                <w:szCs w:val="18"/>
                <w:color w:val="auto"/>
              </w:rPr>
              <w:t>Title:</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CFO</w:t>
            </w:r>
          </w:p>
        </w:tc>
        <w:tc>
          <w:tcPr>
            <w:tcW w:w="1340" w:type="dxa"/>
            <w:vAlign w:val="bottom"/>
          </w:tcPr>
          <w:p>
            <w:pPr>
              <w:spacing w:after="0"/>
              <w:rPr>
                <w:sz w:val="20"/>
                <w:szCs w:val="20"/>
                <w:color w:val="auto"/>
              </w:rPr>
            </w:pPr>
          </w:p>
        </w:tc>
      </w:tr>
      <w:tr>
        <w:trPr>
          <w:trHeight w:val="224"/>
        </w:trPr>
        <w:tc>
          <w:tcPr>
            <w:tcW w:w="6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(Senior Relationship Manager)</w:t>
            </w: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SANDISK CORPORATION</w:t>
            </w:r>
          </w:p>
        </w:tc>
        <w:tc>
          <w:tcPr>
            <w:tcW w:w="5840" w:type="dxa"/>
            <w:vAlign w:val="bottom"/>
            <w:gridSpan w:val="3"/>
          </w:tcPr>
          <w:p>
            <w:pPr>
              <w:ind w:left="1420"/>
              <w:spacing w:after="0"/>
              <w:rPr>
                <w:sz w:val="20"/>
                <w:szCs w:val="20"/>
                <w:color w:val="auto"/>
              </w:rPr>
            </w:pPr>
            <w:r>
              <w:rPr>
                <w:rFonts w:ascii="Arial" w:cs="Arial" w:eastAsia="Arial" w:hAnsi="Arial"/>
                <w:sz w:val="18"/>
                <w:szCs w:val="18"/>
                <w:b w:val="1"/>
                <w:bCs w:val="1"/>
                <w:color w:val="auto"/>
              </w:rPr>
              <w:t>ALLIANCE SEMICONDUCTOR CORPORATION</w:t>
            </w:r>
          </w:p>
        </w:tc>
        <w:tc>
          <w:tcPr>
            <w:tcW w:w="1340" w:type="dxa"/>
            <w:vAlign w:val="bottom"/>
          </w:tcPr>
          <w:p>
            <w:pPr>
              <w:spacing w:after="0"/>
              <w:rPr>
                <w:sz w:val="24"/>
                <w:szCs w:val="24"/>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Eli Harrari</w:t>
            </w:r>
          </w:p>
        </w:tc>
        <w:tc>
          <w:tcPr>
            <w:tcW w:w="1980" w:type="dxa"/>
            <w:vAlign w:val="bottom"/>
          </w:tcPr>
          <w:p>
            <w:pPr>
              <w:ind w:left="1420"/>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 Mel Keating</w:t>
            </w:r>
          </w:p>
        </w:tc>
        <w:tc>
          <w:tcPr>
            <w:tcW w:w="1340" w:type="dxa"/>
            <w:vAlign w:val="bottom"/>
          </w:tcPr>
          <w:p>
            <w:pPr>
              <w:spacing w:after="0"/>
              <w:rPr>
                <w:sz w:val="24"/>
                <w:szCs w:val="24"/>
                <w:color w:val="auto"/>
              </w:rPr>
            </w:pP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 Harrari</w:t>
            </w:r>
          </w:p>
        </w:tc>
        <w:tc>
          <w:tcPr>
            <w:tcW w:w="1980" w:type="dxa"/>
            <w:vAlign w:val="bottom"/>
          </w:tcPr>
          <w:p>
            <w:pPr>
              <w:ind w:left="142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8"/>
                <w:szCs w:val="18"/>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Mel Keating</w:t>
            </w:r>
          </w:p>
        </w:tc>
        <w:tc>
          <w:tcPr>
            <w:tcW w:w="13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CEO</w:t>
            </w:r>
          </w:p>
        </w:tc>
        <w:tc>
          <w:tcPr>
            <w:tcW w:w="1980" w:type="dxa"/>
            <w:vAlign w:val="bottom"/>
          </w:tcPr>
          <w:p>
            <w:pPr>
              <w:ind w:left="1420"/>
              <w:spacing w:after="0"/>
              <w:rPr>
                <w:sz w:val="20"/>
                <w:szCs w:val="20"/>
                <w:color w:val="auto"/>
              </w:rPr>
            </w:pPr>
            <w:r>
              <w:rPr>
                <w:rFonts w:ascii="Arial" w:cs="Arial" w:eastAsia="Arial" w:hAnsi="Arial"/>
                <w:sz w:val="18"/>
                <w:szCs w:val="18"/>
                <w:color w:val="auto"/>
              </w:rPr>
              <w:t>Title:</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President and CEO</w:t>
            </w:r>
          </w:p>
        </w:tc>
        <w:tc>
          <w:tcPr>
            <w:tcW w:w="1340" w:type="dxa"/>
            <w:vAlign w:val="bottom"/>
          </w:tcPr>
          <w:p>
            <w:pPr>
              <w:spacing w:after="0"/>
              <w:rPr>
                <w:sz w:val="20"/>
                <w:szCs w:val="20"/>
                <w:color w:val="auto"/>
              </w:rPr>
            </w:pP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MACRONIX INTERNATIONAL CO. LTD.</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Miin Chyou Wu</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Miin Chyou Wu</w:t>
            </w: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Chairman</w:t>
            </w: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32"/>
        </w:trPr>
        <w:tc>
          <w:tcPr>
            <w:tcW w:w="62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6" w:name="page17"/>
    <w:bookmarkEnd w:id="16"/>
    <w:p>
      <w:pPr>
        <w:ind w:left="5560"/>
        <w:spacing w:after="0"/>
        <w:rPr>
          <w:sz w:val="20"/>
          <w:szCs w:val="20"/>
          <w:color w:val="auto"/>
        </w:rPr>
      </w:pPr>
      <w:r>
        <w:rPr>
          <w:rFonts w:ascii="Arial" w:cs="Arial" w:eastAsia="Arial" w:hAnsi="Arial"/>
          <w:sz w:val="18"/>
          <w:szCs w:val="18"/>
          <w:color w:val="auto"/>
        </w:rPr>
        <w:t>- 8 -</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Schedule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Lead Investors</w:t>
      </w:r>
    </w:p>
    <w:p>
      <w:pPr>
        <w:spacing w:after="0" w:line="117" w:lineRule="exact"/>
        <w:rPr>
          <w:sz w:val="20"/>
          <w:szCs w:val="20"/>
          <w:color w:val="auto"/>
        </w:rPr>
      </w:pPr>
    </w:p>
    <w:p>
      <w:pPr>
        <w:ind w:right="4259"/>
        <w:spacing w:after="0" w:line="422" w:lineRule="auto"/>
        <w:rPr>
          <w:sz w:val="20"/>
          <w:szCs w:val="20"/>
          <w:color w:val="auto"/>
        </w:rPr>
      </w:pPr>
      <w:r>
        <w:rPr>
          <w:rFonts w:ascii="Arial" w:cs="Arial" w:eastAsia="Arial" w:hAnsi="Arial"/>
          <w:sz w:val="16"/>
          <w:szCs w:val="16"/>
          <w:color w:val="auto"/>
        </w:rPr>
        <w:t>The Israel Corporation Ltd., a company incorporated under the laws of Israel Sandisk Corporation, a corporation incorporated under the laws of Delaware, USA</w:t>
      </w:r>
    </w:p>
    <w:p>
      <w:pPr>
        <w:spacing w:after="0" w:line="1" w:lineRule="exact"/>
        <w:rPr>
          <w:sz w:val="20"/>
          <w:szCs w:val="20"/>
          <w:color w:val="auto"/>
        </w:rPr>
      </w:pPr>
    </w:p>
    <w:p>
      <w:pPr>
        <w:ind w:right="3079"/>
        <w:spacing w:after="0" w:line="440" w:lineRule="auto"/>
        <w:rPr>
          <w:sz w:val="20"/>
          <w:szCs w:val="20"/>
          <w:color w:val="auto"/>
        </w:rPr>
      </w:pPr>
      <w:r>
        <w:rPr>
          <w:rFonts w:ascii="Arial" w:cs="Arial" w:eastAsia="Arial" w:hAnsi="Arial"/>
          <w:sz w:val="17"/>
          <w:szCs w:val="17"/>
          <w:color w:val="auto"/>
        </w:rPr>
        <w:t>Alliance Semiconductor Corporation, a corporation incorporated under the laws of Delaware, USA Macronix International Co. Ltd., a company incorporated under the laws of Taiwan</w:t>
      </w:r>
    </w:p>
    <w:p>
      <w:pPr>
        <w:sectPr>
          <w:pgSz w:w="11900" w:h="16838" w:orient="portrait"/>
          <w:cols w:equalWidth="0" w:num="1">
            <w:col w:w="10219"/>
          </w:cols>
          <w:pgMar w:left="240" w:top="935"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17" w:lineRule="exact"/>
        <w:rPr>
          <w:sz w:val="20"/>
          <w:szCs w:val="20"/>
          <w:color w:val="auto"/>
        </w:rPr>
      </w:pPr>
    </w:p>
    <w:p>
      <w:pPr>
        <w:ind w:right="20" w:firstLine="222"/>
        <w:spacing w:after="0" w:line="266"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September 28, 2006 by and between </w:t>
      </w:r>
      <w:r>
        <w:rPr>
          <w:rFonts w:ascii="Arial" w:cs="Arial" w:eastAsia="Arial" w:hAnsi="Arial"/>
          <w:sz w:val="18"/>
          <w:szCs w:val="18"/>
          <w:b w:val="1"/>
          <w:bCs w:val="1"/>
          <w:color w:val="auto"/>
        </w:rPr>
        <w:t>each of the parties listed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Schedule hereto, </w:t>
      </w:r>
      <w:r>
        <w:rPr>
          <w:rFonts w:ascii="Arial" w:cs="Arial" w:eastAsia="Arial" w:hAnsi="Arial"/>
          <w:sz w:val="18"/>
          <w:szCs w:val="18"/>
          <w:color w:val="auto"/>
        </w:rPr>
        <w:t>severally, of the one part ( the “</w:t>
      </w:r>
      <w:r>
        <w:rPr>
          <w:rFonts w:ascii="Arial" w:cs="Arial" w:eastAsia="Arial" w:hAnsi="Arial"/>
          <w:sz w:val="18"/>
          <w:szCs w:val="18"/>
          <w:b w:val="1"/>
          <w:bCs w:val="1"/>
          <w:color w:val="auto"/>
        </w:rPr>
        <w:t>Lead Investors</w:t>
      </w:r>
      <w:r>
        <w:rPr>
          <w:rFonts w:ascii="Arial" w:cs="Arial" w:eastAsia="Arial" w:hAnsi="Arial"/>
          <w:sz w:val="18"/>
          <w:szCs w:val="18"/>
          <w:color w:val="auto"/>
        </w:rPr>
        <w:t>”), and Bank Hapoalim B.M., a banking corporation organized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Israel (the “</w:t>
      </w:r>
      <w:r>
        <w:rPr>
          <w:rFonts w:ascii="Arial" w:cs="Arial" w:eastAsia="Arial" w:hAnsi="Arial"/>
          <w:sz w:val="18"/>
          <w:szCs w:val="18"/>
          <w:b w:val="1"/>
          <w:bCs w:val="1"/>
          <w:color w:val="auto"/>
        </w:rPr>
        <w:t>Bank</w:t>
      </w:r>
      <w:r>
        <w:rPr>
          <w:rFonts w:ascii="Arial" w:cs="Arial" w:eastAsia="Arial" w:hAnsi="Arial"/>
          <w:sz w:val="18"/>
          <w:szCs w:val="18"/>
          <w:color w:val="auto"/>
        </w:rPr>
        <w:t>”) of the other part.</w:t>
      </w:r>
    </w:p>
    <w:p>
      <w:pPr>
        <w:spacing w:after="0" w:line="68" w:lineRule="exact"/>
        <w:rPr>
          <w:sz w:val="20"/>
          <w:szCs w:val="20"/>
          <w:color w:val="auto"/>
        </w:rPr>
      </w:pPr>
    </w:p>
    <w:p>
      <w:pPr>
        <w:ind w:right="120" w:firstLine="222"/>
        <w:spacing w:after="0" w:line="266" w:lineRule="auto"/>
        <w:rPr>
          <w:sz w:val="20"/>
          <w:szCs w:val="20"/>
          <w:color w:val="auto"/>
        </w:rPr>
      </w:pPr>
      <w:r>
        <w:rPr>
          <w:rFonts w:ascii="Arial" w:cs="Arial" w:eastAsia="Arial" w:hAnsi="Arial"/>
          <w:sz w:val="18"/>
          <w:szCs w:val="18"/>
          <w:color w:val="auto"/>
        </w:rPr>
        <w:t>WHEREAS, the Lead Investors are the leading investors in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an independent manufacturer of semiconductor wafers whose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are traded on the Nasdaq Stock Market under the symbol TSEM and whose Ordinary Shares and certain other securities are traded on the Tel-Aviv Stock Exchange under the symbol TSEM;</w:t>
      </w:r>
    </w:p>
    <w:p>
      <w:pPr>
        <w:spacing w:after="0" w:line="68" w:lineRule="exact"/>
        <w:rPr>
          <w:sz w:val="20"/>
          <w:szCs w:val="20"/>
          <w:color w:val="auto"/>
        </w:rPr>
      </w:pPr>
    </w:p>
    <w:p>
      <w:pPr>
        <w:ind w:right="100" w:firstLine="222"/>
        <w:spacing w:after="0" w:line="282" w:lineRule="auto"/>
        <w:rPr>
          <w:sz w:val="20"/>
          <w:szCs w:val="20"/>
          <w:color w:val="auto"/>
        </w:rPr>
      </w:pPr>
      <w:r>
        <w:rPr>
          <w:rFonts w:ascii="Arial" w:cs="Arial" w:eastAsia="Arial" w:hAnsi="Arial"/>
          <w:sz w:val="18"/>
          <w:szCs w:val="18"/>
          <w:color w:val="auto"/>
        </w:rPr>
        <w:t>WHEREAS, the Bank and Bank Leumi Le–Israel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and Tower are parties to a Facility Agreement dated January 18, 2001, as amended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w:t>
      </w:r>
    </w:p>
    <w:p>
      <w:pPr>
        <w:spacing w:after="0" w:line="54" w:lineRule="exact"/>
        <w:rPr>
          <w:sz w:val="20"/>
          <w:szCs w:val="20"/>
          <w:color w:val="auto"/>
        </w:rPr>
      </w:pPr>
    </w:p>
    <w:p>
      <w:pPr>
        <w:ind w:right="240" w:firstLine="222"/>
        <w:spacing w:after="0" w:line="266" w:lineRule="auto"/>
        <w:rPr>
          <w:sz w:val="20"/>
          <w:szCs w:val="20"/>
          <w:color w:val="auto"/>
        </w:rPr>
      </w:pPr>
      <w:r>
        <w:rPr>
          <w:rFonts w:ascii="Arial" w:cs="Arial" w:eastAsia="Arial" w:hAnsi="Arial"/>
          <w:sz w:val="18"/>
          <w:szCs w:val="18"/>
          <w:color w:val="auto"/>
        </w:rPr>
        <w:t>WHEREAS, at the request of Tower, the Banks and Tower have entered into an Amending Agreement dated August 24, 2006 (the “</w:t>
      </w:r>
      <w:r>
        <w:rPr>
          <w:rFonts w:ascii="Arial" w:cs="Arial" w:eastAsia="Arial" w:hAnsi="Arial"/>
          <w:sz w:val="18"/>
          <w:szCs w:val="18"/>
          <w:b w:val="1"/>
          <w:bCs w:val="1"/>
          <w:color w:val="auto"/>
        </w:rPr>
        <w:t>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one of the conditions to the effectiveness of which includes,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entering into by each of the Banks with the Lead Investors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7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6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 In this Agreement:</w:t>
      </w:r>
    </w:p>
    <w:p>
      <w:pPr>
        <w:spacing w:after="0" w:line="113" w:lineRule="exact"/>
        <w:rPr>
          <w:sz w:val="20"/>
          <w:szCs w:val="20"/>
          <w:color w:val="auto"/>
        </w:rPr>
      </w:pPr>
    </w:p>
    <w:p>
      <w:pPr>
        <w:ind w:left="1080" w:right="400" w:hanging="512"/>
        <w:spacing w:after="0" w:line="31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with respect to any person, any company which controls, is controlled by, or under common control with, such person; </w:t>
      </w:r>
      <w:r>
        <w:rPr>
          <w:rFonts w:ascii="Arial" w:cs="Arial" w:eastAsia="Arial" w:hAnsi="Arial"/>
          <w:sz w:val="17"/>
          <w:szCs w:val="17"/>
          <w:b w:val="1"/>
          <w:bCs w:val="1"/>
          <w:color w:val="auto"/>
        </w:rPr>
        <w:t xml:space="preserve">“control” </w:t>
      </w:r>
      <w:r>
        <w:rPr>
          <w:rFonts w:ascii="Arial" w:cs="Arial" w:eastAsia="Arial" w:hAnsi="Arial"/>
          <w:sz w:val="17"/>
          <w:szCs w:val="17"/>
          <w:color w:val="auto"/>
        </w:rPr>
        <w:t>shall in this Section 1.1.1 bear the meaning assigned to such term in Section 1 of the Securities Law, 1968;</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and </w:t>
      </w:r>
      <w:r>
        <w:rPr>
          <w:rFonts w:ascii="Arial" w:cs="Arial" w:eastAsia="Arial" w:hAnsi="Arial"/>
          <w:sz w:val="18"/>
          <w:szCs w:val="18"/>
          <w:b w:val="1"/>
          <w:bCs w:val="1"/>
          <w:color w:val="auto"/>
        </w:rPr>
        <w:t>“includes”</w:t>
      </w:r>
      <w:r>
        <w:rPr>
          <w:rFonts w:ascii="Arial" w:cs="Arial" w:eastAsia="Arial" w:hAnsi="Arial"/>
          <w:sz w:val="18"/>
          <w:szCs w:val="18"/>
          <w:color w:val="auto"/>
        </w:rPr>
        <w:t xml:space="preserve"> means including, without limiting the generality of any description preceding such terms;</w:t>
      </w:r>
    </w:p>
    <w:p>
      <w:pPr>
        <w:spacing w:after="0" w:line="131" w:lineRule="exact"/>
        <w:rPr>
          <w:sz w:val="20"/>
          <w:szCs w:val="20"/>
          <w:color w:val="auto"/>
        </w:rPr>
      </w:pPr>
    </w:p>
    <w:p>
      <w:pPr>
        <w:ind w:left="1080" w:right="740" w:hanging="512"/>
        <w:spacing w:after="0" w:line="313" w:lineRule="auto"/>
        <w:rPr>
          <w:sz w:val="20"/>
          <w:szCs w:val="20"/>
          <w:color w:val="auto"/>
        </w:rPr>
      </w:pPr>
      <w:r>
        <w:rPr>
          <w:rFonts w:ascii="Arial" w:cs="Arial" w:eastAsia="Arial" w:hAnsi="Arial"/>
          <w:sz w:val="17"/>
          <w:szCs w:val="17"/>
          <w:color w:val="auto"/>
        </w:rPr>
        <w:t xml:space="preserve">1.1.3. a </w:t>
      </w:r>
      <w:r>
        <w:rPr>
          <w:rFonts w:ascii="Arial" w:cs="Arial" w:eastAsia="Arial" w:hAnsi="Arial"/>
          <w:sz w:val="17"/>
          <w:szCs w:val="17"/>
          <w:b w:val="1"/>
          <w:bCs w:val="1"/>
          <w:color w:val="auto"/>
        </w:rPr>
        <w:t>“person”</w:t>
      </w:r>
      <w:r>
        <w:rPr>
          <w:rFonts w:ascii="Arial" w:cs="Arial" w:eastAsia="Arial" w:hAnsi="Arial"/>
          <w:sz w:val="17"/>
          <w:szCs w:val="17"/>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the ordinary shares of Tower or any other shares of Tower having voting rights;</w:t>
      </w:r>
    </w:p>
    <w:p>
      <w:pPr>
        <w:spacing w:after="0" w:line="131" w:lineRule="exact"/>
        <w:rPr>
          <w:sz w:val="20"/>
          <w:szCs w:val="20"/>
          <w:color w:val="auto"/>
        </w:rPr>
      </w:pPr>
    </w:p>
    <w:p>
      <w:pPr>
        <w:ind w:left="1080" w:right="320" w:hanging="512"/>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of a person means any company in which such person holds directly at least 51% (fifty-one percent) of the total issued share capital and other means of control (including voting rights and rights to appoint directors).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 The preamble to this Agreement constitutes an integral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color w:val="auto"/>
        </w:rPr>
        <w:t>- 2 -</w:t>
      </w:r>
    </w:p>
    <w:p>
      <w:pPr>
        <w:spacing w:after="0" w:line="22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of Lead Investors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2.1. In the event that a person shall acquire and hold Shares representing 5% (five percent) or more of the then outstanding Shares of Tower from the Bank and/or its Affiliates and the Bank notifies the Lead Investors that such acquiring person shall have the benefit of the undertakings of the Lead Investors contained in this Agreement (the “</w:t>
      </w:r>
      <w:r>
        <w:rPr>
          <w:rFonts w:ascii="Arial" w:cs="Arial" w:eastAsia="Arial" w:hAnsi="Arial"/>
          <w:sz w:val="16"/>
          <w:szCs w:val="16"/>
          <w:b w:val="1"/>
          <w:bCs w:val="1"/>
          <w:color w:val="auto"/>
        </w:rPr>
        <w:t>Acquiring Person</w:t>
      </w:r>
      <w:r>
        <w:rPr>
          <w:rFonts w:ascii="Arial" w:cs="Arial" w:eastAsia="Arial" w:hAnsi="Arial"/>
          <w:sz w:val="16"/>
          <w:szCs w:val="16"/>
          <w:color w:val="auto"/>
        </w:rPr>
        <w:t>”), then each of the Lead Investors shall as soon as practicable, take such action to cause a general meeting of shareholders to be assembled and to vote (and/or, if applicable, cause any and all of its Subsidiaries holding Shares to vote) all of the Shares held by such Lead Investor and its Subsidiaries for the nominee of such Acquiring Person to be appointed as a director of Tower; provided, however, that the fulfilment of such undertakings shall apply only in respect of one such Acquiring Person. For the avoidance of doubt, without derogating from the terms and conditions of this Agreement, the Bank need not designate the first acquirer of such 5% (five percent) or more holding from the Bank and/or its Affiliates as the Acquiring Person and may, in its discretion, so designate a subsequent acquirer from the Bank and/or its Affiliates of such 5% (five percent) or more holding as the Acquiring Person or may, in its discretion, not designate any acquirer as the Acquiring Person. For the further removal of doubt, the Acquiring Person may not assign any rights or benefits of the undertakings of the Lead Investors contained in this Agreement that may be owed or owing to the Acquiring Person, except to a Subsidiary of such Acquiring Person. Only (1) Shares received by the Bank and/or its Affiliates upon the conversion of a capital note (or any other capital note or capital notes issued in substitution therefor) issued pursuant to clause 5.4 of the Amending Agreement (the “</w:t>
      </w:r>
      <w:r>
        <w:rPr>
          <w:rFonts w:ascii="Arial" w:cs="Arial" w:eastAsia="Arial" w:hAnsi="Arial"/>
          <w:sz w:val="16"/>
          <w:szCs w:val="16"/>
          <w:b w:val="1"/>
          <w:b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(2) Shares received upon the conversion of Capital Notes acquired from the Bank and/or its Affiliates shall be considered Shares acquired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Bank and/or its Affiliates for the purpose of the first sentence of this Section 2.1.</w:t>
      </w:r>
    </w:p>
    <w:p>
      <w:pPr>
        <w:spacing w:after="0" w:line="64"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2.2. Each of the Lead Investors agrees, separately but not jointly, to attend and vote (and/or, if applicable, cause any and all of its Subsidiaries holding Shares to vote) at general meetings of shareholders of Tower all of the Shares held by such Lead Investor and its Subsidiaries: (i) for any amendment to Tower’s articles of association (the “</w:t>
      </w:r>
      <w:r>
        <w:rPr>
          <w:rFonts w:ascii="Arial" w:cs="Arial" w:eastAsia="Arial" w:hAnsi="Arial"/>
          <w:sz w:val="16"/>
          <w:szCs w:val="16"/>
          <w:b w:val="1"/>
          <w:bCs w:val="1"/>
          <w:color w:val="auto"/>
        </w:rPr>
        <w:t>Articles</w:t>
      </w:r>
      <w:r>
        <w:rPr>
          <w:rFonts w:ascii="Arial" w:cs="Arial" w:eastAsia="Arial" w:hAnsi="Arial"/>
          <w:sz w:val="16"/>
          <w:szCs w:val="16"/>
          <w:color w:val="auto"/>
        </w:rPr>
        <w:t>”) that may be required in order that at all times the maximum number of directors in the Board of Directors of Tower as set forth in the Articles shall be more than the then current or proposed number of directors so as to permit the Acquiring Person’s nominee to serve as a director; (ii) for the election of the Acquiring Person’s nominee to the Board of Directors of Tower and for any other resolution which is necessary in order to finalize such election; and (iii) against any resolution the effect of which is to prevent such election. Subject to Sections 4.9.1 and 4.9.2 below, the obligations of each of the Lead Investors towards the Acquiring Person and the Acquiring Person’s nominee under this Agreement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(ii) the nominees to the Board of Directors of Tower for which any of the Lead Investors shall be obligated to vote for pursuant to that certain Consolidated Shareholders Agreement by and among the Lead Investors, dated January 18, 2001, as amended and as may be amended from time to time (the “</w:t>
      </w:r>
      <w:r>
        <w:rPr>
          <w:rFonts w:ascii="Arial" w:cs="Arial" w:eastAsia="Arial" w:hAnsi="Arial"/>
          <w:sz w:val="16"/>
          <w:szCs w:val="16"/>
          <w:b w:val="1"/>
          <w:bCs w:val="1"/>
          <w:color w:val="auto"/>
        </w:rPr>
        <w:t>CSA</w:t>
      </w:r>
      <w:r>
        <w:rPr>
          <w:rFonts w:ascii="Arial" w:cs="Arial" w:eastAsia="Arial" w:hAnsi="Arial"/>
          <w:sz w:val="16"/>
          <w:szCs w:val="16"/>
          <w:color w:val="auto"/>
        </w:rPr>
        <w:t>”); and (iii) a representative of Israel Corporation Ltd. as Chairman of the Board of Directors of Tower if any of the Lead Investors shall be obligated to vote therefor pursuant to the CSA and (b) in the case of each of (a)(i), (ii) and (iii) above,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other resolution which is necessary in order to finalize each such election and against any resolution the effect of which is to prevent or impede each such election. For the removal of doubt, the provisions of this Section 2.2 shall apply to voting in relation only to the matters set out in (a) and (b) above and shall not restrict the rights of the Acquiring Person or the Lead Investors (and/or their respective Subsidiaries) to vote on other matters in such manner as they deem fit. For the avoidance of doubt, the Acquiring Person shall not be </w:t>
      </w:r>
      <w:r>
        <w:rPr>
          <w:rFonts w:ascii="Arial" w:cs="Arial" w:eastAsia="Arial" w:hAnsi="Arial"/>
          <w:sz w:val="16"/>
          <w:szCs w:val="16"/>
          <w:u w:val="single" w:color="auto"/>
          <w:color w:val="auto"/>
        </w:rPr>
        <w:t>required</w:t>
      </w:r>
      <w:r>
        <w:rPr>
          <w:rFonts w:ascii="Arial" w:cs="Arial" w:eastAsia="Arial" w:hAnsi="Arial"/>
          <w:sz w:val="16"/>
          <w:szCs w:val="16"/>
          <w:color w:val="auto"/>
        </w:rPr>
        <w:t xml:space="preserve"> to agree to vote as set out in the immediately preceding sentence (or, as applicable, in Section 4.9.1 below) and may at any time terminate such agreement (in which case, the Acquiring Person shall be relieved of any obligation so to vote) and, with respect to the Lead Investors, the sole consequence of an Acquiring Person’s failure to agree or termination of such agreement as aforesaid shall be that the Lead Investors will not be obligated to vote for the Acquiring Person’s nominee, including pursuant to Section 4.9 below.</w:t>
      </w:r>
    </w:p>
    <w:p>
      <w:pPr>
        <w:spacing w:after="0" w:line="5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2.3. Subject to Section 2.4 below, in the event that the Acquiring Person and its Subsidiaries hold together in the aggregate less than 5% (five percent) of the outstanding Shares, then the Acquiring Person shall not be entitled to designate any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64" w:lineRule="exact"/>
        <w:rPr>
          <w:sz w:val="20"/>
          <w:szCs w:val="20"/>
          <w:color w:val="auto"/>
        </w:rPr>
      </w:pPr>
    </w:p>
    <w:p>
      <w:pPr>
        <w:ind w:right="160" w:firstLine="225"/>
        <w:spacing w:after="0" w:line="289" w:lineRule="auto"/>
        <w:rPr>
          <w:sz w:val="20"/>
          <w:szCs w:val="20"/>
          <w:color w:val="auto"/>
        </w:rPr>
      </w:pPr>
      <w:r>
        <w:rPr>
          <w:rFonts w:ascii="Arial" w:cs="Arial" w:eastAsia="Arial" w:hAnsi="Arial"/>
          <w:sz w:val="16"/>
          <w:szCs w:val="16"/>
          <w:color w:val="auto"/>
        </w:rPr>
        <w:t>2.4. Notwithstanding Section 2.3, in the event that the Acquiring Person and its Subsidiaries hold together at any one time in the aggregate 6% (six percent) or more of the outstanding Shares, and, subsequent to such time, the Acquiring Person and its Subsidiaries hold together in the aggregate less than 5% (five percent) of the outstanding Shares solely as a result of additional Shares having become issued and outstanding (and not as a result of any sales of Shares by the Acquiring Person or its Subsidiaries) (such date, the “</w:t>
      </w:r>
      <w:r>
        <w:rPr>
          <w:rFonts w:ascii="Arial" w:cs="Arial" w:eastAsia="Arial" w:hAnsi="Arial"/>
          <w:sz w:val="16"/>
          <w:szCs w:val="16"/>
          <w:b w:val="1"/>
          <w:bCs w:val="1"/>
          <w:color w:val="auto"/>
        </w:rPr>
        <w:t>Dilution Date</w:t>
      </w:r>
      <w:r>
        <w:rPr>
          <w:rFonts w:ascii="Arial" w:cs="Arial" w:eastAsia="Arial" w:hAnsi="Arial"/>
          <w:sz w:val="16"/>
          <w:szCs w:val="16"/>
          <w:color w:val="auto"/>
        </w:rPr>
        <w:t>”), and within 90 (ninety) days of the Dilution Date, the Acquiring Person and its Subsidiaries shall not again become together the holders of 5% (five percent) or more of the outstanding Shares (such 90</w:t>
      </w:r>
      <w:r>
        <w:rPr>
          <w:rFonts w:ascii="Arial" w:cs="Arial" w:eastAsia="Arial" w:hAnsi="Arial"/>
          <w:sz w:val="13"/>
          <w:szCs w:val="13"/>
          <w:color w:val="auto"/>
        </w:rPr>
        <w:t>th</w:t>
      </w:r>
      <w:r>
        <w:rPr>
          <w:rFonts w:ascii="Arial" w:cs="Arial" w:eastAsia="Arial" w:hAnsi="Arial"/>
          <w:sz w:val="16"/>
          <w:szCs w:val="16"/>
          <w:color w:val="auto"/>
        </w:rPr>
        <w:t xml:space="preserve"> day, the “</w:t>
      </w:r>
      <w:r>
        <w:rPr>
          <w:rFonts w:ascii="Arial" w:cs="Arial" w:eastAsia="Arial" w:hAnsi="Arial"/>
          <w:sz w:val="16"/>
          <w:szCs w:val="16"/>
          <w:b w:val="1"/>
          <w:bCs w:val="1"/>
          <w:color w:val="auto"/>
        </w:rPr>
        <w:t>Loss of Right</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Acquiring Person shall not, after the Loss of Right Date, be entitled to designate a nominee and, if requested by any of the Lead Investors,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5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2.5. Each of the Lead Investors further agrees that in the event that the Acquiring Person decides to terminate or replace its director, then each shall vote (and/or, if applicable, cause any and all of its Subsidiaries holding Shares to vote) all of the Shares held by such Lead Investor and its Subsidiaries to cause the termination of office or, subject to the Acquiring Person having the right to nominate a person to serve as a director of Tower under this Agreement, the replacement of such director, in accordance with the decision of the Acquiring Person and cause, if required, a general meeting of shareholders of Tower to be held for such purpose. This Section 2.5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obligations of the Acquiring Person (and/or, if applicable, its Subsidiaries) to vote for nominees of the Lead Investors under Section 2.2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t>- 4 -</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 Notwithstanding the above,</w:t>
      </w:r>
    </w:p>
    <w:p>
      <w:pPr>
        <w:spacing w:after="0" w:line="117"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2.6.1. a majority (in number and not shareholdings) of the Lead Investors then having the right to have one of its nominees elected to the Board of Directors of Tower pursuant to the CSA (“</w:t>
      </w:r>
      <w:r>
        <w:rPr>
          <w:rFonts w:ascii="Arial" w:cs="Arial" w:eastAsia="Arial" w:hAnsi="Arial"/>
          <w:sz w:val="16"/>
          <w:szCs w:val="16"/>
          <w:b w:val="1"/>
          <w:bCs w:val="1"/>
          <w:color w:val="auto"/>
        </w:rPr>
        <w:t>Eligible Lead Investors</w:t>
      </w:r>
      <w:r>
        <w:rPr>
          <w:rFonts w:ascii="Arial" w:cs="Arial" w:eastAsia="Arial" w:hAnsi="Arial"/>
          <w:sz w:val="16"/>
          <w:szCs w:val="16"/>
          <w:color w:val="auto"/>
        </w:rPr>
        <w:t>”) shall be entitled, by a single written notice to the Acquiring Person, signed by such majority of the Lead Investors, to object to the appointment of any particular individual nominated by an Acquiring Person as a director of Tower on reasonable grounds (including, without limitation, that the nominee is a competitor of Tower, or is an employee of, or consultant to, Tower or to a competitor of Tower). For the avoidance of doubt, if any such objection on reasonable grounds is made, the Acquiring Person shall be entitled to nominate another individual to serve as a director of Tower, whose appointment shall be also subject to the terms and conditions of this Agreement, including this Section 2.6.1.</w:t>
      </w:r>
    </w:p>
    <w:p>
      <w:pPr>
        <w:spacing w:after="0" w:line="57" w:lineRule="exact"/>
        <w:rPr>
          <w:sz w:val="20"/>
          <w:szCs w:val="20"/>
          <w:color w:val="auto"/>
        </w:rPr>
      </w:pPr>
    </w:p>
    <w:p>
      <w:pPr>
        <w:jc w:val="both"/>
        <w:ind w:right="60" w:firstLine="450"/>
        <w:spacing w:after="0" w:line="276" w:lineRule="auto"/>
        <w:rPr>
          <w:sz w:val="20"/>
          <w:szCs w:val="20"/>
          <w:color w:val="auto"/>
        </w:rPr>
      </w:pPr>
      <w:r>
        <w:rPr>
          <w:rFonts w:ascii="Arial" w:cs="Arial" w:eastAsia="Arial" w:hAnsi="Arial"/>
          <w:sz w:val="17"/>
          <w:szCs w:val="17"/>
          <w:color w:val="auto"/>
        </w:rPr>
        <w:t>2.6.2. an Acquiring Person shall not have any rights under this Agreement (or enjoy any benefit of the undertakings of the Lead Investors hereunder) if a majority (in number and not shareholdings) of the Eligible Lead Investors shall, by a single written notice to the Acquiring Person, signed by such majority of the Lead Investors, object to the identity thereof but only on the following grounds: that the Acquiring Person is a competitor of Tower or an employee of, or consultant to, Tower or to a competitor of Tower or is a person organized under the laws of a state that either (a) is at war with the State of Israel or (b) has been declared by the Israel Minister of Defence as a state “hostile” to Israel.</w:t>
      </w:r>
    </w:p>
    <w:p>
      <w:pPr>
        <w:spacing w:after="0" w:line="169"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Lead Investors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the Lead Investors hereby represents and warrants to the Bank that: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 it is duly incorporated and validly existing under the laws of its jurisdiction of incorporation;</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3.2. its signature on this Agreement and the performance by it of its obligations pursuant to this Agreement do not in any way contradict any rights of third parties, any contracts or agreements to which it is a party, its charter documents or any applicable law;</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3.3. the execution of this Agreement and performance by it of its obligations under this Agreement are within its power and authority and have been duly and validly authorised by all necessary corporate action; and</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3.4. this Agreement has been duly and validly executed by it and constitutes its valid, legal and binding obligations, enforceable against it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- 5 -</w:t>
      </w:r>
    </w:p>
    <w:p>
      <w:pPr>
        <w:spacing w:after="0" w:line="22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shall be entitled to sue any of the Lead Investors in any jurisdiction in which such Lead Investor has an office or holds assets.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any Subsidiary of the Lead Investors or the Acquiring Person holding Shares, the successors and permitted assigns of the parties hereto. This Agreement may not be assigned by any party without the prior written consent of the other party hereto, provided that the Bank may assign this Agreement, in whole or in part, to any Affiliate of the Bank.</w:t>
      </w:r>
    </w:p>
    <w:p>
      <w:pPr>
        <w:spacing w:after="0" w:line="79"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Entire Agreement; Amendment and Waiver</w:t>
      </w:r>
      <w:r>
        <w:rPr>
          <w:rFonts w:ascii="Arial" w:cs="Arial" w:eastAsia="Arial" w:hAnsi="Arial"/>
          <w:sz w:val="17"/>
          <w:szCs w:val="17"/>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57"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5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8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62"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and, for the avoidance of doubt, any rights that may have been previously enjoyed by the Acquiring Person and the Acquiring Person’s nominee, shall not have any further force or effect and shall terminate upon the January 18, 2013 or such later date to which the CSA shall have been extended, provided that nothing in this Section 4.9 shall derogate from the last sentence of Section 2.2 above.</w:t>
      </w:r>
    </w:p>
    <w:p>
      <w:pPr>
        <w:spacing w:after="0" w:line="57" w:lineRule="exact"/>
        <w:rPr>
          <w:sz w:val="20"/>
          <w:szCs w:val="20"/>
          <w:color w:val="auto"/>
        </w:rPr>
      </w:pPr>
    </w:p>
    <w:p>
      <w:pPr>
        <w:ind w:left="1200" w:right="40" w:hanging="512"/>
        <w:spacing w:after="0" w:line="284" w:lineRule="auto"/>
        <w:rPr>
          <w:sz w:val="20"/>
          <w:szCs w:val="20"/>
          <w:color w:val="auto"/>
        </w:rPr>
      </w:pPr>
      <w:r>
        <w:rPr>
          <w:rFonts w:ascii="Arial" w:cs="Arial" w:eastAsia="Arial" w:hAnsi="Arial"/>
          <w:sz w:val="16"/>
          <w:szCs w:val="16"/>
          <w:color w:val="auto"/>
        </w:rPr>
        <w:t>4.9.1. In the event the CSA terminates prior to January 18, 2013, each of the Lead Investors will remain obligated to the Acquiring Person and the Acquiring Person’s nominee under this Agreement, including the first sentence of Section 2.2 above, provided that, if such Lead Investor has a nominee to the Board of Directors of Tower, each such Lead Investor’s obligations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and (ii) such Lead Investor’s nominee or nominees to the Board of Directors of Tower and (b) in the case of (i) and (ii) above, any other resolution which is necessary in order to finalize each such election and against any resolution the effect of which is to prevent each such election. For the removal of doubt, the provisions of this Section 4.9.1 shall apply to voting in relation only to the matters set out in</w:t>
      </w:r>
    </w:p>
    <w:p>
      <w:pPr>
        <w:spacing w:after="0" w:line="1" w:lineRule="exact"/>
        <w:rPr>
          <w:sz w:val="20"/>
          <w:szCs w:val="20"/>
          <w:color w:val="auto"/>
        </w:rPr>
      </w:pPr>
    </w:p>
    <w:p>
      <w:pPr>
        <w:ind w:left="1200" w:right="160" w:hanging="3"/>
        <w:spacing w:after="0" w:line="261" w:lineRule="auto"/>
        <w:tabs>
          <w:tab w:leader="none" w:pos="14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(b) above and shall not restrict the rights of the Acquiring Person or the Lead Investors (and/or their respective Subsidiaries) to vote on other matters in such manner as they deem fit.</w:t>
      </w:r>
    </w:p>
    <w:p>
      <w:pPr>
        <w:spacing w:after="0" w:line="89" w:lineRule="exact"/>
        <w:rPr>
          <w:sz w:val="20"/>
          <w:szCs w:val="20"/>
          <w:color w:val="auto"/>
        </w:rPr>
      </w:pPr>
    </w:p>
    <w:p>
      <w:pPr>
        <w:ind w:left="1200" w:hanging="512"/>
        <w:spacing w:after="0" w:line="289" w:lineRule="auto"/>
        <w:rPr>
          <w:sz w:val="20"/>
          <w:szCs w:val="20"/>
          <w:color w:val="auto"/>
        </w:rPr>
      </w:pPr>
      <w:r>
        <w:rPr>
          <w:rFonts w:ascii="Arial" w:cs="Arial" w:eastAsia="Arial" w:hAnsi="Arial"/>
          <w:sz w:val="16"/>
          <w:szCs w:val="16"/>
          <w:color w:val="auto"/>
        </w:rPr>
        <w:t>4.9.2. For the avoidance of doubt (a) if any such Lead Investor shall not have a nominee to the Board of Directors of Tower, such Lead Investor shall nonetheless remain obligated to the Acquiring Person and the Acquiring Person’s nominee under this Agreement, including the first sentence of Section 2.2 above; (b) if Section 4.9.1 above is applicable and two or more Lead Investors have agreed to vote for one another’s nominees, the vote by the Acquiring Person and, if applicable, its Subsidiaries, for all such nominees of such Lead Investors shall be deemed a vote for “(and only for)” the nominee of each such Lead Investor for the purposes of Section 4.9.1 above; and (c) nothing in this Agreement shall be deemed to constitute an undertaking by any of the Lead Investors to the Bank or to the Acquiring Person not to dispose of any Shares (without derogating from the provisions of the Facility Agreement, pursuant to which certain disposals of Shares by the Lead Investors would constitute an Event of Default (as defined in the Facility Agreement) of Tower or from the provisions of the CSA, pursuant to which certain disposals may not be permitted or may be subject to certain rights of the other Lead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- 7 -</w:t>
      </w:r>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BANK HAPOALIM B.M.</w:t>
            </w:r>
          </w:p>
        </w:tc>
        <w:tc>
          <w:tcPr>
            <w:tcW w:w="5560" w:type="dxa"/>
            <w:vAlign w:val="bottom"/>
            <w:gridSpan w:val="2"/>
          </w:tcPr>
          <w:p>
            <w:pPr>
              <w:ind w:left="1100"/>
              <w:spacing w:after="0"/>
              <w:rPr>
                <w:sz w:val="20"/>
                <w:szCs w:val="20"/>
                <w:color w:val="auto"/>
              </w:rPr>
            </w:pPr>
            <w:r>
              <w:rPr>
                <w:rFonts w:ascii="Arial" w:cs="Arial" w:eastAsia="Arial" w:hAnsi="Arial"/>
                <w:sz w:val="18"/>
                <w:szCs w:val="18"/>
                <w:b w:val="1"/>
                <w:bCs w:val="1"/>
                <w:color w:val="auto"/>
              </w:rPr>
              <w:t>THE ISRAEL CORPORATION LTD.</w:t>
            </w:r>
          </w:p>
        </w:tc>
        <w:tc>
          <w:tcPr>
            <w:tcW w:w="15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Meiri Alterman</w:t>
            </w:r>
          </w:p>
        </w:tc>
        <w:tc>
          <w:tcPr>
            <w:tcW w:w="1680" w:type="dxa"/>
            <w:vAlign w:val="bottom"/>
          </w:tcPr>
          <w:p>
            <w:pPr>
              <w:ind w:left="11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Yossi Rosen</w:t>
            </w:r>
          </w:p>
        </w:tc>
        <w:tc>
          <w:tcPr>
            <w:tcW w:w="154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Meiri Alterman</w:t>
            </w:r>
          </w:p>
        </w:tc>
        <w:tc>
          <w:tcPr>
            <w:tcW w:w="1680" w:type="dxa"/>
            <w:vAlign w:val="bottom"/>
          </w:tcPr>
          <w:p>
            <w:pPr>
              <w:ind w:left="110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Yossi Rosen</w:t>
            </w:r>
          </w:p>
        </w:tc>
        <w:tc>
          <w:tcPr>
            <w:tcW w:w="15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CRM</w:t>
            </w:r>
          </w:p>
        </w:tc>
        <w:tc>
          <w:tcPr>
            <w:tcW w:w="1680" w:type="dxa"/>
            <w:vAlign w:val="bottom"/>
          </w:tcPr>
          <w:p>
            <w:pPr>
              <w:ind w:left="11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CEO</w:t>
            </w:r>
          </w:p>
        </w:tc>
        <w:tc>
          <w:tcPr>
            <w:tcW w:w="1540" w:type="dxa"/>
            <w:vAlign w:val="bottom"/>
          </w:tcPr>
          <w:p>
            <w:pPr>
              <w:spacing w:after="0"/>
              <w:rPr>
                <w:sz w:val="20"/>
                <w:szCs w:val="20"/>
                <w:color w:val="auto"/>
              </w:rPr>
            </w:pPr>
          </w:p>
        </w:tc>
      </w:tr>
      <w:tr>
        <w:trPr>
          <w:trHeight w:val="224"/>
        </w:trPr>
        <w:tc>
          <w:tcPr>
            <w:tcW w:w="5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(Customer Relationship Manager)</w:t>
            </w:r>
          </w:p>
        </w:tc>
        <w:tc>
          <w:tcPr>
            <w:tcW w:w="16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Dalit Uri</w:t>
            </w:r>
          </w:p>
        </w:tc>
        <w:tc>
          <w:tcPr>
            <w:tcW w:w="1680" w:type="dxa"/>
            <w:vAlign w:val="bottom"/>
          </w:tcPr>
          <w:p>
            <w:pPr>
              <w:ind w:left="11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Avisar Paz</w:t>
            </w:r>
          </w:p>
        </w:tc>
        <w:tc>
          <w:tcPr>
            <w:tcW w:w="154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Dalit Uri</w:t>
            </w:r>
          </w:p>
        </w:tc>
        <w:tc>
          <w:tcPr>
            <w:tcW w:w="1680" w:type="dxa"/>
            <w:vAlign w:val="bottom"/>
          </w:tcPr>
          <w:p>
            <w:pPr>
              <w:ind w:left="110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Avisar Paz</w:t>
            </w:r>
          </w:p>
        </w:tc>
        <w:tc>
          <w:tcPr>
            <w:tcW w:w="15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Section Manager</w:t>
            </w:r>
          </w:p>
        </w:tc>
        <w:tc>
          <w:tcPr>
            <w:tcW w:w="1680" w:type="dxa"/>
            <w:vAlign w:val="bottom"/>
          </w:tcPr>
          <w:p>
            <w:pPr>
              <w:ind w:left="11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CFO</w:t>
            </w:r>
          </w:p>
        </w:tc>
        <w:tc>
          <w:tcPr>
            <w:tcW w:w="1540" w:type="dxa"/>
            <w:vAlign w:val="bottom"/>
          </w:tcPr>
          <w:p>
            <w:pPr>
              <w:spacing w:after="0"/>
              <w:rPr>
                <w:sz w:val="20"/>
                <w:szCs w:val="20"/>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SANDISK CORPORATION</w:t>
            </w:r>
          </w:p>
        </w:tc>
        <w:tc>
          <w:tcPr>
            <w:tcW w:w="5560" w:type="dxa"/>
            <w:vAlign w:val="bottom"/>
            <w:gridSpan w:val="2"/>
          </w:tcPr>
          <w:p>
            <w:pPr>
              <w:ind w:left="1100"/>
              <w:spacing w:after="0"/>
              <w:rPr>
                <w:sz w:val="20"/>
                <w:szCs w:val="20"/>
                <w:color w:val="auto"/>
              </w:rPr>
            </w:pPr>
            <w:r>
              <w:rPr>
                <w:rFonts w:ascii="Arial" w:cs="Arial" w:eastAsia="Arial" w:hAnsi="Arial"/>
                <w:sz w:val="18"/>
                <w:szCs w:val="18"/>
                <w:b w:val="1"/>
                <w:bCs w:val="1"/>
                <w:color w:val="auto"/>
              </w:rPr>
              <w:t>ALLIANCE SEMICONDUCTOR CORPORATION</w:t>
            </w:r>
          </w:p>
        </w:tc>
        <w:tc>
          <w:tcPr>
            <w:tcW w:w="15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Harrari</w:t>
            </w:r>
          </w:p>
        </w:tc>
        <w:tc>
          <w:tcPr>
            <w:tcW w:w="1680" w:type="dxa"/>
            <w:vAlign w:val="bottom"/>
          </w:tcPr>
          <w:p>
            <w:pPr>
              <w:ind w:left="11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 Keating</w:t>
            </w:r>
          </w:p>
        </w:tc>
        <w:tc>
          <w:tcPr>
            <w:tcW w:w="154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Eli Harrari</w:t>
            </w:r>
          </w:p>
        </w:tc>
        <w:tc>
          <w:tcPr>
            <w:tcW w:w="1680" w:type="dxa"/>
            <w:vAlign w:val="bottom"/>
          </w:tcPr>
          <w:p>
            <w:pPr>
              <w:ind w:left="110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Mel Keating</w:t>
            </w:r>
          </w:p>
        </w:tc>
        <w:tc>
          <w:tcPr>
            <w:tcW w:w="15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CEO</w:t>
            </w:r>
          </w:p>
        </w:tc>
        <w:tc>
          <w:tcPr>
            <w:tcW w:w="1680" w:type="dxa"/>
            <w:vAlign w:val="bottom"/>
          </w:tcPr>
          <w:p>
            <w:pPr>
              <w:ind w:left="11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CEO</w:t>
            </w:r>
          </w:p>
        </w:tc>
        <w:tc>
          <w:tcPr>
            <w:tcW w:w="1540" w:type="dxa"/>
            <w:vAlign w:val="bottom"/>
          </w:tcPr>
          <w:p>
            <w:pPr>
              <w:spacing w:after="0"/>
              <w:rPr>
                <w:sz w:val="20"/>
                <w:szCs w:val="20"/>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MACRONIX INTERNATIONAL CO. LTD.</w:t>
            </w:r>
          </w:p>
        </w:tc>
        <w:tc>
          <w:tcPr>
            <w:tcW w:w="1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Miin Chyou Wu</w:t>
            </w:r>
          </w:p>
        </w:tc>
        <w:tc>
          <w:tcPr>
            <w:tcW w:w="1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Miin Chyou Wu</w:t>
            </w:r>
          </w:p>
        </w:tc>
        <w:tc>
          <w:tcPr>
            <w:tcW w:w="1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Chairman</w:t>
            </w:r>
          </w:p>
        </w:tc>
        <w:tc>
          <w:tcPr>
            <w:tcW w:w="16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left="5560"/>
        <w:spacing w:after="0"/>
        <w:rPr>
          <w:sz w:val="20"/>
          <w:szCs w:val="20"/>
          <w:color w:val="auto"/>
        </w:rPr>
      </w:pPr>
      <w:r>
        <w:rPr>
          <w:rFonts w:ascii="Arial" w:cs="Arial" w:eastAsia="Arial" w:hAnsi="Arial"/>
          <w:sz w:val="18"/>
          <w:szCs w:val="18"/>
          <w:color w:val="auto"/>
        </w:rPr>
        <w:t>- 8 -</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Schedule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Lead Investors</w:t>
      </w:r>
    </w:p>
    <w:p>
      <w:pPr>
        <w:spacing w:after="0" w:line="117" w:lineRule="exact"/>
        <w:rPr>
          <w:sz w:val="20"/>
          <w:szCs w:val="20"/>
          <w:color w:val="auto"/>
        </w:rPr>
      </w:pPr>
    </w:p>
    <w:p>
      <w:pPr>
        <w:ind w:right="4259"/>
        <w:spacing w:after="0" w:line="422" w:lineRule="auto"/>
        <w:rPr>
          <w:sz w:val="20"/>
          <w:szCs w:val="20"/>
          <w:color w:val="auto"/>
        </w:rPr>
      </w:pPr>
      <w:r>
        <w:rPr>
          <w:rFonts w:ascii="Arial" w:cs="Arial" w:eastAsia="Arial" w:hAnsi="Arial"/>
          <w:sz w:val="16"/>
          <w:szCs w:val="16"/>
          <w:color w:val="auto"/>
        </w:rPr>
        <w:t>The Israel Corporation Ltd., a company incorporated under the laws of Israel Sandisk Corporation, a corporation incorporated under the laws of Delaware, USA</w:t>
      </w:r>
    </w:p>
    <w:p>
      <w:pPr>
        <w:spacing w:after="0" w:line="1" w:lineRule="exact"/>
        <w:rPr>
          <w:sz w:val="20"/>
          <w:szCs w:val="20"/>
          <w:color w:val="auto"/>
        </w:rPr>
      </w:pPr>
    </w:p>
    <w:p>
      <w:pPr>
        <w:ind w:right="3079"/>
        <w:spacing w:after="0" w:line="440" w:lineRule="auto"/>
        <w:rPr>
          <w:sz w:val="20"/>
          <w:szCs w:val="20"/>
          <w:color w:val="auto"/>
        </w:rPr>
      </w:pPr>
      <w:r>
        <w:rPr>
          <w:rFonts w:ascii="Arial" w:cs="Arial" w:eastAsia="Arial" w:hAnsi="Arial"/>
          <w:sz w:val="17"/>
          <w:szCs w:val="17"/>
          <w:color w:val="auto"/>
        </w:rPr>
        <w:t>Alliance Semiconductor Corporation, a corporation incorporated under the laws of Delaware, USA Macronix International Co. Ltd., a company incorporated under the laws of Taiwan</w:t>
      </w: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2"/>
      <w:numFmt w:val="bullet"/>
      <w:start w:val="1"/>
    </w:lvl>
    <w:lvl w:ilvl="1">
      <w:lvlJc w:val="left"/>
      <w:lvlText w:val="(%2)"/>
      <w:numFmt w:val="lowerLetter"/>
      <w:start w:val="2"/>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1."/>
      <w:numFmt w:val="decimal"/>
      <w:start w:val="3"/>
    </w:lvl>
  </w:abstractNum>
  <w:abstractNum w:abstractNumId="16">
    <w:nsid w:val="519B500D"/>
    <w:multiLevelType w:val="hybridMultilevel"/>
    <w:lvl w:ilvl="0">
      <w:lvlJc w:val="left"/>
      <w:lvlText w:val="%1."/>
      <w:numFmt w:val="decimal"/>
      <w:start w:val="4"/>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2019-12-14T03:38:09Z</dcterms:created>
  <dcterms:modified xsi:type="dcterms:W3CDTF">2019-12-14T03:38:09Z</dcterms:modified>
</cp:coreProperties>
</file>