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218.htm"/>
      <w:bookmarkStart w:id="1" w:name="kszk2636218"/>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8"/>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w:t>
      </w:r>
      <w:r>
        <w:rPr>
          <w:rFonts w:ascii="Times New Roman;Times;Serif" w:hAnsi="Times New Roman;Times;Serif"/>
          <w:b w:val="false"/>
          <w:i w:val="false"/>
          <w:caps w:val="false"/>
          <w:smallCaps w:val="false"/>
          <w:sz w:val="20"/>
        </w:rPr>
        <w:t xml:space="preserve">ashington, D.C. </w:t>
      </w:r>
      <w:r>
        <w:rPr>
          <w:rFonts w:ascii="Times New Roman;Times;Serif" w:hAnsi="Times New Roman;Times;Serif"/>
          <w:b w:val="false"/>
          <w:i w:val="false"/>
          <w:smallCaps/>
          <w:sz w:val="20"/>
        </w:rPr>
        <w:t>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F</w:t>
      </w:r>
      <w:r>
        <w:rPr>
          <w:rFonts w:ascii="Times New Roman;Times;Serif" w:hAnsi="Times New Roman;Times;Serif"/>
          <w:b w:val="false"/>
          <w:i w:val="false"/>
          <w:caps w:val="false"/>
          <w:smallCaps w:val="false"/>
          <w:sz w:val="20"/>
        </w:rPr>
        <w:t>or the month of October 2026 No.1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0-24790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TOWER SEMICONDUCTOR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Ramat Gavriel Industrial Park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i w:val="false"/>
          <w:caps w:val="false"/>
          <w:smallCaps w:val="false"/>
          <w:sz w:val="20"/>
        </w:rPr>
        <w:t>P.O. Box 619, Migdal Haemek, Israel 2310502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ind w:left="0" w:right="0" w:firstLine="710"/>
        <w:jc w:val="center"/>
        <w:rPr/>
      </w:pPr>
      <w:r>
        <w:rPr/>
        <w:t>Form 20-F ☒ Form 40-F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On October 13, 2026, the Registrant to Announces Third Quarter 2026</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Financial Results and Conference Call</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43" w:type="dxa"/>
        <w:jc w:val="left"/>
        <w:tblInd w:w="0" w:type="dxa"/>
        <w:tblLayout w:type="fixed"/>
        <w:tblCellMar>
          <w:top w:w="0" w:type="dxa"/>
          <w:left w:w="0" w:type="dxa"/>
          <w:bottom w:w="0" w:type="dxa"/>
          <w:right w:w="0" w:type="dxa"/>
        </w:tblCellMar>
      </w:tblPr>
      <w:tblGrid>
        <w:gridCol w:w="2270"/>
        <w:gridCol w:w="1114"/>
        <w:gridCol w:w="2631"/>
        <w:gridCol w:w="128"/>
      </w:tblGrid>
      <w:tr>
        <w:trPr/>
        <w:tc>
          <w:tcPr>
            <w:tcW w:w="2270" w:type="dxa"/>
            <w:tcBorders/>
            <w:vAlign w:val="center"/>
          </w:tcPr>
          <w:p>
            <w:pPr>
              <w:pStyle w:val="TableContents"/>
              <w:bidi w:val="0"/>
              <w:spacing w:before="0" w:after="283"/>
              <w:jc w:val="left"/>
              <w:rPr/>
            </w:pPr>
            <w:r>
              <w:rPr/>
              <w:t> </w:t>
            </w:r>
          </w:p>
        </w:tc>
        <w:tc>
          <w:tcPr>
            <w:tcW w:w="3873" w:type="dxa"/>
            <w:gridSpan w:val="3"/>
            <w:tcBorders/>
            <w:vAlign w:val="center"/>
          </w:tcPr>
          <w:p>
            <w:pPr>
              <w:pStyle w:val="TableContents"/>
              <w:bidi w:val="0"/>
              <w:spacing w:before="0" w:after="283"/>
              <w:jc w:val="left"/>
              <w:rPr>
                <w:b/>
              </w:rPr>
            </w:pPr>
            <w:r>
              <w:rPr>
                <w:b/>
              </w:rPr>
              <w:t>TOWER SEMICONDUCTOR LTD.</w:t>
            </w:r>
          </w:p>
        </w:tc>
      </w:tr>
      <w:tr>
        <w:trPr/>
        <w:tc>
          <w:tcPr>
            <w:tcW w:w="22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2759" w:type="dxa"/>
            <w:gridSpan w:val="2"/>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Date: October 13, 2026</w:t>
            </w:r>
          </w:p>
        </w:tc>
        <w:tc>
          <w:tcPr>
            <w:tcW w:w="1114" w:type="dxa"/>
            <w:tcBorders/>
            <w:vAlign w:val="center"/>
          </w:tcPr>
          <w:p>
            <w:pPr>
              <w:pStyle w:val="TableContents"/>
              <w:bidi w:val="0"/>
              <w:spacing w:before="0" w:after="283"/>
              <w:jc w:val="left"/>
              <w:rPr/>
            </w:pPr>
            <w:r>
              <w:rPr/>
              <w:t>By:</w:t>
            </w:r>
          </w:p>
        </w:tc>
        <w:tc>
          <w:tcPr>
            <w:tcW w:w="2631" w:type="dxa"/>
            <w:tcBorders>
              <w:bottom w:val="single" w:sz="8" w:space="0" w:color="000000"/>
            </w:tcBorders>
            <w:tcMar>
              <w:bottom w:w="28" w:type="dxa"/>
            </w:tcMar>
            <w:vAlign w:val="center"/>
          </w:tcPr>
          <w:p>
            <w:pPr>
              <w:pStyle w:val="TableContents"/>
              <w:bidi w:val="0"/>
              <w:spacing w:before="0" w:after="283"/>
              <w:jc w:val="left"/>
              <w:rPr/>
            </w:pPr>
            <w:r>
              <w:rPr/>
              <w:t>/s/ Nati Somekh</w:t>
            </w:r>
          </w:p>
        </w:tc>
        <w:tc>
          <w:tcPr>
            <w:tcW w:w="128"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Name:</w:t>
            </w:r>
          </w:p>
        </w:tc>
        <w:tc>
          <w:tcPr>
            <w:tcW w:w="2759" w:type="dxa"/>
            <w:gridSpan w:val="2"/>
            <w:tcBorders/>
            <w:vAlign w:val="center"/>
          </w:tcPr>
          <w:p>
            <w:pPr>
              <w:pStyle w:val="TableContents"/>
              <w:bidi w:val="0"/>
              <w:spacing w:before="0" w:after="283"/>
              <w:jc w:val="left"/>
              <w:rPr/>
            </w:pPr>
            <w:r>
              <w:rPr/>
              <w:t>Nati Somekh</w:t>
            </w:r>
          </w:p>
        </w:tc>
      </w:tr>
      <w:tr>
        <w:trPr/>
        <w:tc>
          <w:tcPr>
            <w:tcW w:w="227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Title:</w:t>
            </w:r>
          </w:p>
        </w:tc>
        <w:tc>
          <w:tcPr>
            <w:tcW w:w="2759" w:type="dxa"/>
            <w:gridSpan w:val="2"/>
            <w:tcBorders/>
            <w:vAlign w:val="center"/>
          </w:tcPr>
          <w:p>
            <w:pPr>
              <w:pStyle w:val="TableContents"/>
              <w:bidi w:val="0"/>
              <w:spacing w:before="0" w:after="283"/>
              <w:jc w:val="left"/>
              <w:rPr/>
            </w:pPr>
            <w:r>
              <w:rPr/>
              <w:t>Corporate Secretary</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5030" w:right="0" w:hanging="0"/>
        <w:jc w:val="left"/>
        <w:rPr>
          <w:caps w:val="false"/>
          <w:smallCaps w:val="false"/>
        </w:rPr>
      </w:pPr>
      <w:r>
        <w:rPr>
          <w:caps w:val="false"/>
          <w:smallCaps w:val="false"/>
        </w:rPr>
        <w:drawing>
          <wp:inline distT="0" distB="0" distL="0" distR="0">
            <wp:extent cx="739140" cy="4267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9140" cy="426720"/>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Tower Semiconductor Announces Third Quarter 2026 Financial Results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and Conference Call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MIGDAL HAEMEK, Israel – October 13,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Tower Semiconductor</w:t>
      </w:r>
      <w:r>
        <w:rPr>
          <w:rFonts w:ascii="Times New Roman;Times;Serif" w:hAnsi="Times New Roman;Times;Serif"/>
          <w:b w:val="false"/>
          <w:i w:val="false"/>
          <w:caps w:val="false"/>
          <w:smallCaps w:val="false"/>
          <w:sz w:val="20"/>
        </w:rPr>
        <w:t xml:space="preserve"> (NASDAQ/ TASE: TSEM), the leading foundry of high value analog semiconductor solutions, will issue its third quarter 2026 earnings release on Monday, November 2, 2026. The Company will hold a conference call to discuss its third quarter 2026 financial results and fourth quarter 2026 guidance on Monday, November 2, 2026, at 10:00 a.m. Eastern Time (09:00 a.m. Central, 08:00 a.m. Mountain, 07:00 a.m. Pacific and 05:00 p.m. Israel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call will be webcast and available through the Investor Relations section of Tower Semiconductor’s website at </w:t>
      </w:r>
      <w:r>
        <w:rPr>
          <w:rFonts w:ascii="Times New Roman;Times;Serif" w:hAnsi="Times New Roman;Times;Serif"/>
          <w:b w:val="false"/>
          <w:i w:val="false"/>
          <w:caps w:val="false"/>
          <w:smallCaps w:val="false"/>
          <w:sz w:val="20"/>
          <w:u w:val="single"/>
        </w:rPr>
        <w:t>https://ir.towersemi.com/</w:t>
      </w:r>
      <w:r>
        <w:rPr>
          <w:rFonts w:ascii="Times New Roman;Times;Serif" w:hAnsi="Times New Roman;Times;Serif"/>
          <w:b w:val="false"/>
          <w:i w:val="false"/>
          <w:caps w:val="false"/>
          <w:smallCaps w:val="false"/>
          <w:sz w:val="20"/>
        </w:rPr>
        <w:t>, where the pre-registration form required for dial-in participation is also accessible. Upon completing the registration, participants will receive the dial-in details, a unique PIN, and a confirmation email with all necessary information. The teleconference will be available for replay for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Tower Semiconductor </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and integrated power management (BCD and 700V).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Times;Serif" w:hAnsi="Times New Roman;Times;Serif"/>
          <w:b w:val="false"/>
          <w:i w:val="false"/>
          <w:caps w:val="false"/>
          <w:smallCaps w:val="false"/>
          <w:sz w:val="20"/>
          <w:u w:val="single"/>
        </w:rPr>
        <w:t>www.towersemi.com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Liat Avraham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liatavra@towersemi.com</w:t>
      </w:r>
      <w:r>
        <w:rPr>
          <w:rFonts w:ascii="Times New Roman;Times;Serif" w:hAnsi="Times New Roman;Times;Serif"/>
          <w:b w:val="false"/>
          <w:i w:val="false"/>
          <w:caps w:val="false"/>
          <w:smallCaps w:val="false"/>
          <w:sz w:val="20"/>
        </w:rPr>
        <w:t xml:space="preserve"> | +972 4 650 6154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498</Words>
  <Characters>2956</Characters>
  <CharactersWithSpaces>3460</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