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635857.htm"/>
      <w:bookmarkStart w:id="1" w:name="kszk2635857"/>
      <w:bookmarkStart w:id="2" w:name="zk2635857.htm"/>
      <w:bookmarkStart w:id="3" w:name="kszk2635857"/>
      <w:bookmarkEnd w:id="2"/>
      <w:bookmarkEnd w:id="3"/>
    </w:p>
    <w:p>
      <w:pPr>
        <w:pStyle w:val="TextBody"/>
        <w:bidi w:val="0"/>
        <w:spacing w:before="0" w:after="0"/>
        <w:jc w:val="left"/>
        <w:rPr/>
      </w:pPr>
      <w:r>
        <w:rPr/>
        <w:t> </w:t>
      </w:r>
    </w:p>
    <w:p>
      <w:pPr>
        <w:pStyle w:val="TextBody"/>
        <w:bidi w:val="0"/>
        <w:spacing w:lineRule="auto" w:line="300" w:before="0" w:after="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lineRule="auto" w:line="300" w:before="0" w:after="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8"/>
        </w:rPr>
      </w:pPr>
      <w:r>
        <w:rPr>
          <w:rFonts w:ascii="Times New Roman;Times;serif" w:hAnsi="Times New Roman;Times;serif"/>
          <w:b/>
          <w:sz w:val="28"/>
        </w:rPr>
        <w:t>FORM 6-K</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REPORT OF FOREIGN PRIVATE ISSUER PURSUANT TO RULE 13a-16 OR 15d-16 OF THE</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SECURITIES EXCHANGE ACT OF 1934</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mallCaps/>
          <w:sz w:val="20"/>
        </w:rPr>
        <w:t>F</w:t>
      </w:r>
      <w:r>
        <w:rPr>
          <w:rFonts w:ascii="Times New Roman;Times;serif" w:hAnsi="Times New Roman;Times;serif"/>
          <w:sz w:val="20"/>
        </w:rPr>
        <w:t>or the month of August 2026 No.4</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Commission File Number 000-24790</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32"/>
        </w:rPr>
      </w:pPr>
      <w:r>
        <w:rPr>
          <w:rFonts w:ascii="Times New Roman;Times;serif" w:hAnsi="Times New Roman;Times;serif"/>
          <w:b/>
          <w:sz w:val="32"/>
        </w:rPr>
        <w:t>TOWER SEMICONDUCTOR LTD.</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(Translation of registrant's name into English)</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Ramat Gavriel Industrial Park</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P.O. Box 619, Migdal Haemek, Israel 2310502</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Form 20-F or Form 40-F.</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sz w:val="20"/>
        </w:rPr>
      </w:pPr>
      <w:r>
        <w:rPr>
          <w:rFonts w:ascii="Times New Roman;Times;serif" w:hAnsi="Times New Roman;Times;serif"/>
          <w:sz w:val="20"/>
        </w:rPr>
        <w:t>Form 20-F ☒ Form 40-F ☐</w:t>
      </w:r>
    </w:p>
    <w:p>
      <w:pPr>
        <w:pStyle w:val="TextBody"/>
        <w:bidi w:val="0"/>
        <w:spacing w:lineRule="auto" w:line="300" w:before="0" w:after="0"/>
        <w:jc w:val="center"/>
        <w:rPr/>
      </w:pPr>
      <w:r>
        <w:rPr/>
        <w:t> </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left"/>
        <w:rPr/>
      </w:pPr>
      <w:r>
        <w:rPr/>
        <w:t> </w:t>
      </w:r>
    </w:p>
    <w:p>
      <w:pPr>
        <w:pStyle w:val="TextBody"/>
        <w:bidi w:val="0"/>
        <w:spacing w:lineRule="auto" w:line="300" w:before="0" w:after="0"/>
        <w:jc w:val="left"/>
        <w:rPr/>
      </w:pPr>
      <w:r>
        <w:rPr/>
        <w:t> </w:t>
      </w:r>
    </w:p>
    <w:p>
      <w:pPr>
        <w:pStyle w:val="TextBody"/>
        <w:bidi w:val="0"/>
        <w:spacing w:lineRule="auto" w:line="300" w:before="0" w:after="0"/>
        <w:ind w:left="0" w:right="0" w:firstLine="710"/>
        <w:jc w:val="both"/>
        <w:rPr>
          <w:rFonts w:ascii="Times New Roman;Times;serif" w:hAnsi="Times New Roman;Times;serif"/>
          <w:sz w:val="20"/>
        </w:rPr>
      </w:pPr>
      <w:r>
        <w:rPr>
          <w:rFonts w:ascii="Times New Roman;Times;serif" w:hAnsi="Times New Roman;Times;serif"/>
          <w:sz w:val="20"/>
        </w:rPr>
        <w:t>On August 17, 2026, the Registrant issued unaudited condensed interim consolidated financial statements as of June 30, 2026, and for the six- and three-month periods then ended. Attached hereto are the following exhibits.</w:t>
      </w:r>
    </w:p>
    <w:p>
      <w:pPr>
        <w:pStyle w:val="TextBody"/>
        <w:bidi w:val="0"/>
        <w:spacing w:lineRule="auto" w:line="300"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1040"/>
        <w:gridCol w:w="7820"/>
      </w:tblGrid>
      <w:tr>
        <w:trPr/>
        <w:tc>
          <w:tcPr>
            <w:tcW w:w="1040" w:type="dxa"/>
            <w:tcBorders/>
            <w:vAlign w:val="center"/>
          </w:tcPr>
          <w:p>
            <w:pPr>
              <w:pStyle w:val="TableContents"/>
              <w:bidi w:val="0"/>
              <w:spacing w:lineRule="auto" w:line="300" w:before="0" w:after="0"/>
              <w:jc w:val="both"/>
              <w:rPr/>
            </w:pPr>
            <w:hyperlink w:anchor="exhibit_99-1.htm">
              <w:r>
                <w:rPr>
                  <w:rStyle w:val="InternetLink"/>
                  <w:rFonts w:ascii="Times New Roman;Times;serif" w:hAnsi="Times New Roman;Times;serif"/>
                  <w:sz w:val="20"/>
                </w:rPr>
                <w:t>Exhibit 99.1</w:t>
              </w:r>
            </w:hyperlink>
          </w:p>
        </w:tc>
        <w:tc>
          <w:tcPr>
            <w:tcW w:w="7820" w:type="dxa"/>
            <w:tcBorders/>
            <w:vAlign w:val="center"/>
          </w:tcPr>
          <w:p>
            <w:pPr>
              <w:pStyle w:val="TableContents"/>
              <w:bidi w:val="0"/>
              <w:spacing w:lineRule="auto" w:line="300" w:before="0" w:after="0"/>
              <w:jc w:val="both"/>
              <w:rPr/>
            </w:pPr>
            <w:hyperlink w:anchor="exhibit_99-1.htm">
              <w:r>
                <w:rPr>
                  <w:rStyle w:val="InternetLink"/>
                  <w:rFonts w:ascii="Times New Roman;Times;serif" w:hAnsi="Times New Roman;Times;serif"/>
                  <w:sz w:val="20"/>
                </w:rPr>
                <w:t>Registrant’s unaudited condensed interim consolidated financial statements as of June 30, 2026.</w:t>
              </w:r>
            </w:hyperlink>
          </w:p>
        </w:tc>
      </w:tr>
      <w:tr>
        <w:trPr/>
        <w:tc>
          <w:tcPr>
            <w:tcW w:w="1040" w:type="dxa"/>
            <w:tcBorders/>
            <w:vAlign w:val="center"/>
          </w:tcPr>
          <w:p>
            <w:pPr>
              <w:pStyle w:val="TableContents"/>
              <w:bidi w:val="0"/>
              <w:spacing w:before="0" w:after="283"/>
              <w:jc w:val="left"/>
              <w:rPr/>
            </w:pPr>
            <w:r>
              <w:rPr/>
              <w:t> </w:t>
            </w:r>
          </w:p>
        </w:tc>
        <w:tc>
          <w:tcPr>
            <w:tcW w:w="7820"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lineRule="auto" w:line="300" w:before="0" w:after="0"/>
              <w:jc w:val="both"/>
              <w:rPr/>
            </w:pPr>
            <w:hyperlink w:anchor="exhibit_99-2.htm">
              <w:r>
                <w:rPr>
                  <w:rStyle w:val="InternetLink"/>
                  <w:rFonts w:ascii="Times New Roman;Times;serif" w:hAnsi="Times New Roman;Times;serif"/>
                  <w:sz w:val="20"/>
                </w:rPr>
                <w:t>Exhibit 99.2</w:t>
              </w:r>
            </w:hyperlink>
          </w:p>
        </w:tc>
        <w:tc>
          <w:tcPr>
            <w:tcW w:w="7820" w:type="dxa"/>
            <w:tcBorders/>
            <w:vAlign w:val="center"/>
          </w:tcPr>
          <w:p>
            <w:pPr>
              <w:pStyle w:val="TableContents"/>
              <w:bidi w:val="0"/>
              <w:spacing w:lineRule="auto" w:line="300" w:before="0" w:after="0"/>
              <w:jc w:val="both"/>
              <w:rPr/>
            </w:pPr>
            <w:hyperlink w:anchor="exhibit_99-2.htm">
              <w:r>
                <w:rPr>
                  <w:rStyle w:val="InternetLink"/>
                  <w:rFonts w:ascii="Times New Roman;Times;serif" w:hAnsi="Times New Roman;Times;serif"/>
                  <w:sz w:val="20"/>
                </w:rPr>
                <w:t>Management’s Discussion and Analysis of Financial Condition and Results of Operations.</w:t>
              </w:r>
            </w:hyperlink>
          </w:p>
        </w:tc>
      </w:tr>
    </w:tbl>
    <w:p>
      <w:pPr>
        <w:pStyle w:val="TextBody"/>
        <w:bidi w:val="0"/>
        <w:spacing w:lineRule="auto" w:line="300" w:before="0" w:after="0"/>
        <w:jc w:val="left"/>
        <w:rPr/>
      </w:pPr>
      <w:r>
        <w:rPr/>
        <w:t> </w:t>
      </w:r>
    </w:p>
    <w:p>
      <w:pPr>
        <w:pStyle w:val="TextBody"/>
        <w:bidi w:val="0"/>
        <w:spacing w:lineRule="auto" w:line="300" w:before="0" w:after="0"/>
        <w:ind w:left="0" w:right="0" w:firstLine="710"/>
        <w:jc w:val="both"/>
        <w:rPr/>
      </w:pPr>
      <w:r>
        <w:rPr>
          <w:rFonts w:ascii="Times New Roman;Times;serif" w:hAnsi="Times New Roman;Times;serif"/>
          <w:sz w:val="20"/>
        </w:rPr>
        <w:t>This Form 6-K, including all exhibits hereto, is hereby incorporated by reference into the Registrant’s Registration Statements on Form S-8 (Registration Nos. 333-204173 and 333-277536).</w:t>
      </w:r>
      <w:r>
        <w:rPr/>
        <w:t xml:space="preserve"> </w:t>
      </w:r>
    </w:p>
    <w:p>
      <w:pPr>
        <w:pStyle w:val="TextBody"/>
        <w:bidi w:val="0"/>
        <w:spacing w:lineRule="auto" w:line="300" w:before="0" w:after="0"/>
        <w:jc w:val="both"/>
        <w:rPr/>
      </w:pPr>
      <w:r>
        <w:rPr/>
        <w:t> </w:t>
      </w:r>
    </w:p>
    <w:p>
      <w:pPr>
        <w:pStyle w:val="HorizontalLine"/>
        <w:bidi w:val="0"/>
        <w:spacing w:before="200" w:after="200"/>
        <w:jc w:val="left"/>
        <w:rPr/>
      </w:pPr>
      <w:r>
        <w:rPr/>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lineRule="auto" w:line="300" w:before="0" w:after="0"/>
        <w:jc w:val="left"/>
        <w:rPr/>
      </w:pPr>
      <w:r>
        <w:rPr/>
        <w:t> </w:t>
      </w:r>
    </w:p>
    <w:p>
      <w:pPr>
        <w:pStyle w:val="TextBody"/>
        <w:bidi w:val="0"/>
        <w:spacing w:lineRule="auto" w:line="300" w:before="0" w:after="0"/>
        <w:ind w:left="0" w:right="0" w:firstLine="71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t> </w:t>
      </w:r>
    </w:p>
    <w:tbl>
      <w:tblPr>
        <w:tblW w:w="4899" w:type="dxa"/>
        <w:jc w:val="left"/>
        <w:tblInd w:w="0" w:type="dxa"/>
        <w:tblLayout w:type="fixed"/>
        <w:tblCellMar>
          <w:top w:w="0" w:type="dxa"/>
          <w:left w:w="0" w:type="dxa"/>
          <w:bottom w:w="0" w:type="dxa"/>
          <w:right w:w="0" w:type="dxa"/>
        </w:tblCellMar>
      </w:tblPr>
      <w:tblGrid>
        <w:gridCol w:w="1850"/>
        <w:gridCol w:w="392"/>
        <w:gridCol w:w="2657"/>
      </w:tblGrid>
      <w:tr>
        <w:trPr/>
        <w:tc>
          <w:tcPr>
            <w:tcW w:w="185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TOWER SEMICONDUCTOR LTD.</w:t>
            </w:r>
          </w:p>
        </w:tc>
      </w:tr>
      <w:tr>
        <w:trPr/>
        <w:tc>
          <w:tcPr>
            <w:tcW w:w="1850"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17, 2026</w:t>
            </w:r>
          </w:p>
        </w:tc>
        <w:tc>
          <w:tcPr>
            <w:tcW w:w="3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57" w:type="dxa"/>
            <w:tcBorders>
              <w:bottom w:val="single" w:sz="12" w:space="0" w:color="000000"/>
            </w:tcBorders>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 Nati Somekh</w:t>
            </w:r>
          </w:p>
        </w:tc>
      </w:tr>
      <w:tr>
        <w:trPr/>
        <w:tc>
          <w:tcPr>
            <w:tcW w:w="2242" w:type="dxa"/>
            <w:gridSpan w:val="2"/>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Name:  Nati Somekh</w:t>
            </w:r>
          </w:p>
        </w:tc>
      </w:tr>
      <w:tr>
        <w:trPr/>
        <w:tc>
          <w:tcPr>
            <w:tcW w:w="2242" w:type="dxa"/>
            <w:gridSpan w:val="2"/>
            <w:tcBorders/>
            <w:vAlign w:val="center"/>
          </w:tcPr>
          <w:p>
            <w:pPr>
              <w:pStyle w:val="TableContents"/>
              <w:bidi w:val="0"/>
              <w:spacing w:before="0" w:after="0"/>
              <w:jc w:val="left"/>
              <w:rPr/>
            </w:pPr>
            <w:r>
              <w:rPr/>
              <w:t> </w:t>
            </w:r>
          </w:p>
        </w:tc>
        <w:tc>
          <w:tcPr>
            <w:tcW w:w="26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Title:  Corporate Secretary</w:t>
            </w:r>
          </w:p>
        </w:tc>
      </w:tr>
    </w:tbl>
    <w:p>
      <w:pPr>
        <w:pStyle w:val="TextBody"/>
        <w:bidi w:val="0"/>
        <w:spacing w:lineRule="auto" w:line="300" w:before="0" w:after="0"/>
        <w:jc w:val="left"/>
        <w:rPr/>
      </w:pPr>
      <w:r>
        <w:rPr/>
        <w:t> </w:t>
      </w:r>
    </w:p>
    <w:p>
      <w:pPr>
        <w:pStyle w:val="HorizontalLine"/>
        <w:pBdr>
          <w:bottom w:val="double" w:sz="2" w:space="0" w:color="808080"/>
        </w:pBdr>
        <w:bidi w:val="0"/>
        <w:spacing w:before="0" w:after="283"/>
        <w:jc w:val="left"/>
        <w:rPr/>
      </w:pPr>
      <w:r>
        <w:rPr/>
      </w:r>
    </w:p>
    <w:p>
      <w:pPr>
        <w:pStyle w:val="HorizontalLine"/>
        <w:bidi w:val="0"/>
        <w:spacing w:lineRule="auto" w:line="300"/>
        <w:jc w:val="right"/>
        <w:rPr/>
      </w:pPr>
      <w:r>
        <w:rPr/>
      </w:r>
      <w:bookmarkStart w:id="4" w:name="exhibit_99-1.htm"/>
      <w:bookmarkStart w:id="5" w:name="ksexhibit_991"/>
      <w:bookmarkStart w:id="6" w:name="exhibit_99-1.htm"/>
      <w:bookmarkStart w:id="7" w:name="ksexhibit_991"/>
      <w:bookmarkEnd w:id="6"/>
      <w:bookmarkEnd w:id="7"/>
      <w:r>
        <w:br w:type="page"/>
      </w:r>
    </w:p>
    <w:p>
      <w:pPr>
        <w:pStyle w:val="TextBody"/>
        <w:bidi w:val="0"/>
        <w:spacing w:lineRule="auto" w:line="300" w:before="0" w:after="0"/>
        <w:jc w:val="right"/>
        <w:rPr>
          <w:rFonts w:ascii="Times New Roman;Times;serif" w:hAnsi="Times New Roman;Times;serif"/>
          <w:b/>
          <w:sz w:val="20"/>
          <w:u w:val="single"/>
        </w:rPr>
      </w:pPr>
      <w:r>
        <w:rPr>
          <w:rFonts w:ascii="Times New Roman;Times;serif" w:hAnsi="Times New Roman;Times;serif"/>
          <w:b/>
          <w:sz w:val="20"/>
          <w:u w:val="single"/>
        </w:rPr>
        <w:t>Exhibit 99.1</w:t>
      </w:r>
    </w:p>
    <w:p>
      <w:pPr>
        <w:pStyle w:val="TextBody"/>
        <w:bidi w:val="0"/>
        <w:spacing w:lineRule="auto" w:line="300" w:before="0" w:after="0"/>
        <w:jc w:val="center"/>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AND SUBSIDIARIES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UNAUDITED CONDENSED INTERIM</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CONSOLIDATED FINANCIAL STATEMENTS</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AS OF JUNE 30, 2026</w:t>
      </w:r>
    </w:p>
    <w:p>
      <w:pPr>
        <w:pStyle w:val="TextBody"/>
        <w:bidi w:val="0"/>
        <w:spacing w:lineRule="auto" w:line="300" w:before="0" w:after="0"/>
        <w:jc w:val="left"/>
        <w:rPr/>
      </w:pPr>
      <w:r>
        <w:rPr/>
        <w:t> </w:t>
      </w:r>
    </w:p>
    <w:p>
      <w:pPr>
        <w:pStyle w:val="HorizontalLine"/>
        <w:bidi w:val="0"/>
        <w:spacing w:before="200" w:after="200"/>
        <w:jc w:val="left"/>
        <w:rPr/>
      </w:pPr>
      <w:r>
        <w:rPr/>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p>
      <w:pPr>
        <w:pStyle w:val="TextBody"/>
        <w:bidi w:val="0"/>
        <w:spacing w:lineRule="auto" w:line="300" w:before="0" w:after="0"/>
        <w:jc w:val="left"/>
        <w:rPr/>
      </w:pPr>
      <w:r>
        <w:rPr/>
        <w:t> </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INDEX TO UNAUDITED CONDENSED INTERIM</w:t>
      </w:r>
    </w:p>
    <w:p>
      <w:pPr>
        <w:pStyle w:val="TextBody"/>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CONSOLIDATED FINANCIAL STATEMENTS</w:t>
      </w:r>
    </w:p>
    <w:p>
      <w:pPr>
        <w:pStyle w:val="TextBody"/>
        <w:bidi w:val="0"/>
        <w:spacing w:lineRule="auto" w:line="300"/>
        <w:jc w:val="center"/>
        <w:rPr>
          <w:rFonts w:ascii="Times New Roman;Times;serif" w:hAnsi="Times New Roman;Times;serif"/>
          <w:b/>
          <w:sz w:val="20"/>
        </w:rPr>
      </w:pPr>
      <w:r>
        <w:rPr>
          <w:rFonts w:ascii="Times New Roman;Times;serif" w:hAnsi="Times New Roman;Times;serif"/>
          <w:b/>
          <w:sz w:val="20"/>
        </w:rPr>
        <w:t>AS OF JUNE 30, 2026</w:t>
      </w:r>
    </w:p>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5015"/>
        <w:gridCol w:w="890"/>
      </w:tblGrid>
      <w:tr>
        <w:trPr/>
        <w:tc>
          <w:tcPr>
            <w:tcW w:w="501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Page</w:t>
            </w:r>
          </w:p>
        </w:tc>
      </w:tr>
      <w:tr>
        <w:trPr/>
        <w:tc>
          <w:tcPr>
            <w:tcW w:w="501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lineRule="auto" w:line="300" w:before="0" w:after="0"/>
              <w:jc w:val="both"/>
              <w:rPr/>
            </w:pPr>
            <w:hyperlink w:anchor="BALANCESHEET">
              <w:r>
                <w:rPr>
                  <w:rStyle w:val="InternetLink"/>
                  <w:rFonts w:ascii="Times New Roman;Times;serif" w:hAnsi="Times New Roman;Times;serif"/>
                  <w:sz w:val="20"/>
                </w:rPr>
                <w:t>BALANCE SHEETS</w:t>
              </w:r>
            </w:hyperlink>
          </w:p>
        </w:tc>
        <w:tc>
          <w:tcPr>
            <w:tcW w:w="89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 - 2</w:t>
            </w:r>
          </w:p>
        </w:tc>
      </w:tr>
      <w:tr>
        <w:trPr/>
        <w:tc>
          <w:tcPr>
            <w:tcW w:w="501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r>
      <w:tr>
        <w:trPr/>
        <w:tc>
          <w:tcPr>
            <w:tcW w:w="5015" w:type="dxa"/>
            <w:tcBorders/>
            <w:vAlign w:val="center"/>
          </w:tcPr>
          <w:p>
            <w:pPr>
              <w:pStyle w:val="TableContents"/>
              <w:bidi w:val="0"/>
              <w:spacing w:lineRule="auto" w:line="300" w:before="0" w:after="0"/>
              <w:jc w:val="both"/>
              <w:rPr/>
            </w:pPr>
            <w:hyperlink w:anchor="OPERATIONS">
              <w:r>
                <w:rPr>
                  <w:rStyle w:val="InternetLink"/>
                  <w:rFonts w:ascii="Times New Roman;Times;serif" w:hAnsi="Times New Roman;Times;serif"/>
                  <w:sz w:val="20"/>
                </w:rPr>
                <w:t>STATEMENTS OF OPERATIONS</w:t>
              </w:r>
            </w:hyperlink>
          </w:p>
        </w:tc>
        <w:tc>
          <w:tcPr>
            <w:tcW w:w="89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 - 3</w:t>
            </w:r>
          </w:p>
        </w:tc>
      </w:tr>
      <w:tr>
        <w:trPr/>
        <w:tc>
          <w:tcPr>
            <w:tcW w:w="501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r>
      <w:tr>
        <w:trPr/>
        <w:tc>
          <w:tcPr>
            <w:tcW w:w="5015" w:type="dxa"/>
            <w:tcBorders/>
            <w:vAlign w:val="center"/>
          </w:tcPr>
          <w:p>
            <w:pPr>
              <w:pStyle w:val="TableContents"/>
              <w:bidi w:val="0"/>
              <w:spacing w:lineRule="auto" w:line="300" w:before="0" w:after="0"/>
              <w:jc w:val="both"/>
              <w:rPr/>
            </w:pPr>
            <w:hyperlink w:anchor="COMPREHENSIV">
              <w:r>
                <w:rPr>
                  <w:rStyle w:val="InternetLink"/>
                  <w:rFonts w:ascii="Times New Roman;Times;serif" w:hAnsi="Times New Roman;Times;serif"/>
                  <w:sz w:val="20"/>
                </w:rPr>
                <w:t>STATEMENTS OF COMPREHENSIVE INCOME</w:t>
              </w:r>
            </w:hyperlink>
          </w:p>
        </w:tc>
        <w:tc>
          <w:tcPr>
            <w:tcW w:w="89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 - 4</w:t>
            </w:r>
          </w:p>
        </w:tc>
      </w:tr>
      <w:tr>
        <w:trPr/>
        <w:tc>
          <w:tcPr>
            <w:tcW w:w="501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r>
      <w:tr>
        <w:trPr/>
        <w:tc>
          <w:tcPr>
            <w:tcW w:w="5015" w:type="dxa"/>
            <w:tcBorders/>
            <w:vAlign w:val="center"/>
          </w:tcPr>
          <w:p>
            <w:pPr>
              <w:pStyle w:val="TableContents"/>
              <w:bidi w:val="0"/>
              <w:spacing w:lineRule="auto" w:line="300" w:before="0" w:after="0"/>
              <w:jc w:val="both"/>
              <w:rPr/>
            </w:pPr>
            <w:hyperlink w:anchor="EQUIT">
              <w:r>
                <w:rPr>
                  <w:rStyle w:val="InternetLink"/>
                  <w:rFonts w:ascii="Times New Roman;Times;serif" w:hAnsi="Times New Roman;Times;serif"/>
                  <w:sz w:val="20"/>
                </w:rPr>
                <w:t>STATEMENT OF CHANGES IN SHAREHOLDERS’ EQUITY</w:t>
              </w:r>
            </w:hyperlink>
          </w:p>
        </w:tc>
        <w:tc>
          <w:tcPr>
            <w:tcW w:w="89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 - 5</w:t>
            </w:r>
          </w:p>
        </w:tc>
      </w:tr>
      <w:tr>
        <w:trPr/>
        <w:tc>
          <w:tcPr>
            <w:tcW w:w="501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r>
      <w:tr>
        <w:trPr/>
        <w:tc>
          <w:tcPr>
            <w:tcW w:w="5015" w:type="dxa"/>
            <w:tcBorders/>
            <w:vAlign w:val="center"/>
          </w:tcPr>
          <w:p>
            <w:pPr>
              <w:pStyle w:val="TableContents"/>
              <w:bidi w:val="0"/>
              <w:spacing w:lineRule="auto" w:line="300" w:before="0" w:after="0"/>
              <w:jc w:val="both"/>
              <w:rPr/>
            </w:pPr>
            <w:hyperlink w:anchor="CASHFLOWS">
              <w:r>
                <w:rPr>
                  <w:rStyle w:val="InternetLink"/>
                  <w:rFonts w:ascii="Times New Roman;Times;serif" w:hAnsi="Times New Roman;Times;serif"/>
                  <w:sz w:val="20"/>
                </w:rPr>
                <w:t>STATEMENTS OF CASH FLOWS</w:t>
              </w:r>
            </w:hyperlink>
          </w:p>
        </w:tc>
        <w:tc>
          <w:tcPr>
            <w:tcW w:w="89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 - 6 - F - 7</w:t>
            </w:r>
          </w:p>
        </w:tc>
      </w:tr>
      <w:tr>
        <w:trPr/>
        <w:tc>
          <w:tcPr>
            <w:tcW w:w="501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r>
      <w:tr>
        <w:trPr/>
        <w:tc>
          <w:tcPr>
            <w:tcW w:w="5015" w:type="dxa"/>
            <w:tcBorders/>
            <w:vAlign w:val="center"/>
          </w:tcPr>
          <w:p>
            <w:pPr>
              <w:pStyle w:val="TableContents"/>
              <w:bidi w:val="0"/>
              <w:spacing w:lineRule="auto" w:line="300" w:before="0" w:after="0"/>
              <w:jc w:val="both"/>
              <w:rPr/>
            </w:pPr>
            <w:hyperlink w:anchor="NOTES">
              <w:r>
                <w:rPr>
                  <w:rStyle w:val="InternetLink"/>
                  <w:rFonts w:ascii="Times New Roman;Times;serif" w:hAnsi="Times New Roman;Times;serif"/>
                  <w:sz w:val="20"/>
                </w:rPr>
                <w:t>NOTES TO FINANCIAL STATEMENTS</w:t>
              </w:r>
            </w:hyperlink>
          </w:p>
        </w:tc>
        <w:tc>
          <w:tcPr>
            <w:tcW w:w="890" w:type="dxa"/>
            <w:tcBorders/>
            <w:vAlign w:val="center"/>
          </w:tcPr>
          <w:p>
            <w:pPr>
              <w:pStyle w:val="TableContents"/>
              <w:bidi w:val="0"/>
              <w:spacing w:lineRule="auto" w:line="300" w:before="0" w:after="0"/>
              <w:jc w:val="center"/>
              <w:rPr>
                <w:rFonts w:ascii="Times New Roman;Times;serif" w:hAnsi="Times New Roman;Times;serif"/>
                <w:sz w:val="20"/>
              </w:rPr>
            </w:pPr>
            <w:r>
              <w:rPr>
                <w:rFonts w:ascii="Times New Roman;Times;serif" w:hAnsi="Times New Roman;Times;serif"/>
                <w:sz w:val="20"/>
              </w:rPr>
              <w:t>F - 8 - F - 9</w:t>
            </w:r>
          </w:p>
        </w:tc>
      </w:tr>
    </w:tbl>
    <w:p>
      <w:pPr>
        <w:pStyle w:val="TextBody"/>
        <w:bidi w:val="0"/>
        <w:spacing w:lineRule="auto" w:line="300"/>
        <w:jc w:val="left"/>
        <w:rPr/>
      </w:pPr>
      <w:r>
        <w:rPr/>
        <w:t> </w:t>
      </w:r>
    </w:p>
    <w:p>
      <w:pPr>
        <w:pStyle w:val="TextBody"/>
        <w:bidi w:val="0"/>
        <w:spacing w:before="0" w:after="0"/>
        <w:jc w:val="left"/>
        <w:rPr/>
      </w:pPr>
      <w:r>
        <w:rPr/>
        <w:t> </w:t>
      </w:r>
    </w:p>
    <w:p>
      <w:pPr>
        <w:pStyle w:val="HorizontalLine"/>
        <w:bidi w:val="0"/>
        <w:spacing w:before="200" w:after="200"/>
        <w:jc w:val="left"/>
        <w:rPr/>
      </w:pPr>
      <w:r>
        <w:rPr/>
      </w:r>
    </w:p>
    <w:tbl>
      <w:tblPr>
        <w:tblW w:w="6890" w:type="dxa"/>
        <w:jc w:val="left"/>
        <w:tblInd w:w="0" w:type="dxa"/>
        <w:tblLayout w:type="fixed"/>
        <w:tblCellMar>
          <w:top w:w="0" w:type="dxa"/>
          <w:left w:w="0" w:type="dxa"/>
          <w:bottom w:w="0" w:type="dxa"/>
          <w:right w:w="0" w:type="dxa"/>
        </w:tblCellMar>
      </w:tblPr>
      <w:tblGrid>
        <w:gridCol w:w="6890"/>
      </w:tblGrid>
      <w:tr>
        <w:trPr/>
        <w:tc>
          <w:tcPr>
            <w:tcW w:w="689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689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CONDENSED INTERIM CONSOLIDATED BALANCE SHEET</w:t>
            </w:r>
            <w:bookmarkStart w:id="8" w:name="BALANCESHEET"/>
            <w:bookmarkEnd w:id="8"/>
            <w:r>
              <w:rPr>
                <w:rFonts w:ascii="Times New Roman;Times;serif" w:hAnsi="Times New Roman;Times;serif"/>
                <w:b/>
                <w:sz w:val="20"/>
              </w:rPr>
              <w:t>S (UNAUDITED)</w:t>
            </w:r>
          </w:p>
        </w:tc>
      </w:tr>
      <w:tr>
        <w:trPr/>
        <w:tc>
          <w:tcPr>
            <w:tcW w:w="689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lineRule="auto" w:line="300" w:before="0" w:after="0"/>
        <w:jc w:val="left"/>
        <w:rPr/>
      </w:pPr>
      <w:r>
        <w:rPr/>
        <w:t> </w:t>
      </w:r>
    </w:p>
    <w:tbl>
      <w:tblPr>
        <w:tblW w:w="7489" w:type="dxa"/>
        <w:jc w:val="left"/>
        <w:tblInd w:w="0" w:type="dxa"/>
        <w:tblLayout w:type="fixed"/>
        <w:tblCellMar>
          <w:top w:w="0" w:type="dxa"/>
          <w:left w:w="0" w:type="dxa"/>
          <w:bottom w:w="0" w:type="dxa"/>
          <w:right w:w="0" w:type="dxa"/>
        </w:tblCellMar>
      </w:tblPr>
      <w:tblGrid>
        <w:gridCol w:w="4955"/>
        <w:gridCol w:w="60"/>
        <w:gridCol w:w="125"/>
        <w:gridCol w:w="980"/>
        <w:gridCol w:w="60"/>
        <w:gridCol w:w="60"/>
        <w:gridCol w:w="132"/>
        <w:gridCol w:w="1042"/>
        <w:gridCol w:w="7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December 31,</w:t>
            </w:r>
          </w:p>
        </w:tc>
        <w:tc>
          <w:tcPr>
            <w:tcW w:w="7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10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CURRENT ASSETS</w:t>
            </w:r>
          </w:p>
        </w:tc>
        <w:tc>
          <w:tcPr>
            <w:tcW w:w="60" w:type="dxa"/>
            <w:tcBorders/>
            <w:shd w:fill="CCEEFF" w:val="clear"/>
            <w:vAlign w:val="center"/>
          </w:tcPr>
          <w:p>
            <w:pPr>
              <w:pStyle w:val="TableContents"/>
              <w:bidi w:val="0"/>
              <w:spacing w:before="0" w:after="283"/>
              <w:jc w:val="left"/>
              <w:rPr/>
            </w:pPr>
            <w:r>
              <w:rPr/>
              <w:t> </w:t>
            </w:r>
          </w:p>
        </w:tc>
        <w:tc>
          <w:tcPr>
            <w:tcW w:w="110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4"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Cash and cash equivalents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80" w:type="dxa"/>
            <w:tcBorders/>
            <w:vAlign w:val="center"/>
          </w:tcPr>
          <w:p>
            <w:pPr>
              <w:pStyle w:val="TableContents"/>
              <w:bidi w:val="0"/>
              <w:spacing w:lineRule="auto" w:line="300" w:before="0" w:after="0"/>
              <w:jc w:val="right"/>
              <w:rPr>
                <w:b/>
              </w:rPr>
            </w:pPr>
            <w:r>
              <w:rPr>
                <w:b/>
              </w:rPr>
              <w:t>231,188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42" w:type="dxa"/>
            <w:tcBorders/>
            <w:vAlign w:val="center"/>
          </w:tcPr>
          <w:p>
            <w:pPr>
              <w:pStyle w:val="TableContents"/>
              <w:bidi w:val="0"/>
              <w:spacing w:lineRule="auto" w:line="300" w:before="0" w:after="0"/>
              <w:jc w:val="right"/>
              <w:rPr>
                <w:b/>
              </w:rPr>
            </w:pPr>
            <w:r>
              <w:rPr>
                <w:b/>
              </w:rPr>
              <w:t>235,369</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Short-term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1,250,225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lineRule="auto" w:line="300" w:before="0" w:after="0"/>
              <w:jc w:val="right"/>
              <w:rPr>
                <w:b/>
              </w:rPr>
            </w:pPr>
            <w:r>
              <w:rPr>
                <w:b/>
              </w:rPr>
              <w:t>916,541</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Trade accounts receivable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202,871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b/>
              </w:rPr>
            </w:pPr>
            <w:r>
              <w:rPr>
                <w:b/>
              </w:rPr>
              <w:t>222,795</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244,356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lineRule="auto" w:line="300" w:before="0" w:after="0"/>
              <w:jc w:val="right"/>
              <w:rPr>
                <w:b/>
              </w:rPr>
            </w:pPr>
            <w:r>
              <w:rPr>
                <w:b/>
              </w:rPr>
              <w:t>256,855</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Other current assets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57,330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78,062</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1,985,970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b/>
              </w:rPr>
            </w:pPr>
            <w:r>
              <w:rPr>
                <w:b/>
              </w:rPr>
              <w:t>1,709,622</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PROPERTY AND EQUIPMENT, NET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1,649,600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b/>
              </w:rPr>
            </w:pPr>
            <w:r>
              <w:rPr>
                <w:b/>
              </w:rPr>
              <w:t>1,463,056</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lineRule="auto" w:line="300" w:before="0" w:after="0"/>
              <w:jc w:val="right"/>
              <w:rPr>
                <w:b/>
              </w:rPr>
            </w:pPr>
            <w:r>
              <w:rPr>
                <w:b/>
              </w:rPr>
              <w:t>1,530</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GOODWILL</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b/>
              </w:rPr>
            </w:pPr>
            <w:r>
              <w:rPr>
                <w:b/>
              </w:rPr>
              <w:t>7,000</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OTHER LONG-TERM ASSETS,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127,980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141,082</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3,771,436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4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3,322,290</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Current maturities of long-term debt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80" w:type="dxa"/>
            <w:tcBorders/>
            <w:vAlign w:val="center"/>
          </w:tcPr>
          <w:p>
            <w:pPr>
              <w:pStyle w:val="TableContents"/>
              <w:bidi w:val="0"/>
              <w:spacing w:lineRule="auto" w:line="300" w:before="0" w:after="0"/>
              <w:jc w:val="right"/>
              <w:rPr>
                <w:b/>
              </w:rPr>
            </w:pPr>
            <w:r>
              <w:rPr>
                <w:b/>
              </w:rPr>
              <w:t>16,921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42" w:type="dxa"/>
            <w:tcBorders/>
            <w:vAlign w:val="center"/>
          </w:tcPr>
          <w:p>
            <w:pPr>
              <w:pStyle w:val="TableContents"/>
              <w:bidi w:val="0"/>
              <w:spacing w:lineRule="auto" w:line="300" w:before="0" w:after="0"/>
              <w:jc w:val="right"/>
              <w:rPr>
                <w:b/>
              </w:rPr>
            </w:pPr>
            <w:r>
              <w:rPr>
                <w:b/>
              </w:rPr>
              <w:t>28,112</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Trade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122,605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lineRule="auto" w:line="300" w:before="0" w:after="0"/>
              <w:jc w:val="right"/>
              <w:rPr>
                <w:b/>
              </w:rPr>
            </w:pPr>
            <w:r>
              <w:rPr>
                <w:b/>
              </w:rPr>
              <w:t>123,915</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Deferred revenue and customers' advances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176,038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b/>
              </w:rPr>
            </w:pPr>
            <w:r>
              <w:rPr>
                <w:b/>
              </w:rPr>
              <w:t>25,581</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Employee related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74,398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lineRule="auto" w:line="300" w:before="0" w:after="0"/>
              <w:jc w:val="right"/>
              <w:rPr>
                <w:b/>
              </w:rPr>
            </w:pPr>
            <w:r>
              <w:rPr>
                <w:b/>
              </w:rPr>
              <w:t>70,299</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Other current liabilities</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14,249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15,840</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404,211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b/>
              </w:rPr>
            </w:pPr>
            <w:r>
              <w:rPr>
                <w:b/>
              </w:rPr>
              <w:t>263,747</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LONG-TERM DEBT</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124,775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b/>
              </w:rPr>
            </w:pPr>
            <w:r>
              <w:rPr>
                <w:b/>
              </w:rPr>
              <w:t>133,406</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LONG-TERM CUSTOMERS' ADVANCES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145,368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lineRule="auto" w:line="300" w:before="0" w:after="0"/>
              <w:jc w:val="right"/>
              <w:rPr>
                <w:b/>
              </w:rPr>
            </w:pPr>
            <w:r>
              <w:rPr>
                <w:b/>
              </w:rPr>
              <w:t>1,932</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EMPLOYEE RELATED LIABILITIES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10,186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lineRule="auto" w:line="300" w:before="0" w:after="0"/>
              <w:jc w:val="right"/>
              <w:rPr>
                <w:b/>
              </w:rPr>
            </w:pPr>
            <w:r>
              <w:rPr>
                <w:b/>
              </w:rPr>
              <w:t>6,448</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OTHER LONG-TERM LIABILITIES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15,524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12,174</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700,064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417,707</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3,071,372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4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2,904,583</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3,771,436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4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3,322,290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4445" w:type="dxa"/>
        <w:jc w:val="left"/>
        <w:tblInd w:w="0" w:type="dxa"/>
        <w:tblLayout w:type="fixed"/>
        <w:tblCellMar>
          <w:top w:w="0" w:type="dxa"/>
          <w:left w:w="0" w:type="dxa"/>
          <w:bottom w:w="0" w:type="dxa"/>
          <w:right w:w="0" w:type="dxa"/>
        </w:tblCellMar>
      </w:tblPr>
      <w:tblGrid>
        <w:gridCol w:w="4190"/>
        <w:gridCol w:w="60"/>
        <w:gridCol w:w="60"/>
        <w:gridCol w:w="60"/>
        <w:gridCol w:w="75"/>
      </w:tblGrid>
      <w:tr>
        <w:trPr/>
        <w:tc>
          <w:tcPr>
            <w:tcW w:w="41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the consolidated financial statements.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- 2</w:t>
      </w:r>
    </w:p>
    <w:p>
      <w:pPr>
        <w:pStyle w:val="HorizontalLine"/>
        <w:bidi w:val="0"/>
        <w:spacing w:before="200" w:after="200"/>
        <w:jc w:val="left"/>
        <w:rPr/>
      </w:pPr>
      <w:r>
        <w:rPr/>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8105"/>
      </w:tblGrid>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CONDENSED INTERIM CONSOLIDATED STATEMENTS OF</w:t>
            </w:r>
            <w:bookmarkStart w:id="9" w:name="OPERATIONS"/>
            <w:bookmarkEnd w:id="9"/>
            <w:r>
              <w:rPr>
                <w:rFonts w:ascii="Times New Roman;Times;serif" w:hAnsi="Times New Roman;Times;serif"/>
                <w:b/>
                <w:sz w:val="20"/>
              </w:rPr>
              <w:t xml:space="preserve"> OPERATIONS (UNAUDITED)</w:t>
            </w:r>
          </w:p>
        </w:tc>
      </w:tr>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and shares in thousands, except per share data)</w:t>
            </w:r>
          </w:p>
        </w:tc>
      </w:tr>
    </w:tbl>
    <w:p>
      <w:pPr>
        <w:pStyle w:val="TextBody"/>
        <w:bidi w:val="0"/>
        <w:spacing w:lineRule="auto" w:line="300" w:before="0" w:after="0"/>
        <w:jc w:val="left"/>
        <w:rPr/>
      </w:pPr>
      <w:r>
        <w:rPr/>
        <w:t> </w:t>
      </w:r>
    </w:p>
    <w:tbl>
      <w:tblPr>
        <w:tblW w:w="9769" w:type="dxa"/>
        <w:jc w:val="left"/>
        <w:tblInd w:w="0" w:type="dxa"/>
        <w:tblLayout w:type="fixed"/>
        <w:tblCellMar>
          <w:top w:w="0" w:type="dxa"/>
          <w:left w:w="0" w:type="dxa"/>
          <w:bottom w:w="0" w:type="dxa"/>
          <w:right w:w="0" w:type="dxa"/>
        </w:tblCellMar>
      </w:tblPr>
      <w:tblGrid>
        <w:gridCol w:w="4760"/>
        <w:gridCol w:w="60"/>
        <w:gridCol w:w="140"/>
        <w:gridCol w:w="900"/>
        <w:gridCol w:w="90"/>
        <w:gridCol w:w="67"/>
        <w:gridCol w:w="140"/>
        <w:gridCol w:w="900"/>
        <w:gridCol w:w="80"/>
        <w:gridCol w:w="60"/>
        <w:gridCol w:w="164"/>
        <w:gridCol w:w="914"/>
        <w:gridCol w:w="105"/>
        <w:gridCol w:w="78"/>
        <w:gridCol w:w="164"/>
        <w:gridCol w:w="1052"/>
        <w:gridCol w:w="95"/>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7"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7"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Three months ended June 30,</w:t>
            </w:r>
          </w:p>
        </w:tc>
        <w:tc>
          <w:tcPr>
            <w:tcW w:w="95"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8"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216"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00" w:type="dxa"/>
            <w:tcBorders/>
            <w:shd w:fill="CCEEFF" w:val="clear"/>
            <w:vAlign w:val="center"/>
          </w:tcPr>
          <w:p>
            <w:pPr>
              <w:pStyle w:val="TableContents"/>
              <w:bidi w:val="0"/>
              <w:spacing w:lineRule="auto" w:line="300" w:before="0" w:after="0"/>
              <w:jc w:val="right"/>
              <w:rPr>
                <w:b/>
              </w:rPr>
            </w:pPr>
            <w:r>
              <w:rPr>
                <w:b/>
              </w:rPr>
              <w:t>873,710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00" w:type="dxa"/>
            <w:tcBorders/>
            <w:shd w:fill="CCEEFF" w:val="clear"/>
            <w:vAlign w:val="center"/>
          </w:tcPr>
          <w:p>
            <w:pPr>
              <w:pStyle w:val="TableContents"/>
              <w:bidi w:val="0"/>
              <w:spacing w:lineRule="auto" w:line="300" w:before="0" w:after="0"/>
              <w:jc w:val="right"/>
              <w:rPr>
                <w:b/>
              </w:rPr>
            </w:pPr>
            <w:r>
              <w:rPr>
                <w:b/>
              </w:rPr>
              <w:t>730,231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14"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460,079</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52" w:type="dxa"/>
            <w:tcBorders/>
            <w:shd w:fill="CCEEFF" w:val="clear"/>
            <w:vAlign w:val="center"/>
          </w:tcPr>
          <w:p>
            <w:pPr>
              <w:pStyle w:val="TableContents"/>
              <w:bidi w:val="0"/>
              <w:spacing w:lineRule="auto" w:line="300" w:before="0" w:after="0"/>
              <w:jc w:val="right"/>
              <w:rPr>
                <w:b/>
              </w:rPr>
            </w:pPr>
            <w:r>
              <w:rPr>
                <w:b/>
              </w:rPr>
              <w:t>372,061</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624,987</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577,034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322,307</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292,035</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GROSS PROFIT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248,723</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153,197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137,772</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80,026</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OPERATING COSTS AND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lineRule="auto" w:line="300" w:before="0" w:after="0"/>
              <w:jc w:val="right"/>
              <w:rPr>
                <w:b/>
              </w:rPr>
            </w:pPr>
            <w:r>
              <w:rPr>
                <w:b/>
              </w:rPr>
              <w:t>47,099</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lineRule="auto" w:line="300" w:before="0" w:after="0"/>
              <w:jc w:val="right"/>
              <w:rPr>
                <w:b/>
              </w:rPr>
            </w:pPr>
            <w:r>
              <w:rPr>
                <w:b/>
              </w:rPr>
              <w:t>39,590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23,569</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lineRule="auto" w:line="300" w:before="0" w:after="0"/>
              <w:jc w:val="right"/>
              <w:rPr>
                <w:b/>
              </w:rPr>
            </w:pPr>
            <w:r>
              <w:rPr>
                <w:b/>
              </w:rPr>
              <w:t>19,418</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Marketing, general and administrative</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46,769</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40,844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23,913</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20,743</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93,868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80,434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47,482</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40,161</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OPERATING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lineRule="auto" w:line="300" w:before="0" w:after="0"/>
              <w:jc w:val="right"/>
              <w:rPr>
                <w:b/>
              </w:rPr>
            </w:pPr>
            <w:r>
              <w:rPr>
                <w:b/>
              </w:rPr>
              <w:t>154,855</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lineRule="auto" w:line="300" w:before="0" w:after="0"/>
              <w:jc w:val="right"/>
              <w:rPr>
                <w:b/>
              </w:rPr>
            </w:pPr>
            <w:r>
              <w:rPr>
                <w:b/>
              </w:rPr>
              <w:t>72,763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90,290</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lineRule="auto" w:line="300" w:before="0" w:after="0"/>
              <w:jc w:val="right"/>
              <w:rPr>
                <w:b/>
              </w:rPr>
            </w:pPr>
            <w:r>
              <w:rPr>
                <w:b/>
              </w:rPr>
              <w:t>39,865</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FINANCING AND 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25,420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24,985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15,902</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14,387</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PROFIT BEFORE INCOME TAX</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lineRule="auto" w:line="300" w:before="0" w:after="0"/>
              <w:jc w:val="right"/>
              <w:rPr>
                <w:b/>
              </w:rPr>
            </w:pPr>
            <w:r>
              <w:rPr>
                <w:b/>
              </w:rPr>
              <w:t>180,275</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lineRule="auto" w:line="300" w:before="0" w:after="0"/>
              <w:jc w:val="right"/>
              <w:rPr>
                <w:b/>
              </w:rPr>
            </w:pPr>
            <w:r>
              <w:rPr>
                <w:b/>
              </w:rPr>
              <w:t>97,748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106,192</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lineRule="auto" w:line="300" w:before="0" w:after="0"/>
              <w:jc w:val="right"/>
              <w:rPr>
                <w:b/>
              </w:rPr>
            </w:pPr>
            <w:r>
              <w:rPr>
                <w:b/>
              </w:rPr>
              <w:t>54,252</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INCOME TAX EXPENSE, NET</w:t>
            </w:r>
          </w:p>
        </w:tc>
        <w:tc>
          <w:tcPr>
            <w:tcW w:w="6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(22,091</w:t>
            </w:r>
          </w:p>
        </w:tc>
        <w:tc>
          <w:tcPr>
            <w:tcW w:w="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7"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(12,439</w:t>
            </w:r>
          </w:p>
        </w:tc>
        <w:tc>
          <w:tcPr>
            <w:tcW w:w="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(15,573</w:t>
            </w:r>
          </w:p>
        </w:tc>
        <w:tc>
          <w:tcPr>
            <w:tcW w:w="1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78"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(8,660</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4760" w:type="dxa"/>
            <w:tcBorders/>
            <w:shd w:fill="CCEEFF" w:val="clear"/>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NET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lineRule="auto" w:line="300" w:before="0" w:after="0"/>
              <w:jc w:val="right"/>
              <w:rPr>
                <w:b/>
              </w:rPr>
            </w:pPr>
            <w:r>
              <w:rPr>
                <w:b/>
              </w:rPr>
              <w:t>158,184</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lineRule="auto" w:line="300" w:before="0" w:after="0"/>
              <w:jc w:val="right"/>
              <w:rPr>
                <w:b/>
              </w:rPr>
            </w:pPr>
            <w:r>
              <w:rPr>
                <w:b/>
              </w:rPr>
              <w:t>85,309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90,619</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lineRule="auto" w:line="300" w:before="0" w:after="0"/>
              <w:jc w:val="right"/>
              <w:rPr>
                <w:b/>
              </w:rPr>
            </w:pPr>
            <w:r>
              <w:rPr>
                <w:b/>
              </w:rPr>
              <w:t>45,592</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Net loss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(2,383</w:t>
            </w:r>
          </w:p>
        </w:tc>
        <w:tc>
          <w:tcPr>
            <w:tcW w:w="9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1,384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150</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959</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NET PROFIT ATTRIBUTABLE TO THE COMPANY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155,801</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86,693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1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90,769</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5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46,551</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BASIC EARNINGS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0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1.38</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0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0.78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1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0.80</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52"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0.42</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Weighted average number of shares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112,738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111,693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112,910</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111,810</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DILUTED EARNINGS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Earnings per share</w:t>
            </w:r>
          </w:p>
        </w:tc>
        <w:tc>
          <w:tcPr>
            <w:tcW w:w="60"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0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1.36</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0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0.77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14" w:type="dxa"/>
            <w:tcBorders>
              <w:bottom w:val="double" w:sz="8" w:space="0" w:color="000000"/>
            </w:tcBorders>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0.79</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52"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0.41</w:t>
            </w:r>
          </w:p>
        </w:tc>
        <w:tc>
          <w:tcPr>
            <w:tcW w:w="95"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Weighted average number of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lineRule="auto" w:line="300" w:before="0" w:after="0"/>
              <w:ind w:left="540" w:right="0" w:hanging="0"/>
              <w:jc w:val="left"/>
              <w:rPr/>
            </w:pPr>
            <w:r>
              <w:rPr/>
              <w:t xml:space="preserve">   </w:t>
            </w:r>
            <w:r>
              <w:rPr>
                <w:rFonts w:ascii="Times New Roman;Times;serif" w:hAnsi="Times New Roman;Times;serif"/>
                <w:b/>
                <w:sz w:val="20"/>
              </w:rPr>
              <w:t>used for diluted earnings per share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114,340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113,218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114,427</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113,282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4625" w:type="dxa"/>
        <w:jc w:val="left"/>
        <w:tblInd w:w="0" w:type="dxa"/>
        <w:tblLayout w:type="fixed"/>
        <w:tblCellMar>
          <w:top w:w="0" w:type="dxa"/>
          <w:left w:w="0" w:type="dxa"/>
          <w:bottom w:w="0" w:type="dxa"/>
          <w:right w:w="0" w:type="dxa"/>
        </w:tblCellMar>
      </w:tblPr>
      <w:tblGrid>
        <w:gridCol w:w="4190"/>
        <w:gridCol w:w="60"/>
        <w:gridCol w:w="60"/>
        <w:gridCol w:w="60"/>
        <w:gridCol w:w="60"/>
        <w:gridCol w:w="60"/>
        <w:gridCol w:w="60"/>
        <w:gridCol w:w="75"/>
      </w:tblGrid>
      <w:tr>
        <w:trPr/>
        <w:tc>
          <w:tcPr>
            <w:tcW w:w="41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the consolidated financial statements.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lineRule="auto" w:line="300"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- 3</w:t>
      </w:r>
    </w:p>
    <w:p>
      <w:pPr>
        <w:pStyle w:val="HorizontalLine"/>
        <w:bidi w:val="0"/>
        <w:spacing w:lineRule="auto" w:line="300" w:before="200" w:after="200"/>
        <w:jc w:val="left"/>
        <w:rPr/>
      </w:pPr>
      <w:r>
        <w:rPr/>
      </w:r>
    </w:p>
    <w:p>
      <w:pPr>
        <w:pStyle w:val="TextBody"/>
        <w:bidi w:val="0"/>
        <w:spacing w:lineRule="auto" w:line="300" w:before="0" w:after="0"/>
        <w:jc w:val="left"/>
        <w:rPr/>
      </w:pPr>
      <w:r>
        <w:rPr/>
        <w:t> </w:t>
      </w:r>
    </w:p>
    <w:tbl>
      <w:tblPr>
        <w:tblW w:w="10070" w:type="dxa"/>
        <w:jc w:val="left"/>
        <w:tblInd w:w="0" w:type="dxa"/>
        <w:tblLayout w:type="fixed"/>
        <w:tblCellMar>
          <w:top w:w="0" w:type="dxa"/>
          <w:left w:w="0" w:type="dxa"/>
          <w:bottom w:w="0" w:type="dxa"/>
          <w:right w:w="0" w:type="dxa"/>
        </w:tblCellMar>
      </w:tblPr>
      <w:tblGrid>
        <w:gridCol w:w="10070"/>
      </w:tblGrid>
      <w:tr>
        <w:trPr/>
        <w:tc>
          <w:tcPr>
            <w:tcW w:w="1007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1007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CONDENSED INTERIM CONSOLIDATED STATEMENTS OF</w:t>
            </w:r>
            <w:bookmarkStart w:id="10" w:name="COMPREHENSIV"/>
            <w:bookmarkEnd w:id="10"/>
            <w:r>
              <w:rPr>
                <w:rFonts w:ascii="Times New Roman;Times;serif" w:hAnsi="Times New Roman;Times;serif"/>
                <w:b/>
                <w:sz w:val="20"/>
              </w:rPr>
              <w:t xml:space="preserve"> COMPREHENSIVE INCOME (LOSS) (UNAUDITED)</w:t>
            </w:r>
          </w:p>
        </w:tc>
      </w:tr>
      <w:tr>
        <w:trPr/>
        <w:tc>
          <w:tcPr>
            <w:tcW w:w="10070"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lineRule="auto" w:line="300" w:before="0" w:after="0"/>
        <w:jc w:val="left"/>
        <w:rPr/>
      </w:pPr>
      <w:r>
        <w:rPr/>
        <w:t> </w:t>
      </w:r>
    </w:p>
    <w:tbl>
      <w:tblPr>
        <w:tblW w:w="8187" w:type="dxa"/>
        <w:jc w:val="left"/>
        <w:tblInd w:w="0" w:type="dxa"/>
        <w:tblLayout w:type="fixed"/>
        <w:tblCellMar>
          <w:top w:w="0" w:type="dxa"/>
          <w:left w:w="0" w:type="dxa"/>
          <w:bottom w:w="0" w:type="dxa"/>
          <w:right w:w="0" w:type="dxa"/>
        </w:tblCellMar>
      </w:tblPr>
      <w:tblGrid>
        <w:gridCol w:w="5795"/>
        <w:gridCol w:w="60"/>
        <w:gridCol w:w="140"/>
        <w:gridCol w:w="900"/>
        <w:gridCol w:w="90"/>
        <w:gridCol w:w="67"/>
        <w:gridCol w:w="140"/>
        <w:gridCol w:w="900"/>
        <w:gridCol w:w="95"/>
      </w:tblGrid>
      <w:tr>
        <w:trPr/>
        <w:tc>
          <w:tcPr>
            <w:tcW w:w="5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7"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95" w:type="dxa"/>
            <w:tcBorders/>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Net profit</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00"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158,184</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00" w:type="dxa"/>
            <w:tcBorders/>
            <w:shd w:fill="CCEEFF" w:val="cle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85,309</w:t>
            </w:r>
          </w:p>
        </w:tc>
        <w:tc>
          <w:tcPr>
            <w:tcW w:w="95" w:type="dxa"/>
            <w:tcBorders/>
            <w:shd w:fill="CCEEFF"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Other comprehensive income, net of tax:</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Foreign currency translation adjustment</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lineRule="auto" w:line="300" w:before="0" w:after="0"/>
              <w:jc w:val="right"/>
              <w:rPr>
                <w:b/>
              </w:rPr>
            </w:pPr>
            <w:r>
              <w:rPr>
                <w:b/>
              </w:rPr>
              <w:t>(9,162</w:t>
            </w:r>
          </w:p>
        </w:tc>
        <w:tc>
          <w:tcPr>
            <w:tcW w:w="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7"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lineRule="auto" w:line="300" w:before="0" w:after="0"/>
              <w:jc w:val="right"/>
              <w:rPr>
                <w:b/>
              </w:rPr>
            </w:pPr>
            <w:r>
              <w:rPr>
                <w:b/>
              </w:rPr>
              <w:t>17,087</w:t>
            </w:r>
          </w:p>
        </w:tc>
        <w:tc>
          <w:tcPr>
            <w:tcW w:w="95" w:type="dxa"/>
            <w:tcBorders/>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Unrealized gain (loss) on derivatives</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lineRule="auto" w:line="300" w:before="0" w:after="0"/>
              <w:jc w:val="right"/>
              <w:rPr>
                <w:b/>
              </w:rPr>
            </w:pPr>
            <w:r>
              <w:rPr>
                <w:b/>
              </w:rPr>
              <w:t>(1,097</w:t>
            </w:r>
          </w:p>
        </w:tc>
        <w:tc>
          <w:tcPr>
            <w:tcW w:w="9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lineRule="auto" w:line="300" w:before="0" w:after="0"/>
              <w:jc w:val="right"/>
              <w:rPr>
                <w:b/>
              </w:rPr>
            </w:pPr>
            <w:r>
              <w:rPr>
                <w:b/>
              </w:rPr>
              <w:t>11,660</w:t>
            </w:r>
          </w:p>
        </w:tc>
        <w:tc>
          <w:tcPr>
            <w:tcW w:w="95" w:type="dxa"/>
            <w:tcBorders/>
            <w:shd w:fill="CCEEFF"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Change in employees plan assets and benefit obligations</w:t>
            </w:r>
          </w:p>
        </w:tc>
        <w:tc>
          <w:tcPr>
            <w:tcW w:w="60" w:type="dxa"/>
            <w:tcBorders/>
            <w:vAlign w:val="center"/>
          </w:tcPr>
          <w:p>
            <w:pPr>
              <w:pStyle w:val="TableContents"/>
              <w:bidi w:val="0"/>
              <w:spacing w:before="0" w:after="283"/>
              <w:jc w:val="righ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(8</w:t>
            </w:r>
          </w:p>
        </w:tc>
        <w:tc>
          <w:tcPr>
            <w:tcW w:w="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7" w:type="dxa"/>
            <w:tcBorders/>
            <w:vAlign w:val="center"/>
          </w:tcPr>
          <w:p>
            <w:pPr>
              <w:pStyle w:val="TableContents"/>
              <w:bidi w:val="0"/>
              <w:spacing w:before="0" w:after="283"/>
              <w:jc w:val="righ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43</w:t>
            </w:r>
          </w:p>
        </w:tc>
        <w:tc>
          <w:tcPr>
            <w:tcW w:w="95" w:type="dxa"/>
            <w:tcBorders/>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Comprehensive income</w:t>
            </w:r>
          </w:p>
        </w:tc>
        <w:tc>
          <w:tcPr>
            <w:tcW w:w="60"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lineRule="auto" w:line="300" w:before="0" w:after="0"/>
              <w:jc w:val="right"/>
              <w:rPr>
                <w:b/>
              </w:rPr>
            </w:pPr>
            <w:r>
              <w:rPr>
                <w:b/>
              </w:rPr>
              <w:t>147,917</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lineRule="auto" w:line="300" w:before="0" w:after="0"/>
              <w:jc w:val="right"/>
              <w:rPr>
                <w:b/>
              </w:rPr>
            </w:pPr>
            <w:r>
              <w:rPr>
                <w:b/>
              </w:rPr>
              <w:t>114,099</w:t>
            </w:r>
          </w:p>
        </w:tc>
        <w:tc>
          <w:tcPr>
            <w:tcW w:w="95" w:type="dxa"/>
            <w:tcBorders/>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7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Comprehensive loss (income) attributable to non-controlling interest</w:t>
            </w:r>
          </w:p>
        </w:tc>
        <w:tc>
          <w:tcPr>
            <w:tcW w:w="60" w:type="dxa"/>
            <w:tcBorders/>
            <w:vAlign w:val="center"/>
          </w:tcPr>
          <w:p>
            <w:pPr>
              <w:pStyle w:val="TableContents"/>
              <w:bidi w:val="0"/>
              <w:spacing w:before="0" w:after="283"/>
              <w:jc w:val="righ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57</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righ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(4,436</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795"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Comprehensive income attributable to the Company</w:t>
            </w:r>
          </w:p>
        </w:tc>
        <w:tc>
          <w:tcPr>
            <w:tcW w:w="60" w:type="dxa"/>
            <w:tcBorders/>
            <w:shd w:fill="CCEEFF" w:val="clear"/>
            <w:vAlign w:val="center"/>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147,974</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right"/>
              <w:rPr/>
            </w:pPr>
            <w:r>
              <w:rPr/>
              <w:t> </w:t>
            </w:r>
          </w:p>
        </w:tc>
        <w:tc>
          <w:tcPr>
            <w:tcW w:w="14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109,663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4385" w:type="dxa"/>
        <w:jc w:val="left"/>
        <w:tblInd w:w="0" w:type="dxa"/>
        <w:tblLayout w:type="fixed"/>
        <w:tblCellMar>
          <w:top w:w="0" w:type="dxa"/>
          <w:left w:w="0" w:type="dxa"/>
          <w:bottom w:w="0" w:type="dxa"/>
          <w:right w:w="0" w:type="dxa"/>
        </w:tblCellMar>
      </w:tblPr>
      <w:tblGrid>
        <w:gridCol w:w="4190"/>
        <w:gridCol w:w="60"/>
        <w:gridCol w:w="60"/>
        <w:gridCol w:w="75"/>
      </w:tblGrid>
      <w:tr>
        <w:trPr/>
        <w:tc>
          <w:tcPr>
            <w:tcW w:w="41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the consolidated financial statements.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- 4</w:t>
      </w:r>
    </w:p>
    <w:p>
      <w:pPr>
        <w:pStyle w:val="HorizontalLine"/>
        <w:bidi w:val="0"/>
        <w:spacing w:before="200" w:after="200"/>
        <w:jc w:val="left"/>
        <w:rPr/>
      </w:pPr>
      <w:r>
        <w:rPr/>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102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CONDENSED INTERIM CONSOLIDATED STATEMENT OF CHANGES IN SHAREHOLDERS'</w:t>
            </w:r>
            <w:bookmarkStart w:id="11" w:name="EQUIT"/>
            <w:bookmarkEnd w:id="11"/>
            <w:r>
              <w:rPr>
                <w:rFonts w:ascii="Times New Roman;Times;serif" w:hAnsi="Times New Roman;Times;serif"/>
                <w:b/>
                <w:sz w:val="20"/>
              </w:rPr>
              <w:t xml:space="preserve"> EQUITY (UNAUDITED)</w:t>
            </w:r>
          </w:p>
        </w:tc>
      </w:tr>
      <w:tr>
        <w:trPr/>
        <w:tc>
          <w:tcPr>
            <w:tcW w:w="102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and share data in thousands)</w:t>
            </w:r>
          </w:p>
        </w:tc>
      </w:tr>
    </w:tbl>
    <w:p>
      <w:pPr>
        <w:pStyle w:val="TextBody"/>
        <w:bidi w:val="0"/>
        <w:spacing w:before="0" w:after="0"/>
        <w:jc w:val="left"/>
        <w:rPr/>
      </w:pPr>
      <w:r>
        <w:rPr/>
        <w:t> </w:t>
      </w:r>
    </w:p>
    <w:tbl>
      <w:tblPr>
        <w:tblW w:w="14645" w:type="dxa"/>
        <w:jc w:val="left"/>
        <w:tblInd w:w="0" w:type="dxa"/>
        <w:tblLayout w:type="fixed"/>
        <w:tblCellMar>
          <w:top w:w="0" w:type="dxa"/>
          <w:left w:w="0" w:type="dxa"/>
          <w:bottom w:w="0" w:type="dxa"/>
          <w:right w:w="0" w:type="dxa"/>
        </w:tblCellMar>
      </w:tblPr>
      <w:tblGrid>
        <w:gridCol w:w="1460"/>
        <w:gridCol w:w="60"/>
        <w:gridCol w:w="60"/>
        <w:gridCol w:w="800"/>
        <w:gridCol w:w="60"/>
        <w:gridCol w:w="60"/>
        <w:gridCol w:w="125"/>
        <w:gridCol w:w="800"/>
        <w:gridCol w:w="60"/>
        <w:gridCol w:w="60"/>
        <w:gridCol w:w="125"/>
        <w:gridCol w:w="980"/>
        <w:gridCol w:w="80"/>
        <w:gridCol w:w="60"/>
        <w:gridCol w:w="160"/>
        <w:gridCol w:w="1030"/>
        <w:gridCol w:w="60"/>
        <w:gridCol w:w="60"/>
        <w:gridCol w:w="212"/>
        <w:gridCol w:w="1083"/>
        <w:gridCol w:w="80"/>
        <w:gridCol w:w="60"/>
        <w:gridCol w:w="144"/>
        <w:gridCol w:w="881"/>
        <w:gridCol w:w="80"/>
        <w:gridCol w:w="60"/>
        <w:gridCol w:w="127"/>
        <w:gridCol w:w="1003"/>
        <w:gridCol w:w="60"/>
        <w:gridCol w:w="60"/>
        <w:gridCol w:w="134"/>
        <w:gridCol w:w="681"/>
        <w:gridCol w:w="80"/>
        <w:gridCol w:w="60"/>
        <w:gridCol w:w="175"/>
        <w:gridCol w:w="1120"/>
        <w:gridCol w:w="80"/>
        <w:gridCol w:w="60"/>
        <w:gridCol w:w="137"/>
        <w:gridCol w:w="828"/>
        <w:gridCol w:w="80"/>
        <w:gridCol w:w="60"/>
        <w:gridCol w:w="125"/>
        <w:gridCol w:w="980"/>
        <w:gridCol w:w="95"/>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45" w:type="dxa"/>
            <w:gridSpan w:val="30"/>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THE COMPANY'S SHAREHOLDERS' EQUITY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Foreign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Ordinary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Cumulative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currency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Non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stock 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translation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issued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profit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Total</w:t>
            </w:r>
          </w:p>
        </w:tc>
        <w:tc>
          <w:tcPr>
            <w:tcW w:w="9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BALANCE AS OF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b/>
              </w:rPr>
            </w:pPr>
            <w:r>
              <w:rPr>
                <w:b/>
              </w:rPr>
              <w:t>112,621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00" w:type="dxa"/>
            <w:tcBorders/>
            <w:shd w:fill="CCEEFF" w:val="clear"/>
            <w:vAlign w:val="center"/>
          </w:tcPr>
          <w:p>
            <w:pPr>
              <w:pStyle w:val="TableContents"/>
              <w:bidi w:val="0"/>
              <w:spacing w:lineRule="auto" w:line="300" w:before="0" w:after="0"/>
              <w:jc w:val="right"/>
              <w:rPr>
                <w:b/>
              </w:rPr>
            </w:pPr>
            <w:r>
              <w:rPr>
                <w:b/>
              </w:rPr>
              <w:t>450,905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80" w:type="dxa"/>
            <w:tcBorders/>
            <w:shd w:fill="CCEEFF" w:val="clear"/>
            <w:vAlign w:val="center"/>
          </w:tcPr>
          <w:p>
            <w:pPr>
              <w:pStyle w:val="TableContents"/>
              <w:bidi w:val="0"/>
              <w:spacing w:lineRule="auto" w:line="300" w:before="0" w:after="0"/>
              <w:jc w:val="right"/>
              <w:rPr>
                <w:b/>
              </w:rPr>
            </w:pPr>
            <w:r>
              <w:rPr>
                <w:b/>
              </w:rPr>
              <w:t>1,373,643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30" w:type="dxa"/>
            <w:tcBorders/>
            <w:shd w:fill="CCEEFF" w:val="clear"/>
            <w:vAlign w:val="center"/>
          </w:tcPr>
          <w:p>
            <w:pPr>
              <w:pStyle w:val="TableContents"/>
              <w:bidi w:val="0"/>
              <w:spacing w:lineRule="auto" w:line="300" w:before="0" w:after="0"/>
              <w:jc w:val="right"/>
              <w:rPr>
                <w:b/>
              </w:rPr>
            </w:pPr>
            <w:r>
              <w:rPr>
                <w:b/>
              </w:rPr>
              <w:t>274,319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83" w:type="dxa"/>
            <w:tcBorders/>
            <w:shd w:fill="CCEEFF" w:val="clear"/>
            <w:vAlign w:val="center"/>
          </w:tcPr>
          <w:p>
            <w:pPr>
              <w:pStyle w:val="TableContents"/>
              <w:bidi w:val="0"/>
              <w:spacing w:lineRule="auto" w:line="300" w:before="0" w:after="0"/>
              <w:jc w:val="right"/>
              <w:rPr>
                <w:b/>
              </w:rPr>
            </w:pPr>
            <w:r>
              <w:rPr>
                <w:b/>
              </w:rPr>
              <w:t>4,704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81" w:type="dxa"/>
            <w:tcBorders/>
            <w:shd w:fill="CCEEFF" w:val="clear"/>
            <w:vAlign w:val="center"/>
          </w:tcPr>
          <w:p>
            <w:pPr>
              <w:pStyle w:val="TableContents"/>
              <w:bidi w:val="0"/>
              <w:spacing w:lineRule="auto" w:line="300" w:before="0" w:after="0"/>
              <w:jc w:val="right"/>
              <w:rPr>
                <w:b/>
              </w:rPr>
            </w:pPr>
            <w:r>
              <w:rPr>
                <w:b/>
              </w:rPr>
              <w:t>(71,161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03" w:type="dxa"/>
            <w:tcBorders/>
            <w:shd w:fill="CCEEFF" w:val="clear"/>
            <w:vAlign w:val="center"/>
          </w:tcPr>
          <w:p>
            <w:pPr>
              <w:pStyle w:val="TableContents"/>
              <w:bidi w:val="0"/>
              <w:spacing w:lineRule="auto" w:line="300" w:before="0" w:after="0"/>
              <w:jc w:val="right"/>
              <w:rPr>
                <w:b/>
              </w:rPr>
            </w:pPr>
            <w:r>
              <w:rPr>
                <w:b/>
              </w:rPr>
              <w:t>895,949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81" w:type="dxa"/>
            <w:tcBorders/>
            <w:shd w:fill="CCEEFF" w:val="clear"/>
            <w:vAlign w:val="center"/>
          </w:tcPr>
          <w:p>
            <w:pPr>
              <w:pStyle w:val="TableContents"/>
              <w:bidi w:val="0"/>
              <w:spacing w:lineRule="auto" w:line="300" w:before="0" w:after="0"/>
              <w:jc w:val="right"/>
              <w:rPr>
                <w:b/>
              </w:rPr>
            </w:pPr>
            <w:r>
              <w:rPr>
                <w:b/>
              </w:rPr>
              <w:t>(9,072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9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28" w:type="dxa"/>
            <w:tcBorders/>
            <w:shd w:fill="CCEEFF" w:val="clear"/>
            <w:vAlign w:val="center"/>
          </w:tcPr>
          <w:p>
            <w:pPr>
              <w:pStyle w:val="TableContents"/>
              <w:bidi w:val="0"/>
              <w:spacing w:lineRule="auto" w:line="300" w:before="0" w:after="0"/>
              <w:jc w:val="right"/>
              <w:rPr>
                <w:b/>
              </w:rPr>
            </w:pPr>
            <w:r>
              <w:rPr>
                <w:b/>
              </w:rPr>
              <w:t>(14,704</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80" w:type="dxa"/>
            <w:tcBorders/>
            <w:shd w:fill="CCEEFF" w:val="clear"/>
            <w:vAlign w:val="center"/>
          </w:tcPr>
          <w:p>
            <w:pPr>
              <w:pStyle w:val="TableContents"/>
              <w:bidi w:val="0"/>
              <w:spacing w:lineRule="auto" w:line="300" w:before="0" w:after="0"/>
              <w:jc w:val="right"/>
              <w:rPr>
                <w:b/>
              </w:rPr>
            </w:pPr>
            <w:r>
              <w:rPr>
                <w:b/>
              </w:rPr>
              <w:t>2,904,583</w:t>
            </w:r>
          </w:p>
        </w:tc>
        <w:tc>
          <w:tcPr>
            <w:tcW w:w="9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Changes during the period: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Issuance of ordinary shares upon vesting of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b/>
              </w:rPr>
            </w:pPr>
            <w:r>
              <w:rPr>
                <w:b/>
              </w:rPr>
              <w:t>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lineRule="auto" w:line="300" w:before="0" w:after="0"/>
              <w:jc w:val="right"/>
              <w:rPr>
                <w:b/>
              </w:rPr>
            </w:pPr>
            <w:r>
              <w:rPr>
                <w:b/>
              </w:rPr>
              <w:t>2,457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(2,457</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w:t>
            </w:r>
          </w:p>
        </w:tc>
        <w:tc>
          <w:tcPr>
            <w:tcW w:w="9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Employee 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lineRule="auto" w:line="300" w:before="0" w:after="0"/>
              <w:jc w:val="right"/>
              <w:rPr>
                <w:b/>
              </w:rPr>
            </w:pPr>
            <w:r>
              <w:rPr>
                <w:b/>
              </w:rPr>
              <w:t>18,872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18,872</w:t>
            </w:r>
          </w:p>
        </w:tc>
        <w:tc>
          <w:tcPr>
            <w:tcW w:w="9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Net profit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lineRule="auto" w:line="300" w:before="0" w:after="0"/>
              <w:jc w:val="right"/>
              <w:rPr>
                <w:b/>
              </w:rPr>
            </w:pPr>
            <w:r>
              <w:rPr>
                <w:b/>
              </w:rPr>
              <w:t>155,801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120" w:type="dxa"/>
            <w:tcBorders/>
            <w:vAlign w:val="center"/>
          </w:tcPr>
          <w:p>
            <w:pPr>
              <w:pStyle w:val="TableContents"/>
              <w:bidi w:val="0"/>
              <w:spacing w:lineRule="auto" w:line="300" w:before="0" w:after="0"/>
              <w:jc w:val="right"/>
              <w:rPr>
                <w:b/>
              </w:rPr>
            </w:pPr>
            <w:r>
              <w:rPr>
                <w:b/>
              </w:rPr>
              <w:t>155,801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lineRule="auto" w:line="300" w:before="0" w:after="0"/>
              <w:jc w:val="right"/>
              <w:rPr>
                <w:b/>
              </w:rPr>
            </w:pPr>
            <w:r>
              <w:rPr>
                <w:b/>
              </w:rPr>
              <w:t>2,383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158,184</w:t>
            </w:r>
          </w:p>
        </w:tc>
        <w:tc>
          <w:tcPr>
            <w:tcW w:w="9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lineRule="auto" w:line="300" w:before="0" w:after="0"/>
              <w:jc w:val="right"/>
              <w:rPr>
                <w:b/>
              </w:rPr>
            </w:pPr>
            <w:r>
              <w:rPr>
                <w:b/>
              </w:rPr>
              <w:t>(6,722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lineRule="auto" w:line="300" w:before="0" w:after="0"/>
              <w:jc w:val="right"/>
              <w:rPr>
                <w:b/>
              </w:rPr>
            </w:pPr>
            <w:r>
              <w:rPr>
                <w:b/>
              </w:rPr>
              <w:t>(6,722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lineRule="auto" w:line="300" w:before="0" w:after="0"/>
              <w:jc w:val="right"/>
              <w:rPr>
                <w:b/>
              </w:rPr>
            </w:pPr>
            <w:r>
              <w:rPr>
                <w:b/>
              </w:rPr>
              <w:t>(2,440</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(9,162</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146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Unrealized loss on derivatives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lineRule="auto" w:line="300" w:before="0" w:after="0"/>
              <w:jc w:val="right"/>
              <w:rPr>
                <w:b/>
              </w:rPr>
            </w:pPr>
            <w:r>
              <w:rPr>
                <w:b/>
              </w:rPr>
              <w:t>(1,097</w:t>
            </w:r>
          </w:p>
        </w:tc>
        <w:tc>
          <w:tcPr>
            <w:tcW w:w="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lineRule="auto" w:line="300" w:before="0" w:after="0"/>
              <w:jc w:val="right"/>
              <w:rPr>
                <w:b/>
              </w:rPr>
            </w:pPr>
            <w:r>
              <w:rPr>
                <w:b/>
              </w:rPr>
              <w:t>(1,097</w:t>
            </w:r>
          </w:p>
        </w:tc>
        <w:tc>
          <w:tcPr>
            <w:tcW w:w="8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lineRule="auto" w:line="300" w:before="0" w:after="0"/>
              <w:jc w:val="right"/>
              <w:rPr>
                <w:b/>
              </w:rPr>
            </w:pPr>
            <w:r>
              <w:rPr>
                <w:b/>
              </w:rPr>
              <w:t>(1,097</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3425" w:type="dxa"/>
            <w:gridSpan w:val="8"/>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Change in employees plan</w:t>
            </w:r>
          </w:p>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assets and benefit obligations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83" w:type="dxa"/>
            <w:tcBorders/>
            <w:shd w:fill="CCEEFF" w:val="clear"/>
            <w:vAlign w:val="center"/>
          </w:tcPr>
          <w:p>
            <w:pPr>
              <w:pStyle w:val="TableContents"/>
              <w:bidi w:val="0"/>
              <w:spacing w:lineRule="auto" w:line="300" w:before="0" w:after="0"/>
              <w:jc w:val="right"/>
              <w:rPr>
                <w:b/>
              </w:rPr>
            </w:pPr>
            <w:r>
              <w:rPr>
                <w:b/>
              </w:rPr>
              <w:t>(8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(8</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lineRule="auto" w:line="300" w:before="0" w:after="0"/>
              <w:jc w:val="right"/>
              <w:rPr>
                <w:b/>
              </w:rPr>
            </w:pPr>
            <w:r>
              <w:rPr>
                <w:b/>
              </w:rPr>
              <w:t>(8</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1460" w:type="dxa"/>
            <w:tcBorders/>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30" w:type="dxa"/>
            </w:tcMar>
            <w:vAlign w:val="center"/>
          </w:tcPr>
          <w:p>
            <w:pPr>
              <w:pStyle w:val="TableContents"/>
              <w:bidi w:val="0"/>
              <w:spacing w:before="0" w:after="283"/>
              <w:jc w:val="left"/>
              <w:rPr/>
            </w:pPr>
            <w:r>
              <w:rPr/>
              <w:t> </w:t>
            </w:r>
          </w:p>
        </w:tc>
        <w:tc>
          <w:tcPr>
            <w:tcW w:w="800" w:type="dxa"/>
            <w:tcBorders>
              <w:bottom w:val="single" w:sz="12" w:space="0" w:color="000000"/>
            </w:tcBorders>
            <w:tcMar>
              <w:bottom w:w="30"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30" w:type="dxa"/>
            </w:tcMar>
            <w:vAlign w:val="center"/>
          </w:tcPr>
          <w:p>
            <w:pPr>
              <w:pStyle w:val="TableContents"/>
              <w:bidi w:val="0"/>
              <w:spacing w:before="0" w:after="283"/>
              <w:jc w:val="left"/>
              <w:rPr/>
            </w:pPr>
            <w:r>
              <w:rPr/>
              <w:t> </w:t>
            </w:r>
          </w:p>
        </w:tc>
        <w:tc>
          <w:tcPr>
            <w:tcW w:w="800" w:type="dxa"/>
            <w:tcBorders>
              <w:bottom w:val="single" w:sz="12" w:space="0" w:color="000000"/>
            </w:tcBorders>
            <w:tcMar>
              <w:bottom w:w="30"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30" w:type="dxa"/>
            </w:tcMar>
            <w:vAlign w:val="center"/>
          </w:tcPr>
          <w:p>
            <w:pPr>
              <w:pStyle w:val="TableContents"/>
              <w:bidi w:val="0"/>
              <w:spacing w:before="0" w:after="283"/>
              <w:jc w:val="left"/>
              <w:rPr/>
            </w:pPr>
            <w:r>
              <w:rPr/>
              <w:t> </w:t>
            </w:r>
          </w:p>
        </w:tc>
        <w:tc>
          <w:tcPr>
            <w:tcW w:w="980" w:type="dxa"/>
            <w:tcBorders>
              <w:bottom w:val="single" w:sz="12" w:space="0" w:color="000000"/>
            </w:tcBorders>
            <w:tcMar>
              <w:bottom w:w="30" w:type="dxa"/>
            </w:tcM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bottom w:val="single" w:sz="12" w:space="0" w:color="000000"/>
            </w:tcBorders>
            <w:tcMar>
              <w:bottom w:w="30" w:type="dxa"/>
            </w:tcMar>
            <w:vAlign w:val="center"/>
          </w:tcPr>
          <w:p>
            <w:pPr>
              <w:pStyle w:val="TableContents"/>
              <w:bidi w:val="0"/>
              <w:spacing w:before="0" w:after="283"/>
              <w:jc w:val="left"/>
              <w:rPr/>
            </w:pPr>
            <w:r>
              <w:rPr/>
              <w:t> </w:t>
            </w:r>
          </w:p>
        </w:tc>
        <w:tc>
          <w:tcPr>
            <w:tcW w:w="1030" w:type="dxa"/>
            <w:tcBorders>
              <w:bottom w:val="single" w:sz="12" w:space="0" w:color="000000"/>
            </w:tcBorders>
            <w:tcMar>
              <w:bottom w:w="30"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30" w:type="dxa"/>
            </w:tcMar>
            <w:vAlign w:val="center"/>
          </w:tcPr>
          <w:p>
            <w:pPr>
              <w:pStyle w:val="TableContents"/>
              <w:bidi w:val="0"/>
              <w:spacing w:before="0" w:after="283"/>
              <w:jc w:val="left"/>
              <w:rPr/>
            </w:pPr>
            <w:r>
              <w:rPr/>
              <w:t> </w:t>
            </w:r>
          </w:p>
        </w:tc>
        <w:tc>
          <w:tcPr>
            <w:tcW w:w="1083" w:type="dxa"/>
            <w:tcBorders>
              <w:bottom w:val="single" w:sz="12" w:space="0" w:color="000000"/>
            </w:tcBorders>
            <w:tcMar>
              <w:bottom w:w="30" w:type="dxa"/>
            </w:tcM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bottom w:val="single" w:sz="12" w:space="0" w:color="000000"/>
            </w:tcBorders>
            <w:tcMar>
              <w:bottom w:w="30" w:type="dxa"/>
            </w:tcMar>
            <w:vAlign w:val="center"/>
          </w:tcPr>
          <w:p>
            <w:pPr>
              <w:pStyle w:val="TableContents"/>
              <w:bidi w:val="0"/>
              <w:spacing w:before="0" w:after="283"/>
              <w:jc w:val="left"/>
              <w:rPr/>
            </w:pPr>
            <w:r>
              <w:rPr/>
              <w:t> </w:t>
            </w:r>
          </w:p>
        </w:tc>
        <w:tc>
          <w:tcPr>
            <w:tcW w:w="881" w:type="dxa"/>
            <w:tcBorders>
              <w:bottom w:val="single" w:sz="12" w:space="0" w:color="000000"/>
            </w:tcBorders>
            <w:tcMar>
              <w:bottom w:w="30" w:type="dxa"/>
            </w:tcM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bottom w:val="single" w:sz="12" w:space="0" w:color="000000"/>
            </w:tcBorders>
            <w:tcMar>
              <w:bottom w:w="30" w:type="dxa"/>
            </w:tcMar>
            <w:vAlign w:val="center"/>
          </w:tcPr>
          <w:p>
            <w:pPr>
              <w:pStyle w:val="TableContents"/>
              <w:bidi w:val="0"/>
              <w:spacing w:before="0" w:after="283"/>
              <w:jc w:val="left"/>
              <w:rPr/>
            </w:pPr>
            <w:r>
              <w:rPr/>
              <w:t> </w:t>
            </w:r>
          </w:p>
        </w:tc>
        <w:tc>
          <w:tcPr>
            <w:tcW w:w="1003" w:type="dxa"/>
            <w:tcBorders>
              <w:bottom w:val="single" w:sz="12" w:space="0" w:color="000000"/>
            </w:tcBorders>
            <w:tcMar>
              <w:bottom w:w="30"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bottom w:val="single" w:sz="12" w:space="0" w:color="000000"/>
            </w:tcBorders>
            <w:tcMar>
              <w:bottom w:w="30" w:type="dxa"/>
            </w:tcMar>
            <w:vAlign w:val="center"/>
          </w:tcPr>
          <w:p>
            <w:pPr>
              <w:pStyle w:val="TableContents"/>
              <w:bidi w:val="0"/>
              <w:spacing w:before="0" w:after="283"/>
              <w:jc w:val="left"/>
              <w:rPr/>
            </w:pPr>
            <w:r>
              <w:rPr/>
              <w:t> </w:t>
            </w:r>
          </w:p>
        </w:tc>
        <w:tc>
          <w:tcPr>
            <w:tcW w:w="681" w:type="dxa"/>
            <w:tcBorders>
              <w:bottom w:val="single" w:sz="12" w:space="0" w:color="000000"/>
            </w:tcBorders>
            <w:tcMar>
              <w:bottom w:w="30" w:type="dxa"/>
            </w:tcM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12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147,974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bottom w:val="single" w:sz="12" w:space="0" w:color="000000"/>
            </w:tcBorders>
            <w:tcMar>
              <w:bottom w:w="30" w:type="dxa"/>
            </w:tcMar>
            <w:vAlign w:val="center"/>
          </w:tcPr>
          <w:p>
            <w:pPr>
              <w:pStyle w:val="TableContents"/>
              <w:bidi w:val="0"/>
              <w:spacing w:before="0" w:after="283"/>
              <w:jc w:val="left"/>
              <w:rPr/>
            </w:pPr>
            <w:r>
              <w:rPr/>
              <w:t> </w:t>
            </w:r>
          </w:p>
        </w:tc>
        <w:tc>
          <w:tcPr>
            <w:tcW w:w="828" w:type="dxa"/>
            <w:tcBorders>
              <w:bottom w:val="single" w:sz="12" w:space="0" w:color="000000"/>
            </w:tcBorders>
            <w:tcMar>
              <w:bottom w:w="30" w:type="dxa"/>
            </w:tcMar>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30" w:type="dxa"/>
            </w:tcMar>
            <w:vAlign w:val="center"/>
          </w:tcPr>
          <w:p>
            <w:pPr>
              <w:pStyle w:val="TableContents"/>
              <w:bidi w:val="0"/>
              <w:spacing w:before="0" w:after="283"/>
              <w:jc w:val="left"/>
              <w:rPr/>
            </w:pPr>
            <w:r>
              <w:rPr/>
              <w:t> </w:t>
            </w:r>
          </w:p>
        </w:tc>
        <w:tc>
          <w:tcPr>
            <w:tcW w:w="980" w:type="dxa"/>
            <w:tcBorders>
              <w:bottom w:val="single" w:sz="12" w:space="0" w:color="000000"/>
            </w:tcBorders>
            <w:tcMar>
              <w:bottom w:w="30" w:type="dxa"/>
            </w:tcMar>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113,118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0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453,362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1,371,186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293,191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8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3,599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8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(77,883</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1003"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1,051,750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81"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(9,072</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28"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(14,761</w:t>
            </w:r>
          </w:p>
        </w:tc>
        <w:tc>
          <w:tcPr>
            <w:tcW w:w="8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9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3,071,372</w:t>
            </w:r>
          </w:p>
        </w:tc>
        <w:tc>
          <w:tcPr>
            <w:tcW w:w="95" w:type="dxa"/>
            <w:tcBorders/>
            <w:shd w:fill="CCEEFF" w:val="cle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OUTSTANDING SHARES, NET OF TREASURY STOCK</w:t>
            </w:r>
          </w:p>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AS OF JUNE 30, 2026</w:t>
            </w:r>
          </w:p>
        </w:tc>
        <w:tc>
          <w:tcPr>
            <w:tcW w:w="60" w:type="dxa"/>
            <w:tcBorders/>
            <w:vAlign w:val="center"/>
          </w:tcPr>
          <w:p>
            <w:pPr>
              <w:pStyle w:val="TableContents"/>
              <w:bidi w:val="0"/>
              <w:spacing w:before="0" w:after="283"/>
              <w:jc w:val="left"/>
              <w:rPr/>
            </w:pPr>
            <w:r>
              <w:rPr/>
              <w:t> </w:t>
            </w:r>
          </w:p>
        </w:tc>
        <w:tc>
          <w:tcPr>
            <w:tcW w:w="60" w:type="dxa"/>
            <w:tcBorders>
              <w:bottom w:val="double" w:sz="8" w:space="0" w:color="000000"/>
            </w:tcBorders>
            <w:tcMar>
              <w:bottom w:w="28" w:type="dxa"/>
            </w:tcMar>
            <w:vAlign w:val="center"/>
          </w:tcPr>
          <w:p>
            <w:pPr>
              <w:pStyle w:val="TableContents"/>
              <w:bidi w:val="0"/>
              <w:spacing w:before="0" w:after="283"/>
              <w:jc w:val="left"/>
              <w:rPr/>
            </w:pPr>
            <w:r>
              <w:rPr/>
              <w:t> </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113,031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1083"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00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5" w:type="dxa"/>
        <w:jc w:val="left"/>
        <w:tblInd w:w="0" w:type="dxa"/>
        <w:tblLayout w:type="fixed"/>
        <w:tblCellMar>
          <w:top w:w="0" w:type="dxa"/>
          <w:left w:w="0" w:type="dxa"/>
          <w:bottom w:w="0" w:type="dxa"/>
          <w:right w:w="0" w:type="dxa"/>
        </w:tblCellMar>
      </w:tblPr>
      <w:tblGrid>
        <w:gridCol w:w="4205"/>
      </w:tblGrid>
      <w:tr>
        <w:trPr/>
        <w:tc>
          <w:tcPr>
            <w:tcW w:w="42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the consolidated financial statements.</w:t>
            </w:r>
          </w:p>
        </w:tc>
      </w:tr>
    </w:tbl>
    <w:p>
      <w:pPr>
        <w:pStyle w:val="TextBody"/>
        <w:bidi w:val="0"/>
        <w:spacing w:before="0" w:after="20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 - 5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8105"/>
      </w:tblGrid>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CONDENSED INTERIM CONSOLIDATED STATEMENTS OF </w:t>
            </w:r>
            <w:bookmarkStart w:id="12" w:name="CASHFLOWS"/>
            <w:bookmarkEnd w:id="12"/>
            <w:r>
              <w:rPr>
                <w:rFonts w:ascii="Times New Roman;Times;serif" w:hAnsi="Times New Roman;Times;serif"/>
                <w:b/>
                <w:sz w:val="20"/>
              </w:rPr>
              <w:t>CASH FLOWS (UNAUDITED)</w:t>
            </w:r>
          </w:p>
        </w:tc>
      </w:tr>
      <w:tr>
        <w:trPr/>
        <w:tc>
          <w:tcPr>
            <w:tcW w:w="810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lineRule="auto" w:line="300" w:before="0" w:after="0"/>
        <w:jc w:val="left"/>
        <w:rPr/>
      </w:pPr>
      <w:r>
        <w:rPr/>
        <w:t> </w:t>
      </w:r>
    </w:p>
    <w:tbl>
      <w:tblPr>
        <w:tblW w:w="8285" w:type="dxa"/>
        <w:jc w:val="left"/>
        <w:tblInd w:w="0" w:type="dxa"/>
        <w:tblLayout w:type="fixed"/>
        <w:tblCellMar>
          <w:top w:w="0" w:type="dxa"/>
          <w:left w:w="0" w:type="dxa"/>
          <w:bottom w:w="0" w:type="dxa"/>
          <w:right w:w="0" w:type="dxa"/>
        </w:tblCellMar>
      </w:tblPr>
      <w:tblGrid>
        <w:gridCol w:w="5825"/>
        <w:gridCol w:w="60"/>
        <w:gridCol w:w="125"/>
        <w:gridCol w:w="875"/>
        <w:gridCol w:w="245"/>
        <w:gridCol w:w="60"/>
        <w:gridCol w:w="125"/>
        <w:gridCol w:w="875"/>
        <w:gridCol w:w="95"/>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5"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95"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 OPERATING ACTIVITIES</w:t>
            </w:r>
          </w:p>
        </w:tc>
        <w:tc>
          <w:tcPr>
            <w:tcW w:w="60" w:type="dxa"/>
            <w:tcBorders/>
            <w:shd w:fill="CCEEFF" w:val="clear"/>
            <w:vAlign w:val="center"/>
          </w:tcPr>
          <w:p>
            <w:pPr>
              <w:pStyle w:val="TableContents"/>
              <w:bidi w:val="0"/>
              <w:spacing w:before="0" w:after="283"/>
              <w:jc w:val="left"/>
              <w:rPr/>
            </w:pPr>
            <w:r>
              <w:rPr/>
              <w:t> </w:t>
            </w:r>
          </w:p>
        </w:tc>
        <w:tc>
          <w:tcPr>
            <w:tcW w:w="1000" w:type="dxa"/>
            <w:gridSpan w:val="2"/>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0"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Net profit for the period</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75" w:type="dxa"/>
            <w:tcBorders/>
            <w:shd w:fill="CCEEFF" w:val="clear"/>
            <w:vAlign w:val="center"/>
          </w:tcPr>
          <w:p>
            <w:pPr>
              <w:pStyle w:val="TableContents"/>
              <w:bidi w:val="0"/>
              <w:spacing w:lineRule="auto" w:line="300" w:before="0" w:after="0"/>
              <w:jc w:val="right"/>
              <w:rPr>
                <w:b/>
              </w:rPr>
            </w:pPr>
            <w:r>
              <w:rPr>
                <w:b/>
              </w:rPr>
              <w:t>158,184</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75" w:type="dxa"/>
            <w:tcBorders/>
            <w:shd w:fill="CCEEFF" w:val="clear"/>
            <w:vAlign w:val="center"/>
          </w:tcPr>
          <w:p>
            <w:pPr>
              <w:pStyle w:val="TableContents"/>
              <w:bidi w:val="0"/>
              <w:spacing w:lineRule="auto" w:line="300" w:before="0" w:after="0"/>
              <w:jc w:val="right"/>
              <w:rPr>
                <w:b/>
              </w:rPr>
            </w:pPr>
            <w:r>
              <w:rPr>
                <w:b/>
              </w:rPr>
              <w:t>85,309</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Adjustments to reconcile net profit for the period</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300" w:before="0" w:after="0"/>
              <w:ind w:left="360" w:right="0" w:hanging="0"/>
              <w:jc w:val="left"/>
              <w:rPr>
                <w:rFonts w:ascii="Times New Roman;Times;serif" w:hAnsi="Times New Roman;Times;serif"/>
                <w:b/>
                <w:sz w:val="20"/>
              </w:rPr>
            </w:pPr>
            <w:r>
              <w:rPr>
                <w:rFonts w:ascii="Times New Roman;Times;serif" w:hAnsi="Times New Roman;Times;serif"/>
                <w:b/>
                <w:sz w:val="20"/>
              </w:rPr>
              <w:t>to net cash provided by operating activities: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ind w:left="540" w:right="0" w:hanging="0"/>
              <w:jc w:val="left"/>
              <w:rPr>
                <w:rFonts w:ascii="Times New Roman;Times;serif" w:hAnsi="Times New Roman;Times;serif"/>
                <w:b/>
                <w:sz w:val="20"/>
              </w:rPr>
            </w:pPr>
            <w:r>
              <w:rPr>
                <w:rFonts w:ascii="Times New Roman;Times;serif" w:hAnsi="Times New Roman;Times;serif"/>
                <w:b/>
                <w:sz w:val="20"/>
              </w:rPr>
              <w:t>Income and expense items not involving cash flows: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Depreciation and amortization</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166,499</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148,864</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Other expense, net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7,237</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4,117</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Changes in assets and liabilities, net: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Trade accounts receivable</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19,186</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(1,382</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25"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Other current assets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16,797</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620</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Inventories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9,857</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(11,873</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25"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Other long term assets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8,978</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63</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Trade accounts payable</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(2,990</w:t>
            </w:r>
          </w:p>
        </w:tc>
        <w:tc>
          <w:tcPr>
            <w:tcW w:w="24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(2,959</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25"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Deferred revenue</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11,311</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1,179</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Employee related liabilities and other current liabilities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2,229</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9,298</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Long-term employee related liabilities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3,722</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607</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Other long-term liabilities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3,342</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(4,414</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25" w:type="dxa"/>
            <w:tcBorders/>
            <w:shd w:fill="CCEEFF" w:val="clear"/>
            <w:vAlign w:val="center"/>
          </w:tcPr>
          <w:p>
            <w:pPr>
              <w:pStyle w:val="TableContents"/>
              <w:bidi w:val="0"/>
              <w:spacing w:lineRule="auto" w:line="300" w:before="0" w:after="0"/>
              <w:ind w:left="720" w:right="0" w:hanging="0"/>
              <w:jc w:val="left"/>
              <w:rPr>
                <w:rFonts w:ascii="Times New Roman;Times;serif" w:hAnsi="Times New Roman;Times;serif"/>
                <w:b/>
                <w:sz w:val="20"/>
              </w:rPr>
            </w:pPr>
            <w:r>
              <w:rPr>
                <w:rFonts w:ascii="Times New Roman;Times;serif" w:hAnsi="Times New Roman;Times;serif"/>
                <w:b/>
                <w:sz w:val="20"/>
              </w:rPr>
              <w:t>Increase (decrease) in customers' advances, net</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282,582</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(12,908</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300" w:before="0" w:after="0"/>
              <w:ind w:left="900" w:right="0" w:hanging="0"/>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686,934</w:t>
            </w:r>
          </w:p>
        </w:tc>
        <w:tc>
          <w:tcPr>
            <w:tcW w:w="2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216,521</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(1) Includes an increase of $282,582 in customers' advances, net.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 INVESTING ACTIVITIES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Investments in property and equipment, net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(342,953</w:t>
            </w:r>
          </w:p>
        </w:tc>
        <w:tc>
          <w:tcPr>
            <w:tcW w:w="24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(222,093</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2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Deposits and other investments, net</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(330,000</w:t>
            </w:r>
          </w:p>
        </w:tc>
        <w:tc>
          <w:tcPr>
            <w:tcW w:w="24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rFonts w:ascii="Times New Roman;Times;serif" w:hAnsi="Times New Roman;Times;serif"/>
                <w:b/>
                <w:sz w:val="20"/>
              </w:rPr>
            </w:pPr>
            <w:r>
              <w:rPr>
                <w:rFonts w:ascii="Times New Roman;Times;serif" w:hAnsi="Times New Roman;Times;serif"/>
                <w:b/>
                <w:sz w:val="20"/>
              </w:rPr>
              <w:t>16,470</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300" w:before="0" w:after="0"/>
              <w:ind w:left="90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(672,953</w:t>
            </w:r>
          </w:p>
        </w:tc>
        <w:tc>
          <w:tcPr>
            <w:tcW w:w="24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(205,623</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CASH FLOWS - FINANCING ACTIVITIES</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Proceeds from loans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13,808</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Loans repayment</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lineRule="auto" w:line="300" w:before="0" w:after="0"/>
              <w:jc w:val="right"/>
              <w:rPr>
                <w:b/>
              </w:rPr>
            </w:pPr>
            <w:r>
              <w:rPr>
                <w:b/>
              </w:rPr>
              <w:t>(19,819</w:t>
            </w:r>
          </w:p>
        </w:tc>
        <w:tc>
          <w:tcPr>
            <w:tcW w:w="95"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2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Principal payments on account of capital lease obligation</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(15,693</w:t>
            </w:r>
          </w:p>
        </w:tc>
        <w:tc>
          <w:tcPr>
            <w:tcW w:w="24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(15,759</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ind w:left="90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(15,693</w:t>
            </w:r>
          </w:p>
        </w:tc>
        <w:tc>
          <w:tcPr>
            <w:tcW w:w="24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righ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lineRule="auto" w:line="300" w:before="0" w:after="0"/>
              <w:jc w:val="right"/>
              <w:rPr>
                <w:b/>
              </w:rPr>
            </w:pPr>
            <w:r>
              <w:rPr>
                <w:b/>
              </w:rPr>
              <w:t>(21,770</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EFFECT OF FOREIGN CURRENCY EXCHANGE RATE CHANGE</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(2,469</w:t>
            </w:r>
          </w:p>
        </w:tc>
        <w:tc>
          <w:tcPr>
            <w:tcW w:w="24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before="0" w:after="283"/>
              <w:jc w:val="left"/>
              <w:rPr/>
            </w:pPr>
            <w:r>
              <w:rPr/>
              <w:t> </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4,271</w:t>
            </w:r>
          </w:p>
        </w:tc>
        <w:tc>
          <w:tcPr>
            <w:tcW w:w="95"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DECREASE IN CASH AND CASH EQUIVALENTS</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(4,181</w:t>
            </w:r>
          </w:p>
        </w:tc>
        <w:tc>
          <w:tcPr>
            <w:tcW w:w="24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lineRule="auto" w:line="300" w:before="0" w:after="0"/>
              <w:jc w:val="right"/>
              <w:rPr>
                <w:b/>
              </w:rPr>
            </w:pPr>
            <w:r>
              <w:rPr>
                <w:b/>
              </w:rPr>
              <w:t>(6,601</w:t>
            </w:r>
          </w:p>
        </w:tc>
        <w:tc>
          <w:tcPr>
            <w:tcW w:w="95"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r>
      <w:tr>
        <w:trPr/>
        <w:tc>
          <w:tcPr>
            <w:tcW w:w="5825"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CASH AND CASH EQUIVALENTS - BEGINNING OF PERIOD</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235,369</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b/>
              </w:rPr>
            </w:pPr>
            <w:r>
              <w:rPr>
                <w:b/>
              </w:rPr>
              <w:t>271,894</w:t>
            </w:r>
          </w:p>
        </w:tc>
        <w:tc>
          <w:tcPr>
            <w:tcW w:w="95" w:type="dxa"/>
            <w:tcBorders/>
            <w:shd w:fill="CCEEFF" w:val="clear"/>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CASH AND CASH EQUIVALENTS - END OF PERIOD</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231,188</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75"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265,293</w:t>
            </w:r>
          </w:p>
        </w:tc>
        <w:tc>
          <w:tcPr>
            <w:tcW w:w="9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4385" w:type="dxa"/>
        <w:jc w:val="left"/>
        <w:tblInd w:w="0" w:type="dxa"/>
        <w:tblLayout w:type="fixed"/>
        <w:tblCellMar>
          <w:top w:w="0" w:type="dxa"/>
          <w:left w:w="0" w:type="dxa"/>
          <w:bottom w:w="0" w:type="dxa"/>
          <w:right w:w="0" w:type="dxa"/>
        </w:tblCellMar>
      </w:tblPr>
      <w:tblGrid>
        <w:gridCol w:w="4190"/>
        <w:gridCol w:w="60"/>
        <w:gridCol w:w="60"/>
        <w:gridCol w:w="75"/>
      </w:tblGrid>
      <w:tr>
        <w:trPr/>
        <w:tc>
          <w:tcPr>
            <w:tcW w:w="41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the consolidated financial statements.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- 6</w:t>
      </w:r>
    </w:p>
    <w:p>
      <w:pPr>
        <w:pStyle w:val="HorizontalLine"/>
        <w:bidi w:val="0"/>
        <w:spacing w:before="200" w:after="200"/>
        <w:jc w:val="left"/>
        <w:rPr/>
      </w:pPr>
      <w:r>
        <w:rPr/>
      </w:r>
    </w:p>
    <w:p>
      <w:pPr>
        <w:pStyle w:val="TextBody"/>
        <w:bidi w:val="0"/>
        <w:spacing w:before="0" w:after="0"/>
        <w:jc w:val="left"/>
        <w:rPr/>
      </w:pPr>
      <w:r>
        <w:rPr/>
        <w:t> </w:t>
      </w:r>
    </w:p>
    <w:tbl>
      <w:tblPr>
        <w:tblW w:w="8105" w:type="dxa"/>
        <w:jc w:val="left"/>
        <w:tblInd w:w="0" w:type="dxa"/>
        <w:tblLayout w:type="fixed"/>
        <w:tblCellMar>
          <w:top w:w="0" w:type="dxa"/>
          <w:left w:w="0" w:type="dxa"/>
          <w:bottom w:w="0" w:type="dxa"/>
          <w:right w:w="0" w:type="dxa"/>
        </w:tblCellMar>
      </w:tblPr>
      <w:tblGrid>
        <w:gridCol w:w="8105"/>
      </w:tblGrid>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TOWER SEMICONDUCTOR LTD. AND SUBSIDIARIES</w:t>
            </w:r>
          </w:p>
        </w:tc>
      </w:tr>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CONDENSED INTERIM CONSOLIDATED STATEMENTS OF CASH FLOWS (UNAUDITED)</w:t>
            </w:r>
          </w:p>
        </w:tc>
      </w:tr>
      <w:tr>
        <w:trPr/>
        <w:tc>
          <w:tcPr>
            <w:tcW w:w="8105" w:type="dxa"/>
            <w:tcBorders/>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(dollars in thousands)</w:t>
            </w:r>
          </w:p>
        </w:tc>
      </w:tr>
    </w:tbl>
    <w:p>
      <w:pPr>
        <w:pStyle w:val="TextBody"/>
        <w:bidi w:val="0"/>
        <w:spacing w:lineRule="auto" w:line="300" w:before="0" w:after="0"/>
        <w:jc w:val="left"/>
        <w:rPr/>
      </w:pPr>
      <w:r>
        <w:rPr/>
        <w:t> </w:t>
      </w:r>
    </w:p>
    <w:tbl>
      <w:tblPr>
        <w:tblW w:w="8361" w:type="dxa"/>
        <w:jc w:val="left"/>
        <w:tblInd w:w="0" w:type="dxa"/>
        <w:tblLayout w:type="fixed"/>
        <w:tblCellMar>
          <w:top w:w="0" w:type="dxa"/>
          <w:left w:w="0" w:type="dxa"/>
          <w:bottom w:w="0" w:type="dxa"/>
          <w:right w:w="0" w:type="dxa"/>
        </w:tblCellMar>
      </w:tblPr>
      <w:tblGrid>
        <w:gridCol w:w="5990"/>
        <w:gridCol w:w="60"/>
        <w:gridCol w:w="161"/>
        <w:gridCol w:w="880"/>
        <w:gridCol w:w="77"/>
        <w:gridCol w:w="77"/>
        <w:gridCol w:w="161"/>
        <w:gridCol w:w="880"/>
        <w:gridCol w:w="75"/>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6" w:type="dxa"/>
            <w:gridSpan w:val="6"/>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Six months ended June 30,</w:t>
            </w:r>
          </w:p>
        </w:tc>
        <w:tc>
          <w:tcPr>
            <w:tcW w:w="75"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41"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NON-CASH ACTIVITIES:</w:t>
            </w:r>
          </w:p>
        </w:tc>
        <w:tc>
          <w:tcPr>
            <w:tcW w:w="60" w:type="dxa"/>
            <w:tcBorders/>
            <w:shd w:fill="CCEEFF" w:val="clear"/>
            <w:vAlign w:val="center"/>
          </w:tcPr>
          <w:p>
            <w:pPr>
              <w:pStyle w:val="TableContents"/>
              <w:bidi w:val="0"/>
              <w:spacing w:before="0" w:after="283"/>
              <w:jc w:val="left"/>
              <w:rPr/>
            </w:pPr>
            <w:r>
              <w:rPr/>
              <w:t> </w:t>
            </w:r>
          </w:p>
        </w:tc>
        <w:tc>
          <w:tcPr>
            <w:tcW w:w="1041" w:type="dxa"/>
            <w:gridSpan w:val="2"/>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41"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Investments in property and equipment</w:t>
            </w:r>
          </w:p>
        </w:tc>
        <w:tc>
          <w:tcPr>
            <w:tcW w:w="60" w:type="dxa"/>
            <w:tcBorders/>
            <w:vAlign w:val="center"/>
          </w:tcPr>
          <w:p>
            <w:pPr>
              <w:pStyle w:val="TableContents"/>
              <w:bidi w:val="0"/>
              <w:spacing w:before="0" w:after="283"/>
              <w:jc w:val="left"/>
              <w:rPr/>
            </w:pPr>
            <w:r>
              <w:rPr/>
              <w:t> </w:t>
            </w:r>
          </w:p>
        </w:tc>
        <w:tc>
          <w:tcPr>
            <w:tcW w:w="16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8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51,111</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8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38,518</w:t>
            </w:r>
          </w:p>
        </w:tc>
        <w:tc>
          <w:tcPr>
            <w:tcW w:w="75"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SUPPLEMENTAL DISCLOSURE OF CASH FLOW INFORMATION:</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Cash received from interest, net during the period</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20,170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double" w:sz="8" w:space="0" w:color="000000"/>
            </w:tcBorders>
            <w:shd w:fill="CCEEFF" w:val="clear"/>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80" w:type="dxa"/>
            <w:tcBorders>
              <w:bottom w:val="double" w:sz="8" w:space="0" w:color="000000"/>
            </w:tcBorders>
            <w:shd w:fill="CCEEFF" w:val="clear"/>
            <w:tcMar>
              <w:bottom w:w="28" w:type="dxa"/>
            </w:tcMar>
            <w:vAlign w:val="center"/>
          </w:tcPr>
          <w:p>
            <w:pPr>
              <w:pStyle w:val="TableContents"/>
              <w:bidi w:val="0"/>
              <w:spacing w:lineRule="auto" w:line="300" w:before="0" w:after="0"/>
              <w:jc w:val="right"/>
              <w:rPr>
                <w:b/>
              </w:rPr>
            </w:pPr>
            <w:r>
              <w:rPr>
                <w:b/>
              </w:rPr>
              <w:t>12,365</w:t>
            </w:r>
          </w:p>
        </w:tc>
        <w:tc>
          <w:tcPr>
            <w:tcW w:w="75" w:type="dxa"/>
            <w:tcBorders/>
            <w:shd w:fill="CCEEFF" w:val="cle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lineRule="auto" w:line="300" w:before="0" w:after="0"/>
              <w:ind w:left="180" w:right="0" w:hanging="0"/>
              <w:jc w:val="left"/>
              <w:rPr>
                <w:rFonts w:ascii="Times New Roman;Times;serif" w:hAnsi="Times New Roman;Times;serif"/>
                <w:b/>
                <w:sz w:val="20"/>
              </w:rPr>
            </w:pPr>
            <w:r>
              <w:rPr>
                <w:rFonts w:ascii="Times New Roman;Times;serif" w:hAnsi="Times New Roman;Times;serif"/>
                <w:b/>
                <w:sz w:val="20"/>
              </w:rPr>
              <w:t>Cash paid for income tax, net during the period</w:t>
            </w:r>
          </w:p>
        </w:tc>
        <w:tc>
          <w:tcPr>
            <w:tcW w:w="60" w:type="dxa"/>
            <w:tcBorders/>
            <w:vAlign w:val="center"/>
          </w:tcPr>
          <w:p>
            <w:pPr>
              <w:pStyle w:val="TableContents"/>
              <w:bidi w:val="0"/>
              <w:spacing w:before="0" w:after="283"/>
              <w:jc w:val="left"/>
              <w:rPr/>
            </w:pPr>
            <w:r>
              <w:rPr/>
              <w:t> </w:t>
            </w:r>
          </w:p>
        </w:tc>
        <w:tc>
          <w:tcPr>
            <w:tcW w:w="16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8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8,603</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61"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w:t>
            </w:r>
          </w:p>
        </w:tc>
        <w:tc>
          <w:tcPr>
            <w:tcW w:w="880" w:type="dxa"/>
            <w:tcBorders>
              <w:bottom w:val="double" w:sz="8" w:space="0" w:color="000000"/>
            </w:tcBorders>
            <w:tcMar>
              <w:bottom w:w="28" w:type="dxa"/>
            </w:tcMar>
            <w:vAlign w:val="center"/>
          </w:tcPr>
          <w:p>
            <w:pPr>
              <w:pStyle w:val="TableContents"/>
              <w:bidi w:val="0"/>
              <w:spacing w:lineRule="auto" w:line="300" w:before="0" w:after="0"/>
              <w:jc w:val="right"/>
              <w:rPr>
                <w:b/>
              </w:rPr>
            </w:pPr>
            <w:r>
              <w:rPr>
                <w:b/>
              </w:rPr>
              <w:t>8,461</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tbl>
      <w:tblPr>
        <w:tblW w:w="4385" w:type="dxa"/>
        <w:jc w:val="left"/>
        <w:tblInd w:w="0" w:type="dxa"/>
        <w:tblLayout w:type="fixed"/>
        <w:tblCellMar>
          <w:top w:w="0" w:type="dxa"/>
          <w:left w:w="0" w:type="dxa"/>
          <w:bottom w:w="0" w:type="dxa"/>
          <w:right w:w="0" w:type="dxa"/>
        </w:tblCellMar>
      </w:tblPr>
      <w:tblGrid>
        <w:gridCol w:w="4190"/>
        <w:gridCol w:w="60"/>
        <w:gridCol w:w="60"/>
        <w:gridCol w:w="75"/>
      </w:tblGrid>
      <w:tr>
        <w:trPr/>
        <w:tc>
          <w:tcPr>
            <w:tcW w:w="4190" w:type="dxa"/>
            <w:tcBorders/>
            <w:vAlign w:val="center"/>
          </w:tcPr>
          <w:p>
            <w:pPr>
              <w:pStyle w:val="TableContents"/>
              <w:bidi w:val="0"/>
              <w:spacing w:lineRule="auto" w:line="300" w:before="0" w:after="0"/>
              <w:jc w:val="left"/>
              <w:rPr>
                <w:rFonts w:ascii="Times New Roman;Times;serif" w:hAnsi="Times New Roman;Times;serif"/>
                <w:b/>
                <w:sz w:val="20"/>
              </w:rPr>
            </w:pPr>
            <w:r>
              <w:rPr>
                <w:rFonts w:ascii="Times New Roman;Times;serif" w:hAnsi="Times New Roman;Times;serif"/>
                <w:b/>
                <w:sz w:val="20"/>
              </w:rPr>
              <w:t>See notes to the consolidated financial statements.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uto" w:line="300" w:before="0" w:after="0"/>
        <w:jc w:val="left"/>
        <w:rPr/>
      </w:pPr>
      <w:r>
        <w:rPr/>
        <w:t> </w:t>
      </w:r>
    </w:p>
    <w:p>
      <w:pPr>
        <w:pStyle w:val="TextBody"/>
        <w:bidi w:val="0"/>
        <w:spacing w:before="20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- 7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rStyle w:val="StrongEmphasis"/>
          <w:rFonts w:ascii="Times New Roman;Times;serif" w:hAnsi="Times New Roman;Times;serif"/>
          <w:sz w:val="20"/>
        </w:rPr>
        <w:t>TOWER SEMICONDUCTOR LTD. AND SUBSIDIARIES</w:t>
      </w:r>
      <w:r>
        <w:rPr>
          <w:rFonts w:ascii="Times New Roman;Times;serif" w:hAnsi="Times New Roman;Times;serif"/>
          <w:sz w:val="20"/>
        </w:rPr>
        <w:br/>
      </w:r>
      <w:bookmarkStart w:id="13" w:name="NOTES"/>
      <w:bookmarkEnd w:id="13"/>
      <w:r>
        <w:rPr>
          <w:rStyle w:val="StrongEmphasis"/>
          <w:rFonts w:ascii="Times New Roman;Times;serif" w:hAnsi="Times New Roman;Times;serif"/>
          <w:sz w:val="20"/>
        </w:rPr>
        <w:t>NOTES TO UNAUDITED CONDENSED INTERIM CONSOLIDATED</w:t>
      </w:r>
      <w:r>
        <w:rPr>
          <w:rFonts w:ascii="Times New Roman;Times;serif" w:hAnsi="Times New Roman;Times;serif"/>
          <w:sz w:val="20"/>
        </w:rPr>
        <w:br/>
      </w:r>
      <w:r>
        <w:rPr>
          <w:rStyle w:val="StrongEmphasis"/>
          <w:rFonts w:ascii="Times New Roman;Times;serif" w:hAnsi="Times New Roman;Times;serif"/>
          <w:sz w:val="20"/>
        </w:rPr>
        <w:t>FINANCIAL STATEMENTS AS OF JUNE 30, 2026</w:t>
      </w:r>
      <w:r>
        <w:rPr>
          <w:rFonts w:ascii="Times New Roman;Times;serif" w:hAnsi="Times New Roman;Times;serif"/>
          <w:sz w:val="20"/>
        </w:rPr>
        <w:br/>
        <w:t>(dollars in thousands, except per share data)</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sz w:val="20"/>
        </w:rPr>
        <w:t>NOTE 1</w:t>
      </w:r>
      <w:r>
        <w:rPr>
          <w:rFonts w:ascii="Times New Roman;Times;serif" w:hAnsi="Times New Roman;Times;serif"/>
          <w:sz w:val="20"/>
        </w:rPr>
        <w:t xml:space="preserve">     </w:t>
      </w:r>
      <w:r>
        <w:rPr>
          <w:rFonts w:ascii="Times New Roman;Times;serif" w:hAnsi="Times New Roman;Times;serif"/>
          <w:b/>
          <w:sz w:val="20"/>
        </w:rPr>
        <w:t>-     GENERAL</w:t>
      </w:r>
    </w:p>
    <w:p>
      <w:pPr>
        <w:pStyle w:val="TextBody"/>
        <w:bidi w:val="0"/>
        <w:spacing w:lineRule="auto" w:line="300" w:before="0" w:after="0"/>
        <w:jc w:val="left"/>
        <w:rPr/>
      </w:pPr>
      <w:r>
        <w:rPr/>
        <w:t> </w:t>
      </w:r>
    </w:p>
    <w:p>
      <w:pPr>
        <w:pStyle w:val="TextBody"/>
        <w:bidi w:val="0"/>
        <w:spacing w:lineRule="auto" w:line="300" w:before="0" w:after="0"/>
        <w:ind w:left="1890" w:right="360" w:hanging="630"/>
        <w:jc w:val="both"/>
        <w:rPr>
          <w:rFonts w:ascii="Times New Roman;Times;serif" w:hAnsi="Times New Roman;Times;serif"/>
          <w:b/>
          <w:sz w:val="20"/>
        </w:rPr>
      </w:pPr>
      <w:r>
        <w:rPr>
          <w:rFonts w:ascii="Times New Roman;Times;serif" w:hAnsi="Times New Roman;Times;serif"/>
          <w:b/>
          <w:sz w:val="20"/>
        </w:rPr>
        <w:t>Basis for Presentation</w:t>
      </w:r>
    </w:p>
    <w:p>
      <w:pPr>
        <w:pStyle w:val="TextBody"/>
        <w:bidi w:val="0"/>
        <w:spacing w:lineRule="auto" w:line="300" w:before="0" w:after="0"/>
        <w:jc w:val="left"/>
        <w:rPr/>
      </w:pPr>
      <w:r>
        <w:rPr/>
        <w:t> </w:t>
      </w:r>
    </w:p>
    <w:p>
      <w:pPr>
        <w:pStyle w:val="TextBody"/>
        <w:bidi w:val="0"/>
        <w:spacing w:lineRule="auto" w:line="300" w:before="0" w:after="0"/>
        <w:ind w:left="1260" w:right="0" w:hanging="0"/>
        <w:jc w:val="both"/>
        <w:rPr>
          <w:rFonts w:ascii="Times New Roman;Times;serif" w:hAnsi="Times New Roman;Times;serif"/>
          <w:sz w:val="20"/>
        </w:rPr>
      </w:pPr>
      <w:r>
        <w:rPr>
          <w:rFonts w:ascii="Times New Roman;Times;serif" w:hAnsi="Times New Roman;Times;serif"/>
          <w:sz w:val="20"/>
        </w:rPr>
        <w:t>The unaudited condensed interim consolidated financial statements of Tower Semiconductor Ltd. (“Tower” or the “Company”) as of June 30, 2026 and for the three and six months ended June 30, 2026 and June 30, 2025 include the financial statements of Tower and (i) its wholly-owned subsidiary Tower US Holdings Inc., the sole owner of: (1) Tower Semiconductor NPB Holdings, Inc., Tower Semiconductor Newport Beach, Inc., an independent semiconductor foundry, and its wholly-owned subsidiary Newport Fab LLC (Tower Semiconductor NPB Holdings, Inc., Tower Semiconductor Newport Beach, Inc. and Newport Fab LLC, collectively referred to herein as “TSNB”); and (2) Tower Semiconductor San Antonio, Inc. (“TSSA”); (ii) its 51% owned subsidiary, Tower Partners Semiconductor Co., Ltd. (“TPSCo”), an independent semiconductor foundry which operates two semiconductor facilities located in Tonami and Uozu in Hokuriku Japan), with the other 49% of TPSCo’s shares held by Nuvoton Technology Corporation Japan (“NTCJ”); and (iii) its wholly-owned subsidiary, Tower Semiconductor Italy S.r.l. (“TSIT”), incorporated in 2021 following the collaborative arrangement signed in 2021 with ST Microelectronics S.r.l (“ST”) with regards to ST’s 300 mm facility in Agrate, Italy.</w:t>
      </w:r>
    </w:p>
    <w:p>
      <w:pPr>
        <w:pStyle w:val="TextBody"/>
        <w:bidi w:val="0"/>
        <w:spacing w:lineRule="auto" w:line="300" w:before="0" w:after="0"/>
        <w:jc w:val="left"/>
        <w:rPr/>
      </w:pPr>
      <w:r>
        <w:rPr/>
        <w:t> </w:t>
      </w:r>
    </w:p>
    <w:p>
      <w:pPr>
        <w:pStyle w:val="TextBody"/>
        <w:bidi w:val="0"/>
        <w:spacing w:lineRule="auto" w:line="300" w:before="0" w:after="0"/>
        <w:ind w:left="1260" w:right="0" w:hanging="0"/>
        <w:jc w:val="both"/>
        <w:rPr>
          <w:rFonts w:ascii="Times New Roman;Times;serif" w:hAnsi="Times New Roman;Times;serif"/>
          <w:sz w:val="20"/>
        </w:rPr>
      </w:pPr>
      <w:r>
        <w:rPr>
          <w:rFonts w:ascii="Times New Roman;Times;serif" w:hAnsi="Times New Roman;Times;serif"/>
          <w:sz w:val="20"/>
        </w:rPr>
        <w:t>The Company’s unaudited condensed interim consolidated financial statements are presented after elimination of inter-company transactions and balances and are presented in accordance with U.S. generally accepted accounting principles (“US GAAP”).</w:t>
      </w:r>
    </w:p>
    <w:p>
      <w:pPr>
        <w:pStyle w:val="TextBody"/>
        <w:bidi w:val="0"/>
        <w:spacing w:lineRule="auto" w:line="300" w:before="0" w:after="0"/>
        <w:jc w:val="left"/>
        <w:rPr/>
      </w:pPr>
      <w:r>
        <w:rPr/>
        <w:t> </w:t>
      </w:r>
    </w:p>
    <w:p>
      <w:pPr>
        <w:pStyle w:val="TextBody"/>
        <w:bidi w:val="0"/>
        <w:spacing w:lineRule="auto" w:line="300" w:before="0" w:after="0"/>
        <w:ind w:left="1260" w:right="0" w:hanging="0"/>
        <w:jc w:val="both"/>
        <w:rPr>
          <w:rFonts w:ascii="Times New Roman;Times;serif" w:hAnsi="Times New Roman;Times;serif"/>
          <w:sz w:val="20"/>
        </w:rPr>
      </w:pPr>
      <w:r>
        <w:rPr>
          <w:rFonts w:ascii="Times New Roman;Times;serif" w:hAnsi="Times New Roman;Times;serif"/>
          <w:sz w:val="20"/>
        </w:rPr>
        <w:t>The unaudited condensed interim consolidated financial statements of the Company should be read in conjunction with the audited consolidated financial statements of the Company as of December 31, 2025 and for the year then ended, including the notes thereto.</w:t>
      </w:r>
    </w:p>
    <w:p>
      <w:pPr>
        <w:pStyle w:val="TextBody"/>
        <w:bidi w:val="0"/>
        <w:spacing w:lineRule="auto" w:line="300" w:before="0" w:after="0"/>
        <w:ind w:left="1440" w:right="0" w:hanging="0"/>
        <w:jc w:val="both"/>
        <w:rPr/>
      </w:pPr>
      <w:r>
        <w:rPr/>
        <w:t> </w:t>
      </w:r>
    </w:p>
    <w:p>
      <w:pPr>
        <w:pStyle w:val="TextBody"/>
        <w:bidi w:val="0"/>
        <w:spacing w:lineRule="auto" w:line="300"/>
        <w:ind w:left="1260" w:right="0" w:hanging="0"/>
        <w:jc w:val="both"/>
        <w:rPr>
          <w:rFonts w:ascii="Times New Roman;Times;serif" w:hAnsi="Times New Roman;Times;serif"/>
          <w:sz w:val="20"/>
        </w:rPr>
      </w:pPr>
      <w:r>
        <w:rPr>
          <w:rFonts w:ascii="Times New Roman;Times;serif" w:hAnsi="Times New Roman;Times;serif"/>
          <w:sz w:val="20"/>
        </w:rPr>
        <w:t>In the opinion of the Company's management, the unaudited condensed interim consolidated financial statements include all adjustments necessary for a fair presentation of the Company’s financial position as of the dates presented and results of operations for the interim periods presented. The results of operations for the interim periods are not necessarily indicative of the results to be expected on a full-year basis.</w:t>
      </w:r>
    </w:p>
    <w:p>
      <w:pPr>
        <w:pStyle w:val="TextBody"/>
        <w:bidi w:val="0"/>
        <w:spacing w:before="0" w:after="200"/>
        <w:jc w:val="left"/>
        <w:rPr/>
      </w:pPr>
      <w:r>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F - 8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pPr>
      <w:r>
        <w:rPr>
          <w:rStyle w:val="StrongEmphasis"/>
          <w:rFonts w:ascii="Times New Roman;Times;serif" w:hAnsi="Times New Roman;Times;serif"/>
          <w:sz w:val="20"/>
        </w:rPr>
        <w:t>TOWER SEMICONDUCTOR LTD. AND SUBSIDIARIES</w:t>
        <w:br/>
        <w:t>NOTES TO UNAUDITED CONDENSED INTERIM CONSOLIDATED</w:t>
        <w:br/>
        <w:t>FINANCIAL STATEMENTS AS OF JUNE 30, 2026</w:t>
      </w:r>
      <w:r>
        <w:rPr>
          <w:rFonts w:ascii="Times New Roman;Times;serif" w:hAnsi="Times New Roman;Times;serif"/>
          <w:sz w:val="20"/>
        </w:rPr>
        <w:br/>
        <w:t>(dollars in thousands, except per share data)</w:t>
      </w:r>
    </w:p>
    <w:p>
      <w:pPr>
        <w:pStyle w:val="TextBody"/>
        <w:bidi w:val="0"/>
        <w:spacing w:before="0" w:after="0"/>
        <w:jc w:val="left"/>
        <w:rPr/>
      </w:pPr>
      <w:r>
        <w:rPr/>
        <w:t> </w:t>
      </w:r>
    </w:p>
    <w:p>
      <w:pPr>
        <w:pStyle w:val="TextBody"/>
        <w:bidi w:val="0"/>
        <w:spacing w:lineRule="auto" w:line="300" w:before="0" w:after="0"/>
        <w:jc w:val="left"/>
        <w:rPr>
          <w:rFonts w:ascii="Times New Roman;Times;serif" w:hAnsi="Times New Roman;Times;serif"/>
          <w:sz w:val="20"/>
        </w:rPr>
      </w:pPr>
      <w:r>
        <w:rPr>
          <w:rFonts w:ascii="Times New Roman;Times;serif" w:hAnsi="Times New Roman;Times;serif"/>
          <w:b/>
          <w:sz w:val="20"/>
        </w:rPr>
        <w:t>NOTE 2</w:t>
      </w:r>
      <w:r>
        <w:rPr>
          <w:rFonts w:ascii="Times New Roman;Times;serif" w:hAnsi="Times New Roman;Times;serif"/>
          <w:sz w:val="20"/>
        </w:rPr>
        <w:t xml:space="preserve">     </w:t>
      </w:r>
      <w:r>
        <w:rPr>
          <w:rFonts w:ascii="Times New Roman;Times;serif" w:hAnsi="Times New Roman;Times;serif"/>
          <w:b/>
          <w:sz w:val="20"/>
        </w:rPr>
        <w:t>-     INVENTORY</w:t>
      </w:r>
    </w:p>
    <w:p>
      <w:pPr>
        <w:pStyle w:val="TextBody"/>
        <w:bidi w:val="0"/>
        <w:spacing w:lineRule="auto" w:line="300" w:before="0" w:after="0"/>
        <w:jc w:val="left"/>
        <w:rPr/>
      </w:pPr>
      <w:r>
        <w:rPr/>
        <w:t> </w:t>
      </w:r>
    </w:p>
    <w:p>
      <w:pPr>
        <w:pStyle w:val="TextBody"/>
        <w:bidi w:val="0"/>
        <w:spacing w:lineRule="auto" w:line="300" w:before="0" w:after="0"/>
        <w:ind w:left="1260" w:right="0" w:hanging="0"/>
        <w:jc w:val="both"/>
        <w:rPr>
          <w:rFonts w:ascii="Times New Roman;Times;serif" w:hAnsi="Times New Roman;Times;serif"/>
          <w:sz w:val="20"/>
        </w:rPr>
      </w:pPr>
      <w:r>
        <w:rPr>
          <w:rFonts w:ascii="Times New Roman;Times;serif" w:hAnsi="Times New Roman;Times;serif"/>
          <w:sz w:val="20"/>
        </w:rPr>
        <w:t>Inventories consist of the following as of June 30, 2026 and December 31, 2025:</w:t>
      </w:r>
    </w:p>
    <w:p>
      <w:pPr>
        <w:pStyle w:val="TextBody"/>
        <w:bidi w:val="0"/>
        <w:spacing w:lineRule="auto" w:line="300" w:before="0" w:after="0"/>
        <w:jc w:val="both"/>
        <w:rPr/>
      </w:pPr>
      <w:r>
        <w:rPr/>
        <w:t> </w:t>
      </w:r>
    </w:p>
    <w:tbl>
      <w:tblPr>
        <w:tblW w:w="3709" w:type="dxa"/>
        <w:jc w:val="left"/>
        <w:tblInd w:w="1260" w:type="dxa"/>
        <w:tblLayout w:type="fixed"/>
        <w:tblCellMar>
          <w:top w:w="0" w:type="dxa"/>
          <w:left w:w="0" w:type="dxa"/>
          <w:bottom w:w="0" w:type="dxa"/>
          <w:right w:w="0" w:type="dxa"/>
        </w:tblCellMar>
      </w:tblPr>
      <w:tblGrid>
        <w:gridCol w:w="1325"/>
        <w:gridCol w:w="60"/>
        <w:gridCol w:w="125"/>
        <w:gridCol w:w="800"/>
        <w:gridCol w:w="60"/>
        <w:gridCol w:w="60"/>
        <w:gridCol w:w="164"/>
        <w:gridCol w:w="1055"/>
        <w:gridCol w:w="60"/>
      </w:tblGrid>
      <w:tr>
        <w:trPr/>
        <w:tc>
          <w:tcPr>
            <w:tcW w:w="1325" w:type="dxa"/>
            <w:tcBorders/>
            <w:vAlign w:val="center"/>
          </w:tcPr>
          <w:p>
            <w:pPr>
              <w:pStyle w:val="TableContents"/>
              <w:bidi w:val="0"/>
              <w:spacing w:lineRule="auto" w:line="300" w:before="0" w:after="0"/>
              <w:jc w:val="both"/>
              <w:rPr>
                <w:rFonts w:ascii="Times New Roman;Times;serif" w:hAnsi="Times New Roman;Times;serif"/>
                <w:b/>
                <w:sz w:val="20"/>
              </w:rPr>
            </w:pPr>
            <w:r>
              <w:rPr>
                <w:rFonts w:ascii="Times New Roman;Times;serif" w:hAnsi="Times New Roman;Times;serif"/>
                <w:b/>
                <w:sz w:val="20"/>
              </w:rPr>
              <w:t>Details</w:t>
            </w:r>
          </w:p>
        </w:tc>
        <w:tc>
          <w:tcPr>
            <w:tcW w:w="60"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June 30,</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 xml:space="preserve">December 31, </w:t>
            </w:r>
          </w:p>
          <w:p>
            <w:pPr>
              <w:pStyle w:val="TableContents"/>
              <w:bidi w:val="0"/>
              <w:spacing w:lineRule="auto" w:line="300" w:before="0" w:after="0"/>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lineRule="auto" w:line="300" w:before="0" w:after="0"/>
              <w:jc w:val="right"/>
              <w:rPr/>
            </w:pPr>
            <w:r>
              <w:rPr/>
              <w:t>76,443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lineRule="auto" w:line="300" w:before="0" w:after="0"/>
              <w:jc w:val="right"/>
              <w:rPr/>
            </w:pPr>
            <w:r>
              <w:rPr/>
              <w:t>105,301</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Work in process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lineRule="auto" w:line="300" w:before="0" w:after="0"/>
              <w:jc w:val="right"/>
              <w:rPr/>
            </w:pPr>
            <w:r>
              <w:rPr/>
              <w:t>154,876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lineRule="auto" w:line="300" w:before="0" w:after="0"/>
              <w:jc w:val="right"/>
              <w:rPr/>
            </w:pPr>
            <w:r>
              <w:rPr/>
              <w:t>144,373</w:t>
            </w:r>
          </w:p>
        </w:tc>
        <w:tc>
          <w:tcPr>
            <w:tcW w:w="6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lineRule="auto" w:line="300" w:before="0" w:after="0"/>
              <w:jc w:val="both"/>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13,037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lineRule="auto" w:line="300" w:before="0" w:after="0"/>
              <w:jc w:val="right"/>
              <w:rPr/>
            </w:pPr>
            <w:r>
              <w:rPr/>
              <w:t>7,181</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800" w:type="dxa"/>
            <w:tcBorders>
              <w:bottom w:val="double" w:sz="8" w:space="0" w:color="000000"/>
            </w:tcBorders>
            <w:tcMar>
              <w:bottom w:w="28" w:type="dxa"/>
            </w:tcMar>
            <w:vAlign w:val="center"/>
          </w:tcPr>
          <w:p>
            <w:pPr>
              <w:pStyle w:val="TableContents"/>
              <w:bidi w:val="0"/>
              <w:spacing w:lineRule="auto" w:line="300" w:before="0" w:after="0"/>
              <w:jc w:val="right"/>
              <w:rPr/>
            </w:pPr>
            <w:r>
              <w:rPr/>
              <w:t>244,356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bottom w:val="double" w:sz="8"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8" w:space="0" w:color="000000"/>
            </w:tcBorders>
            <w:tcMar>
              <w:bottom w:w="28" w:type="dxa"/>
            </w:tcMar>
            <w:vAlign w:val="center"/>
          </w:tcPr>
          <w:p>
            <w:pPr>
              <w:pStyle w:val="TableContents"/>
              <w:bidi w:val="0"/>
              <w:spacing w:lineRule="auto" w:line="300" w:before="0" w:after="0"/>
              <w:jc w:val="right"/>
              <w:rPr/>
            </w:pPr>
            <w:r>
              <w:rPr/>
              <w:t>256,855</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00" w:before="0" w:after="0"/>
        <w:jc w:val="both"/>
        <w:rPr>
          <w:rFonts w:ascii="Times New Roman;Times;serif" w:hAnsi="Times New Roman;Times;serif"/>
          <w:sz w:val="20"/>
        </w:rPr>
      </w:pPr>
      <w:r>
        <w:rPr>
          <w:rFonts w:ascii="Times New Roman;Times;serif" w:hAnsi="Times New Roman;Times;serif"/>
          <w:b/>
          <w:sz w:val="20"/>
        </w:rPr>
        <w:t>NOTE 3</w:t>
      </w:r>
      <w:r>
        <w:rPr>
          <w:rFonts w:ascii="Times New Roman;Times;serif" w:hAnsi="Times New Roman;Times;serif"/>
          <w:sz w:val="20"/>
        </w:rPr>
        <w:t xml:space="preserve">     </w:t>
      </w:r>
      <w:r>
        <w:rPr>
          <w:rFonts w:ascii="Times New Roman;Times;serif" w:hAnsi="Times New Roman;Times;serif"/>
          <w:b/>
          <w:sz w:val="20"/>
        </w:rPr>
        <w:t>-     RECENT DEVELOPMENTS</w:t>
      </w:r>
    </w:p>
    <w:p>
      <w:pPr>
        <w:pStyle w:val="TextBody"/>
        <w:bidi w:val="0"/>
        <w:spacing w:lineRule="auto" w:line="300" w:before="0" w:after="0"/>
        <w:jc w:val="left"/>
        <w:rPr/>
      </w:pPr>
      <w:r>
        <w:rPr/>
        <w:t> </w:t>
      </w:r>
    </w:p>
    <w:p>
      <w:pPr>
        <w:pStyle w:val="TextBody"/>
        <w:bidi w:val="0"/>
        <w:spacing w:lineRule="auto" w:line="300" w:before="0" w:after="0"/>
        <w:ind w:left="1260" w:right="0" w:hanging="0"/>
        <w:jc w:val="both"/>
        <w:rPr>
          <w:rFonts w:ascii="Times New Roman;Times;serif" w:hAnsi="Times New Roman;Times;serif"/>
          <w:sz w:val="20"/>
        </w:rPr>
      </w:pPr>
      <w:r>
        <w:rPr>
          <w:rFonts w:ascii="Times New Roman;Times;serif" w:hAnsi="Times New Roman;Times;serif"/>
          <w:sz w:val="20"/>
        </w:rPr>
        <w:t>On March 25, 2026, the Company and NTCJ entered into a framework agreement to implement a strategic restructuring of TPSCo’s business operations, under which Tower will acquire full ownership and operational control of the Uozu fab while the Tonami fab will remain within TPSCo, which will become a wholly owned subsidiary of NTCJ, for consideration of a $25,000 payment by NTCJ to Tower to be made on the closing date.  The transaction is expected to close on April 1, 2027, subject to the satisfaction of customary closing conditions and receipt of applicable regulatory approvals. Under the new structure, Tower’s new wholly owned subsidiary in Japan (“TSJPN”) will own all Fab 7 (300mm) manufacturing production tools, and manage all Fab 7 operations, employees and business activities.</w:t>
      </w:r>
    </w:p>
    <w:p>
      <w:pPr>
        <w:pStyle w:val="TextBody"/>
        <w:bidi w:val="0"/>
        <w:spacing w:lineRule="auto" w:line="300" w:before="0" w:after="0"/>
        <w:jc w:val="left"/>
        <w:rPr/>
      </w:pPr>
      <w:r>
        <w:rPr/>
        <w:t> </w:t>
      </w:r>
    </w:p>
    <w:p>
      <w:pPr>
        <w:pStyle w:val="TextBody"/>
        <w:bidi w:val="0"/>
        <w:spacing w:lineRule="auto" w:line="300" w:before="0" w:after="0"/>
        <w:ind w:left="1260" w:right="0" w:hanging="0"/>
        <w:jc w:val="both"/>
        <w:rPr>
          <w:rFonts w:ascii="Times New Roman;Times;serif" w:hAnsi="Times New Roman;Times;serif"/>
          <w:sz w:val="20"/>
        </w:rPr>
      </w:pPr>
      <w:r>
        <w:rPr>
          <w:rFonts w:ascii="Times New Roman;Times;serif" w:hAnsi="Times New Roman;Times;serif"/>
          <w:sz w:val="20"/>
        </w:rPr>
        <w:t>In March 2026, GlobalFoundries Inc. filed three lawsuits against the Company in the U.S. International Trade Commission (ITC) and the United States District Court for the Western District of Texas alleging infringement of certain of its patents.  Thereafter, an additional lawsuit has been filed by GlobalFoundries in China with respect to alleged infringement of a Chinese patent which is a counterpart of one of the patents in the ITC case.  The Company disputes these claims.</w:t>
      </w:r>
    </w:p>
    <w:p>
      <w:pPr>
        <w:pStyle w:val="TextBody"/>
        <w:bidi w:val="0"/>
        <w:spacing w:lineRule="auto" w:line="300" w:before="0" w:after="0"/>
        <w:jc w:val="left"/>
        <w:rPr/>
      </w:pPr>
      <w:r>
        <w:rPr/>
        <w:t> </w:t>
      </w:r>
    </w:p>
    <w:p>
      <w:pPr>
        <w:pStyle w:val="TextBody"/>
        <w:bidi w:val="0"/>
        <w:spacing w:lineRule="auto" w:line="300"/>
        <w:ind w:left="1260" w:right="0" w:hanging="0"/>
        <w:jc w:val="both"/>
        <w:rPr>
          <w:rFonts w:ascii="Times New Roman;Times;serif" w:hAnsi="Times New Roman;Times;serif"/>
          <w:sz w:val="20"/>
        </w:rPr>
      </w:pPr>
      <w:r>
        <w:rPr>
          <w:rFonts w:ascii="Times New Roman;Times;serif" w:hAnsi="Times New Roman;Times;serif"/>
          <w:sz w:val="20"/>
        </w:rPr>
        <w:t>In July 2026, the Company announced its intention to expand its 300mm Silicon Photonics (SiPho) and Silicon Germanium (SiGe) capacity and capabilities in Japan with the support of the Government of Japan through cash grants that are expected to be received from its Ministry of Economy, Trade and Industry (METI). The plan consists of repurposing the Arai facility, formerly Fab 6 (a 200mm fab that ceased its operations in 2022), for 300mm Silicon Photonics manufacturing, maximizing the existing Fab 7 300mm output in Uozu, and a planned additional 300mm manufacturing facility that may be built adjacent to Fab 7, following signing and closing of related agreements with contractors and other service and equipment providers, obtaining necessary permits, finalizing METI grants terms and covenants thereto and other consents that may be required.</w:t>
      </w:r>
    </w:p>
    <w:p>
      <w:pPr>
        <w:pStyle w:val="TextBody"/>
        <w:bidi w:val="0"/>
        <w:spacing w:before="0" w:after="0"/>
        <w:jc w:val="left"/>
        <w:rPr/>
      </w:pPr>
      <w:r>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t>F - 9</w:t>
      </w:r>
    </w:p>
    <w:p>
      <w:pPr>
        <w:pStyle w:val="HorizontalLine"/>
        <w:pBdr>
          <w:bottom w:val="double" w:sz="2" w:space="0" w:color="808080"/>
        </w:pBdr>
        <w:bidi w:val="0"/>
        <w:spacing w:before="0" w:after="283"/>
        <w:jc w:val="left"/>
        <w:rPr/>
      </w:pPr>
      <w:r>
        <w:rPr/>
      </w:r>
    </w:p>
    <w:p>
      <w:pPr>
        <w:pStyle w:val="HorizontalLine"/>
        <w:bidi w:val="0"/>
        <w:jc w:val="left"/>
        <w:rPr/>
      </w:pPr>
      <w:r>
        <w:rPr/>
      </w:r>
      <w:bookmarkStart w:id="14" w:name="exhibit_99-2.htm"/>
      <w:bookmarkStart w:id="15" w:name="ksexhibit_992"/>
      <w:bookmarkStart w:id="16" w:name="exhibit_99-2.htm"/>
      <w:bookmarkStart w:id="17" w:name="ksexhibit_992"/>
      <w:bookmarkEnd w:id="16"/>
      <w:bookmarkEnd w:id="17"/>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99.2</w:t>
      </w:r>
    </w:p>
    <w:p>
      <w:pPr>
        <w:pStyle w:val="TextBody"/>
        <w:bidi w:val="0"/>
        <w:spacing w:before="0" w:after="0"/>
        <w:jc w:val="left"/>
        <w:rPr/>
      </w:pPr>
      <w:r>
        <w:rPr/>
      </w:r>
    </w:p>
    <w:p>
      <w:pPr>
        <w:pStyle w:val="TextBody"/>
        <w:bidi w:val="0"/>
        <w:spacing w:lineRule="auto" w:line="300" w:before="0" w:after="0"/>
        <w:ind w:left="2" w:right="0" w:hanging="0"/>
        <w:jc w:val="center"/>
        <w:rPr>
          <w:rFonts w:ascii="Times New Roman;Times;serif" w:hAnsi="Times New Roman;Times;serif"/>
          <w:b/>
          <w:color w:val="000000"/>
          <w:sz w:val="20"/>
        </w:rPr>
      </w:pPr>
      <w:r>
        <w:rPr>
          <w:rFonts w:ascii="Times New Roman;Times;serif" w:hAnsi="Times New Roman;Times;serif"/>
          <w:b/>
          <w:color w:val="000000"/>
          <w:sz w:val="20"/>
        </w:rPr>
        <w:t>TOWER SEMICONDUCTOR LTD. AND SUBSIDIARIES</w:t>
      </w:r>
    </w:p>
    <w:p>
      <w:pPr>
        <w:pStyle w:val="TextBody"/>
        <w:bidi w:val="0"/>
        <w:spacing w:lineRule="auto" w:line="300" w:before="0" w:after="0"/>
        <w:ind w:left="2" w:right="0" w:hanging="0"/>
        <w:jc w:val="center"/>
        <w:rPr>
          <w:rFonts w:ascii="Times New Roman;Times;serif" w:hAnsi="Times New Roman;Times;serif"/>
          <w:b/>
          <w:color w:val="000000"/>
          <w:sz w:val="20"/>
        </w:rPr>
      </w:pPr>
      <w:r>
        <w:rPr>
          <w:rFonts w:ascii="Times New Roman;Times;serif" w:hAnsi="Times New Roman;Times;serif"/>
          <w:b/>
          <w:color w:val="000000"/>
          <w:sz w:val="20"/>
        </w:rPr>
        <w:t>MANAGEMENT’S DISCUSSION AND ANALYSIS OF</w:t>
      </w:r>
    </w:p>
    <w:p>
      <w:pPr>
        <w:pStyle w:val="TextBody"/>
        <w:bidi w:val="0"/>
        <w:spacing w:lineRule="auto" w:line="300" w:before="0" w:after="0"/>
        <w:ind w:left="2" w:right="0" w:hanging="0"/>
        <w:jc w:val="center"/>
        <w:rPr>
          <w:rFonts w:ascii="Times New Roman;Times;serif" w:hAnsi="Times New Roman;Times;serif"/>
          <w:b/>
          <w:color w:val="000000"/>
          <w:sz w:val="20"/>
        </w:rPr>
      </w:pPr>
      <w:r>
        <w:rPr>
          <w:rFonts w:ascii="Times New Roman;Times;serif" w:hAnsi="Times New Roman;Times;serif"/>
          <w:b/>
          <w:color w:val="000000"/>
          <w:sz w:val="20"/>
        </w:rPr>
        <w:t>FINANCIAL CONDITION AND RESULTS OF OPERATIONS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i/>
          <w:color w:val="000000"/>
          <w:sz w:val="20"/>
        </w:rPr>
      </w:pPr>
      <w:r>
        <w:rPr>
          <w:rFonts w:ascii="Times New Roman;Times;serif" w:hAnsi="Times New Roman;Times;serif"/>
          <w:i/>
          <w:color w:val="000000"/>
          <w:sz w:val="20"/>
        </w:rPr>
        <w:t>The information contained in this section should be read in conjunction with (1) our unaudited condensed interim consolidated financial statements as of June 30, 2026 and for the six months ended June 30, 2026 and 2025 and related notes included in this report and (2) our audited consolidated financial statements and related notes included in our Annual Report on Form 20-F for the year ended December 31, 2025 and the other information contained in such annual report, particularly the information in Item 5 - “Operating and Financial Review and Prospects”. Our financial statements have been prepared in accordance with generally accepted accounting principles in the United States (“US GAAP”).</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Results of Operations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following table sets forth certain statement of operations data as a percentage of total revenue for the six months ended June 30, 2026 and 2025:</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29ca8c09488a42d29b6c50c5d3b311de"/>
      <w:bookmarkStart w:id="19" w:name="z29ca8c09488a42d29b6c50c5d3b311de"/>
      <w:bookmarkEnd w:id="19"/>
    </w:p>
    <w:tbl>
      <w:tblPr>
        <w:tblW w:w="6835" w:type="dxa"/>
        <w:jc w:val="left"/>
        <w:tblInd w:w="0" w:type="dxa"/>
        <w:tblLayout w:type="fixed"/>
        <w:tblCellMar>
          <w:top w:w="0" w:type="dxa"/>
          <w:left w:w="0" w:type="dxa"/>
          <w:bottom w:w="0" w:type="dxa"/>
          <w:right w:w="0" w:type="dxa"/>
        </w:tblCellMar>
      </w:tblPr>
      <w:tblGrid>
        <w:gridCol w:w="5285"/>
        <w:gridCol w:w="60"/>
        <w:gridCol w:w="60"/>
        <w:gridCol w:w="440"/>
        <w:gridCol w:w="215"/>
        <w:gridCol w:w="60"/>
        <w:gridCol w:w="60"/>
        <w:gridCol w:w="440"/>
        <w:gridCol w:w="215"/>
      </w:tblGrid>
      <w:tr>
        <w:trPr/>
        <w:tc>
          <w:tcPr>
            <w:tcW w:w="5285" w:type="dxa"/>
            <w:tcBorders/>
            <w:vAlign w:val="bottom"/>
          </w:tcPr>
          <w:p>
            <w:pPr>
              <w:pStyle w:val="TableContents"/>
              <w:bidi w:val="0"/>
              <w:spacing w:lineRule="auto" w:line="300" w:before="0" w:after="0"/>
              <w:jc w:val="left"/>
              <w:rPr/>
            </w:pPr>
            <w:r>
              <w:rPr/>
              <w:t>Details</w:t>
            </w:r>
          </w:p>
        </w:tc>
        <w:tc>
          <w:tcPr>
            <w:tcW w:w="60"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lineRule="auto" w:line="300" w:before="0" w:after="0"/>
              <w:jc w:val="center"/>
              <w:rPr/>
            </w:pPr>
            <w:r>
              <w:rPr/>
              <w:t>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bottom"/>
          </w:tcPr>
          <w:p>
            <w:pPr>
              <w:pStyle w:val="TableContents"/>
              <w:bidi w:val="0"/>
              <w:spacing w:lineRule="auto" w:line="300" w:before="0" w:after="0"/>
              <w:jc w:val="center"/>
              <w:rPr/>
            </w:pPr>
            <w:r>
              <w:rPr/>
              <w:t>2025</w:t>
            </w:r>
          </w:p>
        </w:tc>
        <w:tc>
          <w:tcPr>
            <w:tcW w:w="21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lineRule="auto" w:line="300" w:before="0" w:after="0"/>
              <w:jc w:val="left"/>
              <w:rPr/>
            </w:pPr>
            <w:r>
              <w:rPr/>
              <w:t>Revenue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pPr>
            <w:r>
              <w:rPr/>
              <w:t>100</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pPr>
            <w:r>
              <w:rPr/>
              <w:t>100</w:t>
            </w:r>
          </w:p>
        </w:tc>
        <w:tc>
          <w:tcPr>
            <w:tcW w:w="215" w:type="dxa"/>
            <w:tcBorders/>
            <w:shd w:fill="CCEEFF" w:val="clear"/>
            <w:vAlign w:val="bottom"/>
          </w:tcPr>
          <w:p>
            <w:pPr>
              <w:pStyle w:val="TableContents"/>
              <w:bidi w:val="0"/>
              <w:spacing w:lineRule="auto" w:line="300" w:before="0" w:after="0"/>
              <w:jc w:val="left"/>
              <w:rPr/>
            </w:pPr>
            <w:r>
              <w:rPr/>
              <w:t>%</w:t>
            </w:r>
          </w:p>
        </w:tc>
      </w:tr>
      <w:tr>
        <w:trPr/>
        <w:tc>
          <w:tcPr>
            <w:tcW w:w="5285" w:type="dxa"/>
            <w:tcBorders/>
            <w:vAlign w:val="bottom"/>
          </w:tcPr>
          <w:p>
            <w:pPr>
              <w:pStyle w:val="TableContents"/>
              <w:bidi w:val="0"/>
              <w:spacing w:lineRule="auto" w:line="300" w:before="0" w:after="0"/>
              <w:jc w:val="left"/>
              <w:rPr/>
            </w:pPr>
            <w:r>
              <w:rPr/>
              <w:t>Cost of revenue</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tcMar>
              <w:bottom w:w="28" w:type="dxa"/>
            </w:tcMar>
            <w:vAlign w:val="bottom"/>
          </w:tcPr>
          <w:p>
            <w:pPr>
              <w:pStyle w:val="TableContents"/>
              <w:bidi w:val="0"/>
              <w:spacing w:lineRule="auto" w:line="300" w:before="0" w:after="0"/>
              <w:jc w:val="right"/>
              <w:rPr/>
            </w:pPr>
            <w:r>
              <w:rPr/>
              <w:t>71.5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tcMar>
              <w:bottom w:w="28" w:type="dxa"/>
            </w:tcMar>
            <w:vAlign w:val="bottom"/>
          </w:tcPr>
          <w:p>
            <w:pPr>
              <w:pStyle w:val="TableContents"/>
              <w:bidi w:val="0"/>
              <w:spacing w:lineRule="auto" w:line="300" w:before="0" w:after="0"/>
              <w:jc w:val="right"/>
              <w:rPr/>
            </w:pPr>
            <w:r>
              <w:rPr/>
              <w:t>79.0</w:t>
            </w:r>
          </w:p>
        </w:tc>
        <w:tc>
          <w:tcPr>
            <w:tcW w:w="21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lineRule="auto" w:line="300" w:before="0" w:after="0"/>
              <w:jc w:val="left"/>
              <w:rPr/>
            </w:pPr>
            <w:r>
              <w:rPr/>
              <w:t>Gross profit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pPr>
            <w:r>
              <w:rPr/>
              <w:t>28.5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pPr>
            <w:r>
              <w:rPr/>
              <w:t>21.0</w:t>
            </w:r>
          </w:p>
        </w:tc>
        <w:tc>
          <w:tcPr>
            <w:tcW w:w="21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lineRule="auto" w:line="300" w:before="0" w:after="0"/>
              <w:jc w:val="left"/>
              <w:rPr/>
            </w:pPr>
            <w:r>
              <w:rPr/>
              <w:t>Research and development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pPr>
            <w:r>
              <w:rPr/>
              <w:t>5.4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pPr>
            <w:r>
              <w:rPr/>
              <w:t>5.4</w:t>
            </w:r>
          </w:p>
        </w:tc>
        <w:tc>
          <w:tcPr>
            <w:tcW w:w="21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lineRule="auto" w:line="300" w:before="0" w:after="0"/>
              <w:jc w:val="left"/>
              <w:rPr/>
            </w:pPr>
            <w:r>
              <w:rPr/>
              <w:t>Marketing, general and administrative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pPr>
            <w:r>
              <w:rPr/>
              <w:t>5.4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pPr>
            <w:r>
              <w:rPr/>
              <w:t>5.6</w:t>
            </w:r>
          </w:p>
        </w:tc>
        <w:tc>
          <w:tcPr>
            <w:tcW w:w="21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lineRule="auto" w:line="300" w:before="0" w:after="0"/>
              <w:jc w:val="left"/>
              <w:rPr/>
            </w:pPr>
            <w:r>
              <w:rPr/>
              <w:t>Operating profit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pPr>
            <w:r>
              <w:rPr/>
              <w:t>17.7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pPr>
            <w:r>
              <w:rPr/>
              <w:t>10.0</w:t>
            </w:r>
          </w:p>
        </w:tc>
        <w:tc>
          <w:tcPr>
            <w:tcW w:w="21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lineRule="auto" w:line="300" w:before="0" w:after="0"/>
              <w:jc w:val="left"/>
              <w:rPr/>
            </w:pPr>
            <w:r>
              <w:rPr/>
              <w:t>Financing and other income, net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pPr>
            <w:r>
              <w:rPr/>
              <w:t>2.9</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lineRule="auto" w:line="300" w:before="0" w:after="0"/>
              <w:jc w:val="right"/>
              <w:rPr/>
            </w:pPr>
            <w:r>
              <w:rPr/>
              <w:t>3.4</w:t>
            </w:r>
          </w:p>
        </w:tc>
        <w:tc>
          <w:tcPr>
            <w:tcW w:w="21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lineRule="auto" w:line="300" w:before="0" w:after="0"/>
              <w:jc w:val="left"/>
              <w:rPr/>
            </w:pPr>
            <w:r>
              <w:rPr/>
              <w:t>Profit before income tax</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pPr>
            <w:r>
              <w:rPr/>
              <w:t>20.6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pPr>
            <w:r>
              <w:rPr/>
              <w:t>13.4</w:t>
            </w:r>
          </w:p>
        </w:tc>
        <w:tc>
          <w:tcPr>
            <w:tcW w:w="21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lineRule="auto" w:line="300" w:before="0" w:after="0"/>
              <w:jc w:val="left"/>
              <w:rPr/>
            </w:pPr>
            <w:r>
              <w:rPr/>
              <w:t>Income tax expense, net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(2.5</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(1.7</w:t>
            </w:r>
          </w:p>
        </w:tc>
        <w:tc>
          <w:tcPr>
            <w:tcW w:w="215" w:type="dxa"/>
            <w:tcBorders/>
            <w:shd w:fill="CCEEFF" w:val="clear"/>
            <w:vAlign w:val="bottom"/>
          </w:tcPr>
          <w:p>
            <w:pPr>
              <w:pStyle w:val="TableContents"/>
              <w:bidi w:val="0"/>
              <w:spacing w:lineRule="auto" w:line="300" w:before="0" w:after="0"/>
              <w:jc w:val="left"/>
              <w:rPr/>
            </w:pPr>
            <w:r>
              <w:rPr/>
              <w:t>)</w:t>
            </w:r>
          </w:p>
        </w:tc>
      </w:tr>
      <w:tr>
        <w:trPr/>
        <w:tc>
          <w:tcPr>
            <w:tcW w:w="5285" w:type="dxa"/>
            <w:tcBorders/>
            <w:vAlign w:val="bottom"/>
          </w:tcPr>
          <w:p>
            <w:pPr>
              <w:pStyle w:val="TableContents"/>
              <w:bidi w:val="0"/>
              <w:spacing w:lineRule="auto" w:line="300" w:before="0" w:after="0"/>
              <w:jc w:val="left"/>
              <w:rPr/>
            </w:pPr>
            <w:r>
              <w:rPr/>
              <w:t>Net profit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pPr>
            <w:r>
              <w:rPr/>
              <w:t>18.1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lineRule="auto" w:line="300" w:before="0" w:after="0"/>
              <w:jc w:val="right"/>
              <w:rPr/>
            </w:pPr>
            <w:r>
              <w:rPr/>
              <w:t>11.7</w:t>
            </w:r>
          </w:p>
        </w:tc>
        <w:tc>
          <w:tcPr>
            <w:tcW w:w="21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lineRule="auto" w:line="300" w:before="0" w:after="0"/>
              <w:jc w:val="left"/>
              <w:rPr/>
            </w:pPr>
            <w:r>
              <w:rPr/>
              <w:t>Net loss (income)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(0.3</w:t>
            </w:r>
          </w:p>
        </w:tc>
        <w:tc>
          <w:tcPr>
            <w:tcW w:w="21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0.2</w:t>
            </w:r>
          </w:p>
        </w:tc>
        <w:tc>
          <w:tcPr>
            <w:tcW w:w="21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lineRule="auto" w:line="300" w:before="0" w:after="0"/>
              <w:jc w:val="left"/>
              <w:rPr/>
            </w:pPr>
            <w:r>
              <w:rPr/>
              <w:t>Net profit attributable to the company</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440" w:type="dxa"/>
            <w:tcBorders>
              <w:bottom w:val="double" w:sz="8" w:space="0" w:color="000000"/>
            </w:tcBorders>
            <w:tcMar>
              <w:bottom w:w="28" w:type="dxa"/>
            </w:tcMar>
            <w:vAlign w:val="bottom"/>
          </w:tcPr>
          <w:p>
            <w:pPr>
              <w:pStyle w:val="TableContents"/>
              <w:bidi w:val="0"/>
              <w:spacing w:lineRule="auto" w:line="300" w:before="0" w:after="0"/>
              <w:jc w:val="right"/>
              <w:rPr/>
            </w:pPr>
            <w:r>
              <w:rPr/>
              <w:t>17.8</w:t>
            </w:r>
          </w:p>
        </w:tc>
        <w:tc>
          <w:tcPr>
            <w:tcW w:w="21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440" w:type="dxa"/>
            <w:tcBorders>
              <w:bottom w:val="double" w:sz="8" w:space="0" w:color="000000"/>
            </w:tcBorders>
            <w:tcMar>
              <w:bottom w:w="28" w:type="dxa"/>
            </w:tcMar>
            <w:vAlign w:val="bottom"/>
          </w:tcPr>
          <w:p>
            <w:pPr>
              <w:pStyle w:val="TableContents"/>
              <w:bidi w:val="0"/>
              <w:spacing w:lineRule="auto" w:line="300" w:before="0" w:after="0"/>
              <w:jc w:val="right"/>
              <w:rPr/>
            </w:pPr>
            <w:r>
              <w:rPr/>
              <w:t>11.9</w:t>
            </w:r>
          </w:p>
        </w:tc>
        <w:tc>
          <w:tcPr>
            <w:tcW w:w="215" w:type="dxa"/>
            <w:tcBorders/>
            <w:vAlign w:val="bottom"/>
          </w:tcPr>
          <w:p>
            <w:pPr>
              <w:pStyle w:val="TableContents"/>
              <w:bidi w:val="0"/>
              <w:spacing w:lineRule="auto" w:line="300" w:before="0" w:after="0"/>
              <w:jc w:val="left"/>
              <w:rPr/>
            </w:pPr>
            <w:r>
              <w:rPr/>
              <w:t>%</w:t>
            </w:r>
          </w:p>
        </w:tc>
      </w:tr>
    </w:tbl>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 following table sets forth certain statement of operations data for the six months ended June 30, 2026 and 2025 (dollars in thousands):</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e86b09a6b68f4f23843f4063220db08e"/>
      <w:bookmarkStart w:id="21" w:name="ze86b09a6b68f4f23843f4063220db08e"/>
      <w:bookmarkEnd w:id="21"/>
    </w:p>
    <w:tbl>
      <w:tblPr>
        <w:tblW w:w="7475" w:type="dxa"/>
        <w:jc w:val="left"/>
        <w:tblInd w:w="0" w:type="dxa"/>
        <w:tblLayout w:type="fixed"/>
        <w:tblCellMar>
          <w:top w:w="0" w:type="dxa"/>
          <w:left w:w="0" w:type="dxa"/>
          <w:bottom w:w="0" w:type="dxa"/>
          <w:right w:w="0" w:type="dxa"/>
        </w:tblCellMar>
      </w:tblPr>
      <w:tblGrid>
        <w:gridCol w:w="5285"/>
        <w:gridCol w:w="60"/>
        <w:gridCol w:w="140"/>
        <w:gridCol w:w="800"/>
        <w:gridCol w:w="95"/>
        <w:gridCol w:w="60"/>
        <w:gridCol w:w="140"/>
        <w:gridCol w:w="800"/>
        <w:gridCol w:w="95"/>
      </w:tblGrid>
      <w:tr>
        <w:trPr/>
        <w:tc>
          <w:tcPr>
            <w:tcW w:w="5285" w:type="dxa"/>
            <w:tcBorders/>
            <w:vAlign w:val="bottom"/>
          </w:tcPr>
          <w:p>
            <w:pPr>
              <w:pStyle w:val="TableContents"/>
              <w:bidi w:val="0"/>
              <w:spacing w:lineRule="auto" w:line="300" w:before="0" w:after="0"/>
              <w:jc w:val="left"/>
              <w:rPr/>
            </w:pPr>
            <w:r>
              <w:rPr/>
              <w:t>Details</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pPr>
            <w:r>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lineRule="auto" w:line="300" w:before="0" w:after="0"/>
              <w:jc w:val="center"/>
              <w:rPr/>
            </w:pPr>
            <w:r>
              <w:rPr/>
              <w:t>2025</w:t>
            </w:r>
          </w:p>
        </w:tc>
        <w:tc>
          <w:tcPr>
            <w:tcW w:w="9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lineRule="auto" w:line="300" w:before="0" w:after="0"/>
              <w:jc w:val="left"/>
              <w:rPr/>
            </w:pPr>
            <w:r>
              <w:rPr/>
              <w:t>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800" w:type="dxa"/>
            <w:tcBorders/>
            <w:shd w:fill="CCEEFF" w:val="clear"/>
            <w:vAlign w:val="bottom"/>
          </w:tcPr>
          <w:p>
            <w:pPr>
              <w:pStyle w:val="TableContents"/>
              <w:bidi w:val="0"/>
              <w:spacing w:lineRule="auto" w:line="300" w:before="0" w:after="0"/>
              <w:jc w:val="right"/>
              <w:rPr/>
            </w:pPr>
            <w:r>
              <w:rPr/>
              <w:t>873,710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pPr>
            <w:r>
              <w:rPr/>
              <w:t>$</w:t>
            </w:r>
          </w:p>
        </w:tc>
        <w:tc>
          <w:tcPr>
            <w:tcW w:w="800" w:type="dxa"/>
            <w:tcBorders/>
            <w:shd w:fill="CCEEFF" w:val="clear"/>
            <w:vAlign w:val="bottom"/>
          </w:tcPr>
          <w:p>
            <w:pPr>
              <w:pStyle w:val="TableContents"/>
              <w:bidi w:val="0"/>
              <w:spacing w:lineRule="auto" w:line="300" w:before="0" w:after="0"/>
              <w:jc w:val="right"/>
              <w:rPr/>
            </w:pPr>
            <w:r>
              <w:rPr/>
              <w:t>730,231</w:t>
            </w:r>
          </w:p>
        </w:tc>
        <w:tc>
          <w:tcPr>
            <w:tcW w:w="9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lineRule="auto" w:line="300" w:before="0" w:after="0"/>
              <w:jc w:val="left"/>
              <w:rPr/>
            </w:pPr>
            <w:r>
              <w:rPr/>
              <w:t>Cost of revenue</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624,987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577,034</w:t>
            </w:r>
          </w:p>
        </w:tc>
        <w:tc>
          <w:tcPr>
            <w:tcW w:w="9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lineRule="auto" w:line="300" w:before="0" w:after="0"/>
              <w:jc w:val="left"/>
              <w:rPr/>
            </w:pPr>
            <w:r>
              <w:rPr/>
              <w:t>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248,723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153,197</w:t>
            </w:r>
          </w:p>
        </w:tc>
        <w:tc>
          <w:tcPr>
            <w:tcW w:w="9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lineRule="auto" w:line="300" w:before="0" w:after="0"/>
              <w:jc w:val="left"/>
              <w:rPr/>
            </w:pPr>
            <w:r>
              <w:rPr/>
              <w:t>Research and development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47,099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39,590</w:t>
            </w:r>
          </w:p>
        </w:tc>
        <w:tc>
          <w:tcPr>
            <w:tcW w:w="9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lineRule="auto" w:line="300" w:before="0" w:after="0"/>
              <w:jc w:val="left"/>
              <w:rPr/>
            </w:pPr>
            <w:r>
              <w:rPr/>
              <w:t>Marketing, general and administrative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46,769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40,844</w:t>
            </w:r>
          </w:p>
        </w:tc>
        <w:tc>
          <w:tcPr>
            <w:tcW w:w="9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lineRule="auto" w:line="300" w:before="0" w:after="0"/>
              <w:jc w:val="left"/>
              <w:rPr/>
            </w:pPr>
            <w:r>
              <w:rPr/>
              <w:t>Operating profit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154,855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72,763</w:t>
            </w:r>
          </w:p>
        </w:tc>
        <w:tc>
          <w:tcPr>
            <w:tcW w:w="9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lineRule="auto" w:line="300" w:before="0" w:after="0"/>
              <w:jc w:val="left"/>
              <w:rPr/>
            </w:pPr>
            <w:r>
              <w:rPr/>
              <w:t>Financing and other income,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25,420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24,985</w:t>
            </w:r>
          </w:p>
        </w:tc>
        <w:tc>
          <w:tcPr>
            <w:tcW w:w="9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lineRule="auto" w:line="300" w:before="0" w:after="0"/>
              <w:jc w:val="left"/>
              <w:rPr/>
            </w:pPr>
            <w:r>
              <w:rPr/>
              <w:t>Profit before income tax</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180,275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97,748</w:t>
            </w:r>
          </w:p>
        </w:tc>
        <w:tc>
          <w:tcPr>
            <w:tcW w:w="9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lineRule="auto" w:line="300" w:before="0" w:after="0"/>
              <w:jc w:val="left"/>
              <w:rPr/>
            </w:pPr>
            <w:r>
              <w:rPr/>
              <w:t>Income tax expense, net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(22,091</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(12,439</w:t>
            </w:r>
          </w:p>
        </w:tc>
        <w:tc>
          <w:tcPr>
            <w:tcW w:w="95" w:type="dxa"/>
            <w:tcBorders/>
            <w:shd w:fill="CCEEFF" w:val="clear"/>
            <w:vAlign w:val="bottom"/>
          </w:tcPr>
          <w:p>
            <w:pPr>
              <w:pStyle w:val="TableContents"/>
              <w:bidi w:val="0"/>
              <w:spacing w:lineRule="auto" w:line="300" w:before="0" w:after="0"/>
              <w:jc w:val="left"/>
              <w:rPr/>
            </w:pPr>
            <w:r>
              <w:rPr/>
              <w:t>)</w:t>
            </w:r>
          </w:p>
        </w:tc>
      </w:tr>
      <w:tr>
        <w:trPr/>
        <w:tc>
          <w:tcPr>
            <w:tcW w:w="5285" w:type="dxa"/>
            <w:tcBorders/>
            <w:vAlign w:val="bottom"/>
          </w:tcPr>
          <w:p>
            <w:pPr>
              <w:pStyle w:val="TableContents"/>
              <w:bidi w:val="0"/>
              <w:spacing w:lineRule="auto" w:line="300" w:before="0" w:after="0"/>
              <w:jc w:val="left"/>
              <w:rPr/>
            </w:pPr>
            <w:r>
              <w:rPr/>
              <w:t>Net profit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158,184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85,309</w:t>
            </w:r>
          </w:p>
        </w:tc>
        <w:tc>
          <w:tcPr>
            <w:tcW w:w="95" w:type="dxa"/>
            <w:tcBorders/>
            <w:vAlign w:val="bottom"/>
          </w:tcPr>
          <w:p>
            <w:pPr>
              <w:pStyle w:val="TableContents"/>
              <w:bidi w:val="0"/>
              <w:spacing w:before="0" w:after="283"/>
              <w:jc w:val="left"/>
              <w:rPr/>
            </w:pPr>
            <w:r>
              <w:rPr/>
              <w:t> </w:t>
            </w:r>
          </w:p>
        </w:tc>
      </w:tr>
      <w:tr>
        <w:trPr/>
        <w:tc>
          <w:tcPr>
            <w:tcW w:w="5285" w:type="dxa"/>
            <w:tcBorders/>
            <w:shd w:fill="CCEEFF" w:val="clear"/>
            <w:vAlign w:val="bottom"/>
          </w:tcPr>
          <w:p>
            <w:pPr>
              <w:pStyle w:val="TableContents"/>
              <w:bidi w:val="0"/>
              <w:spacing w:lineRule="auto" w:line="300" w:before="0" w:after="0"/>
              <w:jc w:val="left"/>
              <w:rPr/>
            </w:pPr>
            <w:r>
              <w:rPr/>
              <w:t>Net loss (income)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(2,383</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1,384</w:t>
            </w:r>
          </w:p>
        </w:tc>
        <w:tc>
          <w:tcPr>
            <w:tcW w:w="95" w:type="dxa"/>
            <w:tcBorders/>
            <w:shd w:fill="CCEEFF" w:val="clear"/>
            <w:vAlign w:val="bottom"/>
          </w:tcPr>
          <w:p>
            <w:pPr>
              <w:pStyle w:val="TableContents"/>
              <w:bidi w:val="0"/>
              <w:spacing w:before="0" w:after="283"/>
              <w:jc w:val="left"/>
              <w:rPr/>
            </w:pPr>
            <w:r>
              <w:rPr/>
              <w:t> </w:t>
            </w:r>
          </w:p>
        </w:tc>
      </w:tr>
      <w:tr>
        <w:trPr/>
        <w:tc>
          <w:tcPr>
            <w:tcW w:w="5285" w:type="dxa"/>
            <w:tcBorders/>
            <w:vAlign w:val="bottom"/>
          </w:tcPr>
          <w:p>
            <w:pPr>
              <w:pStyle w:val="TableContents"/>
              <w:bidi w:val="0"/>
              <w:spacing w:lineRule="auto" w:line="300" w:before="0" w:after="0"/>
              <w:jc w:val="left"/>
              <w:rPr/>
            </w:pPr>
            <w:r>
              <w:rPr/>
              <w:t>Net profit attributable to the company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pPr>
            <w:r>
              <w:rPr/>
              <w:t>155,801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pPr>
            <w:r>
              <w:rPr/>
              <w:t>$</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pPr>
            <w:r>
              <w:rPr/>
              <w:t>86,693</w:t>
            </w:r>
          </w:p>
        </w:tc>
        <w:tc>
          <w:tcPr>
            <w:tcW w:w="95" w:type="dxa"/>
            <w:tcBorders/>
            <w:vAlign w:val="bottom"/>
          </w:tcPr>
          <w:p>
            <w:pPr>
              <w:pStyle w:val="TableContents"/>
              <w:bidi w:val="0"/>
              <w:spacing w:before="0" w:after="283"/>
              <w:jc w:val="left"/>
              <w:rPr/>
            </w:pPr>
            <w:r>
              <w:rPr/>
              <w:t> </w:t>
            </w:r>
          </w:p>
        </w:tc>
      </w:tr>
    </w:tbl>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1 of 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 w:right="0" w:hanging="0"/>
        <w:jc w:val="center"/>
        <w:rPr>
          <w:rFonts w:ascii="Times New Roman;Times;serif" w:hAnsi="Times New Roman;Times;serif"/>
          <w:b/>
          <w:color w:val="000000"/>
          <w:sz w:val="20"/>
        </w:rPr>
      </w:pPr>
      <w:r>
        <w:rPr>
          <w:rFonts w:ascii="Times New Roman;Times;serif" w:hAnsi="Times New Roman;Times;serif"/>
          <w:b/>
          <w:color w:val="000000"/>
          <w:sz w:val="20"/>
        </w:rPr>
        <w:t>TOWER SEMICONDUCTOR LTD. AND SUBSIDIARIES</w:t>
      </w:r>
    </w:p>
    <w:p>
      <w:pPr>
        <w:pStyle w:val="TextBody"/>
        <w:bidi w:val="0"/>
        <w:spacing w:lineRule="auto" w:line="300" w:before="0" w:after="0"/>
        <w:ind w:left="2" w:right="0" w:hanging="0"/>
        <w:jc w:val="center"/>
        <w:rPr>
          <w:rFonts w:ascii="Times New Roman;Times;serif" w:hAnsi="Times New Roman;Times;serif"/>
          <w:b/>
          <w:color w:val="000000"/>
          <w:sz w:val="20"/>
        </w:rPr>
      </w:pPr>
      <w:r>
        <w:rPr>
          <w:rFonts w:ascii="Times New Roman;Times;serif" w:hAnsi="Times New Roman;Times;serif"/>
          <w:b/>
          <w:color w:val="000000"/>
          <w:sz w:val="20"/>
        </w:rPr>
        <w:t>MANAGEMENT’S DISCUSSION AND ANALYSIS OF</w:t>
      </w:r>
    </w:p>
    <w:p>
      <w:pPr>
        <w:pStyle w:val="TextBody"/>
        <w:bidi w:val="0"/>
        <w:spacing w:lineRule="auto" w:line="300" w:before="0" w:after="0"/>
        <w:ind w:left="2" w:right="0" w:hanging="0"/>
        <w:jc w:val="center"/>
        <w:rPr>
          <w:rFonts w:ascii="Times New Roman;Times;serif" w:hAnsi="Times New Roman;Times;serif"/>
          <w:b/>
          <w:color w:val="000000"/>
          <w:sz w:val="20"/>
        </w:rPr>
      </w:pPr>
      <w:r>
        <w:rPr>
          <w:rFonts w:ascii="Times New Roman;Times;serif" w:hAnsi="Times New Roman;Times;serif"/>
          <w:b/>
          <w:color w:val="000000"/>
          <w:sz w:val="20"/>
        </w:rPr>
        <w:t>FINANCIAL CONDITION AND RESULTS OF OPERATIONS</w:t>
      </w:r>
    </w:p>
    <w:p>
      <w:pPr>
        <w:pStyle w:val="TextBody"/>
        <w:bidi w:val="0"/>
        <w:spacing w:lineRule="auto" w:line="300" w:before="0" w:after="0"/>
        <w:ind w:left="2" w:right="0" w:hanging="0"/>
        <w:jc w:val="center"/>
        <w:rPr>
          <w:b/>
        </w:rPr>
      </w:pPr>
      <w:r>
        <w:rPr>
          <w:b/>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Six months ended June 30, 2026 compared to six months ended June 30,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Revenue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Revenue for the six months ended June 30, 2026 amounted to $873.7 million, as compared to $730.2 million for the six months ended June 30, 2025, reflecting a $143.5 million or about 19.6% year-over-year revenue increase. The $143.5 million revenue increase is mostly due to a higher average selling price associated with a different product mix  shipped in the six months ended June 30, 2026 as compared to the six months ended June 30, 2025 (especially more SiPho related products shipped), as well as a higher quantity of products shipped from our fabs (excluding our 6-inch fab, Fab1, whose operations ceased in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Cost of Revenue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Cost of revenue for the six months ended June 30, 2026 amounted to $625.0 million as compared to $577.0 million for the six months ended June 30, 2025. The $48.0 million increase in cost of revenue is mainly due to the manufacturing costs associated with the above mentioned $143.5 million increase in revenue in the six months ended June 30,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Gross Profit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Gross profit for the six months ended June 30, 2026 amounted to $248.7 million as compared to $153.2 million for the six months ended June 30, 2025. The $95.5 million increase in gross profit resulted from the $143.5 million increase in revenue, net of the $48.0 million increase in cost of revenue, as described above.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Research and Development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Research and development expenses for the six months ended June 30, 2026, amounted to $47.1 million, reflecting 5.4% of revenue, as compared to $39.6 million for the six months ended June 30, 2025, also reflecting 5.4% of revenue.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Marketing, General and Administrative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Marketing, general and administrative expenses for the six months ended June 30, 2026 amounted to $46.8 million, reflecting 5.4% of revenue, as compared to $40.8 million for the six months ended June 30, 2025, reflecting a similar percentage of 5.6% of revenue.</w:t>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Operating Profit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Operating profit for the six months ended June 30, 2026 amounted to $154.9 million as compared to $72.8 million for the six months ended June 30, 2025. The $82.1 million increase in operating profit resulted from the $95.5 million increase in gross profit, as described above, offset by the $7.5 million increase in research and development expenses and the $6.0 million increase in marketing, general and administrative expenses, as described above.</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2 of 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 w:right="0" w:hanging="0"/>
        <w:jc w:val="center"/>
        <w:rPr>
          <w:rFonts w:ascii="Times New Roman;Times;serif" w:hAnsi="Times New Roman;Times;serif"/>
          <w:b/>
          <w:color w:val="000000"/>
          <w:sz w:val="20"/>
        </w:rPr>
      </w:pPr>
      <w:r>
        <w:rPr>
          <w:rFonts w:ascii="Times New Roman;Times;serif" w:hAnsi="Times New Roman;Times;serif"/>
          <w:b/>
          <w:color w:val="000000"/>
          <w:sz w:val="20"/>
        </w:rPr>
        <w:t>TOWER SEMICONDUCTOR LTD. AND SUBSIDIARIES</w:t>
      </w:r>
    </w:p>
    <w:p>
      <w:pPr>
        <w:pStyle w:val="TextBody"/>
        <w:bidi w:val="0"/>
        <w:spacing w:lineRule="auto" w:line="300" w:before="0" w:after="0"/>
        <w:ind w:left="2" w:right="0" w:hanging="0"/>
        <w:jc w:val="center"/>
        <w:rPr>
          <w:rFonts w:ascii="Times New Roman;Times;serif" w:hAnsi="Times New Roman;Times;serif"/>
          <w:b/>
          <w:color w:val="000000"/>
          <w:sz w:val="20"/>
        </w:rPr>
      </w:pPr>
      <w:r>
        <w:rPr>
          <w:rFonts w:ascii="Times New Roman;Times;serif" w:hAnsi="Times New Roman;Times;serif"/>
          <w:b/>
          <w:color w:val="000000"/>
          <w:sz w:val="20"/>
        </w:rPr>
        <w:t>MANAGEMENT’S DISCUSSION AND ANALYSIS OF</w:t>
      </w:r>
    </w:p>
    <w:p>
      <w:pPr>
        <w:pStyle w:val="TextBody"/>
        <w:bidi w:val="0"/>
        <w:spacing w:lineRule="auto" w:line="300" w:before="0" w:after="0"/>
        <w:ind w:left="2" w:right="0" w:hanging="0"/>
        <w:jc w:val="center"/>
        <w:rPr>
          <w:rFonts w:ascii="Times New Roman;Times;serif" w:hAnsi="Times New Roman;Times;serif"/>
          <w:b/>
          <w:color w:val="000000"/>
          <w:sz w:val="20"/>
        </w:rPr>
      </w:pPr>
      <w:r>
        <w:rPr>
          <w:rFonts w:ascii="Times New Roman;Times;serif" w:hAnsi="Times New Roman;Times;serif"/>
          <w:b/>
          <w:color w:val="000000"/>
          <w:sz w:val="20"/>
        </w:rPr>
        <w:t>FINANCIAL CONDITION AND RESULTS OF OPERATIONS</w:t>
      </w:r>
    </w:p>
    <w:p>
      <w:pPr>
        <w:pStyle w:val="TextBody"/>
        <w:bidi w:val="0"/>
        <w:spacing w:lineRule="auto" w:line="300" w:before="0" w:after="0"/>
        <w:ind w:left="2" w:right="0" w:hanging="0"/>
        <w:jc w:val="center"/>
        <w:rPr>
          <w:b/>
        </w:rPr>
      </w:pPr>
      <w:r>
        <w:rPr>
          <w:b/>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Financing and Other Income, net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Financing and other income, net, for the six months ended June 30, 2026 amounted to $25.4 million as compared to $25.0 million for the six months ended June 30, 2025. Financing and other income, net include mainly interest income on deposits, hedging transactions’ financial results and non-recurring, non-operational items.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Income Tax Expense, net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Income tax expense, net, for the six months ended June 30, 2026 amounted to $22.1 million, reflecting 12.7% of profit before income tax, as compared to $12.4 million for the six months ended June 30, 2025, reflecting a similar percentage of 12.3% of profit before income tax.</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Net Profit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Net profit for the six months ended June 30, 2026 amounted to $158.2 million as compared to $85.3 million for the six months ended June 30, 2025. The $72.9 million increase in net profit is mainly due to the increase in operating profit offset by the increase in income tax expense, net, described above.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Net Loss (Income) Attributable to Non-Controlling Interest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Net income attributable to non-controlling interest for the six months ended June 30, 2026 amounted to $2.4 million as compared to net loss attributable to non-controlling interest of $1.4 million for the six months ended June 30, 2025. The $3.8 million increase resulted from the increase of $7.7 million in the net profit of the Company’s 51% owned subsidiary, Tower Partners Semiconductor Co., Ltd. (“TPSCo”).</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Net Profit Attributable to the Company</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Net profit attributable to the Company for the six months ended June 30, 2026 amounted to $155.8 million as compared to $86.7 million for the six months ended June 30, 2025. The $69.1 million increase in net profit attributable to the Company is mainly due to the increase in net profit of $72.9 million, offset by the increase in net income attributable to non-controlling interest of $3.8 million, as described above.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Impact of Currency Fluctuations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Company currently operates in four different regions: the United States, Japan, Israel and Italy. The functional currency of the Company’s entities in the United States, Israel and Italy is the US dollar (“USD”). The functional currency of the Company’s operations in Japan is the Japanese Yen (“JPY”). The Company’s expenses and costs are denominated mainly in USD, JPY, New Israeli Shekels (“NIS”) and Euro, revenue is denominated mainly in USD and JPY, and the cash from operations, investing and financing activities are denominated mainly in USD, JPY and NIS. Therefore, the Company is exposed to the risk of currency exchange rate fluctuations in Japan, Israel and Italy.</w:t>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majority of TPSCo’s revenue is denominated in JPY and the majority of TPSCo’s expenses and costs are denominated in JPY, which limits the exposure to fluctuations of the USD-to-JPY exchange rate on TPSCo’s results of operations. In order to mitigate a portion of the net exposure to the USD-to-JPY exchange rate, the Company has engaged in cylinder hedging transactions to contain the currency’s fluctuation within a pre-defined fixed range.</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During the six months ended June 30, 2026, the USD appreciated against the JPY by 3.7%, as compared to 7.9% depreciation during the six months ended June 30, 2025. The net effect of USD appreciation against the JPY on TPSCo’s assets and liabilities denominated in JPY is presented in the Cumulative Translation Adjustment as part of Other Comprehensive Income on the balance sheet.</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Page 3 of 4</w:t>
      </w:r>
    </w:p>
    <w:p>
      <w:pPr>
        <w:pStyle w:val="HorizontalLine"/>
        <w:pBdr>
          <w:bottom w:val="single" w:sz="12" w:space="0" w:color="808080"/>
        </w:pBdr>
        <w:bidi w:val="0"/>
        <w:spacing w:before="200" w:after="200"/>
        <w:jc w:val="left"/>
        <w:rPr/>
      </w:pPr>
      <w:r>
        <w:rPr/>
      </w:r>
    </w:p>
    <w:p>
      <w:pPr>
        <w:pStyle w:val="TextBody"/>
        <w:bidi w:val="0"/>
        <w:spacing w:lineRule="auto" w:line="300" w:before="0" w:after="0"/>
        <w:ind w:left="2" w:right="0" w:hanging="0"/>
        <w:jc w:val="center"/>
        <w:rPr>
          <w:rFonts w:ascii="Times New Roman;Times;serif" w:hAnsi="Times New Roman;Times;serif"/>
          <w:b/>
          <w:color w:val="000000"/>
          <w:sz w:val="20"/>
        </w:rPr>
      </w:pPr>
      <w:r>
        <w:rPr>
          <w:rFonts w:ascii="Times New Roman;Times;serif" w:hAnsi="Times New Roman;Times;serif"/>
          <w:b/>
          <w:color w:val="000000"/>
          <w:sz w:val="20"/>
        </w:rPr>
        <w:t>TOWER SEMICONDUCTOR LTD. AND SUBSIDIARIES</w:t>
      </w:r>
    </w:p>
    <w:p>
      <w:pPr>
        <w:pStyle w:val="TextBody"/>
        <w:bidi w:val="0"/>
        <w:spacing w:lineRule="auto" w:line="300" w:before="0" w:after="0"/>
        <w:ind w:left="2" w:right="0" w:hanging="0"/>
        <w:jc w:val="center"/>
        <w:rPr>
          <w:rFonts w:ascii="Times New Roman;Times;serif" w:hAnsi="Times New Roman;Times;serif"/>
          <w:b/>
          <w:color w:val="000000"/>
          <w:sz w:val="20"/>
        </w:rPr>
      </w:pPr>
      <w:r>
        <w:rPr>
          <w:rFonts w:ascii="Times New Roman;Times;serif" w:hAnsi="Times New Roman;Times;serif"/>
          <w:b/>
          <w:color w:val="000000"/>
          <w:sz w:val="20"/>
        </w:rPr>
        <w:t>MANAGEMENT’S DISCUSSION AND ANALYSIS OF</w:t>
      </w:r>
    </w:p>
    <w:p>
      <w:pPr>
        <w:pStyle w:val="TextBody"/>
        <w:bidi w:val="0"/>
        <w:spacing w:lineRule="auto" w:line="300" w:before="0" w:after="0"/>
        <w:ind w:left="2" w:right="0" w:hanging="0"/>
        <w:jc w:val="center"/>
        <w:rPr>
          <w:rFonts w:ascii="Times New Roman;Times;serif" w:hAnsi="Times New Roman;Times;serif"/>
          <w:b/>
          <w:color w:val="000000"/>
          <w:sz w:val="20"/>
        </w:rPr>
      </w:pPr>
      <w:r>
        <w:rPr>
          <w:rFonts w:ascii="Times New Roman;Times;serif" w:hAnsi="Times New Roman;Times;serif"/>
          <w:b/>
          <w:color w:val="000000"/>
          <w:sz w:val="20"/>
        </w:rPr>
        <w:t>FINANCIAL CONDITION AND RESULTS OF OPERATIONS</w:t>
      </w:r>
    </w:p>
    <w:p>
      <w:pPr>
        <w:pStyle w:val="TextBody"/>
        <w:bidi w:val="0"/>
        <w:spacing w:lineRule="auto" w:line="300" w:before="0" w:after="0"/>
        <w:ind w:left="2" w:right="0" w:hanging="0"/>
        <w:jc w:val="center"/>
        <w:rPr>
          <w:b/>
        </w:rPr>
      </w:pPr>
      <w:r>
        <w:rPr>
          <w:b/>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USD cost of the Company’s operations in Israel is influenced by changes in the USD-to-NIS exchange rate, with respect to expenses and costs that are denominated in NIS. During the six months ended June 30, 2026, the USD depreciated against the NIS by 6.6%, as compared to 7.5% depreciation during the six months ended June 30,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fluctuation of the USD against the NIS may affect the Company’s results of operations as it relates to the entity in Israel. Appreciation of the NIS may increase cost, in USD terms, of the Israeli facility such as utilities, taxes and labor costs that are denominated in NIS, which may lead to erosion of profit margins. The Company uses foreign currency cylinder and forward transactions to hedge a portion of this currency exposure to be contained within a pre-defined fixed range.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With respect to the Euro currency, since no revenue is denominated in Euro and the amount of expenses denominated in Euro is immaterial, the Company’s exposure to Euro fluctuations is limited.</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Liquidity and Capital Resources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As of June 30, 2026, the Company had an aggregate amount of $231.2 million in cash and cash equivalents, as compared to $235.4 million as of December 31, 2025. The main cash items during the six months ended June 30, 2026 were as follows: $686.9 million net cash provided by operating activities, which included $282.6 million increase in customers’ advances, net (see more details below); $343.0 million invested in property and equipment, net; $330.0 million invested in short-term deposits, net; and $15.7 million debt repaid, net.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Short-term and long-term debt presented in the balance sheet as of June 30, 2026 amounted to $16.9 million and $124.8 million, respectively, and included loans, operating leases and finance leases.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Based on our current operations and forecasted cash generated from operations, and our existing balance of cash and deposits, we believe we have sufficient resources to meet our cash needs for operating activities and capital expenditures, including for payments expected under the previously announced capacity and capability cap-ex plans focused on SiGe and SiPho capital expenditures for capacity and capability growth, and the repayment of our debt.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Recent Developments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See Note 3, Recent Developments, to the financial statements for the six months ended June 30, 2026.</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Critical Accounting Estimates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There have been no material changes to the Company’s critical accounting estimates from those described in the Company’s Annual Report on Form 20-F for the year ended December 31, 2025.</w:t>
      </w:r>
    </w:p>
    <w:p>
      <w:pPr>
        <w:pStyle w:val="TextBody"/>
        <w:bidi w:val="0"/>
        <w:spacing w:lineRule="auto" w:line="300" w:before="0" w:after="0"/>
        <w:jc w:val="left"/>
        <w:rPr>
          <w:color w:val="000000"/>
        </w:rPr>
      </w:pPr>
      <w:r>
        <w:rPr>
          <w:color w:val="000000"/>
        </w:rPr>
        <w:t> </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z w:val="20"/>
        </w:rPr>
        <w:t>Page 4 of 4</w:t>
      </w:r>
      <w:r>
        <w:rPr>
          <w:rFonts w:ascii="Times New Roman;Times;serif" w:hAnsi="Times New Roman;Times;serif"/>
          <w:color w:val="000000"/>
          <w:sz w:val="20"/>
        </w:rPr>
        <w:t xml:space="preserve"> </w:t>
      </w:r>
    </w:p>
    <w:p>
      <w:pPr>
        <w:pStyle w:val="HorizontalLine"/>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3862</Words>
  <Characters>21095</Characters>
  <CharactersWithSpaces>26208</CharactersWithSpaces>
  <Paragraphs>2734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