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3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May 2022 No. 2</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 w:name="page2"/>
    <w:bookmarkEnd w:id="1"/>
    <w:p>
      <w:pPr>
        <w:jc w:val="center"/>
        <w:spacing w:after="0" w:line="281" w:lineRule="auto"/>
        <w:rPr>
          <w:sz w:val="20"/>
          <w:szCs w:val="20"/>
          <w:color w:val="auto"/>
        </w:rPr>
      </w:pPr>
      <w:r>
        <w:rPr>
          <w:rFonts w:ascii="Arial" w:cs="Arial" w:eastAsia="Arial" w:hAnsi="Arial"/>
          <w:sz w:val="21"/>
          <w:szCs w:val="21"/>
          <w:b w:val="1"/>
          <w:bCs w:val="1"/>
          <w:color w:val="auto"/>
        </w:rPr>
        <w:t>On May 3, 2022, the Registrant announced Standard &amp; Poor’s Ma’alot (an Israeli rating company which is fully owned by S&amp;P Global Ratings) has completed its annual rating review for the registrant and upgraded corporate credit rating and bonds series G rating to “ilAA“/ stable.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808480" cy="540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848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D5002A"/>
        </w:rPr>
        <w:t>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03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20320</wp:posOffset>
            </wp:positionV>
            <wp:extent cx="2540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20320</wp:posOffset>
            </wp:positionV>
            <wp:extent cx="2540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20320</wp:posOffset>
            </wp:positionV>
            <wp:extent cx="2540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20320</wp:posOffset>
            </wp:positionV>
            <wp:extent cx="2540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20320</wp:posOffset>
            </wp:positionV>
            <wp:extent cx="2540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20320</wp:posOffset>
            </wp:positionV>
            <wp:extent cx="2540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20320</wp:posOffset>
            </wp:positionV>
            <wp:extent cx="2603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20320</wp:posOffset>
            </wp:positionV>
            <wp:extent cx="2603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20320</wp:posOffset>
            </wp:positionV>
            <wp:extent cx="2603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20320</wp:posOffset>
            </wp:positionV>
            <wp:extent cx="2603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20320</wp:posOffset>
            </wp:positionV>
            <wp:extent cx="2603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20320</wp:posOffset>
            </wp:positionV>
            <wp:extent cx="2540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20320</wp:posOffset>
            </wp:positionV>
            <wp:extent cx="2603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20320</wp:posOffset>
            </wp:positionV>
            <wp:extent cx="2603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784860</wp:posOffset>
            </wp:positionH>
            <wp:positionV relativeFrom="paragraph">
              <wp:posOffset>20320</wp:posOffset>
            </wp:positionV>
            <wp:extent cx="2603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20320</wp:posOffset>
            </wp:positionV>
            <wp:extent cx="2603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20320</wp:posOffset>
            </wp:positionV>
            <wp:extent cx="2603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20320</wp:posOffset>
            </wp:positionV>
            <wp:extent cx="2603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20320</wp:posOffset>
            </wp:positionV>
            <wp:extent cx="2603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20320</wp:posOffset>
            </wp:positionV>
            <wp:extent cx="2603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1093470</wp:posOffset>
            </wp:positionH>
            <wp:positionV relativeFrom="paragraph">
              <wp:posOffset>20320</wp:posOffset>
            </wp:positionV>
            <wp:extent cx="2540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1144905</wp:posOffset>
            </wp:positionH>
            <wp:positionV relativeFrom="paragraph">
              <wp:posOffset>20320</wp:posOffset>
            </wp:positionV>
            <wp:extent cx="2603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1196340</wp:posOffset>
            </wp:positionH>
            <wp:positionV relativeFrom="paragraph">
              <wp:posOffset>20320</wp:posOffset>
            </wp:positionV>
            <wp:extent cx="2540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20320</wp:posOffset>
            </wp:positionV>
            <wp:extent cx="2603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20320</wp:posOffset>
            </wp:positionV>
            <wp:extent cx="2540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1350645</wp:posOffset>
            </wp:positionH>
            <wp:positionV relativeFrom="paragraph">
              <wp:posOffset>20320</wp:posOffset>
            </wp:positionV>
            <wp:extent cx="2603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1402080</wp:posOffset>
            </wp:positionH>
            <wp:positionV relativeFrom="paragraph">
              <wp:posOffset>20320</wp:posOffset>
            </wp:positionV>
            <wp:extent cx="2540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20320</wp:posOffset>
            </wp:positionV>
            <wp:extent cx="2540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20320</wp:posOffset>
            </wp:positionV>
            <wp:extent cx="2603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20320</wp:posOffset>
            </wp:positionV>
            <wp:extent cx="2603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20320</wp:posOffset>
            </wp:positionV>
            <wp:extent cx="2540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20320</wp:posOffset>
            </wp:positionV>
            <wp:extent cx="2540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20320</wp:posOffset>
            </wp:positionV>
            <wp:extent cx="2540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20320</wp:posOffset>
            </wp:positionV>
            <wp:extent cx="2603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20320</wp:posOffset>
            </wp:positionV>
            <wp:extent cx="2540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20320</wp:posOffset>
            </wp:positionV>
            <wp:extent cx="2540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20320</wp:posOffset>
            </wp:positionV>
            <wp:extent cx="2540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20320</wp:posOffset>
            </wp:positionV>
            <wp:extent cx="2603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20320</wp:posOffset>
            </wp:positionV>
            <wp:extent cx="2603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20320</wp:posOffset>
            </wp:positionV>
            <wp:extent cx="2540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20320</wp:posOffset>
            </wp:positionV>
            <wp:extent cx="2540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20320</wp:posOffset>
            </wp:positionV>
            <wp:extent cx="2603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20320</wp:posOffset>
            </wp:positionV>
            <wp:extent cx="2603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20320</wp:posOffset>
            </wp:positionV>
            <wp:extent cx="2540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20320</wp:posOffset>
            </wp:positionV>
            <wp:extent cx="2540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20320</wp:posOffset>
            </wp:positionV>
            <wp:extent cx="2540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20320</wp:posOffset>
            </wp:positionV>
            <wp:extent cx="2603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20320</wp:posOffset>
            </wp:positionV>
            <wp:extent cx="2540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20320</wp:posOffset>
            </wp:positionV>
            <wp:extent cx="2540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20320</wp:posOffset>
            </wp:positionV>
            <wp:extent cx="2540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20320</wp:posOffset>
            </wp:positionV>
            <wp:extent cx="2603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20320</wp:posOffset>
            </wp:positionV>
            <wp:extent cx="2603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20320</wp:posOffset>
            </wp:positionV>
            <wp:extent cx="2540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20320</wp:posOffset>
            </wp:positionV>
            <wp:extent cx="2540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20320</wp:posOffset>
            </wp:positionV>
            <wp:extent cx="2603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20320</wp:posOffset>
            </wp:positionV>
            <wp:extent cx="2603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20320</wp:posOffset>
            </wp:positionV>
            <wp:extent cx="2540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20320</wp:posOffset>
            </wp:positionV>
            <wp:extent cx="2540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20320</wp:posOffset>
            </wp:positionV>
            <wp:extent cx="2540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20320</wp:posOffset>
            </wp:positionV>
            <wp:extent cx="2540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20320</wp:posOffset>
            </wp:positionV>
            <wp:extent cx="2540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20320</wp:posOffset>
            </wp:positionV>
            <wp:extent cx="2603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20320</wp:posOffset>
            </wp:positionV>
            <wp:extent cx="2540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20320</wp:posOffset>
            </wp:positionV>
            <wp:extent cx="2540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20320</wp:posOffset>
            </wp:positionV>
            <wp:extent cx="2540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20320</wp:posOffset>
            </wp:positionV>
            <wp:extent cx="2540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20320</wp:posOffset>
            </wp:positionV>
            <wp:extent cx="2603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20320</wp:posOffset>
            </wp:positionV>
            <wp:extent cx="2540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20320</wp:posOffset>
            </wp:positionV>
            <wp:extent cx="2540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20320</wp:posOffset>
            </wp:positionV>
            <wp:extent cx="2540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20320</wp:posOffset>
            </wp:positionV>
            <wp:extent cx="2540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20320</wp:posOffset>
            </wp:positionV>
            <wp:extent cx="2540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20320</wp:posOffset>
            </wp:positionV>
            <wp:extent cx="2540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20320</wp:posOffset>
            </wp:positionV>
            <wp:extent cx="2540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20320</wp:posOffset>
            </wp:positionV>
            <wp:extent cx="2603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20320</wp:posOffset>
            </wp:positionV>
            <wp:extent cx="2540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20320</wp:posOffset>
            </wp:positionV>
            <wp:extent cx="2540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20320</wp:posOffset>
            </wp:positionV>
            <wp:extent cx="2540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20320</wp:posOffset>
            </wp:positionV>
            <wp:extent cx="2540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20320</wp:posOffset>
            </wp:positionV>
            <wp:extent cx="2603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20320</wp:posOffset>
            </wp:positionV>
            <wp:extent cx="2540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20320</wp:posOffset>
            </wp:positionV>
            <wp:extent cx="2540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20320</wp:posOffset>
            </wp:positionV>
            <wp:extent cx="2540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20320</wp:posOffset>
            </wp:positionV>
            <wp:extent cx="2540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20320</wp:posOffset>
            </wp:positionV>
            <wp:extent cx="2540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20320</wp:posOffset>
            </wp:positionV>
            <wp:extent cx="2540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20320</wp:posOffset>
            </wp:positionV>
            <wp:extent cx="2540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20320</wp:posOffset>
            </wp:positionV>
            <wp:extent cx="2603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20320</wp:posOffset>
            </wp:positionV>
            <wp:extent cx="2540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20320</wp:posOffset>
            </wp:positionV>
            <wp:extent cx="2540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20320</wp:posOffset>
            </wp:positionV>
            <wp:extent cx="2540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20320</wp:posOffset>
            </wp:positionV>
            <wp:extent cx="2540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20320</wp:posOffset>
            </wp:positionV>
            <wp:extent cx="2603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20320</wp:posOffset>
            </wp:positionV>
            <wp:extent cx="2540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20320</wp:posOffset>
            </wp:positionV>
            <wp:extent cx="2540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20320</wp:posOffset>
            </wp:positionV>
            <wp:extent cx="2540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20320</wp:posOffset>
            </wp:positionV>
            <wp:extent cx="2540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20320</wp:posOffset>
            </wp:positionV>
            <wp:extent cx="2540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20320</wp:posOffset>
            </wp:positionV>
            <wp:extent cx="2540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20320</wp:posOffset>
            </wp:positionV>
            <wp:extent cx="2540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20320</wp:posOffset>
            </wp:positionV>
            <wp:extent cx="2603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20320</wp:posOffset>
            </wp:positionV>
            <wp:extent cx="2540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20320</wp:posOffset>
            </wp:positionV>
            <wp:extent cx="2540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20320</wp:posOffset>
            </wp:positionV>
            <wp:extent cx="2540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20320</wp:posOffset>
            </wp:positionV>
            <wp:extent cx="2540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20320</wp:posOffset>
            </wp:positionV>
            <wp:extent cx="2603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20320</wp:posOffset>
            </wp:positionV>
            <wp:extent cx="2540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20320</wp:posOffset>
            </wp:positionV>
            <wp:extent cx="2540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20320</wp:posOffset>
            </wp:positionV>
            <wp:extent cx="2540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20320</wp:posOffset>
            </wp:positionV>
            <wp:extent cx="2540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20320</wp:posOffset>
            </wp:positionV>
            <wp:extent cx="2540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20320</wp:posOffset>
            </wp:positionV>
            <wp:extent cx="2540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20320</wp:posOffset>
            </wp:positionV>
            <wp:extent cx="2540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20320</wp:posOffset>
            </wp:positionV>
            <wp:extent cx="2603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20320</wp:posOffset>
            </wp:positionV>
            <wp:extent cx="2540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20320</wp:posOffset>
            </wp:positionV>
            <wp:extent cx="2540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20320</wp:posOffset>
            </wp:positionV>
            <wp:extent cx="2540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20320</wp:posOffset>
            </wp:positionV>
            <wp:extent cx="2540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20320</wp:posOffset>
            </wp:positionV>
            <wp:extent cx="2603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20320</wp:posOffset>
            </wp:positionV>
            <wp:extent cx="2540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20320</wp:posOffset>
            </wp:positionV>
            <wp:extent cx="2540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20320</wp:posOffset>
            </wp:positionV>
            <wp:extent cx="2540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20320</wp:posOffset>
            </wp:positionV>
            <wp:extent cx="2603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20320</wp:posOffset>
            </wp:positionV>
            <wp:extent cx="2540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20320</wp:posOffset>
            </wp:positionV>
            <wp:extent cx="2540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20320</wp:posOffset>
            </wp:positionV>
            <wp:extent cx="2603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20320</wp:posOffset>
            </wp:positionV>
            <wp:extent cx="2603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20320</wp:posOffset>
            </wp:positionV>
            <wp:extent cx="2603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20320</wp:posOffset>
            </wp:positionV>
            <wp:extent cx="2540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20320</wp:posOffset>
            </wp:positionV>
            <wp:extent cx="2540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20320</wp:posOffset>
            </wp:positionV>
            <wp:extent cx="2603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20320</wp:posOffset>
            </wp:positionV>
            <wp:extent cx="2603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20320</wp:posOffset>
            </wp:positionV>
            <wp:extent cx="2603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20320</wp:posOffset>
            </wp:positionV>
            <wp:extent cx="2540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20320</wp:posOffset>
            </wp:positionV>
            <wp:extent cx="2540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20320</wp:posOffset>
            </wp:positionV>
            <wp:extent cx="2603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20320</wp:posOffset>
            </wp:positionV>
            <wp:extent cx="2603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20320</wp:posOffset>
            </wp:positionV>
            <wp:extent cx="2540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400" cy="2540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May 3, 2022</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808080"/>
        </w:rPr>
        <w:t>Research Update</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Rating Raised To 'ilAA' On Continued Growth In Operations; Outlook Stable</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Primary Credit Analyst: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Sivan Mesilati, 972-3-7539735 </w:t>
      </w:r>
      <w:r>
        <w:rPr>
          <w:rFonts w:ascii="Arial" w:cs="Arial" w:eastAsia="Arial" w:hAnsi="Arial"/>
          <w:sz w:val="22"/>
          <w:szCs w:val="22"/>
          <w:u w:val="single" w:color="auto"/>
          <w:color w:val="0000FF"/>
        </w:rPr>
        <w:t>sivan.mesilati@spglobal.com</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Contact: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Tom Dar, 972-3-7539722 </w:t>
      </w:r>
      <w:r>
        <w:rPr>
          <w:rFonts w:ascii="Arial" w:cs="Arial" w:eastAsia="Arial" w:hAnsi="Arial"/>
          <w:sz w:val="22"/>
          <w:szCs w:val="22"/>
          <w:u w:val="single" w:color="auto"/>
          <w:color w:val="0000FF"/>
        </w:rPr>
        <w:t>tom.dar@spglobal.com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27875" cy="6299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27875" cy="629920"/>
                    </a:xfrm>
                    <a:prstGeom prst="rect">
                      <a:avLst/>
                    </a:prstGeom>
                    <a:noFill/>
                  </pic:spPr>
                </pic:pic>
              </a:graphicData>
            </a:graphic>
          </wp:anchor>
        </w:drawing>
      </w:r>
    </w:p>
    <w:p>
      <w:pPr>
        <w:spacing w:after="0" w:line="324" w:lineRule="exact"/>
        <w:rPr>
          <w:sz w:val="20"/>
          <w:szCs w:val="20"/>
          <w:color w:val="auto"/>
        </w:rPr>
      </w:pPr>
    </w:p>
    <w:p>
      <w:pPr>
        <w:ind w:left="80" w:right="180"/>
        <w:spacing w:after="0" w:line="259" w:lineRule="auto"/>
        <w:rPr>
          <w:sz w:val="20"/>
          <w:szCs w:val="20"/>
          <w:color w:val="auto"/>
        </w:rPr>
      </w:pPr>
      <w:r>
        <w:rPr>
          <w:rFonts w:ascii="Arial" w:cs="Arial" w:eastAsia="Arial" w:hAnsi="Arial"/>
          <w:sz w:val="18"/>
          <w:szCs w:val="18"/>
          <w:color w:val="auto"/>
        </w:rPr>
        <w:t>Please note that this translation was made for convenience purposes and for the company's use only and under no circumstances shall obligate S&amp;P Global Ratings Maalot Ltd. The translation has no legal status and S&amp;P Global Ratings Maalot Ltd. does not assume any responsibility whatsoever as to its accuracy and is not bound by its contents. In the case of any discrepancy with the official Hebrew version published on May 3, 2022, the Hebrew version shall apply.</w:t>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b w:val="1"/>
          <w:bCs w:val="1"/>
          <w:color w:val="D5002A"/>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Rating Action Overview</w:t>
              </w:r>
            </w:hyperlink>
          </w:p>
        </w:tc>
        <w:tc>
          <w:tcPr>
            <w:tcW w:w="4660" w:type="dxa"/>
            <w:vAlign w:val="bottom"/>
            <w:gridSpan w:val="4"/>
          </w:tcPr>
          <w:p>
            <w:pPr>
              <w:spacing w:after="0"/>
              <w:rPr>
                <w:sz w:val="18"/>
                <w:szCs w:val="18"/>
                <w:color w:val="auto"/>
              </w:rPr>
            </w:pPr>
          </w:p>
        </w:tc>
        <w:tc>
          <w:tcPr>
            <w:tcW w:w="4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17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3">
              <w:r>
                <w:rPr>
                  <w:rFonts w:ascii="Arial" w:cs="Arial" w:eastAsia="Arial" w:hAnsi="Arial"/>
                  <w:sz w:val="18"/>
                  <w:szCs w:val="18"/>
                  <w:color w:val="0000EE"/>
                  <w:w w:val="92"/>
                </w:rPr>
                <w:t>Rating Action Rationale</w:t>
              </w:r>
            </w:hyperlink>
          </w:p>
        </w:tc>
        <w:tc>
          <w:tcPr>
            <w:tcW w:w="4680" w:type="dxa"/>
            <w:vAlign w:val="bottom"/>
            <w:gridSpan w:val="5"/>
          </w:tcPr>
          <w:p>
            <w:pPr>
              <w:spacing w:after="0"/>
              <w:rPr>
                <w:sz w:val="17"/>
                <w:szCs w:val="17"/>
                <w:color w:val="auto"/>
              </w:rPr>
            </w:pPr>
          </w:p>
        </w:tc>
        <w:tc>
          <w:tcPr>
            <w:tcW w:w="48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Outlook</w:t>
              </w:r>
            </w:hyperlink>
          </w:p>
        </w:tc>
        <w:tc>
          <w:tcPr>
            <w:tcW w:w="5840" w:type="dxa"/>
            <w:vAlign w:val="bottom"/>
            <w:gridSpan w:val="15"/>
          </w:tcPr>
          <w:p>
            <w:pPr>
              <w:spacing w:after="0"/>
              <w:rPr>
                <w:sz w:val="17"/>
                <w:szCs w:val="17"/>
                <w:color w:val="auto"/>
              </w:rPr>
            </w:pPr>
          </w:p>
        </w:tc>
        <w:tc>
          <w:tcPr>
            <w:tcW w:w="4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60" w:type="dxa"/>
            <w:vAlign w:val="bottom"/>
          </w:tcPr>
          <w:p>
            <w:pPr>
              <w:spacing w:after="0"/>
              <w:rPr>
                <w:sz w:val="17"/>
                <w:szCs w:val="17"/>
                <w:color w:val="auto"/>
              </w:rPr>
            </w:pPr>
          </w:p>
        </w:tc>
        <w:tc>
          <w:tcPr>
            <w:tcW w:w="1420" w:type="dxa"/>
            <w:vAlign w:val="bottom"/>
            <w:tcBorders>
              <w:bottom w:val="single" w:sz="8" w:color="0000EE"/>
            </w:tcBorders>
            <w:gridSpan w:val="9"/>
          </w:tcPr>
          <w:p>
            <w:pPr>
              <w:ind w:left="20"/>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Downside Scenario</w:t>
              </w:r>
            </w:hyperlink>
          </w:p>
        </w:tc>
        <w:tc>
          <w:tcPr>
            <w:tcW w:w="4860" w:type="dxa"/>
            <w:vAlign w:val="bottom"/>
            <w:gridSpan w:val="7"/>
          </w:tcPr>
          <w:p>
            <w:pPr>
              <w:spacing w:after="0"/>
              <w:rPr>
                <w:sz w:val="17"/>
                <w:szCs w:val="17"/>
                <w:color w:val="auto"/>
              </w:rPr>
            </w:pPr>
          </w:p>
        </w:tc>
        <w:tc>
          <w:tcPr>
            <w:tcW w:w="4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60" w:type="dxa"/>
            <w:vAlign w:val="bottom"/>
          </w:tcPr>
          <w:p>
            <w:pPr>
              <w:spacing w:after="0"/>
              <w:rPr>
                <w:sz w:val="17"/>
                <w:szCs w:val="17"/>
                <w:color w:val="auto"/>
              </w:rPr>
            </w:pPr>
          </w:p>
        </w:tc>
        <w:tc>
          <w:tcPr>
            <w:tcW w:w="1200" w:type="dxa"/>
            <w:vAlign w:val="bottom"/>
            <w:tcBorders>
              <w:bottom w:val="single" w:sz="8" w:color="0000EE"/>
            </w:tcBorders>
            <w:gridSpan w:val="6"/>
          </w:tcPr>
          <w:p>
            <w:pPr>
              <w:ind w:left="20"/>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Upside Scenario</w:t>
              </w:r>
            </w:hyperlink>
          </w:p>
        </w:tc>
        <w:tc>
          <w:tcPr>
            <w:tcW w:w="5080" w:type="dxa"/>
            <w:vAlign w:val="bottom"/>
            <w:gridSpan w:val="10"/>
          </w:tcPr>
          <w:p>
            <w:pPr>
              <w:spacing w:after="0"/>
              <w:rPr>
                <w:sz w:val="17"/>
                <w:szCs w:val="17"/>
                <w:color w:val="auto"/>
              </w:rPr>
            </w:pPr>
          </w:p>
        </w:tc>
        <w:tc>
          <w:tcPr>
            <w:tcW w:w="4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6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Company Description</w:t>
              </w:r>
            </w:hyperlink>
          </w:p>
        </w:tc>
        <w:tc>
          <w:tcPr>
            <w:tcW w:w="4840" w:type="dxa"/>
            <w:vAlign w:val="bottom"/>
            <w:gridSpan w:val="6"/>
          </w:tcPr>
          <w:p>
            <w:pPr>
              <w:spacing w:after="0"/>
              <w:rPr>
                <w:sz w:val="17"/>
                <w:szCs w:val="17"/>
                <w:color w:val="auto"/>
              </w:rPr>
            </w:pPr>
          </w:p>
        </w:tc>
        <w:tc>
          <w:tcPr>
            <w:tcW w:w="4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644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Base Case Scenario</w:t>
              </w:r>
            </w:hyperlink>
          </w:p>
        </w:tc>
        <w:tc>
          <w:tcPr>
            <w:tcW w:w="48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6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gridSpan w:val="8"/>
          </w:tcPr>
          <w:p>
            <w:pPr>
              <w:ind w:lef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Key Metrics</w:t>
              </w:r>
            </w:hyperlink>
          </w:p>
        </w:tc>
        <w:tc>
          <w:tcPr>
            <w:tcW w:w="5020" w:type="dxa"/>
            <w:vAlign w:val="bottom"/>
            <w:gridSpan w:val="8"/>
          </w:tcPr>
          <w:p>
            <w:pPr>
              <w:spacing w:after="0"/>
              <w:rPr>
                <w:sz w:val="17"/>
                <w:szCs w:val="17"/>
                <w:color w:val="auto"/>
              </w:rPr>
            </w:pPr>
          </w:p>
        </w:tc>
        <w:tc>
          <w:tcPr>
            <w:tcW w:w="48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196"/>
        </w:trPr>
        <w:tc>
          <w:tcPr>
            <w:tcW w:w="680" w:type="dxa"/>
            <w:vAlign w:val="bottom"/>
            <w:tcBorders>
              <w:bottom w:val="single" w:sz="8" w:color="0000EE"/>
            </w:tcBorders>
            <w:gridSpan w:val="3"/>
          </w:tcPr>
          <w:p>
            <w:pPr>
              <w:spacing w:after="0" w:line="19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Liquidity</w:t>
              </w:r>
            </w:hyperlink>
          </w:p>
        </w:tc>
        <w:tc>
          <w:tcPr>
            <w:tcW w:w="5760" w:type="dxa"/>
            <w:vAlign w:val="bottom"/>
            <w:gridSpan w:val="14"/>
          </w:tcPr>
          <w:p>
            <w:pPr>
              <w:spacing w:after="0"/>
              <w:rPr>
                <w:sz w:val="17"/>
                <w:szCs w:val="17"/>
                <w:color w:val="auto"/>
              </w:rPr>
            </w:pPr>
          </w:p>
        </w:tc>
        <w:tc>
          <w:tcPr>
            <w:tcW w:w="48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3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Covenant Analysis</w:t>
              </w:r>
            </w:hyperlink>
          </w:p>
        </w:tc>
        <w:tc>
          <w:tcPr>
            <w:tcW w:w="5060" w:type="dxa"/>
            <w:vAlign w:val="bottom"/>
            <w:gridSpan w:val="9"/>
          </w:tcPr>
          <w:p>
            <w:pPr>
              <w:spacing w:after="0"/>
              <w:rPr>
                <w:sz w:val="17"/>
                <w:szCs w:val="17"/>
                <w:color w:val="auto"/>
              </w:rPr>
            </w:pPr>
          </w:p>
        </w:tc>
        <w:tc>
          <w:tcPr>
            <w:tcW w:w="48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94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Environmental, Social, And Governance</w:t>
              </w:r>
            </w:hyperlink>
          </w:p>
        </w:tc>
        <w:tc>
          <w:tcPr>
            <w:tcW w:w="3500" w:type="dxa"/>
            <w:vAlign w:val="bottom"/>
          </w:tcPr>
          <w:p>
            <w:pPr>
              <w:spacing w:after="0"/>
              <w:rPr>
                <w:sz w:val="17"/>
                <w:szCs w:val="17"/>
                <w:color w:val="auto"/>
              </w:rPr>
            </w:pPr>
          </w:p>
        </w:tc>
        <w:tc>
          <w:tcPr>
            <w:tcW w:w="48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60" w:type="dxa"/>
            <w:vAlign w:val="bottom"/>
          </w:tcPr>
          <w:p>
            <w:pPr>
              <w:spacing w:after="0"/>
              <w:rPr>
                <w:sz w:val="17"/>
                <w:szCs w:val="17"/>
                <w:color w:val="auto"/>
              </w:rPr>
            </w:pPr>
          </w:p>
        </w:tc>
        <w:tc>
          <w:tcPr>
            <w:tcW w:w="6280" w:type="dxa"/>
            <w:vAlign w:val="bottom"/>
            <w:gridSpan w:val="16"/>
          </w:tcPr>
          <w:p>
            <w:pPr>
              <w:ind w:left="2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Capital structure</w:t>
              </w:r>
            </w:hyperlink>
          </w:p>
        </w:tc>
        <w:tc>
          <w:tcPr>
            <w:tcW w:w="48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6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1660" w:type="dxa"/>
            <w:vAlign w:val="bottom"/>
            <w:tcBorders>
              <w:bottom w:val="single" w:sz="8" w:color="0000EE"/>
            </w:tcBorders>
            <w:gridSpan w:val="13"/>
          </w:tcPr>
          <w:p>
            <w:pPr>
              <w:ind w:left="20"/>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Analytical conclusions</w:t>
              </w:r>
            </w:hyperlink>
          </w:p>
        </w:tc>
        <w:tc>
          <w:tcPr>
            <w:tcW w:w="4620" w:type="dxa"/>
            <w:vAlign w:val="bottom"/>
            <w:gridSpan w:val="3"/>
          </w:tcPr>
          <w:p>
            <w:pPr>
              <w:spacing w:after="0"/>
              <w:rPr>
                <w:sz w:val="17"/>
                <w:szCs w:val="17"/>
                <w:color w:val="auto"/>
              </w:rPr>
            </w:pPr>
          </w:p>
        </w:tc>
        <w:tc>
          <w:tcPr>
            <w:tcW w:w="48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72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Modifiers</w:t>
              </w:r>
            </w:hyperlink>
          </w:p>
        </w:tc>
        <w:tc>
          <w:tcPr>
            <w:tcW w:w="5720" w:type="dxa"/>
            <w:vAlign w:val="bottom"/>
            <w:gridSpan w:val="13"/>
          </w:tcPr>
          <w:p>
            <w:pPr>
              <w:spacing w:after="0"/>
              <w:rPr>
                <w:sz w:val="17"/>
                <w:szCs w:val="17"/>
                <w:color w:val="auto"/>
              </w:rPr>
            </w:pPr>
          </w:p>
        </w:tc>
        <w:tc>
          <w:tcPr>
            <w:tcW w:w="48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2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Related Criteria And Research</w:t>
              </w:r>
            </w:hyperlink>
          </w:p>
        </w:tc>
        <w:tc>
          <w:tcPr>
            <w:tcW w:w="4220" w:type="dxa"/>
            <w:vAlign w:val="bottom"/>
            <w:gridSpan w:val="2"/>
          </w:tcPr>
          <w:p>
            <w:pPr>
              <w:spacing w:after="0"/>
              <w:rPr>
                <w:sz w:val="17"/>
                <w:szCs w:val="17"/>
                <w:color w:val="auto"/>
              </w:rPr>
            </w:pPr>
          </w:p>
        </w:tc>
        <w:tc>
          <w:tcPr>
            <w:tcW w:w="48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644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Ratings List</w:t>
              </w:r>
            </w:hyperlink>
          </w:p>
        </w:tc>
        <w:tc>
          <w:tcPr>
            <w:tcW w:w="48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880" w:type="dxa"/>
            <w:vAlign w:val="bottom"/>
            <w:gridSpan w:val="5"/>
            <w:shd w:val="clear" w:color="auto" w:fill="0000EE"/>
          </w:tcPr>
          <w:p>
            <w:pPr>
              <w:spacing w:after="0" w:line="20" w:lineRule="exact"/>
              <w:rPr>
                <w:sz w:val="1"/>
                <w:szCs w:val="1"/>
                <w:color w:val="auto"/>
              </w:rPr>
            </w:pPr>
          </w:p>
        </w:tc>
        <w:tc>
          <w:tcPr>
            <w:tcW w:w="5560" w:type="dxa"/>
            <w:vAlign w:val="bottom"/>
            <w:gridSpan w:val="12"/>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506"/>
        </w:trPr>
        <w:tc>
          <w:tcPr>
            <w:tcW w:w="6440" w:type="dxa"/>
            <w:vAlign w:val="bottom"/>
            <w:gridSpan w:val="17"/>
          </w:tcPr>
          <w:p>
            <w:pPr>
              <w:spacing w:after="0"/>
              <w:rPr>
                <w:sz w:val="20"/>
                <w:szCs w:val="20"/>
                <w:color w:val="auto"/>
              </w:rPr>
            </w:pPr>
            <w:r>
              <w:rPr>
                <w:rFonts w:ascii="Arial" w:cs="Arial" w:eastAsia="Arial" w:hAnsi="Arial"/>
                <w:sz w:val="18"/>
                <w:szCs w:val="18"/>
                <w:b w:val="1"/>
                <w:bCs w:val="1"/>
                <w:color w:val="auto"/>
              </w:rPr>
              <w:t>1 | May 3, 2022</w:t>
            </w:r>
          </w:p>
        </w:tc>
        <w:tc>
          <w:tcPr>
            <w:tcW w:w="4800" w:type="dxa"/>
            <w:vAlign w:val="bottom"/>
          </w:tcPr>
          <w:p>
            <w:pPr>
              <w:jc w:val="right"/>
              <w:spacing w:after="0"/>
              <w:rPr>
                <w:sz w:val="20"/>
                <w:szCs w:val="20"/>
                <w:color w:val="auto"/>
              </w:rPr>
            </w:pPr>
            <w:r>
              <w:rPr>
                <w:rFonts w:ascii="Arial" w:cs="Arial" w:eastAsia="Arial" w:hAnsi="Arial"/>
                <w:sz w:val="18"/>
                <w:szCs w:val="18"/>
                <w:b w:val="1"/>
                <w:bCs w:val="1"/>
                <w:color w:val="auto"/>
              </w:rPr>
              <w:t>Research Update</w:t>
            </w:r>
          </w:p>
        </w:tc>
      </w:tr>
      <w:tr>
        <w:trPr>
          <w:trHeight w:val="453"/>
        </w:trPr>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96" w:right="339" w:bottom="1440" w:gutter="0" w:footer="0" w:header="0"/>
        </w:sectPr>
      </w:pPr>
    </w:p>
    <w:bookmarkStart w:id="2" w:name="page3"/>
    <w:bookmarkEnd w:id="2"/>
    <w:p>
      <w:pPr>
        <w:ind w:left="9180"/>
        <w:spacing w:after="0"/>
        <w:rPr>
          <w:sz w:val="20"/>
          <w:szCs w:val="20"/>
          <w:color w:val="auto"/>
        </w:rPr>
      </w:pPr>
      <w:r>
        <w:rPr>
          <w:rFonts w:ascii="Arial" w:cs="Arial" w:eastAsia="Arial" w:hAnsi="Arial"/>
          <w:sz w:val="16"/>
          <w:szCs w:val="16"/>
          <w:b w:val="1"/>
          <w:bCs w:val="1"/>
          <w:color w:val="auto"/>
        </w:rPr>
        <w:t>Tower Semiconductor Ltd.</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808080"/>
        </w:rPr>
        <w:t>Research Update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333333"/>
        </w:rPr>
        <w:t>Rating Raised To 'ilAA' On Continued Growth In Operations; Outlook Stable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D5002A"/>
        </w:rPr>
        <w:t>Rating Action Overview</w:t>
      </w:r>
    </w:p>
    <w:p>
      <w:pPr>
        <w:spacing w:after="0" w:line="287" w:lineRule="exact"/>
        <w:rPr>
          <w:sz w:val="20"/>
          <w:szCs w:val="20"/>
          <w:color w:val="auto"/>
        </w:rPr>
      </w:pPr>
    </w:p>
    <w:p>
      <w:pPr>
        <w:ind w:left="300" w:right="140" w:hanging="198"/>
        <w:spacing w:after="0" w:line="263" w:lineRule="auto"/>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Tower Semiconductor Ltd. ("Tower" or "the Company”)’s revenues and income grew sharply in 2021 due to an increase in products sold alongside an increase in product prices (especially in the second half of the year). The Company's growth trend in the last two years is supported by increased demand for 8”- and 12”-chip-based products.</w:t>
      </w:r>
    </w:p>
    <w:p>
      <w:pPr>
        <w:spacing w:after="0" w:line="237" w:lineRule="exact"/>
        <w:rPr>
          <w:rFonts w:ascii="Arial" w:cs="Arial" w:eastAsia="Arial" w:hAnsi="Arial"/>
          <w:sz w:val="18"/>
          <w:szCs w:val="18"/>
          <w:color w:val="auto"/>
        </w:rPr>
      </w:pPr>
    </w:p>
    <w:p>
      <w:pPr>
        <w:ind w:left="300" w:hanging="198"/>
        <w:spacing w:after="0" w:line="342" w:lineRule="auto"/>
        <w:tabs>
          <w:tab w:leader="none" w:pos="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Company recently announced an agreement under which Intel will acquire it for about $5.4 billion in cash. We estimate that with the completion of the terms of the transaction in the coming year, Tower's chip production capacity will significantly increase due to synergy with Intel's plants.</w:t>
      </w:r>
    </w:p>
    <w:p>
      <w:pPr>
        <w:spacing w:after="0" w:line="177" w:lineRule="exact"/>
        <w:rPr>
          <w:rFonts w:ascii="Arial" w:cs="Arial" w:eastAsia="Arial" w:hAnsi="Arial"/>
          <w:sz w:val="16"/>
          <w:szCs w:val="16"/>
          <w:color w:val="auto"/>
        </w:rPr>
      </w:pPr>
    </w:p>
    <w:p>
      <w:pPr>
        <w:jc w:val="both"/>
        <w:ind w:left="300" w:right="120" w:hanging="198"/>
        <w:spacing w:after="0" w:line="263" w:lineRule="auto"/>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our opinion, the expected increase in the Company's utilization rates, partly due to the construction of a new plant in Italy, and given the significant growth potential following the completion of the acquisition by Intel in the coming year, alongside increasing demand for 8” and 12" chips, materially strengthen Tower’s business risk profile.</w:t>
      </w:r>
    </w:p>
    <w:p>
      <w:pPr>
        <w:spacing w:after="0" w:line="237" w:lineRule="exact"/>
        <w:rPr>
          <w:rFonts w:ascii="Arial" w:cs="Arial" w:eastAsia="Arial" w:hAnsi="Arial"/>
          <w:sz w:val="18"/>
          <w:szCs w:val="18"/>
          <w:color w:val="auto"/>
        </w:rPr>
      </w:pPr>
    </w:p>
    <w:p>
      <w:pPr>
        <w:ind w:left="300" w:hanging="198"/>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Thus, on May 3, 2022, we raised our rating on Tower Semiconductor Ltd. and on its bond series (bond G) to 'ilAA' from 'ilAA-'.</w:t>
      </w:r>
    </w:p>
    <w:p>
      <w:pPr>
        <w:spacing w:after="0" w:line="279" w:lineRule="exact"/>
        <w:rPr>
          <w:rFonts w:ascii="Arial" w:cs="Arial" w:eastAsia="Arial" w:hAnsi="Arial"/>
          <w:sz w:val="18"/>
          <w:szCs w:val="18"/>
          <w:color w:val="auto"/>
        </w:rPr>
      </w:pPr>
    </w:p>
    <w:p>
      <w:pPr>
        <w:jc w:val="both"/>
        <w:ind w:left="300" w:right="60" w:hanging="198"/>
        <w:spacing w:after="0" w:line="263" w:lineRule="auto"/>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stable outlook reflects our assessment that the Company will maintain its competitive position in the analog chip market and strong liquidity in the medium term. We also expect the Company to continue improving its facilities’ utilization rates. We expect the Company to maintain an adjusted gross debt to EBITDA ratio below 1.5x, commensurate with the current rating.</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D5002A"/>
        </w:rPr>
        <w:t>Rating Action Rationale</w:t>
      </w:r>
    </w:p>
    <w:p>
      <w:pPr>
        <w:spacing w:after="0" w:line="283"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 xml:space="preserve">Tower's upgrade is mainly due to the continued growth in its operations. </w:t>
      </w:r>
      <w:r>
        <w:rPr>
          <w:rFonts w:ascii="Arial" w:cs="Arial" w:eastAsia="Arial" w:hAnsi="Arial"/>
          <w:sz w:val="18"/>
          <w:szCs w:val="18"/>
          <w:color w:val="auto"/>
        </w:rPr>
        <w:t>In 2021, the Company's revenue grew by about 19.2% to about $1.5 billion,</w:t>
      </w:r>
      <w:r>
        <w:rPr>
          <w:rFonts w:ascii="Arial" w:cs="Arial" w:eastAsia="Arial" w:hAnsi="Arial"/>
          <w:sz w:val="18"/>
          <w:szCs w:val="18"/>
          <w:b w:val="1"/>
          <w:bCs w:val="1"/>
          <w:color w:val="auto"/>
        </w:rPr>
        <w:t xml:space="preserve"> </w:t>
      </w:r>
      <w:r>
        <w:rPr>
          <w:rFonts w:ascii="Arial" w:cs="Arial" w:eastAsia="Arial" w:hAnsi="Arial"/>
          <w:sz w:val="18"/>
          <w:szCs w:val="18"/>
          <w:color w:val="auto"/>
        </w:rPr>
        <w:t>due to an increase in products sold and in product prices, especially in the second half of the year. The increase in products sold was mainly the result of higher utilization rates in the Company’s plants, e.g. the expansion of the Uozu facility in Japan.</w:t>
      </w:r>
    </w:p>
    <w:p>
      <w:pPr>
        <w:spacing w:after="0" w:line="240"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Accordingly, the Company's adjusted EBITDA grew by about 32% to about $470 million. At the same time, the Company's adjusted debt decreased to about $315 million due to the repayment of Series G bond maturities. As a result, the Company’s gross debt to EBITDA in 2021 was about 0.7x, compared with about 1.1x in 2020.</w:t>
      </w:r>
    </w:p>
    <w:p>
      <w:pPr>
        <w:spacing w:after="0" w:line="229"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b w:val="1"/>
          <w:bCs w:val="1"/>
          <w:color w:val="auto"/>
        </w:rPr>
        <w:t>2 | May 3, 2022</w:t>
      </w:r>
      <w:r>
        <w:rPr>
          <w:sz w:val="20"/>
          <w:szCs w:val="20"/>
          <w:color w:val="auto"/>
        </w:rPr>
        <w:tab/>
      </w:r>
      <w:r>
        <w:rPr>
          <w:rFonts w:ascii="Arial" w:cs="Arial" w:eastAsia="Arial" w:hAnsi="Arial"/>
          <w:sz w:val="16"/>
          <w:szCs w:val="16"/>
          <w:b w:val="1"/>
          <w:bCs w:val="1"/>
          <w:color w:val="auto"/>
        </w:rPr>
        <w:t>www.maalot.co.il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3" w:name="page4"/>
    <w:bookmarkEnd w:id="3"/>
    <w:p>
      <w:pPr>
        <w:ind w:left="9180"/>
        <w:spacing w:after="0"/>
        <w:rPr>
          <w:sz w:val="20"/>
          <w:szCs w:val="20"/>
          <w:color w:val="auto"/>
        </w:rPr>
      </w:pPr>
      <w:r>
        <w:rPr>
          <w:rFonts w:ascii="Arial" w:cs="Arial" w:eastAsia="Arial" w:hAnsi="Arial"/>
          <w:sz w:val="16"/>
          <w:szCs w:val="16"/>
          <w:b w:val="1"/>
          <w:bCs w:val="1"/>
          <w:color w:val="auto"/>
        </w:rPr>
        <w:t>Tower Semiconductor Ltd.</w:t>
      </w:r>
    </w:p>
    <w:p>
      <w:pPr>
        <w:spacing w:after="0" w:line="30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We expect continued utilizataion improvement in the Company’s facilities in the next two years, and material growth potential when the acquisition by Intel is completed. </w:t>
      </w:r>
      <w:r>
        <w:rPr>
          <w:rFonts w:ascii="Arial" w:cs="Arial" w:eastAsia="Arial" w:hAnsi="Arial"/>
          <w:sz w:val="18"/>
          <w:szCs w:val="18"/>
          <w:color w:val="auto"/>
        </w:rPr>
        <w:t>In 2021, Tower signed a partnership agreement with ST Microelectronics S.r.l to establish a 12” chip plant in Italy.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plant is under construction, and upon opening, Tower will use one-third of its area to produce 12” chips using its machines. In addition, we estimate that the completion of the acquisition by Intel will have extensive impact on Tower's production capacity, as we believe cooperation between the two companies, given the size and deployment of Intel's plants worldwide, will allow Tower to significantly increase its utilization rates and expand its product range, to better meet the growing market demand for 8” and 12" chips.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We also assume that the Company will continue supporting growth in upcoming years, and therefore will refrain from distributing dividends in the short term. As a result, we expect adjusted gross debt to EBITDA to be in the 0.5x-1.0x range in the next two years.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D5002A"/>
        </w:rPr>
        <w:t>Outlook</w:t>
      </w:r>
    </w:p>
    <w:p>
      <w:pPr>
        <w:spacing w:after="0" w:line="293" w:lineRule="exact"/>
        <w:rPr>
          <w:sz w:val="20"/>
          <w:szCs w:val="20"/>
          <w:color w:val="auto"/>
        </w:rPr>
      </w:pPr>
    </w:p>
    <w:p>
      <w:pPr>
        <w:jc w:val="both"/>
        <w:ind w:right="40"/>
        <w:spacing w:after="0" w:line="327" w:lineRule="auto"/>
        <w:rPr>
          <w:sz w:val="20"/>
          <w:szCs w:val="20"/>
          <w:color w:val="auto"/>
        </w:rPr>
      </w:pPr>
      <w:r>
        <w:rPr>
          <w:rFonts w:ascii="Arial" w:cs="Arial" w:eastAsia="Arial" w:hAnsi="Arial"/>
          <w:sz w:val="19"/>
          <w:szCs w:val="19"/>
          <w:color w:val="auto"/>
        </w:rPr>
        <w:t>The stable outlook reflects our assessment that the Company will maintain its competitive position in the analog chip market and strong liquidity in the medium term. We also expect the Company to continue improving its facilities’ utilization rates. We expect the Company to maintain an adjusted gross debt to EBITDA ratio below 1.5x, commensurate with the current rating.</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Downside Scenario</w:t>
      </w:r>
    </w:p>
    <w:p>
      <w:pPr>
        <w:spacing w:after="0" w:line="293" w:lineRule="exact"/>
        <w:rPr>
          <w:sz w:val="20"/>
          <w:szCs w:val="20"/>
          <w:color w:val="auto"/>
        </w:rPr>
      </w:pPr>
    </w:p>
    <w:p>
      <w:pPr>
        <w:ind w:right="60"/>
        <w:spacing w:after="0" w:line="262" w:lineRule="auto"/>
        <w:rPr>
          <w:sz w:val="20"/>
          <w:szCs w:val="20"/>
          <w:color w:val="auto"/>
        </w:rPr>
      </w:pPr>
      <w:r>
        <w:rPr>
          <w:rFonts w:ascii="Arial" w:cs="Arial" w:eastAsia="Arial" w:hAnsi="Arial"/>
          <w:sz w:val="22"/>
          <w:szCs w:val="22"/>
          <w:color w:val="auto"/>
        </w:rPr>
        <w:t>We may lower the rating if the Company’s competitive position is undermined. This could happen if market conditions worsen, leading to lower utilization rates in the Company’s facilities and to a continued or material decline in profitability. The rating will also come under pressure if the Company consistently fails to generate free positive cash flows and if its adjusted gross debt to EBITDA exceeds 1.5x.</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Upside Scenario</w:t>
      </w:r>
    </w:p>
    <w:p>
      <w:pPr>
        <w:spacing w:after="0" w:line="293" w:lineRule="exact"/>
        <w:rPr>
          <w:sz w:val="20"/>
          <w:szCs w:val="20"/>
          <w:color w:val="auto"/>
        </w:rPr>
      </w:pPr>
    </w:p>
    <w:p>
      <w:pPr>
        <w:spacing w:after="0" w:line="266" w:lineRule="auto"/>
        <w:rPr>
          <w:sz w:val="20"/>
          <w:szCs w:val="20"/>
          <w:color w:val="auto"/>
        </w:rPr>
      </w:pPr>
      <w:r>
        <w:rPr>
          <w:rFonts w:ascii="Arial" w:cs="Arial" w:eastAsia="Arial" w:hAnsi="Arial"/>
          <w:sz w:val="22"/>
          <w:szCs w:val="22"/>
          <w:color w:val="auto"/>
        </w:rPr>
        <w:t>We may consider a positive rating action if Tower’s business risk profile materially improves, as reflected, among other things, by a higher market share, materially improved profitability, wider geographical spread of its plants, and a wider clientele base and product variety compared with peers.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D5002A"/>
        </w:rPr>
        <w:t>Company Description</w:t>
      </w:r>
    </w:p>
    <w:p>
      <w:pPr>
        <w:spacing w:after="0" w:line="293" w:lineRule="exact"/>
        <w:rPr>
          <w:sz w:val="20"/>
          <w:szCs w:val="20"/>
          <w:color w:val="auto"/>
        </w:rPr>
      </w:pPr>
    </w:p>
    <w:p>
      <w:pPr>
        <w:ind w:right="340"/>
        <w:spacing w:after="0" w:line="260" w:lineRule="auto"/>
        <w:rPr>
          <w:sz w:val="20"/>
          <w:szCs w:val="20"/>
          <w:color w:val="auto"/>
        </w:rPr>
      </w:pPr>
      <w:r>
        <w:rPr>
          <w:rFonts w:ascii="Arial" w:cs="Arial" w:eastAsia="Arial" w:hAnsi="Arial"/>
          <w:sz w:val="22"/>
          <w:szCs w:val="22"/>
          <w:color w:val="auto"/>
        </w:rPr>
        <w:t>Tower Semiconductor Ltd. is an Israeli manufacturer of semiconductors and integrated circuits (“chips”). It is a pure-play foundry, i.e. focused on production according to clients’ or third parties’ specifications. Chips produced by the Company are embedded in a wide variety of products in various markets, including electronic consumer products, personal computers, communication products, auto products, industrial products and medical products. Tower also provides engineering support services and complimentary manufacturing services. The Company produces in eight facilities located in Israel, U.S.A., Japan and Italy.</w:t>
      </w:r>
    </w:p>
    <w:p>
      <w:pPr>
        <w:spacing w:after="0" w:line="235"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b w:val="1"/>
          <w:bCs w:val="1"/>
          <w:color w:val="auto"/>
        </w:rPr>
        <w:t>3 | May 3, 2022</w:t>
      </w:r>
      <w:r>
        <w:rPr>
          <w:sz w:val="20"/>
          <w:szCs w:val="20"/>
          <w:color w:val="auto"/>
        </w:rPr>
        <w:tab/>
      </w:r>
      <w:r>
        <w:rPr>
          <w:rFonts w:ascii="Arial" w:cs="Arial" w:eastAsia="Arial" w:hAnsi="Arial"/>
          <w:sz w:val="16"/>
          <w:szCs w:val="16"/>
          <w:b w:val="1"/>
          <w:bCs w:val="1"/>
          <w:color w:val="auto"/>
        </w:rPr>
        <w:t>www.maalot.co.il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4" w:name="page5"/>
    <w:bookmarkEnd w:id="4"/>
    <w:p>
      <w:pPr>
        <w:ind w:left="9180"/>
        <w:spacing w:after="0"/>
        <w:rPr>
          <w:sz w:val="20"/>
          <w:szCs w:val="20"/>
          <w:color w:val="auto"/>
        </w:rPr>
      </w:pPr>
      <w:r>
        <w:rPr>
          <w:rFonts w:ascii="Arial" w:cs="Arial" w:eastAsia="Arial" w:hAnsi="Arial"/>
          <w:sz w:val="16"/>
          <w:szCs w:val="16"/>
          <w:b w:val="1"/>
          <w:bCs w:val="1"/>
          <w:color w:val="auto"/>
        </w:rPr>
        <w:t>Tower Semiconductor Ltd.</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D5002A"/>
        </w:rPr>
        <w:t>Base Case Scenario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base case scenario is underpinned by the following assumptions:</w:t>
      </w:r>
    </w:p>
    <w:p>
      <w:pPr>
        <w:spacing w:after="0" w:line="287" w:lineRule="exact"/>
        <w:rPr>
          <w:sz w:val="20"/>
          <w:szCs w:val="20"/>
          <w:color w:val="auto"/>
        </w:rPr>
      </w:pPr>
    </w:p>
    <w:p>
      <w:pPr>
        <w:ind w:left="420" w:right="80" w:hanging="318"/>
        <w:spacing w:after="0" w:line="308" w:lineRule="auto"/>
        <w:tabs>
          <w:tab w:leader="none" w:pos="420" w:val="left"/>
        </w:tabs>
        <w:numPr>
          <w:ilvl w:val="0"/>
          <w:numId w:val="2"/>
        </w:numPr>
        <w:rPr>
          <w:rFonts w:ascii="Arial" w:cs="Arial" w:eastAsia="Arial" w:hAnsi="Arial"/>
          <w:sz w:val="17"/>
          <w:szCs w:val="17"/>
          <w:color w:val="auto"/>
        </w:rPr>
      </w:pPr>
      <w:r>
        <w:rPr>
          <w:rFonts w:ascii="Arial" w:cs="Arial" w:eastAsia="Arial" w:hAnsi="Arial"/>
          <w:sz w:val="17"/>
          <w:szCs w:val="17"/>
          <w:color w:val="auto"/>
        </w:rPr>
        <w:t>An increase of about 10% in revenues in 2022 due to higher utilization rates in the Company's facilities and the opening of the new plant in Italy, and due to a higher selling price thanks to increased demand for chips in general and for the Company's products in particular.</w:t>
      </w:r>
    </w:p>
    <w:p>
      <w:pPr>
        <w:spacing w:after="0" w:line="200" w:lineRule="exact"/>
        <w:rPr>
          <w:rFonts w:ascii="Arial" w:cs="Arial" w:eastAsia="Arial" w:hAnsi="Arial"/>
          <w:sz w:val="17"/>
          <w:szCs w:val="17"/>
          <w:color w:val="auto"/>
        </w:rPr>
      </w:pPr>
    </w:p>
    <w:p>
      <w:pPr>
        <w:ind w:left="420" w:hanging="318"/>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margin of about 36%-37% in 2022-2023.</w:t>
      </w:r>
    </w:p>
    <w:p>
      <w:pPr>
        <w:spacing w:after="0" w:line="279" w:lineRule="exact"/>
        <w:rPr>
          <w:rFonts w:ascii="Arial" w:cs="Arial" w:eastAsia="Arial" w:hAnsi="Arial"/>
          <w:sz w:val="18"/>
          <w:szCs w:val="18"/>
          <w:color w:val="auto"/>
        </w:rPr>
      </w:pPr>
    </w:p>
    <w:p>
      <w:pPr>
        <w:ind w:left="420" w:hanging="318"/>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 expenditure on maintenance and new investments of about $300 million in 2022.</w:t>
      </w:r>
    </w:p>
    <w:p>
      <w:pPr>
        <w:spacing w:after="0" w:line="279" w:lineRule="exact"/>
        <w:rPr>
          <w:rFonts w:ascii="Arial" w:cs="Arial" w:eastAsia="Arial" w:hAnsi="Arial"/>
          <w:sz w:val="18"/>
          <w:szCs w:val="18"/>
          <w:color w:val="auto"/>
        </w:rPr>
      </w:pPr>
    </w:p>
    <w:p>
      <w:pPr>
        <w:ind w:left="420" w:hanging="318"/>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Following the acquisition by Intel, we assume no acquisitions will be made in the near- to medium term.</w:t>
      </w:r>
    </w:p>
    <w:p>
      <w:pPr>
        <w:spacing w:after="0" w:line="279" w:lineRule="exact"/>
        <w:rPr>
          <w:rFonts w:ascii="Arial" w:cs="Arial" w:eastAsia="Arial" w:hAnsi="Arial"/>
          <w:sz w:val="18"/>
          <w:szCs w:val="18"/>
          <w:color w:val="auto"/>
        </w:rPr>
      </w:pPr>
    </w:p>
    <w:p>
      <w:pPr>
        <w:ind w:left="420" w:hanging="318"/>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dividend distribution.</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We are taking into account gross debt without deducting cash.</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42773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tcPr>
          <w:p>
            <w:pPr>
              <w:ind w:left="40"/>
              <w:spacing w:after="0"/>
              <w:rPr>
                <w:sz w:val="20"/>
                <w:szCs w:val="20"/>
                <w:color w:val="auto"/>
              </w:rPr>
            </w:pPr>
            <w:r>
              <w:rPr>
                <w:rFonts w:ascii="Arial" w:cs="Arial" w:eastAsia="Arial" w:hAnsi="Arial"/>
                <w:sz w:val="18"/>
                <w:szCs w:val="18"/>
                <w:b w:val="1"/>
                <w:bCs w:val="1"/>
                <w:color w:val="auto"/>
              </w:rPr>
              <w:t>Financial Metric</w:t>
            </w:r>
          </w:p>
        </w:tc>
        <w:tc>
          <w:tcPr>
            <w:tcW w:w="164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2021A</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2"/>
              </w:rPr>
              <w:t>2022E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2"/>
              </w:rPr>
              <w:t>2023E</w:t>
            </w:r>
          </w:p>
        </w:tc>
      </w:tr>
      <w:tr>
        <w:trPr>
          <w:trHeight w:val="34"/>
        </w:trPr>
        <w:tc>
          <w:tcPr>
            <w:tcW w:w="2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459"/>
        </w:trPr>
        <w:tc>
          <w:tcPr>
            <w:tcW w:w="2000" w:type="dxa"/>
            <w:vAlign w:val="bottom"/>
          </w:tcPr>
          <w:p>
            <w:pPr>
              <w:ind w:left="40"/>
              <w:spacing w:after="0"/>
              <w:rPr>
                <w:sz w:val="20"/>
                <w:szCs w:val="20"/>
                <w:color w:val="auto"/>
              </w:rPr>
            </w:pPr>
            <w:r>
              <w:rPr>
                <w:rFonts w:ascii="Arial" w:cs="Arial" w:eastAsia="Arial" w:hAnsi="Arial"/>
                <w:sz w:val="18"/>
                <w:szCs w:val="18"/>
                <w:color w:val="auto"/>
              </w:rPr>
              <w:t>Debt/EBITDA</w:t>
            </w:r>
          </w:p>
        </w:tc>
        <w:tc>
          <w:tcPr>
            <w:tcW w:w="1640" w:type="dxa"/>
            <w:vAlign w:val="bottom"/>
          </w:tcPr>
          <w:p>
            <w:pPr>
              <w:jc w:val="center"/>
              <w:ind w:left="170"/>
              <w:spacing w:after="0"/>
              <w:rPr>
                <w:sz w:val="20"/>
                <w:szCs w:val="20"/>
                <w:color w:val="auto"/>
              </w:rPr>
            </w:pPr>
            <w:r>
              <w:rPr>
                <w:rFonts w:ascii="Arial" w:cs="Arial" w:eastAsia="Arial" w:hAnsi="Arial"/>
                <w:sz w:val="18"/>
                <w:szCs w:val="18"/>
                <w:color w:val="auto"/>
                <w:w w:val="88"/>
              </w:rPr>
              <w:t>0.7x</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0.5x-1.0x</w:t>
            </w: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0.5x-1.0x</w:t>
            </w:r>
          </w:p>
        </w:tc>
      </w:tr>
      <w:tr>
        <w:trPr>
          <w:trHeight w:val="34"/>
        </w:trPr>
        <w:tc>
          <w:tcPr>
            <w:tcW w:w="2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459"/>
        </w:trPr>
        <w:tc>
          <w:tcPr>
            <w:tcW w:w="2000" w:type="dxa"/>
            <w:vAlign w:val="bottom"/>
          </w:tcPr>
          <w:p>
            <w:pPr>
              <w:ind w:left="40"/>
              <w:spacing w:after="0"/>
              <w:rPr>
                <w:sz w:val="20"/>
                <w:szCs w:val="20"/>
                <w:color w:val="auto"/>
              </w:rPr>
            </w:pPr>
            <w:r>
              <w:rPr>
                <w:rFonts w:ascii="Arial" w:cs="Arial" w:eastAsia="Arial" w:hAnsi="Arial"/>
                <w:sz w:val="18"/>
                <w:szCs w:val="18"/>
                <w:color w:val="auto"/>
              </w:rPr>
              <w:t>FFO/debt</w:t>
            </w:r>
          </w:p>
        </w:tc>
        <w:tc>
          <w:tcPr>
            <w:tcW w:w="1640" w:type="dxa"/>
            <w:vAlign w:val="bottom"/>
          </w:tcPr>
          <w:p>
            <w:pPr>
              <w:jc w:val="center"/>
              <w:ind w:left="170"/>
              <w:spacing w:after="0"/>
              <w:rPr>
                <w:sz w:val="20"/>
                <w:szCs w:val="20"/>
                <w:color w:val="auto"/>
              </w:rPr>
            </w:pPr>
            <w:r>
              <w:rPr>
                <w:rFonts w:ascii="Arial" w:cs="Arial" w:eastAsia="Arial" w:hAnsi="Arial"/>
                <w:sz w:val="18"/>
                <w:szCs w:val="18"/>
                <w:color w:val="auto"/>
                <w:w w:val="88"/>
              </w:rPr>
              <w:t>145.1%</w:t>
            </w:r>
          </w:p>
        </w:tc>
        <w:tc>
          <w:tcPr>
            <w:tcW w:w="1600" w:type="dxa"/>
            <w:vAlign w:val="bottom"/>
          </w:tcPr>
          <w:p>
            <w:pPr>
              <w:jc w:val="center"/>
              <w:ind w:left="10"/>
              <w:spacing w:after="0"/>
              <w:rPr>
                <w:sz w:val="20"/>
                <w:szCs w:val="20"/>
                <w:color w:val="auto"/>
              </w:rPr>
            </w:pPr>
            <w:r>
              <w:rPr>
                <w:rFonts w:ascii="Arial" w:cs="Arial" w:eastAsia="Arial" w:hAnsi="Arial"/>
                <w:sz w:val="18"/>
                <w:szCs w:val="18"/>
                <w:color w:val="auto"/>
                <w:w w:val="91"/>
              </w:rPr>
              <w:t>160%-170%</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200%-210%</w:t>
            </w:r>
          </w:p>
        </w:tc>
      </w:tr>
      <w:tr>
        <w:trPr>
          <w:trHeight w:val="34"/>
        </w:trPr>
        <w:tc>
          <w:tcPr>
            <w:tcW w:w="2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A - actual. E – Estimate. FFO – funds from operations.</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D5002A"/>
        </w:rPr>
        <w:t>Liquidity</w:t>
      </w:r>
    </w:p>
    <w:p>
      <w:pPr>
        <w:spacing w:after="0" w:line="293" w:lineRule="exact"/>
        <w:rPr>
          <w:sz w:val="20"/>
          <w:szCs w:val="20"/>
          <w:color w:val="auto"/>
        </w:rPr>
      </w:pPr>
    </w:p>
    <w:p>
      <w:pPr>
        <w:ind w:right="40"/>
        <w:spacing w:after="0" w:line="311" w:lineRule="auto"/>
        <w:rPr>
          <w:sz w:val="20"/>
          <w:szCs w:val="20"/>
          <w:color w:val="auto"/>
        </w:rPr>
      </w:pPr>
      <w:r>
        <w:rPr>
          <w:rFonts w:ascii="Arial" w:cs="Arial" w:eastAsia="Arial" w:hAnsi="Arial"/>
          <w:sz w:val="19"/>
          <w:szCs w:val="19"/>
          <w:color w:val="auto"/>
        </w:rPr>
        <w:t>According to our criteria, the Company’s liquidity is “strong”. We estimate that the ratio between the Company’s sources and uses will exceed 1.5x in the next 12-24 months. This assessment mainly reflects expected operating cash flow and the Company's cash and liquid investment balance, which are sufficient to support its investment and working capital needs. We note that the Company has a large share of liquid and available assets to finance its debt maturities in the next two years. In addition, the Company intends to avoid distributing dividends in the medium term in accordance with its organic-growth-oriented strategy.</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In our base-case scenario we estimate the Company's main sources in the 12 months starting January 1, 2021, to be as follows:</w:t>
      </w:r>
    </w:p>
    <w:p>
      <w:pPr>
        <w:spacing w:after="0" w:line="315" w:lineRule="exact"/>
        <w:rPr>
          <w:sz w:val="20"/>
          <w:szCs w:val="20"/>
          <w:color w:val="auto"/>
        </w:rPr>
      </w:pPr>
    </w:p>
    <w:p>
      <w:pPr>
        <w:ind w:left="420" w:hanging="318"/>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liquid investments of about $765 million.</w:t>
      </w:r>
    </w:p>
    <w:p>
      <w:pPr>
        <w:spacing w:after="0" w:line="275"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b w:val="1"/>
          <w:bCs w:val="1"/>
          <w:color w:val="auto"/>
        </w:rPr>
        <w:t>4 | May 3, 2022</w:t>
      </w:r>
      <w:r>
        <w:rPr>
          <w:sz w:val="20"/>
          <w:szCs w:val="20"/>
          <w:color w:val="auto"/>
        </w:rPr>
        <w:tab/>
      </w:r>
      <w:r>
        <w:rPr>
          <w:rFonts w:ascii="Arial" w:cs="Arial" w:eastAsia="Arial" w:hAnsi="Arial"/>
          <w:sz w:val="16"/>
          <w:szCs w:val="16"/>
          <w:b w:val="1"/>
          <w:bCs w:val="1"/>
          <w:color w:val="auto"/>
        </w:rPr>
        <w:t>www.maalot.co.il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5" w:name="page6"/>
    <w:bookmarkEnd w:id="5"/>
    <w:p>
      <w:pPr>
        <w:ind w:left="9180"/>
        <w:spacing w:after="0"/>
        <w:rPr>
          <w:sz w:val="20"/>
          <w:szCs w:val="20"/>
          <w:color w:val="auto"/>
        </w:rPr>
      </w:pPr>
      <w:r>
        <w:rPr>
          <w:rFonts w:ascii="Arial" w:cs="Arial" w:eastAsia="Arial" w:hAnsi="Arial"/>
          <w:sz w:val="16"/>
          <w:szCs w:val="16"/>
          <w:b w:val="1"/>
          <w:bCs w:val="1"/>
          <w:color w:val="auto"/>
        </w:rPr>
        <w:t>Tower Semiconductor Ltd.</w:t>
      </w:r>
    </w:p>
    <w:p>
      <w:pPr>
        <w:spacing w:after="0" w:line="306" w:lineRule="exact"/>
        <w:rPr>
          <w:sz w:val="20"/>
          <w:szCs w:val="20"/>
          <w:color w:val="auto"/>
        </w:rPr>
      </w:pPr>
    </w:p>
    <w:p>
      <w:pPr>
        <w:ind w:left="420" w:hanging="318"/>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FFO of about $500 million - $550 million.</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Our assumptions regarding the Company’s main uses for this period are:</w:t>
      </w:r>
    </w:p>
    <w:p>
      <w:pPr>
        <w:spacing w:after="0" w:line="281" w:lineRule="exact"/>
        <w:rPr>
          <w:sz w:val="20"/>
          <w:szCs w:val="20"/>
          <w:color w:val="auto"/>
        </w:rPr>
      </w:pPr>
    </w:p>
    <w:p>
      <w:pPr>
        <w:ind w:left="420" w:hanging="318"/>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Series G bond maturities of about $43 million.</w:t>
      </w:r>
    </w:p>
    <w:p>
      <w:pPr>
        <w:spacing w:after="0" w:line="279" w:lineRule="exact"/>
        <w:rPr>
          <w:rFonts w:ascii="Arial" w:cs="Arial" w:eastAsia="Arial" w:hAnsi="Arial"/>
          <w:sz w:val="18"/>
          <w:szCs w:val="18"/>
          <w:color w:val="auto"/>
        </w:rPr>
      </w:pPr>
    </w:p>
    <w:p>
      <w:pPr>
        <w:ind w:left="420" w:hanging="318"/>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expenditure (capex) of about $300 million.</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D5002A"/>
        </w:rPr>
        <w:t>Covenant Analysis</w:t>
      </w:r>
    </w:p>
    <w:p>
      <w:pPr>
        <w:spacing w:after="0" w:line="293" w:lineRule="exact"/>
        <w:rPr>
          <w:sz w:val="20"/>
          <w:szCs w:val="20"/>
          <w:color w:val="auto"/>
        </w:rPr>
      </w:pPr>
    </w:p>
    <w:p>
      <w:pPr>
        <w:ind w:right="260"/>
        <w:spacing w:after="0" w:line="358" w:lineRule="auto"/>
        <w:rPr>
          <w:sz w:val="20"/>
          <w:szCs w:val="20"/>
          <w:color w:val="auto"/>
        </w:rPr>
      </w:pPr>
      <w:r>
        <w:rPr>
          <w:rFonts w:ascii="Arial" w:cs="Arial" w:eastAsia="Arial" w:hAnsi="Arial"/>
          <w:sz w:val="19"/>
          <w:szCs w:val="19"/>
          <w:color w:val="auto"/>
        </w:rPr>
        <w:t>We expect the Company to maintain sufficient headroom (over 30%) on all financial covenants. According to the terms of its bond series, the Company must maintain a net financial debt to EBITDA ratio of up to 2.5x and equity of at least $850 million.</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D5002A"/>
        </w:rPr>
        <w:t>Environmental, Social, And Governance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ESG Credit Indicators: E-2, S-2, G-2</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ESG factors have an overall neutral influence on our credit analysis of Tower Semiconductor Ltd.</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Issue Ratings--Subordination Risk Analysis Capital structure</w:t>
      </w:r>
    </w:p>
    <w:p>
      <w:pPr>
        <w:spacing w:after="0" w:line="293" w:lineRule="exact"/>
        <w:rPr>
          <w:sz w:val="20"/>
          <w:szCs w:val="20"/>
          <w:color w:val="auto"/>
        </w:rPr>
      </w:pPr>
    </w:p>
    <w:p>
      <w:pPr>
        <w:ind w:right="260"/>
        <w:spacing w:after="0" w:line="276" w:lineRule="auto"/>
        <w:rPr>
          <w:sz w:val="20"/>
          <w:szCs w:val="20"/>
          <w:color w:val="auto"/>
        </w:rPr>
      </w:pPr>
      <w:r>
        <w:rPr>
          <w:rFonts w:ascii="Arial" w:cs="Arial" w:eastAsia="Arial" w:hAnsi="Arial"/>
          <w:sz w:val="22"/>
          <w:szCs w:val="22"/>
          <w:color w:val="auto"/>
        </w:rPr>
        <w:t>As of December 31, 2012, Tower's capital structure included unsecured senior bonds amounting to about $64 million issued by the Company and bank loans to TPSCo amounting to about $96 million.</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Analytical conclusions</w:t>
      </w:r>
    </w:p>
    <w:p>
      <w:pPr>
        <w:spacing w:after="0" w:line="293" w:lineRule="exact"/>
        <w:rPr>
          <w:sz w:val="20"/>
          <w:szCs w:val="20"/>
          <w:color w:val="auto"/>
        </w:rPr>
      </w:pPr>
    </w:p>
    <w:p>
      <w:pPr>
        <w:ind w:right="740"/>
        <w:spacing w:after="0" w:line="276" w:lineRule="auto"/>
        <w:rPr>
          <w:sz w:val="20"/>
          <w:szCs w:val="20"/>
          <w:color w:val="auto"/>
        </w:rPr>
      </w:pPr>
      <w:r>
        <w:rPr>
          <w:rFonts w:ascii="Arial" w:cs="Arial" w:eastAsia="Arial" w:hAnsi="Arial"/>
          <w:sz w:val="22"/>
          <w:szCs w:val="22"/>
          <w:color w:val="auto"/>
        </w:rPr>
        <w:t>We rate Tower’s debt at ‘ilAA’, identical to the issuer rating, as we believe the subordination risk in its capital structure is negligible.</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D5002A"/>
        </w:rPr>
        <w:t>Modifiers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Diversification/portfolio effect: Neutral</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Capital structure: Neutral</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Liquidity: Neutral</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Financial policy: Neutral</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Management and governance: Neutral</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Comparable ratings analysis: Positive</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D5002A"/>
        </w:rPr>
        <w:t>Related Criteria And Research</w:t>
      </w:r>
    </w:p>
    <w:p>
      <w:pPr>
        <w:spacing w:after="0" w:line="287" w:lineRule="exact"/>
        <w:rPr>
          <w:sz w:val="20"/>
          <w:szCs w:val="20"/>
          <w:color w:val="auto"/>
        </w:rPr>
      </w:pPr>
    </w:p>
    <w:p>
      <w:pPr>
        <w:ind w:left="300" w:hanging="198"/>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FF"/>
        </w:rPr>
        <w:t>Principles Of Credit Ratings</w:t>
      </w:r>
      <w:r>
        <w:rPr>
          <w:rFonts w:ascii="Arial" w:cs="Arial" w:eastAsia="Arial" w:hAnsi="Arial"/>
          <w:sz w:val="18"/>
          <w:szCs w:val="18"/>
          <w:color w:val="000000"/>
        </w:rPr>
        <w:t>, February 16, 2011</w:t>
      </w:r>
    </w:p>
    <w:p>
      <w:pPr>
        <w:spacing w:after="0" w:line="279" w:lineRule="exact"/>
        <w:rPr>
          <w:rFonts w:ascii="Arial" w:cs="Arial" w:eastAsia="Arial" w:hAnsi="Arial"/>
          <w:sz w:val="18"/>
          <w:szCs w:val="18"/>
          <w:color w:val="auto"/>
        </w:rPr>
      </w:pPr>
    </w:p>
    <w:p>
      <w:pPr>
        <w:ind w:left="300" w:hanging="198"/>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FF"/>
        </w:rPr>
        <w:t>Methodology: Management And Governance Credit Factors For Corporate Entities And Insurers</w:t>
      </w:r>
      <w:r>
        <w:rPr>
          <w:rFonts w:ascii="Arial" w:cs="Arial" w:eastAsia="Arial" w:hAnsi="Arial"/>
          <w:sz w:val="18"/>
          <w:szCs w:val="18"/>
          <w:color w:val="000000"/>
        </w:rPr>
        <w:t>, November 13, 2012</w:t>
      </w:r>
    </w:p>
    <w:p>
      <w:pPr>
        <w:spacing w:after="0" w:line="279" w:lineRule="exact"/>
        <w:rPr>
          <w:rFonts w:ascii="Arial" w:cs="Arial" w:eastAsia="Arial" w:hAnsi="Arial"/>
          <w:sz w:val="18"/>
          <w:szCs w:val="18"/>
          <w:color w:val="auto"/>
        </w:rPr>
      </w:pPr>
    </w:p>
    <w:p>
      <w:pPr>
        <w:ind w:left="300" w:hanging="198"/>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FF"/>
        </w:rPr>
        <w:t>Methodology: Industry Risk</w:t>
      </w:r>
      <w:r>
        <w:rPr>
          <w:rFonts w:ascii="Arial" w:cs="Arial" w:eastAsia="Arial" w:hAnsi="Arial"/>
          <w:sz w:val="18"/>
          <w:szCs w:val="18"/>
          <w:color w:val="000000"/>
        </w:rPr>
        <w:t>, November 19, 2013</w:t>
      </w:r>
    </w:p>
    <w:p>
      <w:pPr>
        <w:spacing w:after="0" w:line="275"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b w:val="1"/>
          <w:bCs w:val="1"/>
          <w:color w:val="auto"/>
        </w:rPr>
        <w:t>5 | May 3, 2022</w:t>
      </w:r>
      <w:r>
        <w:rPr>
          <w:sz w:val="20"/>
          <w:szCs w:val="20"/>
          <w:color w:val="auto"/>
        </w:rPr>
        <w:tab/>
      </w:r>
      <w:r>
        <w:rPr>
          <w:rFonts w:ascii="Arial" w:cs="Arial" w:eastAsia="Arial" w:hAnsi="Arial"/>
          <w:sz w:val="16"/>
          <w:szCs w:val="16"/>
          <w:b w:val="1"/>
          <w:bCs w:val="1"/>
          <w:color w:val="auto"/>
        </w:rPr>
        <w:t>www.maalot.co.il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6" w:name="page7"/>
    <w:bookmarkEnd w:id="6"/>
    <w:p>
      <w:pPr>
        <w:ind w:left="9180"/>
        <w:spacing w:after="0"/>
        <w:rPr>
          <w:sz w:val="20"/>
          <w:szCs w:val="20"/>
          <w:color w:val="auto"/>
        </w:rPr>
      </w:pPr>
      <w:r>
        <w:rPr>
          <w:rFonts w:ascii="Arial" w:cs="Arial" w:eastAsia="Arial" w:hAnsi="Arial"/>
          <w:sz w:val="16"/>
          <w:szCs w:val="16"/>
          <w:b w:val="1"/>
          <w:bCs w:val="1"/>
          <w:color w:val="auto"/>
        </w:rPr>
        <w:t>Tower Semiconductor Ltd.</w:t>
      </w:r>
    </w:p>
    <w:p>
      <w:pPr>
        <w:spacing w:after="0" w:line="306" w:lineRule="exact"/>
        <w:rPr>
          <w:sz w:val="20"/>
          <w:szCs w:val="20"/>
          <w:color w:val="auto"/>
        </w:rPr>
      </w:pPr>
    </w:p>
    <w:p>
      <w:pPr>
        <w:ind w:left="300" w:hanging="198"/>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FF"/>
        </w:rPr>
        <w:t>Country Risk Assessment Methodology And Assumptions</w:t>
      </w:r>
      <w:r>
        <w:rPr>
          <w:rFonts w:ascii="Arial" w:cs="Arial" w:eastAsia="Arial" w:hAnsi="Arial"/>
          <w:sz w:val="18"/>
          <w:szCs w:val="18"/>
          <w:color w:val="000000"/>
        </w:rPr>
        <w:t>, November 19, 2013</w:t>
      </w:r>
    </w:p>
    <w:p>
      <w:pPr>
        <w:spacing w:after="0" w:line="279" w:lineRule="exact"/>
        <w:rPr>
          <w:rFonts w:ascii="Arial" w:cs="Arial" w:eastAsia="Arial" w:hAnsi="Arial"/>
          <w:sz w:val="18"/>
          <w:szCs w:val="18"/>
          <w:color w:val="auto"/>
        </w:rPr>
      </w:pPr>
    </w:p>
    <w:p>
      <w:pPr>
        <w:ind w:left="300" w:hanging="198"/>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FF"/>
        </w:rPr>
        <w:t>Corporate Methodology</w:t>
      </w:r>
      <w:r>
        <w:rPr>
          <w:rFonts w:ascii="Arial" w:cs="Arial" w:eastAsia="Arial" w:hAnsi="Arial"/>
          <w:sz w:val="18"/>
          <w:szCs w:val="18"/>
          <w:color w:val="000000"/>
        </w:rPr>
        <w:t>, November 19, 2013</w:t>
      </w:r>
    </w:p>
    <w:p>
      <w:pPr>
        <w:spacing w:after="0" w:line="279" w:lineRule="exact"/>
        <w:rPr>
          <w:rFonts w:ascii="Arial" w:cs="Arial" w:eastAsia="Arial" w:hAnsi="Arial"/>
          <w:sz w:val="18"/>
          <w:szCs w:val="18"/>
          <w:color w:val="auto"/>
        </w:rPr>
      </w:pPr>
    </w:p>
    <w:p>
      <w:pPr>
        <w:ind w:left="300" w:hanging="198"/>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FF"/>
        </w:rPr>
        <w:t>Methodology And Assumptions: Liquidity Descriptors For Global Corporate Issuers</w:t>
      </w:r>
      <w:r>
        <w:rPr>
          <w:rFonts w:ascii="Arial" w:cs="Arial" w:eastAsia="Arial" w:hAnsi="Arial"/>
          <w:sz w:val="18"/>
          <w:szCs w:val="18"/>
          <w:color w:val="000000"/>
        </w:rPr>
        <w:t>, December 16, 2014</w:t>
      </w:r>
    </w:p>
    <w:p>
      <w:pPr>
        <w:spacing w:after="0" w:line="279" w:lineRule="exact"/>
        <w:rPr>
          <w:rFonts w:ascii="Arial" w:cs="Arial" w:eastAsia="Arial" w:hAnsi="Arial"/>
          <w:sz w:val="18"/>
          <w:szCs w:val="18"/>
          <w:color w:val="auto"/>
        </w:rPr>
      </w:pPr>
    </w:p>
    <w:p>
      <w:pPr>
        <w:ind w:left="300" w:hanging="198"/>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FF"/>
        </w:rPr>
        <w:t>Reflecting Subordination Risk In Corporate issue Ratings</w:t>
      </w:r>
      <w:r>
        <w:rPr>
          <w:rFonts w:ascii="Arial" w:cs="Arial" w:eastAsia="Arial" w:hAnsi="Arial"/>
          <w:sz w:val="18"/>
          <w:szCs w:val="18"/>
          <w:color w:val="000000"/>
        </w:rPr>
        <w:t>, March 28, 2018</w:t>
      </w:r>
    </w:p>
    <w:p>
      <w:pPr>
        <w:spacing w:after="0" w:line="279" w:lineRule="exact"/>
        <w:rPr>
          <w:rFonts w:ascii="Arial" w:cs="Arial" w:eastAsia="Arial" w:hAnsi="Arial"/>
          <w:sz w:val="18"/>
          <w:szCs w:val="18"/>
          <w:color w:val="auto"/>
        </w:rPr>
      </w:pPr>
    </w:p>
    <w:p>
      <w:pPr>
        <w:ind w:left="300" w:hanging="198"/>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FF"/>
        </w:rPr>
        <w:t>Methodology For National And Regional Scale Credit Ratings</w:t>
      </w:r>
      <w:r>
        <w:rPr>
          <w:rFonts w:ascii="Arial" w:cs="Arial" w:eastAsia="Arial" w:hAnsi="Arial"/>
          <w:sz w:val="18"/>
          <w:szCs w:val="18"/>
          <w:color w:val="000000"/>
        </w:rPr>
        <w:t>, June 25, 2018</w:t>
      </w:r>
    </w:p>
    <w:p>
      <w:pPr>
        <w:spacing w:after="0" w:line="279" w:lineRule="exact"/>
        <w:rPr>
          <w:rFonts w:ascii="Arial" w:cs="Arial" w:eastAsia="Arial" w:hAnsi="Arial"/>
          <w:sz w:val="18"/>
          <w:szCs w:val="18"/>
          <w:color w:val="auto"/>
        </w:rPr>
      </w:pPr>
    </w:p>
    <w:p>
      <w:pPr>
        <w:ind w:left="300" w:hanging="198"/>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FF"/>
        </w:rPr>
        <w:t>Corporate Methodology: Ratios And Adjustments</w:t>
      </w:r>
      <w:r>
        <w:rPr>
          <w:rFonts w:ascii="Arial" w:cs="Arial" w:eastAsia="Arial" w:hAnsi="Arial"/>
          <w:sz w:val="18"/>
          <w:szCs w:val="18"/>
          <w:color w:val="000000"/>
        </w:rPr>
        <w:t>, April 1, 2019</w:t>
      </w:r>
    </w:p>
    <w:p>
      <w:pPr>
        <w:spacing w:after="0" w:line="279" w:lineRule="exact"/>
        <w:rPr>
          <w:rFonts w:ascii="Arial" w:cs="Arial" w:eastAsia="Arial" w:hAnsi="Arial"/>
          <w:sz w:val="18"/>
          <w:szCs w:val="18"/>
          <w:color w:val="auto"/>
        </w:rPr>
      </w:pPr>
    </w:p>
    <w:p>
      <w:pPr>
        <w:ind w:left="300" w:hanging="198"/>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FF"/>
        </w:rPr>
        <w:t>Group Rating Methodology</w:t>
      </w:r>
      <w:r>
        <w:rPr>
          <w:rFonts w:ascii="Arial" w:cs="Arial" w:eastAsia="Arial" w:hAnsi="Arial"/>
          <w:sz w:val="18"/>
          <w:szCs w:val="18"/>
          <w:color w:val="000000"/>
        </w:rPr>
        <w:t>, July 1, 2019</w:t>
      </w:r>
    </w:p>
    <w:p>
      <w:pPr>
        <w:spacing w:after="0" w:line="279" w:lineRule="exact"/>
        <w:rPr>
          <w:rFonts w:ascii="Arial" w:cs="Arial" w:eastAsia="Arial" w:hAnsi="Arial"/>
          <w:sz w:val="18"/>
          <w:szCs w:val="18"/>
          <w:color w:val="auto"/>
        </w:rPr>
      </w:pPr>
    </w:p>
    <w:p>
      <w:pPr>
        <w:ind w:left="300" w:hanging="198"/>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FF"/>
        </w:rPr>
        <w:t>Environmental, Social, And Governance Principles In Credit Ratings</w:t>
      </w:r>
      <w:r>
        <w:rPr>
          <w:rFonts w:ascii="Arial" w:cs="Arial" w:eastAsia="Arial" w:hAnsi="Arial"/>
          <w:sz w:val="18"/>
          <w:szCs w:val="18"/>
          <w:color w:val="000000"/>
        </w:rPr>
        <w:t>, October 10, 2021</w:t>
      </w:r>
    </w:p>
    <w:p>
      <w:pPr>
        <w:spacing w:after="0" w:line="279" w:lineRule="exact"/>
        <w:rPr>
          <w:rFonts w:ascii="Arial" w:cs="Arial" w:eastAsia="Arial" w:hAnsi="Arial"/>
          <w:sz w:val="18"/>
          <w:szCs w:val="18"/>
          <w:color w:val="auto"/>
        </w:rPr>
      </w:pPr>
    </w:p>
    <w:p>
      <w:pPr>
        <w:ind w:left="300" w:hanging="198"/>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FF"/>
        </w:rPr>
        <w:t>S&amp;P Global Ratings Definitions</w:t>
      </w:r>
      <w:r>
        <w:rPr>
          <w:rFonts w:ascii="Arial" w:cs="Arial" w:eastAsia="Arial" w:hAnsi="Arial"/>
          <w:sz w:val="18"/>
          <w:szCs w:val="18"/>
          <w:color w:val="000000"/>
        </w:rPr>
        <w:t>, November 10, 2021</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D5002A"/>
        </w:rPr>
        <w:t>Ratings List</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gridSpan w:val="2"/>
            <w:shd w:val="clear" w:color="auto" w:fill="E2173D"/>
          </w:tcPr>
          <w:p>
            <w:pPr>
              <w:spacing w:after="0"/>
              <w:rPr>
                <w:sz w:val="20"/>
                <w:szCs w:val="20"/>
                <w:color w:val="auto"/>
              </w:rPr>
            </w:pPr>
            <w:r>
              <w:rPr>
                <w:rFonts w:ascii="Arial" w:cs="Arial" w:eastAsia="Arial" w:hAnsi="Arial"/>
                <w:sz w:val="18"/>
                <w:szCs w:val="18"/>
                <w:b w:val="1"/>
                <w:bCs w:val="1"/>
                <w:color w:val="FFFFFF"/>
              </w:rPr>
              <w:t>Tower Semiconductor Ltd.</w:t>
            </w:r>
          </w:p>
        </w:tc>
        <w:tc>
          <w:tcPr>
            <w:tcW w:w="1660" w:type="dxa"/>
            <w:vAlign w:val="bottom"/>
            <w:shd w:val="clear" w:color="auto" w:fill="E2173D"/>
          </w:tcPr>
          <w:p>
            <w:pPr>
              <w:spacing w:after="0"/>
              <w:rPr>
                <w:sz w:val="20"/>
                <w:szCs w:val="20"/>
                <w:color w:val="auto"/>
              </w:rPr>
            </w:pPr>
            <w:r>
              <w:rPr>
                <w:rFonts w:ascii="Arial" w:cs="Arial" w:eastAsia="Arial" w:hAnsi="Arial"/>
                <w:sz w:val="18"/>
                <w:szCs w:val="18"/>
                <w:b w:val="1"/>
                <w:bCs w:val="1"/>
                <w:color w:val="FFFFFF"/>
              </w:rPr>
              <w:t>Rating</w:t>
            </w:r>
          </w:p>
        </w:tc>
        <w:tc>
          <w:tcPr>
            <w:tcW w:w="3040" w:type="dxa"/>
            <w:vAlign w:val="bottom"/>
            <w:shd w:val="clear" w:color="auto" w:fill="E2173D"/>
          </w:tcPr>
          <w:p>
            <w:pPr>
              <w:ind w:left="380"/>
              <w:spacing w:after="0"/>
              <w:rPr>
                <w:sz w:val="20"/>
                <w:szCs w:val="20"/>
                <w:color w:val="auto"/>
              </w:rPr>
            </w:pPr>
            <w:r>
              <w:rPr>
                <w:rFonts w:ascii="Arial" w:cs="Arial" w:eastAsia="Arial" w:hAnsi="Arial"/>
                <w:sz w:val="18"/>
                <w:szCs w:val="18"/>
                <w:b w:val="1"/>
                <w:bCs w:val="1"/>
                <w:color w:val="FFFFFF"/>
              </w:rPr>
              <w:t>Date when the</w:t>
            </w:r>
          </w:p>
        </w:tc>
        <w:tc>
          <w:tcPr>
            <w:tcW w:w="2400" w:type="dxa"/>
            <w:vAlign w:val="bottom"/>
            <w:shd w:val="clear" w:color="auto" w:fill="E2173D"/>
          </w:tcPr>
          <w:p>
            <w:pPr>
              <w:spacing w:after="0"/>
              <w:rPr>
                <w:sz w:val="20"/>
                <w:szCs w:val="20"/>
                <w:color w:val="auto"/>
              </w:rPr>
            </w:pPr>
            <w:r>
              <w:rPr>
                <w:rFonts w:ascii="Arial" w:cs="Arial" w:eastAsia="Arial" w:hAnsi="Arial"/>
                <w:sz w:val="18"/>
                <w:szCs w:val="18"/>
                <w:b w:val="1"/>
                <w:bCs w:val="1"/>
                <w:color w:val="FFFFFF"/>
              </w:rPr>
              <w:t>Last date when</w:t>
            </w:r>
          </w:p>
        </w:tc>
      </w:tr>
      <w:tr>
        <w:trPr>
          <w:trHeight w:val="234"/>
        </w:trPr>
        <w:tc>
          <w:tcPr>
            <w:tcW w:w="1680" w:type="dxa"/>
            <w:vAlign w:val="bottom"/>
            <w:shd w:val="clear" w:color="auto" w:fill="E2173D"/>
          </w:tcPr>
          <w:p>
            <w:pPr>
              <w:spacing w:after="0"/>
              <w:rPr>
                <w:sz w:val="20"/>
                <w:szCs w:val="20"/>
                <w:color w:val="auto"/>
              </w:rPr>
            </w:pPr>
          </w:p>
        </w:tc>
        <w:tc>
          <w:tcPr>
            <w:tcW w:w="2460" w:type="dxa"/>
            <w:vAlign w:val="bottom"/>
            <w:shd w:val="clear" w:color="auto" w:fill="E2173D"/>
          </w:tcPr>
          <w:p>
            <w:pPr>
              <w:spacing w:after="0"/>
              <w:rPr>
                <w:sz w:val="20"/>
                <w:szCs w:val="20"/>
                <w:color w:val="auto"/>
              </w:rPr>
            </w:pPr>
          </w:p>
        </w:tc>
        <w:tc>
          <w:tcPr>
            <w:tcW w:w="1660" w:type="dxa"/>
            <w:vAlign w:val="bottom"/>
            <w:shd w:val="clear" w:color="auto" w:fill="E2173D"/>
          </w:tcPr>
          <w:p>
            <w:pPr>
              <w:spacing w:after="0"/>
              <w:rPr>
                <w:sz w:val="20"/>
                <w:szCs w:val="20"/>
                <w:color w:val="auto"/>
              </w:rPr>
            </w:pPr>
          </w:p>
        </w:tc>
        <w:tc>
          <w:tcPr>
            <w:tcW w:w="3040" w:type="dxa"/>
            <w:vAlign w:val="bottom"/>
            <w:shd w:val="clear" w:color="auto" w:fill="E2173D"/>
          </w:tcPr>
          <w:p>
            <w:pPr>
              <w:ind w:left="380"/>
              <w:spacing w:after="0"/>
              <w:rPr>
                <w:sz w:val="20"/>
                <w:szCs w:val="20"/>
                <w:color w:val="auto"/>
              </w:rPr>
            </w:pPr>
            <w:r>
              <w:rPr>
                <w:rFonts w:ascii="Arial" w:cs="Arial" w:eastAsia="Arial" w:hAnsi="Arial"/>
                <w:sz w:val="18"/>
                <w:szCs w:val="18"/>
                <w:b w:val="1"/>
                <w:bCs w:val="1"/>
                <w:color w:val="FFFFFF"/>
              </w:rPr>
              <w:t>rating was first published</w:t>
            </w:r>
          </w:p>
        </w:tc>
        <w:tc>
          <w:tcPr>
            <w:tcW w:w="2400" w:type="dxa"/>
            <w:vAlign w:val="bottom"/>
            <w:shd w:val="clear" w:color="auto" w:fill="E2173D"/>
          </w:tcPr>
          <w:p>
            <w:pPr>
              <w:spacing w:after="0"/>
              <w:rPr>
                <w:sz w:val="20"/>
                <w:szCs w:val="20"/>
                <w:color w:val="auto"/>
              </w:rPr>
            </w:pPr>
            <w:r>
              <w:rPr>
                <w:rFonts w:ascii="Arial" w:cs="Arial" w:eastAsia="Arial" w:hAnsi="Arial"/>
                <w:sz w:val="18"/>
                <w:szCs w:val="18"/>
                <w:b w:val="1"/>
                <w:bCs w:val="1"/>
                <w:color w:val="FFFFFF"/>
              </w:rPr>
              <w:t>the rating was updated</w:t>
            </w:r>
          </w:p>
        </w:tc>
      </w:tr>
      <w:tr>
        <w:trPr>
          <w:trHeight w:val="216"/>
        </w:trPr>
        <w:tc>
          <w:tcPr>
            <w:tcW w:w="4140" w:type="dxa"/>
            <w:vAlign w:val="bottom"/>
            <w:gridSpan w:val="2"/>
            <w:shd w:val="clear" w:color="auto" w:fill="E6E6E6"/>
          </w:tcPr>
          <w:p>
            <w:pPr>
              <w:spacing w:after="0"/>
              <w:rPr>
                <w:sz w:val="20"/>
                <w:szCs w:val="20"/>
                <w:color w:val="auto"/>
              </w:rPr>
            </w:pPr>
            <w:r>
              <w:rPr>
                <w:rFonts w:ascii="Arial" w:cs="Arial" w:eastAsia="Arial" w:hAnsi="Arial"/>
                <w:sz w:val="18"/>
                <w:szCs w:val="18"/>
                <w:b w:val="1"/>
                <w:bCs w:val="1"/>
                <w:color w:val="auto"/>
              </w:rPr>
              <w:t>Issuer rating(s)</w:t>
            </w:r>
          </w:p>
        </w:tc>
        <w:tc>
          <w:tcPr>
            <w:tcW w:w="1660" w:type="dxa"/>
            <w:vAlign w:val="bottom"/>
            <w:shd w:val="clear" w:color="auto" w:fill="E6E6E6"/>
          </w:tcPr>
          <w:p>
            <w:pPr>
              <w:spacing w:after="0"/>
              <w:rPr>
                <w:sz w:val="18"/>
                <w:szCs w:val="18"/>
                <w:color w:val="auto"/>
              </w:rPr>
            </w:pPr>
          </w:p>
        </w:tc>
        <w:tc>
          <w:tcPr>
            <w:tcW w:w="3040" w:type="dxa"/>
            <w:vAlign w:val="bottom"/>
            <w:shd w:val="clear" w:color="auto" w:fill="E6E6E6"/>
          </w:tcPr>
          <w:p>
            <w:pPr>
              <w:spacing w:after="0"/>
              <w:rPr>
                <w:sz w:val="18"/>
                <w:szCs w:val="18"/>
                <w:color w:val="auto"/>
              </w:rPr>
            </w:pPr>
          </w:p>
        </w:tc>
        <w:tc>
          <w:tcPr>
            <w:tcW w:w="2400" w:type="dxa"/>
            <w:vAlign w:val="bottom"/>
            <w:shd w:val="clear" w:color="auto" w:fill="E6E6E6"/>
          </w:tcPr>
          <w:p>
            <w:pPr>
              <w:spacing w:after="0"/>
              <w:rPr>
                <w:sz w:val="18"/>
                <w:szCs w:val="18"/>
                <w:color w:val="auto"/>
              </w:rPr>
            </w:pPr>
          </w:p>
        </w:tc>
      </w:tr>
      <w:tr>
        <w:trPr>
          <w:trHeight w:val="216"/>
        </w:trPr>
        <w:tc>
          <w:tcPr>
            <w:tcW w:w="414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Long term</w:t>
            </w:r>
          </w:p>
        </w:tc>
        <w:tc>
          <w:tcPr>
            <w:tcW w:w="1660" w:type="dxa"/>
            <w:vAlign w:val="bottom"/>
            <w:shd w:val="clear" w:color="auto" w:fill="E6E6E6"/>
          </w:tcPr>
          <w:p>
            <w:pPr>
              <w:spacing w:after="0"/>
              <w:rPr>
                <w:sz w:val="20"/>
                <w:szCs w:val="20"/>
                <w:color w:val="auto"/>
              </w:rPr>
            </w:pPr>
            <w:r>
              <w:rPr>
                <w:rFonts w:ascii="Arial" w:cs="Arial" w:eastAsia="Arial" w:hAnsi="Arial"/>
                <w:sz w:val="18"/>
                <w:szCs w:val="18"/>
                <w:color w:val="auto"/>
              </w:rPr>
              <w:t>ilAA/Stable</w:t>
            </w:r>
          </w:p>
        </w:tc>
        <w:tc>
          <w:tcPr>
            <w:tcW w:w="3040" w:type="dxa"/>
            <w:vAlign w:val="bottom"/>
            <w:shd w:val="clear" w:color="auto" w:fill="E6E6E6"/>
          </w:tcPr>
          <w:p>
            <w:pPr>
              <w:ind w:left="380"/>
              <w:spacing w:after="0"/>
              <w:rPr>
                <w:sz w:val="20"/>
                <w:szCs w:val="20"/>
                <w:color w:val="auto"/>
              </w:rPr>
            </w:pPr>
            <w:r>
              <w:rPr>
                <w:rFonts w:ascii="Arial" w:cs="Arial" w:eastAsia="Arial" w:hAnsi="Arial"/>
                <w:sz w:val="18"/>
                <w:szCs w:val="18"/>
                <w:color w:val="auto"/>
              </w:rPr>
              <w:t>09/05/2016</w:t>
            </w:r>
          </w:p>
        </w:tc>
        <w:tc>
          <w:tcPr>
            <w:tcW w:w="2400" w:type="dxa"/>
            <w:vAlign w:val="bottom"/>
            <w:shd w:val="clear" w:color="auto" w:fill="E6E6E6"/>
          </w:tcPr>
          <w:p>
            <w:pPr>
              <w:spacing w:after="0"/>
              <w:rPr>
                <w:sz w:val="20"/>
                <w:szCs w:val="20"/>
                <w:color w:val="auto"/>
              </w:rPr>
            </w:pPr>
            <w:r>
              <w:rPr>
                <w:rFonts w:ascii="Arial" w:cs="Arial" w:eastAsia="Arial" w:hAnsi="Arial"/>
                <w:sz w:val="18"/>
                <w:szCs w:val="18"/>
                <w:color w:val="auto"/>
              </w:rPr>
              <w:t>03/05/2021</w:t>
            </w:r>
          </w:p>
        </w:tc>
      </w:tr>
      <w:tr>
        <w:trPr>
          <w:trHeight w:val="418"/>
        </w:trPr>
        <w:tc>
          <w:tcPr>
            <w:tcW w:w="4140" w:type="dxa"/>
            <w:vAlign w:val="bottom"/>
            <w:gridSpan w:val="2"/>
            <w:shd w:val="clear" w:color="auto" w:fill="E6E6E6"/>
          </w:tcPr>
          <w:p>
            <w:pPr>
              <w:spacing w:after="0"/>
              <w:rPr>
                <w:sz w:val="20"/>
                <w:szCs w:val="20"/>
                <w:color w:val="auto"/>
              </w:rPr>
            </w:pPr>
            <w:r>
              <w:rPr>
                <w:rFonts w:ascii="Arial" w:cs="Arial" w:eastAsia="Arial" w:hAnsi="Arial"/>
                <w:sz w:val="18"/>
                <w:szCs w:val="18"/>
                <w:b w:val="1"/>
                <w:bCs w:val="1"/>
                <w:color w:val="auto"/>
              </w:rPr>
              <w:t>Issue rating(s)</w:t>
            </w:r>
          </w:p>
        </w:tc>
        <w:tc>
          <w:tcPr>
            <w:tcW w:w="1660" w:type="dxa"/>
            <w:vAlign w:val="bottom"/>
            <w:shd w:val="clear" w:color="auto" w:fill="E6E6E6"/>
          </w:tcPr>
          <w:p>
            <w:pPr>
              <w:spacing w:after="0"/>
              <w:rPr>
                <w:sz w:val="24"/>
                <w:szCs w:val="24"/>
                <w:color w:val="auto"/>
              </w:rPr>
            </w:pPr>
          </w:p>
        </w:tc>
        <w:tc>
          <w:tcPr>
            <w:tcW w:w="3040" w:type="dxa"/>
            <w:vAlign w:val="bottom"/>
            <w:shd w:val="clear" w:color="auto" w:fill="E6E6E6"/>
          </w:tcPr>
          <w:p>
            <w:pPr>
              <w:spacing w:after="0"/>
              <w:rPr>
                <w:sz w:val="24"/>
                <w:szCs w:val="24"/>
                <w:color w:val="auto"/>
              </w:rPr>
            </w:pPr>
          </w:p>
        </w:tc>
        <w:tc>
          <w:tcPr>
            <w:tcW w:w="2400" w:type="dxa"/>
            <w:vAlign w:val="bottom"/>
            <w:shd w:val="clear" w:color="auto" w:fill="E6E6E6"/>
          </w:tcPr>
          <w:p>
            <w:pPr>
              <w:spacing w:after="0"/>
              <w:rPr>
                <w:sz w:val="24"/>
                <w:szCs w:val="24"/>
                <w:color w:val="auto"/>
              </w:rPr>
            </w:pPr>
          </w:p>
        </w:tc>
      </w:tr>
      <w:tr>
        <w:trPr>
          <w:trHeight w:val="190"/>
        </w:trPr>
        <w:tc>
          <w:tcPr>
            <w:tcW w:w="4140" w:type="dxa"/>
            <w:vAlign w:val="bottom"/>
            <w:gridSpan w:val="2"/>
            <w:shd w:val="clear" w:color="auto" w:fill="E6E6E6"/>
          </w:tcPr>
          <w:p>
            <w:pPr>
              <w:spacing w:after="0" w:line="190" w:lineRule="exact"/>
              <w:rPr>
                <w:sz w:val="20"/>
                <w:szCs w:val="20"/>
                <w:color w:val="auto"/>
              </w:rPr>
            </w:pPr>
            <w:r>
              <w:rPr>
                <w:rFonts w:ascii="Arial" w:cs="Arial" w:eastAsia="Arial" w:hAnsi="Arial"/>
                <w:sz w:val="18"/>
                <w:szCs w:val="18"/>
                <w:color w:val="auto"/>
              </w:rPr>
              <w:t>Senior Unsecured Debt</w:t>
            </w:r>
          </w:p>
        </w:tc>
        <w:tc>
          <w:tcPr>
            <w:tcW w:w="1660" w:type="dxa"/>
            <w:vAlign w:val="bottom"/>
            <w:shd w:val="clear" w:color="auto" w:fill="E6E6E6"/>
          </w:tcPr>
          <w:p>
            <w:pPr>
              <w:spacing w:after="0"/>
              <w:rPr>
                <w:sz w:val="16"/>
                <w:szCs w:val="16"/>
                <w:color w:val="auto"/>
              </w:rPr>
            </w:pPr>
          </w:p>
        </w:tc>
        <w:tc>
          <w:tcPr>
            <w:tcW w:w="3040" w:type="dxa"/>
            <w:vAlign w:val="bottom"/>
            <w:shd w:val="clear" w:color="auto" w:fill="E6E6E6"/>
          </w:tcPr>
          <w:p>
            <w:pPr>
              <w:spacing w:after="0"/>
              <w:rPr>
                <w:sz w:val="16"/>
                <w:szCs w:val="16"/>
                <w:color w:val="auto"/>
              </w:rPr>
            </w:pPr>
          </w:p>
        </w:tc>
        <w:tc>
          <w:tcPr>
            <w:tcW w:w="2400" w:type="dxa"/>
            <w:vAlign w:val="bottom"/>
            <w:shd w:val="clear" w:color="auto" w:fill="E6E6E6"/>
          </w:tcPr>
          <w:p>
            <w:pPr>
              <w:spacing w:after="0"/>
              <w:rPr>
                <w:sz w:val="16"/>
                <w:szCs w:val="16"/>
                <w:color w:val="auto"/>
              </w:rPr>
            </w:pPr>
          </w:p>
        </w:tc>
      </w:tr>
      <w:tr>
        <w:trPr>
          <w:trHeight w:val="237"/>
        </w:trPr>
        <w:tc>
          <w:tcPr>
            <w:tcW w:w="1680" w:type="dxa"/>
            <w:vAlign w:val="bottom"/>
            <w:tcBorders>
              <w:top w:val="single" w:sz="8" w:color="auto"/>
            </w:tcBorders>
            <w:shd w:val="clear" w:color="auto" w:fill="E6E6E6"/>
          </w:tcPr>
          <w:p>
            <w:pPr>
              <w:spacing w:after="0"/>
              <w:rPr>
                <w:sz w:val="20"/>
                <w:szCs w:val="20"/>
                <w:color w:val="auto"/>
              </w:rPr>
            </w:pPr>
            <w:r>
              <w:rPr>
                <w:rFonts w:ascii="Arial" w:cs="Arial" w:eastAsia="Arial" w:hAnsi="Arial"/>
                <w:sz w:val="18"/>
                <w:szCs w:val="18"/>
                <w:color w:val="auto"/>
              </w:rPr>
              <w:t>Series G</w:t>
            </w:r>
          </w:p>
        </w:tc>
        <w:tc>
          <w:tcPr>
            <w:tcW w:w="2460" w:type="dxa"/>
            <w:vAlign w:val="bottom"/>
            <w:tcBorders>
              <w:top w:val="single" w:sz="8" w:color="E6E6E6"/>
            </w:tcBorders>
            <w:shd w:val="clear" w:color="auto" w:fill="E6E6E6"/>
          </w:tcPr>
          <w:p>
            <w:pPr>
              <w:spacing w:after="0"/>
              <w:rPr>
                <w:sz w:val="20"/>
                <w:szCs w:val="20"/>
                <w:color w:val="auto"/>
              </w:rPr>
            </w:pPr>
          </w:p>
        </w:tc>
        <w:tc>
          <w:tcPr>
            <w:tcW w:w="1660" w:type="dxa"/>
            <w:vAlign w:val="bottom"/>
            <w:tcBorders>
              <w:top w:val="single" w:sz="8" w:color="E6E6E6"/>
            </w:tcBorders>
            <w:shd w:val="clear" w:color="auto" w:fill="E6E6E6"/>
          </w:tcPr>
          <w:p>
            <w:pPr>
              <w:spacing w:after="0"/>
              <w:rPr>
                <w:sz w:val="20"/>
                <w:szCs w:val="20"/>
                <w:color w:val="auto"/>
              </w:rPr>
            </w:pPr>
            <w:r>
              <w:rPr>
                <w:rFonts w:ascii="Arial" w:cs="Arial" w:eastAsia="Arial" w:hAnsi="Arial"/>
                <w:sz w:val="18"/>
                <w:szCs w:val="18"/>
                <w:color w:val="auto"/>
              </w:rPr>
              <w:t>ilAA</w:t>
            </w:r>
          </w:p>
        </w:tc>
        <w:tc>
          <w:tcPr>
            <w:tcW w:w="3040" w:type="dxa"/>
            <w:vAlign w:val="bottom"/>
            <w:tcBorders>
              <w:top w:val="single" w:sz="8" w:color="E6E6E6"/>
            </w:tcBorders>
            <w:shd w:val="clear" w:color="auto" w:fill="E6E6E6"/>
          </w:tcPr>
          <w:p>
            <w:pPr>
              <w:ind w:left="380"/>
              <w:spacing w:after="0"/>
              <w:rPr>
                <w:sz w:val="20"/>
                <w:szCs w:val="20"/>
                <w:color w:val="auto"/>
              </w:rPr>
            </w:pPr>
            <w:r>
              <w:rPr>
                <w:rFonts w:ascii="Arial" w:cs="Arial" w:eastAsia="Arial" w:hAnsi="Arial"/>
                <w:sz w:val="18"/>
                <w:szCs w:val="18"/>
                <w:color w:val="auto"/>
              </w:rPr>
              <w:t>31/05/2016</w:t>
            </w:r>
          </w:p>
        </w:tc>
        <w:tc>
          <w:tcPr>
            <w:tcW w:w="2400" w:type="dxa"/>
            <w:vAlign w:val="bottom"/>
            <w:tcBorders>
              <w:top w:val="single" w:sz="8" w:color="E6E6E6"/>
            </w:tcBorders>
            <w:shd w:val="clear" w:color="auto" w:fill="E6E6E6"/>
          </w:tcPr>
          <w:p>
            <w:pPr>
              <w:spacing w:after="0"/>
              <w:rPr>
                <w:sz w:val="20"/>
                <w:szCs w:val="20"/>
                <w:color w:val="auto"/>
              </w:rPr>
            </w:pPr>
            <w:r>
              <w:rPr>
                <w:rFonts w:ascii="Arial" w:cs="Arial" w:eastAsia="Arial" w:hAnsi="Arial"/>
                <w:sz w:val="18"/>
                <w:szCs w:val="18"/>
                <w:color w:val="auto"/>
              </w:rPr>
              <w:t>03/05/2021</w:t>
            </w:r>
          </w:p>
        </w:tc>
      </w:tr>
      <w:tr>
        <w:trPr>
          <w:trHeight w:val="418"/>
        </w:trPr>
        <w:tc>
          <w:tcPr>
            <w:tcW w:w="4140" w:type="dxa"/>
            <w:vAlign w:val="bottom"/>
            <w:gridSpan w:val="2"/>
            <w:shd w:val="clear" w:color="auto" w:fill="E6E6E6"/>
          </w:tcPr>
          <w:p>
            <w:pPr>
              <w:spacing w:after="0"/>
              <w:rPr>
                <w:sz w:val="20"/>
                <w:szCs w:val="20"/>
                <w:color w:val="auto"/>
              </w:rPr>
            </w:pPr>
            <w:r>
              <w:rPr>
                <w:rFonts w:ascii="Arial" w:cs="Arial" w:eastAsia="Arial" w:hAnsi="Arial"/>
                <w:sz w:val="18"/>
                <w:szCs w:val="18"/>
                <w:b w:val="1"/>
                <w:bCs w:val="1"/>
                <w:color w:val="auto"/>
              </w:rPr>
              <w:t>Issuer Credit Rating history</w:t>
            </w:r>
          </w:p>
        </w:tc>
        <w:tc>
          <w:tcPr>
            <w:tcW w:w="1660" w:type="dxa"/>
            <w:vAlign w:val="bottom"/>
            <w:shd w:val="clear" w:color="auto" w:fill="E6E6E6"/>
          </w:tcPr>
          <w:p>
            <w:pPr>
              <w:spacing w:after="0"/>
              <w:rPr>
                <w:sz w:val="24"/>
                <w:szCs w:val="24"/>
                <w:color w:val="auto"/>
              </w:rPr>
            </w:pPr>
          </w:p>
        </w:tc>
        <w:tc>
          <w:tcPr>
            <w:tcW w:w="3040" w:type="dxa"/>
            <w:vAlign w:val="bottom"/>
            <w:shd w:val="clear" w:color="auto" w:fill="E6E6E6"/>
          </w:tcPr>
          <w:p>
            <w:pPr>
              <w:spacing w:after="0"/>
              <w:rPr>
                <w:sz w:val="24"/>
                <w:szCs w:val="24"/>
                <w:color w:val="auto"/>
              </w:rPr>
            </w:pPr>
          </w:p>
        </w:tc>
        <w:tc>
          <w:tcPr>
            <w:tcW w:w="2400" w:type="dxa"/>
            <w:vAlign w:val="bottom"/>
            <w:shd w:val="clear" w:color="auto" w:fill="E6E6E6"/>
          </w:tcPr>
          <w:p>
            <w:pPr>
              <w:spacing w:after="0"/>
              <w:rPr>
                <w:sz w:val="24"/>
                <w:szCs w:val="24"/>
                <w:color w:val="auto"/>
              </w:rPr>
            </w:pPr>
          </w:p>
        </w:tc>
      </w:tr>
      <w:tr>
        <w:trPr>
          <w:trHeight w:val="216"/>
        </w:trPr>
        <w:tc>
          <w:tcPr>
            <w:tcW w:w="414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Long term</w:t>
            </w:r>
          </w:p>
        </w:tc>
        <w:tc>
          <w:tcPr>
            <w:tcW w:w="1660" w:type="dxa"/>
            <w:vAlign w:val="bottom"/>
            <w:shd w:val="clear" w:color="auto" w:fill="E6E6E6"/>
          </w:tcPr>
          <w:p>
            <w:pPr>
              <w:spacing w:after="0"/>
              <w:rPr>
                <w:sz w:val="18"/>
                <w:szCs w:val="18"/>
                <w:color w:val="auto"/>
              </w:rPr>
            </w:pPr>
          </w:p>
        </w:tc>
        <w:tc>
          <w:tcPr>
            <w:tcW w:w="3040" w:type="dxa"/>
            <w:vAlign w:val="bottom"/>
            <w:shd w:val="clear" w:color="auto" w:fill="E6E6E6"/>
          </w:tcPr>
          <w:p>
            <w:pPr>
              <w:spacing w:after="0"/>
              <w:rPr>
                <w:sz w:val="18"/>
                <w:szCs w:val="18"/>
                <w:color w:val="auto"/>
              </w:rPr>
            </w:pPr>
          </w:p>
        </w:tc>
        <w:tc>
          <w:tcPr>
            <w:tcW w:w="2400" w:type="dxa"/>
            <w:vAlign w:val="bottom"/>
            <w:shd w:val="clear" w:color="auto" w:fill="E6E6E6"/>
          </w:tcPr>
          <w:p>
            <w:pPr>
              <w:spacing w:after="0"/>
              <w:rPr>
                <w:sz w:val="18"/>
                <w:szCs w:val="18"/>
                <w:color w:val="auto"/>
              </w:rPr>
            </w:pPr>
          </w:p>
        </w:tc>
      </w:tr>
      <w:tr>
        <w:trPr>
          <w:trHeight w:val="216"/>
        </w:trPr>
        <w:tc>
          <w:tcPr>
            <w:tcW w:w="414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May 03, 2022</w:t>
            </w:r>
          </w:p>
        </w:tc>
        <w:tc>
          <w:tcPr>
            <w:tcW w:w="1660" w:type="dxa"/>
            <w:vAlign w:val="bottom"/>
            <w:shd w:val="clear" w:color="auto" w:fill="E6E6E6"/>
          </w:tcPr>
          <w:p>
            <w:pPr>
              <w:spacing w:after="0"/>
              <w:rPr>
                <w:sz w:val="20"/>
                <w:szCs w:val="20"/>
                <w:color w:val="auto"/>
              </w:rPr>
            </w:pPr>
            <w:r>
              <w:rPr>
                <w:rFonts w:ascii="Arial" w:cs="Arial" w:eastAsia="Arial" w:hAnsi="Arial"/>
                <w:sz w:val="18"/>
                <w:szCs w:val="18"/>
                <w:color w:val="auto"/>
              </w:rPr>
              <w:t>ilAA/Stable</w:t>
            </w:r>
          </w:p>
        </w:tc>
        <w:tc>
          <w:tcPr>
            <w:tcW w:w="3040" w:type="dxa"/>
            <w:vAlign w:val="bottom"/>
            <w:shd w:val="clear" w:color="auto" w:fill="E6E6E6"/>
          </w:tcPr>
          <w:p>
            <w:pPr>
              <w:spacing w:after="0"/>
              <w:rPr>
                <w:sz w:val="18"/>
                <w:szCs w:val="18"/>
                <w:color w:val="auto"/>
              </w:rPr>
            </w:pPr>
          </w:p>
        </w:tc>
        <w:tc>
          <w:tcPr>
            <w:tcW w:w="2400" w:type="dxa"/>
            <w:vAlign w:val="bottom"/>
            <w:shd w:val="clear" w:color="auto" w:fill="E6E6E6"/>
          </w:tcPr>
          <w:p>
            <w:pPr>
              <w:spacing w:after="0"/>
              <w:rPr>
                <w:sz w:val="18"/>
                <w:szCs w:val="18"/>
                <w:color w:val="auto"/>
              </w:rPr>
            </w:pPr>
          </w:p>
        </w:tc>
      </w:tr>
      <w:tr>
        <w:trPr>
          <w:trHeight w:val="216"/>
        </w:trPr>
        <w:tc>
          <w:tcPr>
            <w:tcW w:w="414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April 30, 2018</w:t>
            </w:r>
          </w:p>
        </w:tc>
        <w:tc>
          <w:tcPr>
            <w:tcW w:w="1660" w:type="dxa"/>
            <w:vAlign w:val="bottom"/>
            <w:shd w:val="clear" w:color="auto" w:fill="E6E6E6"/>
          </w:tcPr>
          <w:p>
            <w:pPr>
              <w:spacing w:after="0"/>
              <w:rPr>
                <w:sz w:val="20"/>
                <w:szCs w:val="20"/>
                <w:color w:val="auto"/>
              </w:rPr>
            </w:pPr>
            <w:r>
              <w:rPr>
                <w:rFonts w:ascii="Arial" w:cs="Arial" w:eastAsia="Arial" w:hAnsi="Arial"/>
                <w:sz w:val="18"/>
                <w:szCs w:val="18"/>
                <w:color w:val="auto"/>
              </w:rPr>
              <w:t>ilAA-/Stable</w:t>
            </w:r>
          </w:p>
        </w:tc>
        <w:tc>
          <w:tcPr>
            <w:tcW w:w="3040" w:type="dxa"/>
            <w:vAlign w:val="bottom"/>
            <w:shd w:val="clear" w:color="auto" w:fill="E6E6E6"/>
          </w:tcPr>
          <w:p>
            <w:pPr>
              <w:spacing w:after="0"/>
              <w:rPr>
                <w:sz w:val="18"/>
                <w:szCs w:val="18"/>
                <w:color w:val="auto"/>
              </w:rPr>
            </w:pPr>
          </w:p>
        </w:tc>
        <w:tc>
          <w:tcPr>
            <w:tcW w:w="2400" w:type="dxa"/>
            <w:vAlign w:val="bottom"/>
            <w:shd w:val="clear" w:color="auto" w:fill="E6E6E6"/>
          </w:tcPr>
          <w:p>
            <w:pPr>
              <w:spacing w:after="0"/>
              <w:rPr>
                <w:sz w:val="18"/>
                <w:szCs w:val="18"/>
                <w:color w:val="auto"/>
              </w:rPr>
            </w:pPr>
          </w:p>
        </w:tc>
      </w:tr>
      <w:tr>
        <w:trPr>
          <w:trHeight w:val="216"/>
        </w:trPr>
        <w:tc>
          <w:tcPr>
            <w:tcW w:w="414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May 10 ,2017</w:t>
            </w:r>
          </w:p>
        </w:tc>
        <w:tc>
          <w:tcPr>
            <w:tcW w:w="1660" w:type="dxa"/>
            <w:vAlign w:val="bottom"/>
            <w:shd w:val="clear" w:color="auto" w:fill="E6E6E6"/>
          </w:tcPr>
          <w:p>
            <w:pPr>
              <w:spacing w:after="0"/>
              <w:rPr>
                <w:sz w:val="20"/>
                <w:szCs w:val="20"/>
                <w:color w:val="auto"/>
              </w:rPr>
            </w:pPr>
            <w:r>
              <w:rPr>
                <w:rFonts w:ascii="Arial" w:cs="Arial" w:eastAsia="Arial" w:hAnsi="Arial"/>
                <w:sz w:val="18"/>
                <w:szCs w:val="18"/>
                <w:color w:val="auto"/>
              </w:rPr>
              <w:t>ilA+/Stable</w:t>
            </w:r>
          </w:p>
        </w:tc>
        <w:tc>
          <w:tcPr>
            <w:tcW w:w="3040" w:type="dxa"/>
            <w:vAlign w:val="bottom"/>
            <w:shd w:val="clear" w:color="auto" w:fill="E6E6E6"/>
          </w:tcPr>
          <w:p>
            <w:pPr>
              <w:spacing w:after="0"/>
              <w:rPr>
                <w:sz w:val="18"/>
                <w:szCs w:val="18"/>
                <w:color w:val="auto"/>
              </w:rPr>
            </w:pPr>
          </w:p>
        </w:tc>
        <w:tc>
          <w:tcPr>
            <w:tcW w:w="2400" w:type="dxa"/>
            <w:vAlign w:val="bottom"/>
            <w:shd w:val="clear" w:color="auto" w:fill="E6E6E6"/>
          </w:tcPr>
          <w:p>
            <w:pPr>
              <w:spacing w:after="0"/>
              <w:rPr>
                <w:sz w:val="18"/>
                <w:szCs w:val="18"/>
                <w:color w:val="auto"/>
              </w:rPr>
            </w:pPr>
          </w:p>
        </w:tc>
      </w:tr>
      <w:tr>
        <w:trPr>
          <w:trHeight w:val="230"/>
        </w:trPr>
        <w:tc>
          <w:tcPr>
            <w:tcW w:w="414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May 09 ,2016</w:t>
            </w:r>
          </w:p>
        </w:tc>
        <w:tc>
          <w:tcPr>
            <w:tcW w:w="1660" w:type="dxa"/>
            <w:vAlign w:val="bottom"/>
            <w:shd w:val="clear" w:color="auto" w:fill="E6E6E6"/>
          </w:tcPr>
          <w:p>
            <w:pPr>
              <w:spacing w:after="0"/>
              <w:rPr>
                <w:sz w:val="20"/>
                <w:szCs w:val="20"/>
                <w:color w:val="auto"/>
              </w:rPr>
            </w:pPr>
            <w:r>
              <w:rPr>
                <w:rFonts w:ascii="Arial" w:cs="Arial" w:eastAsia="Arial" w:hAnsi="Arial"/>
                <w:sz w:val="18"/>
                <w:szCs w:val="18"/>
                <w:color w:val="auto"/>
              </w:rPr>
              <w:t>ilA/Stable</w:t>
            </w:r>
          </w:p>
        </w:tc>
        <w:tc>
          <w:tcPr>
            <w:tcW w:w="3040" w:type="dxa"/>
            <w:vAlign w:val="bottom"/>
            <w:shd w:val="clear" w:color="auto" w:fill="E6E6E6"/>
          </w:tcPr>
          <w:p>
            <w:pPr>
              <w:spacing w:after="0"/>
              <w:rPr>
                <w:sz w:val="20"/>
                <w:szCs w:val="20"/>
                <w:color w:val="auto"/>
              </w:rPr>
            </w:pPr>
          </w:p>
        </w:tc>
        <w:tc>
          <w:tcPr>
            <w:tcW w:w="2400" w:type="dxa"/>
            <w:vAlign w:val="bottom"/>
            <w:shd w:val="clear" w:color="auto" w:fill="E6E6E6"/>
          </w:tcPr>
          <w:p>
            <w:pPr>
              <w:spacing w:after="0"/>
              <w:rPr>
                <w:sz w:val="20"/>
                <w:szCs w:val="20"/>
                <w:color w:val="auto"/>
              </w:rPr>
            </w:pPr>
          </w:p>
        </w:tc>
      </w:tr>
      <w:tr>
        <w:trPr>
          <w:trHeight w:val="418"/>
        </w:trPr>
        <w:tc>
          <w:tcPr>
            <w:tcW w:w="4140" w:type="dxa"/>
            <w:vAlign w:val="bottom"/>
            <w:gridSpan w:val="2"/>
            <w:shd w:val="clear" w:color="auto" w:fill="E6E6E6"/>
          </w:tcPr>
          <w:p>
            <w:pPr>
              <w:spacing w:after="0"/>
              <w:rPr>
                <w:sz w:val="20"/>
                <w:szCs w:val="20"/>
                <w:color w:val="auto"/>
              </w:rPr>
            </w:pPr>
            <w:r>
              <w:rPr>
                <w:rFonts w:ascii="Arial" w:cs="Arial" w:eastAsia="Arial" w:hAnsi="Arial"/>
                <w:sz w:val="18"/>
                <w:szCs w:val="18"/>
                <w:b w:val="1"/>
                <w:bCs w:val="1"/>
                <w:color w:val="auto"/>
              </w:rPr>
              <w:t>Additional details</w:t>
            </w:r>
          </w:p>
        </w:tc>
        <w:tc>
          <w:tcPr>
            <w:tcW w:w="1660" w:type="dxa"/>
            <w:vAlign w:val="bottom"/>
            <w:shd w:val="clear" w:color="auto" w:fill="E6E6E6"/>
          </w:tcPr>
          <w:p>
            <w:pPr>
              <w:spacing w:after="0"/>
              <w:rPr>
                <w:sz w:val="24"/>
                <w:szCs w:val="24"/>
                <w:color w:val="auto"/>
              </w:rPr>
            </w:pPr>
          </w:p>
        </w:tc>
        <w:tc>
          <w:tcPr>
            <w:tcW w:w="3040" w:type="dxa"/>
            <w:vAlign w:val="bottom"/>
            <w:shd w:val="clear" w:color="auto" w:fill="E6E6E6"/>
          </w:tcPr>
          <w:p>
            <w:pPr>
              <w:spacing w:after="0"/>
              <w:rPr>
                <w:sz w:val="24"/>
                <w:szCs w:val="24"/>
                <w:color w:val="auto"/>
              </w:rPr>
            </w:pPr>
          </w:p>
        </w:tc>
        <w:tc>
          <w:tcPr>
            <w:tcW w:w="2400" w:type="dxa"/>
            <w:vAlign w:val="bottom"/>
            <w:shd w:val="clear" w:color="auto" w:fill="E6E6E6"/>
          </w:tcPr>
          <w:p>
            <w:pPr>
              <w:spacing w:after="0"/>
              <w:rPr>
                <w:sz w:val="24"/>
                <w:szCs w:val="24"/>
                <w:color w:val="auto"/>
              </w:rPr>
            </w:pPr>
          </w:p>
        </w:tc>
      </w:tr>
      <w:tr>
        <w:trPr>
          <w:trHeight w:val="216"/>
        </w:trPr>
        <w:tc>
          <w:tcPr>
            <w:tcW w:w="414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Time of the event</w:t>
            </w:r>
          </w:p>
        </w:tc>
        <w:tc>
          <w:tcPr>
            <w:tcW w:w="1660" w:type="dxa"/>
            <w:vAlign w:val="bottom"/>
            <w:shd w:val="clear" w:color="auto" w:fill="E6E6E6"/>
          </w:tcPr>
          <w:p>
            <w:pPr>
              <w:spacing w:after="0"/>
              <w:rPr>
                <w:sz w:val="20"/>
                <w:szCs w:val="20"/>
                <w:color w:val="auto"/>
              </w:rPr>
            </w:pPr>
            <w:r>
              <w:rPr>
                <w:rFonts w:ascii="Arial" w:cs="Arial" w:eastAsia="Arial" w:hAnsi="Arial"/>
                <w:sz w:val="18"/>
                <w:szCs w:val="18"/>
                <w:color w:val="auto"/>
              </w:rPr>
              <w:t>03/05/2022 09:40</w:t>
            </w:r>
          </w:p>
        </w:tc>
        <w:tc>
          <w:tcPr>
            <w:tcW w:w="3040" w:type="dxa"/>
            <w:vAlign w:val="bottom"/>
            <w:shd w:val="clear" w:color="auto" w:fill="E6E6E6"/>
          </w:tcPr>
          <w:p>
            <w:pPr>
              <w:spacing w:after="0"/>
              <w:rPr>
                <w:sz w:val="18"/>
                <w:szCs w:val="18"/>
                <w:color w:val="auto"/>
              </w:rPr>
            </w:pPr>
          </w:p>
        </w:tc>
        <w:tc>
          <w:tcPr>
            <w:tcW w:w="2400" w:type="dxa"/>
            <w:vAlign w:val="bottom"/>
            <w:shd w:val="clear" w:color="auto" w:fill="E6E6E6"/>
          </w:tcPr>
          <w:p>
            <w:pPr>
              <w:spacing w:after="0"/>
              <w:rPr>
                <w:sz w:val="18"/>
                <w:szCs w:val="18"/>
                <w:color w:val="auto"/>
              </w:rPr>
            </w:pPr>
          </w:p>
        </w:tc>
      </w:tr>
      <w:tr>
        <w:trPr>
          <w:trHeight w:val="216"/>
        </w:trPr>
        <w:tc>
          <w:tcPr>
            <w:tcW w:w="414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Time when the event was learned of</w:t>
            </w:r>
          </w:p>
        </w:tc>
        <w:tc>
          <w:tcPr>
            <w:tcW w:w="1660" w:type="dxa"/>
            <w:vAlign w:val="bottom"/>
            <w:shd w:val="clear" w:color="auto" w:fill="E6E6E6"/>
          </w:tcPr>
          <w:p>
            <w:pPr>
              <w:spacing w:after="0"/>
              <w:rPr>
                <w:sz w:val="20"/>
                <w:szCs w:val="20"/>
                <w:color w:val="auto"/>
              </w:rPr>
            </w:pPr>
            <w:r>
              <w:rPr>
                <w:rFonts w:ascii="Arial" w:cs="Arial" w:eastAsia="Arial" w:hAnsi="Arial"/>
                <w:sz w:val="18"/>
                <w:szCs w:val="18"/>
                <w:color w:val="auto"/>
              </w:rPr>
              <w:t>03/05/2022 09:40</w:t>
            </w:r>
          </w:p>
        </w:tc>
        <w:tc>
          <w:tcPr>
            <w:tcW w:w="3040" w:type="dxa"/>
            <w:vAlign w:val="bottom"/>
            <w:shd w:val="clear" w:color="auto" w:fill="E6E6E6"/>
          </w:tcPr>
          <w:p>
            <w:pPr>
              <w:spacing w:after="0"/>
              <w:rPr>
                <w:sz w:val="18"/>
                <w:szCs w:val="18"/>
                <w:color w:val="auto"/>
              </w:rPr>
            </w:pPr>
          </w:p>
        </w:tc>
        <w:tc>
          <w:tcPr>
            <w:tcW w:w="2400" w:type="dxa"/>
            <w:vAlign w:val="bottom"/>
            <w:shd w:val="clear" w:color="auto" w:fill="E6E6E6"/>
          </w:tcPr>
          <w:p>
            <w:pPr>
              <w:spacing w:after="0"/>
              <w:rPr>
                <w:sz w:val="18"/>
                <w:szCs w:val="18"/>
                <w:color w:val="auto"/>
              </w:rPr>
            </w:pPr>
          </w:p>
        </w:tc>
      </w:tr>
      <w:tr>
        <w:trPr>
          <w:trHeight w:val="230"/>
        </w:trPr>
        <w:tc>
          <w:tcPr>
            <w:tcW w:w="4140" w:type="dxa"/>
            <w:vAlign w:val="bottom"/>
            <w:gridSpan w:val="2"/>
            <w:shd w:val="clear" w:color="auto" w:fill="E6E6E6"/>
          </w:tcPr>
          <w:p>
            <w:pPr>
              <w:spacing w:after="0"/>
              <w:rPr>
                <w:sz w:val="20"/>
                <w:szCs w:val="20"/>
                <w:color w:val="auto"/>
              </w:rPr>
            </w:pPr>
            <w:r>
              <w:rPr>
                <w:rFonts w:ascii="Arial" w:cs="Arial" w:eastAsia="Arial" w:hAnsi="Arial"/>
                <w:sz w:val="18"/>
                <w:szCs w:val="18"/>
                <w:color w:val="auto"/>
              </w:rPr>
              <w:t>Rating requested by</w:t>
            </w:r>
          </w:p>
        </w:tc>
        <w:tc>
          <w:tcPr>
            <w:tcW w:w="1660" w:type="dxa"/>
            <w:vAlign w:val="bottom"/>
            <w:shd w:val="clear" w:color="auto" w:fill="E6E6E6"/>
          </w:tcPr>
          <w:p>
            <w:pPr>
              <w:spacing w:after="0"/>
              <w:rPr>
                <w:sz w:val="20"/>
                <w:szCs w:val="20"/>
                <w:color w:val="auto"/>
              </w:rPr>
            </w:pPr>
            <w:r>
              <w:rPr>
                <w:rFonts w:ascii="Arial" w:cs="Arial" w:eastAsia="Arial" w:hAnsi="Arial"/>
                <w:sz w:val="18"/>
                <w:szCs w:val="18"/>
                <w:color w:val="auto"/>
              </w:rPr>
              <w:t>Issuer</w:t>
            </w:r>
          </w:p>
        </w:tc>
        <w:tc>
          <w:tcPr>
            <w:tcW w:w="3040" w:type="dxa"/>
            <w:vAlign w:val="bottom"/>
            <w:shd w:val="clear" w:color="auto" w:fill="E6E6E6"/>
          </w:tcPr>
          <w:p>
            <w:pPr>
              <w:spacing w:after="0"/>
              <w:rPr>
                <w:sz w:val="20"/>
                <w:szCs w:val="20"/>
                <w:color w:val="auto"/>
              </w:rPr>
            </w:pPr>
          </w:p>
        </w:tc>
        <w:tc>
          <w:tcPr>
            <w:tcW w:w="2400" w:type="dxa"/>
            <w:vAlign w:val="bottom"/>
            <w:shd w:val="clear" w:color="auto" w:fill="E6E6E6"/>
          </w:tcPr>
          <w:p>
            <w:pPr>
              <w:spacing w:after="0"/>
              <w:rPr>
                <w:sz w:val="20"/>
                <w:szCs w:val="20"/>
                <w:color w:val="auto"/>
              </w:rPr>
            </w:pPr>
          </w:p>
        </w:tc>
      </w:tr>
      <w:tr>
        <w:trPr>
          <w:trHeight w:val="486"/>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6 | May 3, 2022</w:t>
            </w:r>
          </w:p>
        </w:tc>
        <w:tc>
          <w:tcPr>
            <w:tcW w:w="16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400" w:type="dxa"/>
            <w:vAlign w:val="bottom"/>
          </w:tcPr>
          <w:p>
            <w:pPr>
              <w:ind w:left="1080"/>
              <w:spacing w:after="0"/>
              <w:rPr>
                <w:sz w:val="20"/>
                <w:szCs w:val="20"/>
                <w:color w:val="auto"/>
              </w:rPr>
            </w:pPr>
            <w:r>
              <w:rPr>
                <w:rFonts w:ascii="Arial" w:cs="Arial" w:eastAsia="Arial" w:hAnsi="Arial"/>
                <w:sz w:val="18"/>
                <w:szCs w:val="18"/>
                <w:b w:val="1"/>
                <w:bCs w:val="1"/>
                <w:color w:val="auto"/>
                <w:w w:val="88"/>
              </w:rPr>
              <w:t>www.maalot.co.il</w:t>
            </w:r>
          </w:p>
        </w:tc>
      </w:tr>
      <w:tr>
        <w:trPr>
          <w:trHeight w:val="182"/>
        </w:trPr>
        <w:tc>
          <w:tcPr>
            <w:tcW w:w="16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391" w:right="339" w:bottom="1440" w:gutter="0" w:footer="0" w:header="0"/>
        </w:sectPr>
      </w:pPr>
    </w:p>
    <w:bookmarkStart w:id="7" w:name="page8"/>
    <w:bookmarkEnd w:id="7"/>
    <w:p>
      <w:pPr>
        <w:ind w:left="9180"/>
        <w:spacing w:after="0"/>
        <w:rPr>
          <w:sz w:val="20"/>
          <w:szCs w:val="20"/>
          <w:color w:val="auto"/>
        </w:rPr>
      </w:pPr>
      <w:r>
        <w:rPr>
          <w:rFonts w:ascii="Arial" w:cs="Arial" w:eastAsia="Arial" w:hAnsi="Arial"/>
          <w:sz w:val="16"/>
          <w:szCs w:val="16"/>
          <w:b w:val="1"/>
          <w:bCs w:val="1"/>
          <w:color w:val="auto"/>
        </w:rPr>
        <w:t>Tower Semiconductor Ltd.</w:t>
      </w:r>
    </w:p>
    <w:p>
      <w:pPr>
        <w:spacing w:after="0" w:line="312" w:lineRule="exact"/>
        <w:rPr>
          <w:sz w:val="20"/>
          <w:szCs w:val="20"/>
          <w:color w:val="auto"/>
        </w:rPr>
      </w:pPr>
    </w:p>
    <w:p>
      <w:pPr>
        <w:ind w:right="760"/>
        <w:spacing w:after="0" w:line="266" w:lineRule="auto"/>
        <w:rPr>
          <w:sz w:val="20"/>
          <w:szCs w:val="20"/>
          <w:color w:val="auto"/>
        </w:rPr>
      </w:pPr>
      <w:r>
        <w:rPr>
          <w:rFonts w:ascii="Arial" w:cs="Arial" w:eastAsia="Arial" w:hAnsi="Arial"/>
          <w:sz w:val="22"/>
          <w:szCs w:val="22"/>
          <w:color w:val="auto"/>
        </w:rPr>
        <w:t xml:space="preserve">S&amp;P Maalot is the commercial name of S&amp;P Global Ratings Maalot Ltd. For a list of the most up-to- date ratings and for additional information regarding S&amp;P Maalot’s surveillance policy, see S&amp;P Global Ratings Maalot Ltd. website at </w:t>
      </w:r>
      <w:r>
        <w:rPr>
          <w:rFonts w:ascii="Arial" w:cs="Arial" w:eastAsia="Arial" w:hAnsi="Arial"/>
          <w:sz w:val="22"/>
          <w:szCs w:val="22"/>
          <w:u w:val="single" w:color="auto"/>
          <w:color w:val="0000FF"/>
        </w:rPr>
        <w:t>www.maalot.co.il</w:t>
      </w:r>
      <w:r>
        <w:rPr>
          <w:rFonts w:ascii="Arial" w:cs="Arial" w:eastAsia="Arial" w:hAnsi="Arial"/>
          <w:sz w:val="22"/>
          <w:szCs w:val="22"/>
          <w:color w:val="000000"/>
        </w:rPr>
        <w:t>.</w:t>
      </w:r>
    </w:p>
    <w:p>
      <w:pPr>
        <w:spacing w:after="0" w:line="239"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 xml:space="preserve">All rights reserved © No content (including ratings, credit-related analyses and data, valuations, model, software or other application or output therefrom) or any part thereof (collectively, “the Content”) may be modified, reverse engineered, reproduced or distributed in any form by any means, or stored in a database or retrieval system, without the prior written permission of of S&amp;P Global Ratings Maalot Ltd. or its affiliates (collectively, S&amp;P). The Content shall not be used for any unlawful or unauthorized purposes. &amp;P and any third-party providers, as well as their directors, officers, shareholders, employees or agents (collectively, “S&amp;P Parties”) do not guarantee the accuracy, completeness, timeliness or availability of the Content. S&amp;P Parties are not responsible for any errors or omissions (negligent or otherwise), regardless of the cause, for the results obtained from the use of the Content, or for the security or maintenance of any data input by the user. The Content is provided on an "as is" basis. </w:t>
      </w:r>
      <w:r>
        <w:rPr>
          <w:rFonts w:ascii="Arial" w:cs="Arial" w:eastAsia="Arial" w:hAnsi="Arial"/>
          <w:sz w:val="19"/>
          <w:szCs w:val="19"/>
          <w:b w:val="1"/>
          <w:bCs w:val="1"/>
          <w:color w:val="auto"/>
        </w:rPr>
        <w:t>S&amp;P PARTIES DISCLAIM ANY AND ALL EXPRESS OR IMPLIED WARRANTIES, INCLUDING,</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22"/>
          <w:szCs w:val="22"/>
          <w:b w:val="1"/>
          <w:bCs w:val="1"/>
          <w:color w:val="auto"/>
        </w:rPr>
        <w:t xml:space="preserve">BUT NOT LIMITED TO, ANY WARRANTIES OF MERCHANTABILITY OR FITNESS FOR A PARTICULAR PURPOSE OR USE, FREEDOM FROM BUGS, SOFTWARE ERRORS OR DEFECTS, THAT THE CONTENT’S FUNCTIONING WILL BE UNINTERRUPTED OR THAT THE CONTENT WILL OPERATE WITH ANY SOFTWARE OR HARDWARE CONFIGURATION. </w:t>
      </w:r>
      <w:r>
        <w:rPr>
          <w:rFonts w:ascii="Arial" w:cs="Arial" w:eastAsia="Arial" w:hAnsi="Arial"/>
          <w:sz w:val="22"/>
          <w:szCs w:val="22"/>
          <w:color w:val="auto"/>
        </w:rPr>
        <w:t>In no event shall S&amp;P Parties be liable to any party for any direct,</w:t>
      </w:r>
      <w:r>
        <w:rPr>
          <w:rFonts w:ascii="Arial" w:cs="Arial" w:eastAsia="Arial" w:hAnsi="Arial"/>
          <w:sz w:val="22"/>
          <w:szCs w:val="22"/>
          <w:b w:val="1"/>
          <w:bCs w:val="1"/>
          <w:color w:val="auto"/>
        </w:rPr>
        <w:t xml:space="preserve"> </w:t>
      </w:r>
      <w:r>
        <w:rPr>
          <w:rFonts w:ascii="Arial" w:cs="Arial" w:eastAsia="Arial" w:hAnsi="Arial"/>
          <w:sz w:val="22"/>
          <w:szCs w:val="22"/>
          <w:color w:val="auto"/>
        </w:rPr>
        <w:t>indirect, incidental, exemplary, compensatory, punitive, special or consequential damages, costs, expenses, legal fees, or losses (including, without limitation, lost income or lost profits and opportunity costs or losses caused by negligence) in connection with any use of the Content even if advised of the possibility of such damages.</w:t>
      </w:r>
    </w:p>
    <w:p>
      <w:pPr>
        <w:spacing w:after="0" w:line="252" w:lineRule="exact"/>
        <w:rPr>
          <w:sz w:val="20"/>
          <w:szCs w:val="20"/>
          <w:color w:val="auto"/>
        </w:rPr>
      </w:pPr>
    </w:p>
    <w:p>
      <w:pPr>
        <w:ind w:right="60"/>
        <w:spacing w:after="0" w:line="305" w:lineRule="auto"/>
        <w:rPr>
          <w:sz w:val="20"/>
          <w:szCs w:val="20"/>
          <w:color w:val="auto"/>
        </w:rPr>
      </w:pPr>
      <w:r>
        <w:rPr>
          <w:rFonts w:ascii="Arial" w:cs="Arial" w:eastAsia="Arial" w:hAnsi="Arial"/>
          <w:sz w:val="19"/>
          <w:szCs w:val="19"/>
          <w:color w:val="auto"/>
        </w:rPr>
        <w:t>Credit-related and other analyses, including ratings, and statements in the Content are statements of opinion as of the date they are expressed and not statements of fact. S&amp;P’s ratings and other analyses are not recommendations to purchase, hold, or sell any securities or to make any investment decisions, and do not address the suitability of any security. S&amp;P assumes no obligation to update the Content following publication in any form or format. The Content should not be relied on in making investment decisions or any other business decision, and is not a substitute for the skill, judgment and experience of the user, its management, employees, advisors and/or clients when making such decisions. S&amp;P does not act as a fiduciary or an investment advisor except where registered as such. Rating reports are correct as of the time of their publication. S&amp;P updates rating reports following ongoing surveillance of events or annual surveillance.</w:t>
      </w:r>
    </w:p>
    <w:p>
      <w:pPr>
        <w:spacing w:after="0" w:line="209" w:lineRule="exact"/>
        <w:rPr>
          <w:sz w:val="20"/>
          <w:szCs w:val="20"/>
          <w:color w:val="auto"/>
        </w:rPr>
      </w:pPr>
    </w:p>
    <w:p>
      <w:pPr>
        <w:ind w:right="100"/>
        <w:spacing w:after="0" w:line="262" w:lineRule="auto"/>
        <w:rPr>
          <w:sz w:val="20"/>
          <w:szCs w:val="20"/>
          <w:color w:val="auto"/>
        </w:rPr>
      </w:pPr>
      <w:r>
        <w:rPr>
          <w:rFonts w:ascii="Arial" w:cs="Arial" w:eastAsia="Arial" w:hAnsi="Arial"/>
          <w:sz w:val="22"/>
          <w:szCs w:val="22"/>
          <w:color w:val="auto"/>
        </w:rPr>
        <w:t>While S&amp;P obtains information from sources it believes to be reliable, S&amp;P does not perform an audit and undertakes no duty of due diligence or independent verification of any information it receives. S&amp;P publishes rating-related reports for a variety of reasons that are not necessarily dependent on action by rating committees, including, but not limited to, the publication of a periodic update on a credit rating and related analyses.</w:t>
      </w:r>
    </w:p>
    <w:p>
      <w:pPr>
        <w:spacing w:after="0" w:line="245" w:lineRule="exact"/>
        <w:rPr>
          <w:sz w:val="20"/>
          <w:szCs w:val="20"/>
          <w:color w:val="auto"/>
        </w:rPr>
      </w:pPr>
    </w:p>
    <w:p>
      <w:pPr>
        <w:ind w:right="220"/>
        <w:spacing w:after="0" w:line="266" w:lineRule="auto"/>
        <w:rPr>
          <w:sz w:val="20"/>
          <w:szCs w:val="20"/>
          <w:color w:val="auto"/>
        </w:rPr>
      </w:pPr>
      <w:r>
        <w:rPr>
          <w:rFonts w:ascii="Arial" w:cs="Arial" w:eastAsia="Arial" w:hAnsi="Arial"/>
          <w:sz w:val="22"/>
          <w:szCs w:val="22"/>
          <w:color w:val="auto"/>
        </w:rPr>
        <w:t>S&amp;P keeps certain activities of its business units separate from each other in order to preserve the independence and objectivity of their respective activities. S&amp;P has established policies and procedures to maintain the confidentiality of certain non-public information received in connection with each analytical process.</w:t>
      </w:r>
    </w:p>
    <w:p>
      <w:pPr>
        <w:spacing w:after="0" w:line="239" w:lineRule="exact"/>
        <w:rPr>
          <w:sz w:val="20"/>
          <w:szCs w:val="20"/>
          <w:color w:val="auto"/>
        </w:rPr>
      </w:pPr>
    </w:p>
    <w:p>
      <w:pPr>
        <w:ind w:right="260"/>
        <w:spacing w:after="0" w:line="279" w:lineRule="auto"/>
        <w:rPr>
          <w:sz w:val="20"/>
          <w:szCs w:val="20"/>
          <w:color w:val="auto"/>
        </w:rPr>
      </w:pPr>
      <w:r>
        <w:rPr>
          <w:rFonts w:ascii="Arial" w:cs="Arial" w:eastAsia="Arial" w:hAnsi="Arial"/>
          <w:sz w:val="21"/>
          <w:szCs w:val="21"/>
          <w:color w:val="auto"/>
        </w:rPr>
        <w:t xml:space="preserve">S&amp;P receives compensation for its ratings and certain analyses, normally from issuers or underwriters of securities or from obligors. S&amp;P reserves the right to disseminate its opinions and analyses. S&amp;P's public ratings and analyses are made available on S&amp;P Maalot’s website, </w:t>
      </w:r>
      <w:r>
        <w:rPr>
          <w:rFonts w:ascii="Arial" w:cs="Arial" w:eastAsia="Arial" w:hAnsi="Arial"/>
          <w:sz w:val="21"/>
          <w:szCs w:val="21"/>
          <w:u w:val="single" w:color="auto"/>
          <w:color w:val="0000FF"/>
        </w:rPr>
        <w:t>www.maalot.co.il</w:t>
      </w:r>
      <w:r>
        <w:rPr>
          <w:rFonts w:ascii="Arial" w:cs="Arial" w:eastAsia="Arial" w:hAnsi="Arial"/>
          <w:sz w:val="21"/>
          <w:szCs w:val="21"/>
          <w:color w:val="auto"/>
        </w:rPr>
        <w:t xml:space="preserve"> and on S&amp;P Global’s website, </w:t>
      </w:r>
      <w:r>
        <w:rPr>
          <w:rFonts w:ascii="Arial" w:cs="Arial" w:eastAsia="Arial" w:hAnsi="Arial"/>
          <w:sz w:val="21"/>
          <w:szCs w:val="21"/>
          <w:u w:val="single" w:color="auto"/>
          <w:color w:val="0000FF"/>
        </w:rPr>
        <w:t>www.spglobal.com/ratings</w:t>
      </w:r>
      <w:r>
        <w:rPr>
          <w:rFonts w:ascii="Arial" w:cs="Arial" w:eastAsia="Arial" w:hAnsi="Arial"/>
          <w:sz w:val="21"/>
          <w:szCs w:val="21"/>
          <w:color w:val="auto"/>
        </w:rPr>
        <w:t>, and may be distributed through other means, including via S&amp;P publications and third-party redistributors.</w:t>
      </w:r>
    </w:p>
    <w:p>
      <w:pPr>
        <w:spacing w:after="0" w:line="217"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b w:val="1"/>
          <w:bCs w:val="1"/>
          <w:color w:val="auto"/>
        </w:rPr>
        <w:t>7 | May 3, 2022</w:t>
      </w:r>
      <w:r>
        <w:rPr>
          <w:sz w:val="20"/>
          <w:szCs w:val="20"/>
          <w:color w:val="auto"/>
        </w:rPr>
        <w:tab/>
      </w:r>
      <w:r>
        <w:rPr>
          <w:rFonts w:ascii="Arial" w:cs="Arial" w:eastAsia="Arial" w:hAnsi="Arial"/>
          <w:sz w:val="16"/>
          <w:szCs w:val="16"/>
          <w:b w:val="1"/>
          <w:bCs w:val="1"/>
          <w:color w:val="auto"/>
        </w:rPr>
        <w:t>www.maalot.co.il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May 3, 2022</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160"/>
      </w:cols>
      <w:pgMar w:left="320" w:top="396"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2022-05-03T05:34:19Z</dcterms:created>
  <dcterms:modified xsi:type="dcterms:W3CDTF">2022-05-03T05:34:19Z</dcterms:modified>
</cp:coreProperties>
</file>