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293"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88"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 the month of July 2018 No.2</w:t>
      </w:r>
    </w:p>
    <w:p>
      <w:pPr>
        <w:spacing w:after="0" w:line="221"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(Translation of registrant's name into English)</w:t>
      </w:r>
    </w:p>
    <w:p>
      <w:pPr>
        <w:spacing w:after="0" w:line="26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Ramat Gavriel Industrial Park</w:t>
      </w:r>
    </w:p>
    <w:p>
      <w:pPr>
        <w:spacing w:after="0" w:line="28"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1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39"/>
        <w:spacing w:after="0" w:line="207" w:lineRule="exact"/>
        <w:tabs>
          <w:tab w:leader="none" w:pos="4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31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2" w:lineRule="exact"/>
        <w:rPr>
          <w:sz w:val="24"/>
          <w:szCs w:val="24"/>
          <w:color w:val="auto"/>
        </w:rPr>
      </w:pPr>
    </w:p>
    <w:p>
      <w:pPr>
        <w:jc w:val="center"/>
        <w:ind w:right="-139"/>
        <w:spacing w:after="0" w:line="207" w:lineRule="exact"/>
        <w:tabs>
          <w:tab w:leader="none" w:pos="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455930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819" w:right="379" w:bottom="1440" w:gutter="0" w:footer="0" w:header="0"/>
        </w:sectPr>
      </w:pPr>
    </w:p>
    <w:bookmarkStart w:id="1" w:name="page2"/>
    <w:bookmarkEnd w:id="1"/>
    <w:p>
      <w:pPr>
        <w:ind w:left="640"/>
        <w:spacing w:after="0"/>
        <w:rPr>
          <w:sz w:val="20"/>
          <w:szCs w:val="20"/>
          <w:color w:val="auto"/>
        </w:rPr>
      </w:pPr>
      <w:r>
        <w:rPr>
          <w:rFonts w:ascii="Arial" w:cs="Arial" w:eastAsia="Arial" w:hAnsi="Arial"/>
          <w:sz w:val="16"/>
          <w:szCs w:val="16"/>
          <w:color w:val="auto"/>
        </w:rPr>
        <w:t>On July 26, 2018, the Registrant announced its financial results for the six and three months ended June 30, 2018. Attached hereto is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gridSpan w:val="3"/>
          </w:tcPr>
          <w:p>
            <w:pPr>
              <w:spacing w:after="0"/>
              <w:rPr>
                <w:sz w:val="20"/>
                <w:szCs w:val="20"/>
                <w:color w:val="auto"/>
              </w:rPr>
            </w:pPr>
            <w:r>
              <w:rPr>
                <w:rFonts w:ascii="Arial" w:cs="Arial" w:eastAsia="Arial" w:hAnsi="Arial"/>
                <w:sz w:val="18"/>
                <w:szCs w:val="18"/>
                <w:color w:val="0000EE"/>
              </w:rPr>
              <w:t>Exhibit</w:t>
            </w:r>
          </w:p>
        </w:tc>
        <w:tc>
          <w:tcPr>
            <w:tcW w:w="10720" w:type="dxa"/>
            <w:vAlign w:val="bottom"/>
            <w:gridSpan w:val="3"/>
          </w:tcPr>
          <w:p>
            <w:pPr>
              <w:ind w:left="160"/>
              <w:spacing w:after="0"/>
              <w:rPr>
                <w:sz w:val="20"/>
                <w:szCs w:val="20"/>
                <w:color w:val="auto"/>
              </w:rPr>
            </w:pPr>
            <w:r>
              <w:rPr>
                <w:rFonts w:ascii="Arial" w:cs="Arial" w:eastAsia="Arial" w:hAnsi="Arial"/>
                <w:sz w:val="18"/>
                <w:szCs w:val="18"/>
                <w:color w:val="0000EE"/>
              </w:rPr>
              <w:t>Press release dated July 26, 2018.</w:t>
            </w:r>
          </w:p>
        </w:tc>
      </w:tr>
      <w:tr>
        <w:trPr>
          <w:trHeight w:val="196"/>
        </w:trPr>
        <w:tc>
          <w:tcPr>
            <w:tcW w:w="54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tcBorders>
              <w:top w:val="single" w:sz="8" w:color="0000EE"/>
            </w:tcBorders>
          </w:tcPr>
          <w:p>
            <w:pPr>
              <w:spacing w:after="0"/>
              <w:rPr>
                <w:sz w:val="17"/>
                <w:szCs w:val="17"/>
                <w:color w:val="auto"/>
              </w:rPr>
            </w:pPr>
          </w:p>
        </w:tc>
        <w:tc>
          <w:tcPr>
            <w:tcW w:w="8140" w:type="dxa"/>
            <w:vAlign w:val="bottom"/>
          </w:tcPr>
          <w:p>
            <w:pPr>
              <w:spacing w:after="0"/>
              <w:rPr>
                <w:sz w:val="17"/>
                <w:szCs w:val="17"/>
                <w:color w:val="auto"/>
              </w:rPr>
            </w:pPr>
          </w:p>
        </w:tc>
      </w:tr>
      <w:tr>
        <w:trPr>
          <w:trHeight w:val="743"/>
        </w:trPr>
        <w:tc>
          <w:tcPr>
            <w:tcW w:w="32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8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860" w:type="dxa"/>
            <w:vAlign w:val="bottom"/>
            <w:gridSpan w:val="3"/>
          </w:tcPr>
          <w:p>
            <w:pPr>
              <w:ind w:left="2160"/>
              <w:spacing w:after="0"/>
              <w:rPr>
                <w:sz w:val="20"/>
                <w:szCs w:val="20"/>
                <w:color w:val="auto"/>
              </w:rPr>
            </w:pPr>
            <w:r>
              <w:rPr>
                <w:rFonts w:ascii="Arial" w:cs="Arial" w:eastAsia="Arial" w:hAnsi="Arial"/>
                <w:sz w:val="18"/>
                <w:szCs w:val="18"/>
                <w:b w:val="1"/>
                <w:bCs w:val="1"/>
                <w:color w:val="auto"/>
              </w:rPr>
              <w:t>TOWER SEMICONDUCTOR LTD.</w:t>
            </w:r>
          </w:p>
        </w:tc>
      </w:tr>
      <w:tr>
        <w:trPr>
          <w:trHeight w:val="392"/>
        </w:trPr>
        <w:tc>
          <w:tcPr>
            <w:tcW w:w="3560" w:type="dxa"/>
            <w:vAlign w:val="bottom"/>
          </w:tcPr>
          <w:p>
            <w:pPr>
              <w:spacing w:after="0"/>
              <w:rPr>
                <w:sz w:val="20"/>
                <w:szCs w:val="20"/>
                <w:color w:val="auto"/>
              </w:rPr>
            </w:pPr>
            <w:r>
              <w:rPr>
                <w:rFonts w:ascii="Arial" w:cs="Arial" w:eastAsia="Arial" w:hAnsi="Arial"/>
                <w:sz w:val="18"/>
                <w:szCs w:val="18"/>
                <w:color w:val="auto"/>
              </w:rPr>
              <w:t>Date: July 26, 2018</w:t>
            </w:r>
          </w:p>
        </w:tc>
        <w:tc>
          <w:tcPr>
            <w:tcW w:w="7860" w:type="dxa"/>
            <w:vAlign w:val="bottom"/>
            <w:gridSpan w:val="3"/>
          </w:tcPr>
          <w:p>
            <w:pPr>
              <w:ind w:left="2160"/>
              <w:spacing w:after="0"/>
              <w:rPr>
                <w:sz w:val="20"/>
                <w:szCs w:val="20"/>
                <w:color w:val="auto"/>
              </w:rPr>
            </w:pPr>
            <w:r>
              <w:rPr>
                <w:rFonts w:ascii="Arial" w:cs="Arial" w:eastAsia="Arial" w:hAnsi="Arial"/>
                <w:sz w:val="18"/>
                <w:szCs w:val="18"/>
                <w:color w:val="auto"/>
              </w:rPr>
              <w:t>By: /s/ Nati Somekh</w:t>
            </w:r>
          </w:p>
        </w:tc>
      </w:tr>
      <w:tr>
        <w:trPr>
          <w:trHeight w:val="20"/>
        </w:trPr>
        <w:tc>
          <w:tcPr>
            <w:tcW w:w="35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222"/>
        </w:trPr>
        <w:tc>
          <w:tcPr>
            <w:tcW w:w="35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Name: Nati Somekh</w:t>
            </w:r>
          </w:p>
        </w:tc>
      </w:tr>
      <w:tr>
        <w:trPr>
          <w:trHeight w:val="230"/>
        </w:trPr>
        <w:tc>
          <w:tcPr>
            <w:tcW w:w="35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Title: Corporate Secretary</w:t>
            </w:r>
          </w:p>
        </w:tc>
      </w:tr>
      <w:tr>
        <w:trPr>
          <w:trHeight w:val="648"/>
        </w:trPr>
        <w:tc>
          <w:tcPr>
            <w:tcW w:w="35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r>
        <w:trPr>
          <w:trHeight w:val="163"/>
        </w:trPr>
        <w:tc>
          <w:tcPr>
            <w:tcW w:w="35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18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39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172085</wp:posOffset>
            </wp:positionV>
            <wp:extent cx="1226185" cy="523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618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TowerJazz Reports Results for the Second Quarter of 2018:</w:t>
      </w:r>
    </w:p>
    <w:p>
      <w:pPr>
        <w:spacing w:after="0" w:line="28"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Revenue of $335 million with Strong Increases in Net Profit</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and Profit Margins over Prior Quarter</w:t>
      </w:r>
    </w:p>
    <w:p>
      <w:pPr>
        <w:spacing w:after="0" w:line="277"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$22 million, or 7% quarter over quarter revenue growth, resulted in</w:t>
      </w:r>
    </w:p>
    <w:p>
      <w:pPr>
        <w:spacing w:after="0" w:line="28"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$12 million increase in gross and operating profit</w:t>
      </w:r>
    </w:p>
    <w:p>
      <w:pPr>
        <w:spacing w:after="0" w:line="27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MIGDAL HAEMEK, ISRAEL – July 26, 2018 – </w:t>
      </w:r>
      <w:r>
        <w:rPr>
          <w:rFonts w:ascii="Arial" w:cs="Arial" w:eastAsia="Arial" w:hAnsi="Arial"/>
          <w:sz w:val="18"/>
          <w:szCs w:val="18"/>
          <w:color w:val="auto"/>
        </w:rPr>
        <w:t>TowerJazz (NASDAQ: TSEM &amp; TASE: TSEM) reported today its results for the second quarter ended</w:t>
      </w:r>
      <w:r>
        <w:rPr>
          <w:rFonts w:ascii="Arial" w:cs="Arial" w:eastAsia="Arial" w:hAnsi="Arial"/>
          <w:sz w:val="18"/>
          <w:szCs w:val="18"/>
          <w:b w:val="1"/>
          <w:bCs w:val="1"/>
          <w:color w:val="auto"/>
        </w:rPr>
        <w:t xml:space="preserve"> </w:t>
      </w:r>
      <w:r>
        <w:rPr>
          <w:rFonts w:ascii="Arial" w:cs="Arial" w:eastAsia="Arial" w:hAnsi="Arial"/>
          <w:sz w:val="18"/>
          <w:szCs w:val="18"/>
          <w:color w:val="auto"/>
        </w:rPr>
        <w:t>June 30, 2018.</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for the second quarter:</w:t>
      </w:r>
    </w:p>
    <w:p>
      <w:pPr>
        <w:spacing w:after="0" w:line="22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Revenues of $335 million, up 7% sequentially;</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Substantial sequential increase in gross, operating and net profit, up 19%, 39% and 45% respectively;</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profit of $38 million, up 45% over prior quarter, resulting in basic EPS of $0.38, up $0.11 over prior quarter;</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Cash from operations of $77 million and free cash flow of $37 million;</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Strengthened financial structure by prepaying $40 million U.S. wholly owned subsidiary loan and replacing TPSCo $100 million long-term loan with improved terms.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Revenues for the third quarter of 2018 are forecasted to be approximately $335 million, with a range of ±5%; targeting fourth quarter record revenues of about $360 million to $380 million.</w:t>
      </w: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Mr. Russell Ellwanger, Chief Executive Officer of TowerJazz</w:t>
      </w:r>
      <w:r>
        <w:rPr>
          <w:rFonts w:ascii="Arial" w:cs="Arial" w:eastAsia="Arial" w:hAnsi="Arial"/>
          <w:sz w:val="18"/>
          <w:szCs w:val="18"/>
          <w:color w:val="auto"/>
        </w:rPr>
        <w:t>,</w:t>
      </w:r>
      <w:r>
        <w:rPr>
          <w:rFonts w:ascii="Arial" w:cs="Arial" w:eastAsia="Arial" w:hAnsi="Arial"/>
          <w:sz w:val="18"/>
          <w:szCs w:val="18"/>
          <w:b w:val="1"/>
          <w:bCs w:val="1"/>
          <w:color w:val="auto"/>
        </w:rPr>
        <w:t xml:space="preserve"> commented</w:t>
      </w:r>
      <w:r>
        <w:rPr>
          <w:rFonts w:ascii="Arial" w:cs="Arial" w:eastAsia="Arial" w:hAnsi="Arial"/>
          <w:sz w:val="18"/>
          <w:szCs w:val="18"/>
          <w:color w:val="auto"/>
        </w:rPr>
        <w:t>, “We are pleased with the second quarter improvement in our results and</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particularly the margins’ growth, allowing us to bring over half of the quarterly incremental revenue to the bottom line, consistent with our margin model. The third quarter contains the proper wafer start plan and product mix to transition us to a fourth quarter targeted record revenue. For the third quarter, we continue to see weakness in the mobile sector with recent reductions in customer demand. For the SiGe infrastructure technology, given its strong and higher than originally expected customer demand, and hence the high number of customers and flow variants that needed to be qualified, the shipment profile from recently added capacity is pushed out slightly. Customers were notified of increased SiGe capacity and starts have been maximized, expecting full revenue realization in the fourth quarter. As our customers’ mid to long term demand for SiGe exceeds our newly acquired capacity, we have invested in additional CapEx for our Newport Beach facility, targeted to come on line in the first quarter of 2019. Additionally, demand remains strong for discrete Power and all 300mm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26" w:right="239" w:bottom="1440" w:gutter="0" w:footer="0" w:header="0"/>
        </w:sectPr>
      </w:pPr>
    </w:p>
    <w:bookmarkStart w:id="4" w:name="page5"/>
    <w:bookmarkEnd w:id="4"/>
    <w:p>
      <w:pPr>
        <w:jc w:val="both"/>
        <w:ind w:right="20"/>
        <w:spacing w:after="0" w:line="291" w:lineRule="auto"/>
        <w:rPr>
          <w:sz w:val="20"/>
          <w:szCs w:val="20"/>
          <w:color w:val="auto"/>
        </w:rPr>
      </w:pPr>
      <w:r>
        <w:rPr>
          <w:rFonts w:ascii="Arial" w:cs="Arial" w:eastAsia="Arial" w:hAnsi="Arial"/>
          <w:sz w:val="16"/>
          <w:szCs w:val="16"/>
          <w:color w:val="auto"/>
        </w:rPr>
        <w:t>Ellwanger further commented: “During the first half our major focuses were: (1) qualifying incremental SiGe capacity to optimize our production mix for the high end infrastructure market whilst moving RFCMOS parts to other factories, predominantly San Antonio and replacing some low margin mobile business,</w:t>
      </w:r>
    </w:p>
    <w:p>
      <w:pPr>
        <w:jc w:val="both"/>
        <w:ind w:firstLine="8"/>
        <w:spacing w:after="0" w:line="255" w:lineRule="auto"/>
        <w:tabs>
          <w:tab w:leader="none" w:pos="272" w:val="left"/>
        </w:tabs>
        <w:numPr>
          <w:ilvl w:val="0"/>
          <w:numId w:val="2"/>
        </w:numPr>
        <w:rPr>
          <w:rFonts w:ascii="Arial" w:cs="Arial" w:eastAsia="Arial" w:hAnsi="Arial"/>
          <w:sz w:val="18"/>
          <w:szCs w:val="18"/>
          <w:color w:val="auto"/>
        </w:rPr>
      </w:pPr>
      <w:r>
        <w:rPr>
          <w:rFonts w:ascii="Arial" w:cs="Arial" w:eastAsia="Arial" w:hAnsi="Arial"/>
          <w:sz w:val="18"/>
          <w:szCs w:val="18"/>
          <w:color w:val="auto"/>
        </w:rPr>
        <w:t>ensuring 300 mm manufacturing capability, enabling third quarter RF, Power and CIS start ramps with high yielding flow capability; and (3) multiple organic activities, increasing our served markets, for continued mid to long-term high margin growth. In line with this, our second half main growth drivers remain 300mm production ramp and increased SiGe capacity to meet the very high and still growing customer demand.”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2018 Results Overview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Revenues for the second quarter of 2018 were $335 million, reflecting a 7% increase over the prior quarter.</w:t>
      </w:r>
    </w:p>
    <w:p>
      <w:pPr>
        <w:spacing w:after="0" w:line="2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and operating profits for the second quarter of 2018 were $79 million and $44 million, respectively, $12 million higher as compared to $66 million and $32 million, respectively, in the first quarter of 2018. This represents quarter over quarter incremental increase of 55% margins as compared to the $22 million revenue increase.</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EBITDA for the second quarter of 2018 was $96 million, an $11 million and 13% EBITDA growth as compared to $84 million in the prior quarter.</w:t>
      </w:r>
    </w:p>
    <w:p>
      <w:pPr>
        <w:spacing w:after="0" w:line="2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profit for the second quarter of 2018 was $38 million, or $0.38 basic earnings per share, as compared to $26 million or $0.27 basic earnings per share in the prior quarter.</w:t>
      </w:r>
    </w:p>
    <w:p>
      <w:pPr>
        <w:spacing w:after="0" w:line="2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Free cash flow for the quarter was $37 million, with $77 million cash flow from operations and $40 million investments in fixed assets, net. The other main cash activities during the second quarter of 2018 were $15 million investment in marketable securities and $4 million of debt received, net of debt repaid.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 w:name="page6"/>
    <w:bookmarkEnd w:id="5"/>
    <w:p>
      <w:pPr>
        <w:jc w:val="both"/>
        <w:ind w:right="20"/>
        <w:spacing w:after="0" w:line="277" w:lineRule="auto"/>
        <w:rPr>
          <w:sz w:val="20"/>
          <w:szCs w:val="20"/>
          <w:color w:val="auto"/>
        </w:rPr>
      </w:pPr>
      <w:r>
        <w:rPr>
          <w:rFonts w:ascii="Arial" w:cs="Arial" w:eastAsia="Arial" w:hAnsi="Arial"/>
          <w:sz w:val="18"/>
          <w:szCs w:val="18"/>
          <w:color w:val="auto"/>
        </w:rPr>
        <w:t>Cash (including marketable securities), net of gross debt, as of June 30, 2018, totalled to a record of $276 million as compared to net cash of $247 million as of March 31, 2018 and $226 million as of December 31, 2017.</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Shareholders' equity as of June 30, 2018 was a record $1.1 billion, as compared to $1.07 billion as of March 31, 2018 and $1.03 billion as of December 31, 2017.</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30, 2018, the Company and its bonds series G have received an upgraded rating from Standard &amp; Poor’s, Israeli subsidiary, Ma’alot (an Israeli rating company that is fully owned by S&amp;P Global Ratings). Its previous rating was ilA+ with a stable horizon and the new upgraded rating is ilAA-, with a stable horizon.</w:t>
      </w:r>
    </w:p>
    <w:p>
      <w:pPr>
        <w:spacing w:after="0" w:line="2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2018, TPSCo restructured its outstanding loans originally due 2018-2020, which carried variable interest rates of TIBOR plus 1.65% to TIBOR plus 2%, by early repaying these loans and obtaining a new approximately $100 million loan from three leading Japanese banks at better terms and longer duration. The new loan final maturity date is June 2025, includes three years grace period followed by nine equal installments from June 2021 to June 2025, and carries a fixed interest rate of 1.95% per annum.</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July 2018, the Company early repaid the $40 million loan, initially borrowed in 2016 from JA Mitsui (US), in relation to the acquisition of the San Antonio fab from Maxim and its ramp. The loan carried annual interest of ICE LIBOR plus 2%, hence its early repayment will save the Company $1.5 million to $2 million per annum in interest and fees.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Teleconference and Webcast</w:t>
      </w:r>
    </w:p>
    <w:p>
      <w:pPr>
        <w:spacing w:after="0" w:line="27"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auto"/>
        </w:rPr>
        <w:t>TowerJazz will host an investor conference call today, Thursday, July 26, 2018, at 10:00 a.m. Eastern time (9:00 a.m. Central time, 8:00 a.m. Mountain time, 7:00 a.m. Pacific time and 5:00 p.m. Israel time) to discuss the Company’s financial results for the second quarter 2018 and its outlook.</w:t>
      </w:r>
    </w:p>
    <w:p>
      <w:pPr>
        <w:jc w:val="both"/>
        <w:spacing w:after="0" w:line="255" w:lineRule="auto"/>
        <w:rPr>
          <w:sz w:val="20"/>
          <w:szCs w:val="20"/>
          <w:color w:val="auto"/>
        </w:rPr>
      </w:pPr>
      <w:r>
        <w:rPr>
          <w:rFonts w:ascii="Arial" w:cs="Arial" w:eastAsia="Arial" w:hAnsi="Arial"/>
          <w:sz w:val="18"/>
          <w:szCs w:val="18"/>
          <w:color w:val="auto"/>
        </w:rPr>
        <w:t xml:space="preserve">This call will be webcast and can be accessed via TowerJazz’s website at </w:t>
      </w:r>
      <w:r>
        <w:rPr>
          <w:rFonts w:ascii="Arial" w:cs="Arial" w:eastAsia="Arial" w:hAnsi="Arial"/>
          <w:sz w:val="18"/>
          <w:szCs w:val="18"/>
          <w:u w:val="single" w:color="auto"/>
          <w:color w:val="auto"/>
        </w:rPr>
        <w:t>www.towerjazz.com</w:t>
      </w:r>
      <w:r>
        <w:rPr>
          <w:rFonts w:ascii="Arial" w:cs="Arial" w:eastAsia="Arial" w:hAnsi="Arial"/>
          <w:sz w:val="18"/>
          <w:szCs w:val="18"/>
          <w:color w:val="auto"/>
        </w:rPr>
        <w:t xml:space="preserve"> , or by calling 1-888-668-9141 (U.S. Toll-Free), 03-918-0609 (Israel), +972-3-918-0609 (International). For those who are not available to listen to the live broadcast, the call will be archived on TowerJazz’s website for 90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 w:name="page7"/>
    <w:bookmarkEnd w:id="6"/>
    <w:p>
      <w:pPr>
        <w:jc w:val="both"/>
        <w:spacing w:after="0" w:line="286" w:lineRule="auto"/>
        <w:rPr>
          <w:sz w:val="20"/>
          <w:szCs w:val="20"/>
          <w:color w:val="auto"/>
        </w:rPr>
      </w:pPr>
      <w:r>
        <w:rPr>
          <w:rFonts w:ascii="Arial" w:cs="Arial" w:eastAsia="Arial" w:hAnsi="Arial"/>
          <w:sz w:val="16"/>
          <w:szCs w:val="16"/>
          <w:i w:val="1"/>
          <w:iCs w:val="1"/>
          <w:color w:val="auto"/>
        </w:rPr>
        <w:t>The Company presents its financial statements in accordance with U.S. GAAP. The financial information included in the tables below includes unaudited condensed financial data. Some of the financial information in this release, which we describe in this release as “adjusted” financial measures, is non-GAAP financial measures as defined in Regulation G and related reporting requirements promulgated by the Securities and Exchange Commission as they apply to our Company. These adjusted financial measures are calculated excluding one or more of the following: (1) amortization of acquired intangible assets and</w:t>
      </w:r>
    </w:p>
    <w:p>
      <w:pPr>
        <w:spacing w:after="0" w:line="2" w:lineRule="exact"/>
        <w:rPr>
          <w:sz w:val="20"/>
          <w:szCs w:val="20"/>
          <w:color w:val="auto"/>
        </w:rPr>
      </w:pPr>
    </w:p>
    <w:p>
      <w:pPr>
        <w:jc w:val="both"/>
        <w:ind w:firstLine="8"/>
        <w:spacing w:after="0" w:line="283" w:lineRule="auto"/>
        <w:tabs>
          <w:tab w:leader="none" w:pos="29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compensation expenses in respect of equity grants to directors, officers and employees. These adjusted financial measures should be evaluated in conjunction with, and are not a substitute for, GAAP financial measures. The tables also present the GAAP financial measures, which are most comparable to the adjusted financial measures, as well as a reconciliation between the adjusted financial measures and the comparable GAAP financial measures. As used and/ or presented in this release, as well as calculated in the tables herein, the term Earnings Before Interest Tax Depreciation and Amortization (EBITDA) consists of net profit in accordance with GAAP, excluding financing expenses, net, other income, net, taxes, non-controlling interest, depreciation and amortization expense and stock-based compensation expense. EBITDA is reconciled in the tables below from GAAP operating profit. EBITDA is not a required GAAP financial measure and may not be comparable to a similarly titled measure employed by other companies. EBITDA and the adjusted financial information presented herein should not be considered in isolation or as a substitute for operating profit, net profit, cash flows provided by operating, investing and financing activities, per share data or other profit or cash flow statement data prepared in accordance with GAAP. The term Net Cash, as used and/ or presented in this release, is comprised of cash, cash equivalents, short-term deposits and marketable securities (in the amounts of $627 million, $590 million and $560 million as of June 30, 2018, March 31, 2018 and December 31, 2017, respectively) less the outstanding principal amount of bank loans (in the amounts of $140 million as of June 30, 2018 , and $138 million as of March 31, 2018 and December 31, 2017, respectively), the outstanding principal amount of capital leases (in the amounts of $31 million, $25 million and $16 million as of June 30, 2018, March 31, 2018 and December 31, 2017, respectively) and the outstanding principal amount of debentures (in the amount of $180 million as of June 30, 2018, March 31, 2018 and December 31, 2017, respectively). The term Net Cash is not a required GAAP financial measure, may not be comparable to a similarly titled measure employed by other companies and should not be considered in isolation or as a substitute for cash, debt, operating profit, net profit or loss, cash flows provided by operating, investing and financing activities, per share data or other profit or cash flow statement data prepared in accordance with GAAP. In addition, the term Free Cash Flow, as used and/ or presented in this release, is calculated to be cash from operating activities (in the amounts of $77 million, $75 million and $84 million for the three months periods ended June 30, 2018, March 31, 2018, and June 30, 2017, respectively) less cash for investments in property and equipment, net (in the amounts of $40 million, $40 million and $41 million for the three months periods ended June 30, 2018, March 31, 2018, and June 30, 2017, respectively). The term Free Cash Flow is not a required GAAP financial measure, may not be comparable to a similarly titled measure employed by other companies and should not be considered in isolation or as a substitute for operating profit, net profit or loss, cash flows provided by operating, investing and financing activities, per share data or other profit or cash flow statement data prepared in accordance with GAAP.</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r>
        <w:rPr>
          <w:rFonts w:ascii="Arial" w:cs="Arial" w:eastAsia="Arial" w:hAnsi="Arial"/>
          <w:sz w:val="18"/>
          <w:szCs w:val="18"/>
          <w:color w:val="auto"/>
        </w:rPr>
        <w:t>:</w:t>
      </w:r>
    </w:p>
    <w:p>
      <w:pPr>
        <w:spacing w:after="0" w:line="27" w:lineRule="exact"/>
        <w:rPr>
          <w:sz w:val="20"/>
          <w:szCs w:val="20"/>
          <w:color w:val="auto"/>
        </w:rPr>
      </w:pPr>
    </w:p>
    <w:p>
      <w:pPr>
        <w:ind w:right="5640"/>
        <w:spacing w:after="0" w:line="323" w:lineRule="auto"/>
        <w:rPr>
          <w:sz w:val="20"/>
          <w:szCs w:val="20"/>
          <w:color w:val="auto"/>
        </w:rPr>
      </w:pPr>
      <w:r>
        <w:rPr>
          <w:rFonts w:ascii="Arial" w:cs="Arial" w:eastAsia="Arial" w:hAnsi="Arial"/>
          <w:sz w:val="16"/>
          <w:szCs w:val="16"/>
          <w:color w:val="auto"/>
        </w:rPr>
        <w:t xml:space="preserve">Noit Levy-Karoubi | TowerJazz | +972 74 737 7556 | </w:t>
      </w:r>
      <w:r>
        <w:rPr>
          <w:rFonts w:ascii="Arial" w:cs="Arial" w:eastAsia="Arial" w:hAnsi="Arial"/>
          <w:sz w:val="16"/>
          <w:szCs w:val="16"/>
          <w:u w:val="single" w:color="auto"/>
          <w:color w:val="auto"/>
        </w:rPr>
        <w:t>Noit.levi@towerjazz.com</w:t>
      </w:r>
      <w:r>
        <w:rPr>
          <w:rFonts w:ascii="Arial" w:cs="Arial" w:eastAsia="Arial" w:hAnsi="Arial"/>
          <w:sz w:val="16"/>
          <w:szCs w:val="16"/>
          <w:color w:val="auto"/>
        </w:rPr>
        <w:t xml:space="preserve"> GK Investor Relations | Gavriel Frohwein, +1 646 201 9246 | </w:t>
      </w:r>
      <w:r>
        <w:rPr>
          <w:rFonts w:ascii="Arial" w:cs="Arial" w:eastAsia="Arial" w:hAnsi="Arial"/>
          <w:sz w:val="16"/>
          <w:szCs w:val="16"/>
          <w:u w:val="single" w:color="auto"/>
          <w:color w:val="auto"/>
        </w:rPr>
        <w:t>gavriel@gkir.com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7" w:name="page8"/>
    <w:bookmarkEnd w:id="7"/>
    <w:p>
      <w:pPr>
        <w:jc w:val="both"/>
        <w:spacing w:after="0" w:line="284" w:lineRule="auto"/>
        <w:rPr>
          <w:sz w:val="20"/>
          <w:szCs w:val="20"/>
          <w:color w:val="auto"/>
        </w:rPr>
      </w:pPr>
      <w:r>
        <w:rPr>
          <w:rFonts w:ascii="Arial" w:cs="Arial" w:eastAsia="Arial" w:hAnsi="Arial"/>
          <w:sz w:val="16"/>
          <w:szCs w:val="16"/>
          <w:i w:val="1"/>
          <w:iCs w:val="1"/>
          <w:color w:val="auto"/>
        </w:rPr>
        <w:t>This press release includes forward-looking statements, which are subject to risks and uncertainties. Actual results may vary from those projected or implied by such forward-looking statements and you should not place any undue reliance on such forward-looking statements. Potential risks and uncertainties include, without limitation, risks and uncertainties associated with: (i) demand in our customers’ end markets, (ii) over demand for our foundry services and/or products that exceeds our capacity, (iii) maintaining existing customers and attracting additional customers, (iv) operation with no interruption at times of high utilization in certain areas, and/ or at times of possible bottlenecks, power outages, water leaks, contamination events, chemical leaks or other issues, which may adversely affect our cycle time, yield, and on schedule delivery, customer satisfaction, revenue and margins, (v) operating results fluctuate from quarter to quarter making it difficult to predict future performance, (vi) impact of our debt and other liabilities on our financial position and operations,</w:t>
      </w:r>
    </w:p>
    <w:p>
      <w:pPr>
        <w:spacing w:after="0" w:line="3" w:lineRule="exact"/>
        <w:rPr>
          <w:sz w:val="20"/>
          <w:szCs w:val="20"/>
          <w:color w:val="auto"/>
        </w:rPr>
      </w:pPr>
    </w:p>
    <w:p>
      <w:pPr>
        <w:jc w:val="both"/>
        <w:ind w:firstLine="8"/>
        <w:spacing w:after="0" w:line="281" w:lineRule="auto"/>
        <w:tabs>
          <w:tab w:leader="none" w:pos="351"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our ability to successfully execute acquisitions, integrate them into our business, utilize our expanded capacity and find new business, (viii) fluctuations in cash flow, (ix) our ability to satisfy the covenants stipulated in our agreements with our lender banks and bondholders (as of June 30, 2018 we are in compliance with all such covenants included in our banks’ agreements, bond G indenture and others), (x) obtaining new customer engagements, products qualification and production ramp-up of the TPSCo facilities and our San Antonio facility, (xi) landlord’s claims with respect to the lease of the fab 3 facility;</w:t>
      </w:r>
    </w:p>
    <w:p>
      <w:pPr>
        <w:spacing w:after="0" w:line="2" w:lineRule="exact"/>
        <w:rPr>
          <w:rFonts w:ascii="Arial" w:cs="Arial" w:eastAsia="Arial" w:hAnsi="Arial"/>
          <w:sz w:val="16"/>
          <w:szCs w:val="16"/>
          <w:i w:val="1"/>
          <w:iCs w:val="1"/>
          <w:color w:val="auto"/>
        </w:rPr>
      </w:pPr>
    </w:p>
    <w:p>
      <w:pPr>
        <w:jc w:val="both"/>
        <w:ind w:firstLine="8"/>
        <w:spacing w:after="0" w:line="283" w:lineRule="auto"/>
        <w:tabs>
          <w:tab w:leader="none" w:pos="345"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meeting the conditions set in the approval certificates received from the Israeli Investment Center, (xiii) receipt of orders that are lower than the customer purchase commitments, (xiv) failure to receive orders currently expected, (xv) possible incurrence of additional indebtedness, (xvi) effect of global recession, unfavorable economic conditions and/or credit crisis, (xvii) our ability to accurately forecast financial performance, which is affected by limited order backlog and lengthy sales cycles, (xviii) possible situations of obsolete inventory if forecasted demand exceeds actual demand when we manufacture products before receipt of customer orders, (xix) the cyclical nature of the semiconductor industry and the resulting periodic overcapacity, fluctuations in operating results and future average selling price erosion, (xx) the execution of debt re-financing and/or fundraising to enable the service of our debt and/or other liabilities, (xxi) operating our facilities at high utilization rates which is critical in order to cover a portion or all of the high level of fixed costs associated with operating a foundry, and our debt, in order to improve our results, (xxii) the purchase of equipment to increase capacity, the timely completion of the equipment installation, technology transfer and raising the funds therefor, (xxiii) the concentration of our business in the semiconductor industry, (xxiv) product returns, (xxv) our ability to maintain and develop our technology processes and services to keep pace with new technology, evolving standards, changing customer and end-user requirements, new product introductions and short product life cycles, (xxvi) competing effectively, (xxvii) use of outsourced foundry services by both fabless semiconductor companies and integrated device manufacturers; (xxviii) achieving acceptable device yields, product performance and delivery times, (xxix) our dependence on intellectual property rights of others, our ability to operate our business without infringing others’ intellectual property rights and our ability to enforce our intellectual property against infringement, (xxx) retention of key employees and recruitment and retention of skilled qualified personnel, (xxxi) exposure to inflation, currency rates (mainly the Israeli Shekel and Japanese Yen),interest rate fluctuations and risks associated with doing business locally and internationally, as well fluctuations in the market price of our traded securities, (xxxii) issuance of ordinary shares as a result of conversion and/or exercise of any of our convertible securities, as well as any sale of shares by any of our shareholders, or any market expectation thereof, which may depress the market price of our ordinary shares and may impair our ability to raise future capital, (xxxiii) meeting regulatory requirements worldwide, including environmental and governmental regulations, (xxxiv) pending litigation, including the shareholder class action that was filed against the Company, certain officers, its directors and/or its external auditor in Israel, following a short sell thesis report issued by a short-selling focused firm, which has been dismissed by the Israeli district court, on which the Israeli plaintiff has recently appealed to the Israeli supreme court, (xxxv) realization of the fab establishment project in China, including obtaining required project funding, negotiation and closure of definitive agreements in relation thereto, licensing of technologies, receipt of payment milestones to Tower, qualification and ramp of process flows and products to enable mass production for customers and attain revenue to levels that would cover the facility’s fixed costs, and (xxxvi) business interruption due to fire and other natural disasters, the security situation in Israel and other events beyond our control such as power interruptions.</w:t>
      </w:r>
    </w:p>
    <w:p>
      <w:pPr>
        <w:spacing w:after="0" w:line="200" w:lineRule="exact"/>
        <w:rPr>
          <w:sz w:val="20"/>
          <w:szCs w:val="20"/>
          <w:color w:val="auto"/>
        </w:rPr>
      </w:pPr>
    </w:p>
    <w:p>
      <w:pPr>
        <w:spacing w:after="0" w:line="25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A more complete discussion of risks and uncertainties that may affect the accuracy of forward-looking statements included in this press release or which may otherwise affect our business is included under the heading "Risk Factors" in Tower’s most recent filings on Forms 20-F and 6-K, as were filed with the Securities and Exchange Commission (the “SEC”) and the Israel Securities Authority. Future results may differ materially from those previously reported. The Company does not intend to update, and expressly disclaims any obligation to update, the information contained in this release.</w:t>
      </w:r>
    </w:p>
    <w:p>
      <w:pPr>
        <w:spacing w:after="0" w:line="204"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  #  #</w:t>
      </w:r>
    </w:p>
    <w:p>
      <w:pPr>
        <w:spacing w:after="0" w:line="283" w:lineRule="exact"/>
        <w:rPr>
          <w:sz w:val="20"/>
          <w:szCs w:val="20"/>
          <w:color w:val="auto"/>
        </w:rPr>
      </w:pPr>
    </w:p>
    <w:p>
      <w:pPr>
        <w:jc w:val="center"/>
        <w:ind w:left="340"/>
        <w:spacing w:after="0"/>
        <w:rPr>
          <w:sz w:val="20"/>
          <w:szCs w:val="20"/>
          <w:color w:val="auto"/>
        </w:rPr>
      </w:pPr>
      <w:r>
        <w:rPr>
          <w:rFonts w:ascii="Arial" w:cs="Arial" w:eastAsia="Arial" w:hAnsi="Arial"/>
          <w:sz w:val="18"/>
          <w:szCs w:val="18"/>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20"/>
                <w:szCs w:val="20"/>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 S S E T 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486,880</w:t>
            </w:r>
          </w:p>
        </w:tc>
        <w:tc>
          <w:tcPr>
            <w:tcW w:w="8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445,961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Marketable securities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140,140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113,874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Trade accounts receivable</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161,017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149,666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Inventories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153,413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143,315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Other current assets</w:t>
            </w:r>
          </w:p>
        </w:tc>
        <w:tc>
          <w:tcPr>
            <w:tcW w:w="10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19,089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960,539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874,332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LONG-TERM INVESTMENTS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28,978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PROPERTY AND EQUIPMENT,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648,413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635,124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INTANGIBLE ASSETS, NET</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16,671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GOODWILL</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DEFERRED TAX AND OTHER LONG-TERM ASSETS, NET</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101,022</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111,269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1,762,623</w:t>
            </w:r>
          </w:p>
        </w:tc>
        <w:tc>
          <w:tcPr>
            <w:tcW w:w="8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1,673,639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Short-term debt</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100,242</w:t>
            </w:r>
          </w:p>
        </w:tc>
        <w:tc>
          <w:tcPr>
            <w:tcW w:w="8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105,958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Trade accounts payable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126,135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115,347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Deferred revenue and customers' advances</w:t>
            </w:r>
          </w:p>
        </w:tc>
        <w:tc>
          <w:tcPr>
            <w:tcW w:w="1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10,297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14,338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Other current liabilities</w:t>
            </w:r>
          </w:p>
        </w:tc>
        <w:tc>
          <w:tcPr>
            <w:tcW w:w="1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75,867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66,730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ind w:left="48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312,541</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302,373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b w:val="1"/>
                <w:bCs w:val="1"/>
                <w:color w:val="auto"/>
              </w:rPr>
              <w:t>LONG-TERM DEBT</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248,685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228,723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b w:val="1"/>
                <w:bCs w:val="1"/>
                <w:color w:val="auto"/>
              </w:rPr>
              <w:t>LONG-TERM CUSTOMERS' ADVANCES</w:t>
            </w:r>
          </w:p>
        </w:tc>
        <w:tc>
          <w:tcPr>
            <w:tcW w:w="1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29,771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b w:val="1"/>
                <w:bCs w:val="1"/>
                <w:color w:val="auto"/>
              </w:rPr>
              <w:t>LONG-TERM EMPLOYEE RELATED LIABILITIES</w:t>
            </w:r>
          </w:p>
        </w:tc>
        <w:tc>
          <w:tcPr>
            <w:tcW w:w="1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14,616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b w:val="1"/>
                <w:bCs w:val="1"/>
                <w:color w:val="auto"/>
              </w:rPr>
              <w:t>DEFERRED TAX AND OTHER LONG-TERM LIABILITIES</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56,335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8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661,948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643,933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80"/>
              <w:spacing w:after="0"/>
              <w:rPr>
                <w:sz w:val="20"/>
                <w:szCs w:val="20"/>
                <w:color w:val="auto"/>
              </w:rPr>
            </w:pPr>
            <w:r>
              <w:rPr>
                <w:rFonts w:ascii="Arial" w:cs="Arial" w:eastAsia="Arial" w:hAnsi="Arial"/>
                <w:sz w:val="18"/>
                <w:szCs w:val="18"/>
                <w:b w:val="1"/>
                <w:bCs w:val="1"/>
                <w:color w:val="auto"/>
              </w:rPr>
              <w:t>TOTAL SHAREHOLDERS' EQUITY</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1,100,675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1,029,706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00"/>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1,762,623</w:t>
            </w:r>
          </w:p>
        </w:tc>
        <w:tc>
          <w:tcPr>
            <w:tcW w:w="8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1,673,639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8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07" w:right="239" w:bottom="1440" w:gutter="0" w:footer="0" w:header="0"/>
        </w:sectPr>
      </w:pPr>
    </w:p>
    <w:bookmarkStart w:id="9" w:name="page10"/>
    <w:bookmarkEnd w:id="9"/>
    <w:p>
      <w:pPr>
        <w:jc w:val="center"/>
        <w:ind w:left="260" w:right="2380"/>
        <w:spacing w:after="0" w:line="266" w:lineRule="auto"/>
        <w:rPr>
          <w:sz w:val="20"/>
          <w:szCs w:val="20"/>
          <w:color w:val="auto"/>
        </w:rPr>
      </w:pPr>
      <w:r>
        <w:rPr>
          <w:rFonts w:ascii="Arial" w:cs="Arial" w:eastAsia="Arial" w:hAnsi="Arial"/>
          <w:sz w:val="18"/>
          <w:szCs w:val="18"/>
          <w:b w:val="1"/>
          <w:bCs w:val="1"/>
          <w:color w:val="auto"/>
        </w:rPr>
        <w:t>TOWER SEMICONDUCTOR LTD. AND SUBSIDIARIES CONDENSED CONSOLIDATED STATEMENTS OF OPERATIONS (UNAUDITED) (dollars and share count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b w:val="1"/>
                <w:bCs w:val="1"/>
                <w:color w:val="auto"/>
              </w:rPr>
              <w:t>Three months ended</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7"/>
              </w:rPr>
              <w:t>June 30,</w:t>
            </w:r>
          </w:p>
        </w:tc>
        <w:tc>
          <w:tcPr>
            <w:tcW w:w="14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June 30,</w:t>
            </w:r>
          </w:p>
        </w:tc>
        <w:tc>
          <w:tcPr>
            <w:tcW w:w="100" w:type="dxa"/>
            <w:vAlign w:val="bottom"/>
          </w:tcPr>
          <w:p>
            <w:pPr>
              <w:spacing w:after="0"/>
              <w:rPr>
                <w:sz w:val="19"/>
                <w:szCs w:val="19"/>
                <w:color w:val="auto"/>
              </w:rPr>
            </w:pPr>
          </w:p>
        </w:tc>
      </w:tr>
      <w:tr>
        <w:trPr>
          <w:trHeight w:val="223"/>
        </w:trPr>
        <w:tc>
          <w:tcPr>
            <w:tcW w:w="7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16"/>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335,138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312,710</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345,059</w:t>
            </w:r>
          </w:p>
        </w:tc>
      </w:tr>
      <w:tr>
        <w:trPr>
          <w:trHeight w:val="216"/>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23"/>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COST OF REVENUES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256,610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246,545</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253,998</w:t>
            </w:r>
          </w:p>
        </w:tc>
      </w:tr>
      <w:tr>
        <w:trPr>
          <w:trHeight w:val="216"/>
        </w:trPr>
        <w:tc>
          <w:tcPr>
            <w:tcW w:w="74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744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GROSS PROFIT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78,528</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66,165</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91,061</w:t>
            </w:r>
          </w:p>
        </w:tc>
      </w:tr>
      <w:tr>
        <w:trPr>
          <w:trHeight w:val="216"/>
        </w:trPr>
        <w:tc>
          <w:tcPr>
            <w:tcW w:w="74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COSTS AND EXPENSES: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74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Research and development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18,173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18,266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16,432</w:t>
            </w:r>
          </w:p>
        </w:tc>
      </w:tr>
      <w:tr>
        <w:trPr>
          <w:trHeight w:val="223"/>
        </w:trPr>
        <w:tc>
          <w:tcPr>
            <w:tcW w:w="7440" w:type="dxa"/>
            <w:vAlign w:val="bottom"/>
          </w:tcPr>
          <w:p>
            <w:pPr>
              <w:ind w:left="340"/>
              <w:spacing w:after="0"/>
              <w:rPr>
                <w:sz w:val="20"/>
                <w:szCs w:val="20"/>
                <w:color w:val="auto"/>
              </w:rPr>
            </w:pPr>
            <w:r>
              <w:rPr>
                <w:rFonts w:ascii="Arial" w:cs="Arial" w:eastAsia="Arial" w:hAnsi="Arial"/>
                <w:sz w:val="18"/>
                <w:szCs w:val="18"/>
                <w:b w:val="1"/>
                <w:bCs w:val="1"/>
                <w:color w:val="auto"/>
              </w:rPr>
              <w:t>Marketing, general and administrative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16,115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15,994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17,238</w:t>
            </w:r>
          </w:p>
        </w:tc>
      </w:tr>
      <w:tr>
        <w:trPr>
          <w:trHeight w:val="216"/>
        </w:trPr>
        <w:tc>
          <w:tcPr>
            <w:tcW w:w="74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34,288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34,260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33,670</w:t>
            </w:r>
          </w:p>
        </w:tc>
      </w:tr>
      <w:tr>
        <w:trPr>
          <w:trHeight w:val="21"/>
        </w:trPr>
        <w:tc>
          <w:tcPr>
            <w:tcW w:w="7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7440" w:type="dxa"/>
            <w:vAlign w:val="bottom"/>
          </w:tcPr>
          <w:p>
            <w:pPr>
              <w:ind w:left="500"/>
              <w:spacing w:after="0"/>
              <w:rPr>
                <w:sz w:val="20"/>
                <w:szCs w:val="20"/>
                <w:color w:val="auto"/>
              </w:rPr>
            </w:pPr>
            <w:r>
              <w:rPr>
                <w:rFonts w:ascii="Arial" w:cs="Arial" w:eastAsia="Arial" w:hAnsi="Arial"/>
                <w:sz w:val="18"/>
                <w:szCs w:val="18"/>
                <w:b w:val="1"/>
                <w:bCs w:val="1"/>
                <w:color w:val="auto"/>
              </w:rPr>
              <w:t>OPERATING PROFIT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44,240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31,905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57,391</w:t>
            </w:r>
          </w:p>
        </w:tc>
      </w:tr>
      <w:tr>
        <w:trPr>
          <w:trHeight w:val="216"/>
        </w:trPr>
        <w:tc>
          <w:tcPr>
            <w:tcW w:w="7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b w:val="1"/>
                <w:bCs w:val="1"/>
                <w:color w:val="auto"/>
              </w:rPr>
              <w:t>FINANCING EXPENSES, NET</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(7,031)</w:t>
            </w: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(3,791)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(3,123)</w:t>
            </w:r>
          </w:p>
        </w:tc>
      </w:tr>
      <w:tr>
        <w:trPr>
          <w:trHeight w:val="216"/>
        </w:trPr>
        <w:tc>
          <w:tcPr>
            <w:tcW w:w="7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23"/>
        </w:trPr>
        <w:tc>
          <w:tcPr>
            <w:tcW w:w="7440" w:type="dxa"/>
            <w:vAlign w:val="bottom"/>
          </w:tcPr>
          <w:p>
            <w:pPr>
              <w:ind w:left="180"/>
              <w:spacing w:after="0"/>
              <w:rPr>
                <w:sz w:val="20"/>
                <w:szCs w:val="20"/>
                <w:color w:val="auto"/>
              </w:rPr>
            </w:pPr>
            <w:r>
              <w:rPr>
                <w:rFonts w:ascii="Arial" w:cs="Arial" w:eastAsia="Arial" w:hAnsi="Arial"/>
                <w:sz w:val="18"/>
                <w:szCs w:val="18"/>
                <w:b w:val="1"/>
                <w:bCs w:val="1"/>
                <w:color w:val="auto"/>
              </w:rPr>
              <w:t>OTHER INCOME, NET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1,578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142</w:t>
            </w:r>
          </w:p>
        </w:tc>
      </w:tr>
      <w:tr>
        <w:trPr>
          <w:trHeight w:val="216"/>
        </w:trPr>
        <w:tc>
          <w:tcPr>
            <w:tcW w:w="74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500"/>
              <w:spacing w:after="0"/>
              <w:rPr>
                <w:sz w:val="20"/>
                <w:szCs w:val="20"/>
                <w:color w:val="auto"/>
              </w:rPr>
            </w:pPr>
            <w:r>
              <w:rPr>
                <w:rFonts w:ascii="Arial" w:cs="Arial" w:eastAsia="Arial" w:hAnsi="Arial"/>
                <w:sz w:val="18"/>
                <w:szCs w:val="18"/>
                <w:b w:val="1"/>
                <w:bCs w:val="1"/>
                <w:color w:val="auto"/>
              </w:rPr>
              <w:t>PROFIT BEFORE INCOME TAX</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38,787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28,136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54,410</w:t>
            </w:r>
          </w:p>
        </w:tc>
      </w:tr>
      <w:tr>
        <w:trPr>
          <w:trHeight w:val="216"/>
        </w:trPr>
        <w:tc>
          <w:tcPr>
            <w:tcW w:w="7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23"/>
        </w:trPr>
        <w:tc>
          <w:tcPr>
            <w:tcW w:w="7440" w:type="dxa"/>
            <w:vAlign w:val="bottom"/>
          </w:tcPr>
          <w:p>
            <w:pPr>
              <w:ind w:left="180"/>
              <w:spacing w:after="0"/>
              <w:rPr>
                <w:sz w:val="20"/>
                <w:szCs w:val="20"/>
                <w:color w:val="auto"/>
              </w:rPr>
            </w:pPr>
            <w:r>
              <w:rPr>
                <w:rFonts w:ascii="Arial" w:cs="Arial" w:eastAsia="Arial" w:hAnsi="Arial"/>
                <w:sz w:val="18"/>
                <w:szCs w:val="18"/>
                <w:b w:val="1"/>
                <w:bCs w:val="1"/>
                <w:color w:val="auto"/>
              </w:rPr>
              <w:t>INCOME TAX EXPENSE, NET</w:t>
            </w: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(2,778)</w:t>
            </w:r>
          </w:p>
        </w:tc>
        <w:tc>
          <w:tcPr>
            <w:tcW w:w="1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(955)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(2,683)</w:t>
            </w:r>
          </w:p>
        </w:tc>
      </w:tr>
      <w:tr>
        <w:trPr>
          <w:trHeight w:val="216"/>
        </w:trPr>
        <w:tc>
          <w:tcPr>
            <w:tcW w:w="74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500"/>
              <w:spacing w:after="0"/>
              <w:rPr>
                <w:sz w:val="20"/>
                <w:szCs w:val="20"/>
                <w:color w:val="auto"/>
              </w:rPr>
            </w:pPr>
            <w:r>
              <w:rPr>
                <w:rFonts w:ascii="Arial" w:cs="Arial" w:eastAsia="Arial" w:hAnsi="Arial"/>
                <w:sz w:val="18"/>
                <w:szCs w:val="18"/>
                <w:b w:val="1"/>
                <w:bCs w:val="1"/>
                <w:color w:val="auto"/>
              </w:rPr>
              <w:t>PROFIT BEFORE NON CONTROLLING INTEREST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36,009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27,181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51,727</w:t>
            </w:r>
          </w:p>
        </w:tc>
      </w:tr>
      <w:tr>
        <w:trPr>
          <w:trHeight w:val="216"/>
        </w:trPr>
        <w:tc>
          <w:tcPr>
            <w:tcW w:w="7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23"/>
        </w:trPr>
        <w:tc>
          <w:tcPr>
            <w:tcW w:w="7440" w:type="dxa"/>
            <w:vAlign w:val="bottom"/>
          </w:tcPr>
          <w:p>
            <w:pPr>
              <w:ind w:left="180"/>
              <w:spacing w:after="0"/>
              <w:rPr>
                <w:sz w:val="20"/>
                <w:szCs w:val="20"/>
                <w:color w:val="auto"/>
              </w:rPr>
            </w:pPr>
            <w:r>
              <w:rPr>
                <w:rFonts w:ascii="Arial" w:cs="Arial" w:eastAsia="Arial" w:hAnsi="Arial"/>
                <w:sz w:val="18"/>
                <w:szCs w:val="18"/>
                <w:b w:val="1"/>
                <w:bCs w:val="1"/>
                <w:color w:val="auto"/>
              </w:rPr>
              <w:t>NON CONTROLLING INTEREST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1,733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(1,063)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(1,710)</w:t>
            </w:r>
          </w:p>
        </w:tc>
      </w:tr>
      <w:tr>
        <w:trPr>
          <w:trHeight w:val="216"/>
        </w:trPr>
        <w:tc>
          <w:tcPr>
            <w:tcW w:w="74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500"/>
              <w:spacing w:after="0"/>
              <w:rPr>
                <w:sz w:val="20"/>
                <w:szCs w:val="20"/>
                <w:color w:val="auto"/>
              </w:rPr>
            </w:pPr>
            <w:r>
              <w:rPr>
                <w:rFonts w:ascii="Arial" w:cs="Arial" w:eastAsia="Arial" w:hAnsi="Arial"/>
                <w:sz w:val="18"/>
                <w:szCs w:val="18"/>
                <w:b w:val="1"/>
                <w:bCs w:val="1"/>
                <w:color w:val="auto"/>
              </w:rPr>
              <w:t>NET PROFIT</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37,742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26,118</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50,017</w:t>
            </w:r>
          </w:p>
        </w:tc>
      </w:tr>
      <w:tr>
        <w:trPr>
          <w:trHeight w:val="21"/>
        </w:trPr>
        <w:tc>
          <w:tcPr>
            <w:tcW w:w="7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b w:val="1"/>
                <w:bCs w:val="1"/>
                <w:color w:val="auto"/>
              </w:rPr>
              <w:t>BASIC EARNINGS PER SHARE</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0.38</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0.27</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0.52</w:t>
            </w:r>
          </w:p>
        </w:tc>
      </w:tr>
      <w:tr>
        <w:trPr>
          <w:trHeight w:val="21"/>
        </w:trPr>
        <w:tc>
          <w:tcPr>
            <w:tcW w:w="7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b w:val="1"/>
                <w:bCs w:val="1"/>
                <w:color w:val="auto"/>
              </w:rPr>
              <w:t>Weighted average number of shares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98,888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98,495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96,365</w:t>
            </w:r>
          </w:p>
        </w:tc>
      </w:tr>
      <w:tr>
        <w:trPr>
          <w:trHeight w:val="21"/>
        </w:trPr>
        <w:tc>
          <w:tcPr>
            <w:tcW w:w="7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b w:val="1"/>
                <w:bCs w:val="1"/>
                <w:color w:val="auto"/>
              </w:rPr>
              <w:t>DILUTED EARNINGS PER SHARE</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0.37</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0.26</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0.49</w:t>
            </w:r>
          </w:p>
        </w:tc>
      </w:tr>
      <w:tr>
        <w:trPr>
          <w:trHeight w:val="21"/>
        </w:trPr>
        <w:tc>
          <w:tcPr>
            <w:tcW w:w="7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b w:val="1"/>
                <w:bCs w:val="1"/>
                <w:color w:val="auto"/>
              </w:rPr>
              <w:t>Net profit used for diluted earnings per share</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37,742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26,118</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52,217</w:t>
            </w:r>
          </w:p>
        </w:tc>
      </w:tr>
      <w:tr>
        <w:trPr>
          <w:trHeight w:val="21"/>
        </w:trPr>
        <w:tc>
          <w:tcPr>
            <w:tcW w:w="7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70"/>
        </w:trPr>
        <w:tc>
          <w:tcPr>
            <w:tcW w:w="7440" w:type="dxa"/>
            <w:vAlign w:val="bottom"/>
          </w:tcPr>
          <w:p>
            <w:pPr>
              <w:ind w:left="180"/>
              <w:spacing w:after="0"/>
              <w:rPr>
                <w:sz w:val="20"/>
                <w:szCs w:val="20"/>
                <w:color w:val="auto"/>
              </w:rPr>
            </w:pPr>
            <w:r>
              <w:rPr>
                <w:rFonts w:ascii="Arial" w:cs="Arial" w:eastAsia="Arial" w:hAnsi="Arial"/>
                <w:sz w:val="18"/>
                <w:szCs w:val="18"/>
                <w:b w:val="1"/>
                <w:bCs w:val="1"/>
                <w:color w:val="auto"/>
              </w:rPr>
              <w:t>Weighted average number of shares</w:t>
            </w: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101,066</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101,112</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105,648</w:t>
            </w:r>
          </w:p>
        </w:tc>
      </w:tr>
      <w:tr>
        <w:trPr>
          <w:trHeight w:val="21"/>
        </w:trPr>
        <w:tc>
          <w:tcPr>
            <w:tcW w:w="7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2"/>
        </w:trPr>
        <w:tc>
          <w:tcPr>
            <w:tcW w:w="7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FINANCIAL DATA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and share count 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b w:val="1"/>
                <w:bCs w:val="1"/>
                <w:color w:val="auto"/>
              </w:rPr>
              <w:t>Three months ended</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June 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FROM GAAP NET PROFIT TO ADJUSTED NET PROFIT: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GAAP NET PROFIT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37,742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26,118</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Stock based compensation</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2,678</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3,367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Amortization of acquired intangible assets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1,661</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ADJUSTED NET PROFIT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42,072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31,146</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54,582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ADJUSTED NET PROFIT PER SHARE: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Basic</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0.43</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0.32</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Diluted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0.42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0.31</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Fully diluted</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0.41</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0.31</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ADJUSTED NET PROFIT USED TO CALCULATE PER SHARE DATA:</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Basic</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42,072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31,146</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54,582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Diluted</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44,463</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31,146</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56,782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Fully diluted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44,463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33,486</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198" w:lineRule="exact"/>
              <w:rPr>
                <w:sz w:val="20"/>
                <w:szCs w:val="20"/>
                <w:color w:val="auto"/>
              </w:rPr>
            </w:pPr>
            <w:r>
              <w:rPr>
                <w:rFonts w:ascii="Arial" w:cs="Arial" w:eastAsia="Arial" w:hAnsi="Arial"/>
                <w:sz w:val="18"/>
                <w:szCs w:val="18"/>
                <w:b w:val="1"/>
                <w:bCs w:val="1"/>
                <w:color w:val="auto"/>
              </w:rPr>
              <w:t>NUMBER OF SHARES AND OTHER SECURITIES USED TO CALCULATE PER</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SHARE DATA:</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Basic</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98,888</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98,495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96,365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Diluted</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106,856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101,112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105,648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Fully diluted</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107,880</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107,717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107,375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EBITDA CALCULATION:</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GAAP OPERATING PROFIT</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44,240</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31,905</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57,391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Depreciation of fixed assets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46,978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47,357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Stock based compensation</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2,678</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3,367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Amortization of acquired intangible assets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1,661</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EBITDA</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95,548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84,290</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108,316</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74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07" w:right="239" w:bottom="1440" w:gutter="0" w:footer="0" w:header="0"/>
        </w:sectPr>
      </w:pPr>
    </w:p>
    <w:bookmarkStart w:id="11" w:name="page12"/>
    <w:bookmarkEnd w:id="11"/>
    <w:p>
      <w:pPr>
        <w:jc w:val="center"/>
        <w:ind w:left="260" w:right="2380"/>
        <w:spacing w:after="0" w:line="266" w:lineRule="auto"/>
        <w:rPr>
          <w:sz w:val="20"/>
          <w:szCs w:val="20"/>
          <w:color w:val="auto"/>
        </w:rPr>
      </w:pPr>
      <w:r>
        <w:rPr>
          <w:rFonts w:ascii="Arial" w:cs="Arial" w:eastAsia="Arial" w:hAnsi="Arial"/>
          <w:sz w:val="18"/>
          <w:szCs w:val="18"/>
          <w:b w:val="1"/>
          <w:bCs w:val="1"/>
          <w:color w:val="auto"/>
        </w:rPr>
        <w:t>TOWER SEMICONDUCTOR LTD. AND SUBSIDIARIES CONDENSED CONSOLIDATED STATEMENTS OF OPERATIONS (UNAUDITED) (dollars and share count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w:t>
            </w:r>
          </w:p>
        </w:tc>
      </w:tr>
      <w:tr>
        <w:trPr>
          <w:trHeight w:val="223"/>
        </w:trPr>
        <w:tc>
          <w:tcPr>
            <w:tcW w:w="88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8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647,848</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675,139</w:t>
            </w:r>
          </w:p>
        </w:tc>
      </w:t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23"/>
        </w:trPr>
        <w:tc>
          <w:tcPr>
            <w:tcW w:w="8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COST OF REVENUES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503,155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499,310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23"/>
        </w:trPr>
        <w:tc>
          <w:tcPr>
            <w:tcW w:w="882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144,693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175,829</w:t>
            </w:r>
          </w:p>
        </w:tc>
      </w:tr>
      <w:tr>
        <w:trPr>
          <w:trHeight w:val="216"/>
        </w:trPr>
        <w:tc>
          <w:tcPr>
            <w:tcW w:w="88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Research and development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36,439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32,200</w:t>
            </w:r>
          </w:p>
        </w:tc>
      </w:tr>
      <w:tr>
        <w:trPr>
          <w:trHeight w:val="223"/>
        </w:trPr>
        <w:tc>
          <w:tcPr>
            <w:tcW w:w="8820" w:type="dxa"/>
            <w:vAlign w:val="bottom"/>
          </w:tcPr>
          <w:p>
            <w:pPr>
              <w:ind w:left="340"/>
              <w:spacing w:after="0"/>
              <w:rPr>
                <w:sz w:val="20"/>
                <w:szCs w:val="20"/>
                <w:color w:val="auto"/>
              </w:rPr>
            </w:pPr>
            <w:r>
              <w:rPr>
                <w:rFonts w:ascii="Arial" w:cs="Arial" w:eastAsia="Arial" w:hAnsi="Arial"/>
                <w:sz w:val="18"/>
                <w:szCs w:val="18"/>
                <w:b w:val="1"/>
                <w:bCs w:val="1"/>
                <w:color w:val="auto"/>
              </w:rPr>
              <w:t>Marketing, general and administrative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32,109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33,475</w:t>
            </w: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r>
      <w:tr>
        <w:trPr>
          <w:trHeight w:val="216"/>
        </w:trPr>
        <w:tc>
          <w:tcPr>
            <w:tcW w:w="8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68,548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65,675</w:t>
            </w:r>
          </w:p>
        </w:tc>
        <w:tc>
          <w:tcPr>
            <w:tcW w:w="100" w:type="dxa"/>
            <w:vAlign w:val="bottom"/>
          </w:tcPr>
          <w:p>
            <w:pPr>
              <w:spacing w:after="0"/>
              <w:rPr>
                <w:sz w:val="18"/>
                <w:szCs w:val="18"/>
                <w:color w:val="auto"/>
              </w:rPr>
            </w:pPr>
          </w:p>
        </w:tc>
      </w:tr>
      <w:tr>
        <w:trPr>
          <w:trHeight w:val="21"/>
        </w:trPr>
        <w:tc>
          <w:tcPr>
            <w:tcW w:w="8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76,145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110,154</w:t>
            </w:r>
          </w:p>
        </w:tc>
      </w:tr>
      <w:tr>
        <w:trPr>
          <w:trHeight w:val="216"/>
        </w:trPr>
        <w:tc>
          <w:tcPr>
            <w:tcW w:w="8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b w:val="1"/>
                <w:bCs w:val="1"/>
                <w:color w:val="auto"/>
              </w:rPr>
              <w:t>FINANCING EXPENSE, NET</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(10,822)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(7,352)</w:t>
            </w:r>
          </w:p>
        </w:tc>
      </w:tr>
      <w:tr>
        <w:trPr>
          <w:trHeight w:val="216"/>
        </w:trPr>
        <w:tc>
          <w:tcPr>
            <w:tcW w:w="8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r>
      <w:tr>
        <w:trPr>
          <w:trHeight w:val="223"/>
        </w:trPr>
        <w:tc>
          <w:tcPr>
            <w:tcW w:w="8820" w:type="dxa"/>
            <w:vAlign w:val="bottom"/>
          </w:tcPr>
          <w:p>
            <w:pPr>
              <w:ind w:left="180"/>
              <w:spacing w:after="0"/>
              <w:rPr>
                <w:sz w:val="20"/>
                <w:szCs w:val="20"/>
                <w:color w:val="auto"/>
              </w:rPr>
            </w:pPr>
            <w:r>
              <w:rPr>
                <w:rFonts w:ascii="Arial" w:cs="Arial" w:eastAsia="Arial" w:hAnsi="Arial"/>
                <w:sz w:val="18"/>
                <w:szCs w:val="18"/>
                <w:b w:val="1"/>
                <w:bCs w:val="1"/>
                <w:color w:val="auto"/>
              </w:rPr>
              <w:t>OTHER INCOME, NET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653</w:t>
            </w: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b w:val="1"/>
                <w:bCs w:val="1"/>
                <w:color w:val="auto"/>
              </w:rPr>
              <w:t>PROFIT BEFORE INCOME TAX</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66,923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103,455</w:t>
            </w:r>
          </w:p>
        </w:tc>
      </w:tr>
      <w:tr>
        <w:trPr>
          <w:trHeight w:val="216"/>
        </w:trPr>
        <w:tc>
          <w:tcPr>
            <w:tcW w:w="8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r>
      <w:tr>
        <w:trPr>
          <w:trHeight w:val="223"/>
        </w:trPr>
        <w:tc>
          <w:tcPr>
            <w:tcW w:w="8820" w:type="dxa"/>
            <w:vAlign w:val="bottom"/>
          </w:tcPr>
          <w:p>
            <w:pPr>
              <w:ind w:left="180"/>
              <w:spacing w:after="0"/>
              <w:rPr>
                <w:sz w:val="20"/>
                <w:szCs w:val="20"/>
                <w:color w:val="auto"/>
              </w:rPr>
            </w:pPr>
            <w:r>
              <w:rPr>
                <w:rFonts w:ascii="Arial" w:cs="Arial" w:eastAsia="Arial" w:hAnsi="Arial"/>
                <w:sz w:val="18"/>
                <w:szCs w:val="18"/>
                <w:b w:val="1"/>
                <w:bCs w:val="1"/>
                <w:color w:val="auto"/>
              </w:rPr>
              <w:t>INCOME TAX EXPENSE, NET</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(3,733)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(4,682)</w:t>
            </w:r>
          </w:p>
        </w:tc>
      </w:tr>
      <w:tr>
        <w:trPr>
          <w:trHeight w:val="216"/>
        </w:trPr>
        <w:tc>
          <w:tcPr>
            <w:tcW w:w="88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8820" w:type="dxa"/>
            <w:vAlign w:val="bottom"/>
          </w:tcPr>
          <w:p>
            <w:pPr>
              <w:ind w:left="500"/>
              <w:spacing w:after="0"/>
              <w:rPr>
                <w:sz w:val="20"/>
                <w:szCs w:val="20"/>
                <w:color w:val="auto"/>
              </w:rPr>
            </w:pPr>
            <w:r>
              <w:rPr>
                <w:rFonts w:ascii="Arial" w:cs="Arial" w:eastAsia="Arial" w:hAnsi="Arial"/>
                <w:sz w:val="18"/>
                <w:szCs w:val="18"/>
                <w:b w:val="1"/>
                <w:bCs w:val="1"/>
                <w:color w:val="auto"/>
              </w:rPr>
              <w:t>PROFIT BEFORE NON CONTROLLING INTEREST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63,190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98,773</w:t>
            </w:r>
          </w:p>
        </w:tc>
      </w:tr>
      <w:tr>
        <w:trPr>
          <w:trHeight w:val="216"/>
        </w:trPr>
        <w:tc>
          <w:tcPr>
            <w:tcW w:w="8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r>
      <w:tr>
        <w:trPr>
          <w:trHeight w:val="223"/>
        </w:trPr>
        <w:tc>
          <w:tcPr>
            <w:tcW w:w="8820" w:type="dxa"/>
            <w:vAlign w:val="bottom"/>
          </w:tcPr>
          <w:p>
            <w:pPr>
              <w:ind w:left="180"/>
              <w:spacing w:after="0"/>
              <w:rPr>
                <w:sz w:val="20"/>
                <w:szCs w:val="20"/>
                <w:color w:val="auto"/>
              </w:rPr>
            </w:pPr>
            <w:r>
              <w:rPr>
                <w:rFonts w:ascii="Arial" w:cs="Arial" w:eastAsia="Arial" w:hAnsi="Arial"/>
                <w:sz w:val="18"/>
                <w:szCs w:val="18"/>
                <w:b w:val="1"/>
                <w:bCs w:val="1"/>
                <w:color w:val="auto"/>
              </w:rPr>
              <w:t>NON CONTROLLING INTEREST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670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(3,247)</w:t>
            </w:r>
          </w:p>
        </w:tc>
      </w:tr>
      <w:tr>
        <w:trPr>
          <w:trHeight w:val="216"/>
        </w:trPr>
        <w:tc>
          <w:tcPr>
            <w:tcW w:w="88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b w:val="1"/>
                <w:bCs w:val="1"/>
                <w:color w:val="auto"/>
              </w:rPr>
              <w:t>NET PROFIT</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63,860</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95,526</w:t>
            </w:r>
          </w:p>
        </w:tc>
      </w:tr>
      <w:tr>
        <w:trPr>
          <w:trHeight w:val="21"/>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b w:val="1"/>
                <w:bCs w:val="1"/>
                <w:color w:val="auto"/>
              </w:rPr>
              <w:t>BASIC EARNINGS PER SHARE</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0.65</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1.00</w:t>
            </w:r>
          </w:p>
        </w:tc>
      </w:tr>
      <w:tr>
        <w:trPr>
          <w:trHeight w:val="21"/>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b w:val="1"/>
                <w:bCs w:val="1"/>
                <w:color w:val="auto"/>
              </w:rPr>
              <w:t>Weighted average number of shares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98,693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95,139</w:t>
            </w:r>
          </w:p>
        </w:tc>
        <w:tc>
          <w:tcPr>
            <w:tcW w:w="100" w:type="dxa"/>
            <w:vAlign w:val="bottom"/>
          </w:tcPr>
          <w:p>
            <w:pPr>
              <w:spacing w:after="0"/>
              <w:rPr>
                <w:sz w:val="18"/>
                <w:szCs w:val="18"/>
                <w:color w:val="auto"/>
              </w:rPr>
            </w:pPr>
          </w:p>
        </w:tc>
      </w:tr>
      <w:tr>
        <w:trPr>
          <w:trHeight w:val="21"/>
        </w:trPr>
        <w:tc>
          <w:tcPr>
            <w:tcW w:w="8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b w:val="1"/>
                <w:bCs w:val="1"/>
                <w:color w:val="auto"/>
              </w:rPr>
              <w:t>DILUTED EARNINGS PER SHARE</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0.63</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0.95</w:t>
            </w:r>
          </w:p>
        </w:tc>
      </w:tr>
      <w:tr>
        <w:trPr>
          <w:trHeight w:val="21"/>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b w:val="1"/>
                <w:bCs w:val="1"/>
                <w:color w:val="auto"/>
              </w:rPr>
              <w:t>Net profit used for diluted earnings per share</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63,860</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99,883</w:t>
            </w:r>
          </w:p>
        </w:tc>
      </w:tr>
      <w:tr>
        <w:trPr>
          <w:trHeight w:val="21"/>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b w:val="1"/>
                <w:bCs w:val="1"/>
                <w:color w:val="auto"/>
              </w:rPr>
              <w:t>Weighted average number of shares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101,090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105,288</w:t>
            </w:r>
          </w:p>
        </w:tc>
      </w:tr>
      <w:tr>
        <w:trPr>
          <w:trHeight w:val="21"/>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2"/>
        </w:trPr>
        <w:tc>
          <w:tcPr>
            <w:tcW w:w="8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0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FINANCIAL DATA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and share count 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ind w:left="3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FROM GAAP NET PROFIT TO ADJUSTED NET PROFIT:</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GAAP NET PROFIT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63,860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95,526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b w:val="1"/>
                <w:bCs w:val="1"/>
                <w:color w:val="auto"/>
              </w:rPr>
              <w:t>Stock based compensation</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6,045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4,417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Amortization of acquired intangible assets</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ADJUSTED NET PROFIT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73,218</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104,525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ADJUSTED NET PROFIT PER SHARE:</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b w:val="1"/>
                <w:bCs w:val="1"/>
                <w:color w:val="auto"/>
              </w:rPr>
              <w:t>Basic</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0.74</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Diluted</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0.72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b w:val="1"/>
                <w:bCs w:val="1"/>
                <w:color w:val="auto"/>
              </w:rPr>
              <w:t>Fully diluted</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0.72</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60"/>
              <w:spacing w:after="0"/>
              <w:rPr>
                <w:sz w:val="20"/>
                <w:szCs w:val="20"/>
                <w:color w:val="auto"/>
              </w:rPr>
            </w:pPr>
            <w:r>
              <w:rPr>
                <w:rFonts w:ascii="Arial" w:cs="Arial" w:eastAsia="Arial" w:hAnsi="Arial"/>
                <w:sz w:val="18"/>
                <w:szCs w:val="18"/>
                <w:b w:val="1"/>
                <w:bCs w:val="1"/>
                <w:color w:val="auto"/>
              </w:rPr>
              <w:t>ADJUSTED NET PROFIT USED TO CALCULATE PER SHARE DATA:</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Basic</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73,218</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104,525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b w:val="1"/>
                <w:bCs w:val="1"/>
                <w:color w:val="auto"/>
              </w:rPr>
              <w:t>Diluted</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73,218</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108,882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Fully diluted</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77,949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108,882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NUMBER OF SHARES AND OTHER SECURITIES USED TO CALCULATE PER SHARE DATA:</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b w:val="1"/>
                <w:bCs w:val="1"/>
                <w:color w:val="auto"/>
              </w:rPr>
              <w:t>Basic</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98,693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95,139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Diluted</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101,090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105,288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b w:val="1"/>
                <w:bCs w:val="1"/>
                <w:color w:val="auto"/>
              </w:rPr>
              <w:t>Fully diluted</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107,880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107,375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b w:val="1"/>
                <w:bCs w:val="1"/>
                <w:color w:val="auto"/>
              </w:rPr>
              <w:t>EBITDA CALCULATION:</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60"/>
              <w:spacing w:after="0"/>
              <w:rPr>
                <w:sz w:val="20"/>
                <w:szCs w:val="20"/>
                <w:color w:val="auto"/>
              </w:rPr>
            </w:pPr>
            <w:r>
              <w:rPr>
                <w:rFonts w:ascii="Arial" w:cs="Arial" w:eastAsia="Arial" w:hAnsi="Arial"/>
                <w:sz w:val="18"/>
                <w:szCs w:val="18"/>
                <w:b w:val="1"/>
                <w:bCs w:val="1"/>
                <w:color w:val="auto"/>
              </w:rPr>
              <w:t>GAAP OPERATING PROFIT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76,145</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110,154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Depreciation of fixed assets</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94,335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90,179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Arial" w:cs="Arial" w:eastAsia="Arial" w:hAnsi="Arial"/>
                <w:sz w:val="18"/>
                <w:szCs w:val="18"/>
                <w:b w:val="1"/>
                <w:bCs w:val="1"/>
                <w:color w:val="auto"/>
              </w:rPr>
              <w:t>Stock based compensation</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6,045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4,417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Amortization of acquired intangible assets</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EBITDA</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179,838</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209,332</w:t>
            </w: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836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SOURCES AND USES REPORT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June 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4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464,661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445,961</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432,113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Cash from operations</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76,929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75,001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84,294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b w:val="1"/>
                <w:bCs w:val="1"/>
                <w:color w:val="auto"/>
              </w:rPr>
              <w:t>Investments in property and equipment, net</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(40,148)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(40,047)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(41,312)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Exercise of warrants and options, net</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658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b w:val="1"/>
                <w:bCs w:val="1"/>
                <w:color w:val="auto"/>
              </w:rPr>
              <w:t>Debt received (repaid), net</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3,809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(6,656)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Effect of Japanese Yen exchange rate change over cash balance</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(2,909)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4,707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ind w:left="160"/>
              <w:spacing w:after="0"/>
              <w:rPr>
                <w:sz w:val="20"/>
                <w:szCs w:val="20"/>
                <w:color w:val="auto"/>
              </w:rPr>
            </w:pPr>
            <w:r>
              <w:rPr>
                <w:rFonts w:ascii="Arial" w:cs="Arial" w:eastAsia="Arial" w:hAnsi="Arial"/>
                <w:sz w:val="18"/>
                <w:szCs w:val="18"/>
                <w:b w:val="1"/>
                <w:bCs w:val="1"/>
                <w:color w:val="auto"/>
              </w:rPr>
              <w:t>Investments in marketable securities and other assets, net</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(15,488)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(14,963)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3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486,880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464,661</w:t>
            </w:r>
          </w:p>
        </w:tc>
        <w:tc>
          <w:tcPr>
            <w:tcW w:w="14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483,603</w:t>
            </w:r>
          </w:p>
        </w:tc>
        <w:tc>
          <w:tcPr>
            <w:tcW w:w="0" w:type="dxa"/>
            <w:vAlign w:val="bottom"/>
          </w:tcPr>
          <w:p>
            <w:pPr>
              <w:spacing w:after="0"/>
              <w:rPr>
                <w:sz w:val="1"/>
                <w:szCs w:val="1"/>
                <w:color w:val="auto"/>
              </w:rPr>
            </w:pPr>
          </w:p>
        </w:tc>
      </w:tr>
      <w:tr>
        <w:trPr>
          <w:trHeight w:val="21"/>
        </w:trPr>
        <w:tc>
          <w:tcPr>
            <w:tcW w:w="62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b w:val="1"/>
                <w:bCs w:val="1"/>
                <w:color w:val="auto"/>
              </w:rPr>
              <w:t>FREE CASH FLOW</w:t>
            </w:r>
          </w:p>
        </w:tc>
        <w:tc>
          <w:tcPr>
            <w:tcW w:w="13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36,781</w:t>
            </w:r>
          </w:p>
        </w:tc>
        <w:tc>
          <w:tcPr>
            <w:tcW w:w="16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34,954</w:t>
            </w:r>
          </w:p>
        </w:tc>
        <w:tc>
          <w:tcPr>
            <w:tcW w:w="14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42,982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9"/>
          </w:tcPr>
          <w:p>
            <w:pPr>
              <w:jc w:val="right"/>
              <w:ind w:right="840"/>
              <w:spacing w:after="0"/>
              <w:rPr>
                <w:sz w:val="20"/>
                <w:szCs w:val="20"/>
                <w:color w:val="auto"/>
              </w:rPr>
            </w:pPr>
            <w:r>
              <w:rPr>
                <w:rFonts w:ascii="Arial" w:cs="Arial" w:eastAsia="Arial" w:hAnsi="Arial"/>
                <w:sz w:val="18"/>
                <w:szCs w:val="18"/>
                <w:b w:val="1"/>
                <w:bCs w:val="1"/>
                <w:color w:val="auto"/>
              </w:rPr>
              <w:t>Six months ended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4"/>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June 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1360" w:type="dxa"/>
            <w:vAlign w:val="bottom"/>
            <w:gridSpan w:val="3"/>
          </w:tcPr>
          <w:p>
            <w:pPr>
              <w:spacing w:after="0"/>
              <w:rPr>
                <w:sz w:val="18"/>
                <w:szCs w:val="18"/>
                <w:color w:val="auto"/>
              </w:rPr>
            </w:pPr>
          </w:p>
        </w:tc>
        <w:tc>
          <w:tcPr>
            <w:tcW w:w="10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445,961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389,377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Cash from operations</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151,930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166,434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b w:val="1"/>
                <w:bCs w:val="1"/>
                <w:color w:val="auto"/>
              </w:rPr>
              <w:t>Investments in property and equipment, net</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(80,195)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(81,660)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Exercise of warrants and options, net</w:t>
            </w: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684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27,010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b w:val="1"/>
                <w:bCs w:val="1"/>
                <w:color w:val="auto"/>
              </w:rPr>
              <w:t>Debt repaid, net</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(2,847)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(17,460)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Effect of Japanese Yen exchange rate change over cash balance</w:t>
            </w:r>
          </w:p>
        </w:tc>
        <w:tc>
          <w:tcPr>
            <w:tcW w:w="1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1,798</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4,280</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b w:val="1"/>
                <w:bCs w:val="1"/>
                <w:color w:val="auto"/>
              </w:rPr>
              <w:t>TPSCo dividend to Panasonic</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(4,378)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Investments in marketable securities and other assets, net</w:t>
            </w: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(30,451)</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gridSpan w:val="2"/>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gridSpan w:val="2"/>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18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486,880</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483,603</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gridSpan w:val="2"/>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gridSpan w:val="2"/>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w:t>
            </w: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71,735</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84,774</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6220" w:type="dxa"/>
            <w:vAlign w:val="bottom"/>
            <w:tcBorders>
              <w:top w:val="single" w:sz="8" w:color="CCEEFF"/>
              <w:bottom w:val="single" w:sz="8" w:color="auto"/>
            </w:tcBorders>
          </w:tcPr>
          <w:p>
            <w:pPr>
              <w:spacing w:after="0"/>
              <w:rPr>
                <w:sz w:val="24"/>
                <w:szCs w:val="24"/>
                <w:color w:val="auto"/>
              </w:rPr>
            </w:pPr>
          </w:p>
        </w:tc>
        <w:tc>
          <w:tcPr>
            <w:tcW w:w="11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line="266" w:lineRule="auto"/>
        <w:rPr>
          <w:sz w:val="20"/>
          <w:szCs w:val="20"/>
          <w:color w:val="auto"/>
        </w:rPr>
      </w:pPr>
      <w:r>
        <w:rPr>
          <w:rFonts w:ascii="Arial" w:cs="Arial" w:eastAsia="Arial" w:hAnsi="Arial"/>
          <w:sz w:val="18"/>
          <w:szCs w:val="18"/>
          <w:b w:val="1"/>
          <w:bCs w:val="1"/>
          <w:color w:val="auto"/>
        </w:rPr>
        <w:t>TOWER SEMICONDUCTOR LTD. AND SUBSIDIARIES CONDENSED CONSOLIDATED STATEMENTS OF CASH FLOWS (UNAUDITED)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740" w:type="dxa"/>
            <w:vAlign w:val="bottom"/>
            <w:tcBorders>
              <w:bottom w:val="single" w:sz="8" w:color="auto"/>
            </w:tcBorders>
            <w:gridSpan w:val="5"/>
          </w:tcPr>
          <w:p>
            <w:pPr>
              <w:jc w:val="center"/>
              <w:ind w:left="1030"/>
              <w:spacing w:after="0"/>
              <w:rPr>
                <w:sz w:val="20"/>
                <w:szCs w:val="20"/>
                <w:color w:val="auto"/>
              </w:rPr>
            </w:pPr>
            <w:r>
              <w:rPr>
                <w:rFonts w:ascii="Arial" w:cs="Arial" w:eastAsia="Arial" w:hAnsi="Arial"/>
                <w:sz w:val="18"/>
                <w:szCs w:val="18"/>
                <w:b w:val="1"/>
                <w:bCs w:val="1"/>
                <w:color w:val="auto"/>
                <w:w w:val="89"/>
              </w:rPr>
              <w:t>Three months ended</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March 31,</w:t>
            </w:r>
          </w:p>
        </w:tc>
        <w:tc>
          <w:tcPr>
            <w:tcW w:w="1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June 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OPERATING ACTIVITIES</w:t>
            </w:r>
          </w:p>
        </w:tc>
        <w:tc>
          <w:tcPr>
            <w:tcW w:w="1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profit for the period</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36,009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27,181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51,727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Adjustments to reconcile net profit for the period</w:t>
            </w:r>
          </w:p>
        </w:tc>
        <w:tc>
          <w:tcPr>
            <w:tcW w:w="1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 net cash provided by operating activities:</w:t>
            </w:r>
          </w:p>
        </w:tc>
        <w:tc>
          <w:tcPr>
            <w:tcW w:w="1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b w:val="1"/>
                <w:bCs w:val="1"/>
                <w:color w:val="auto"/>
              </w:rPr>
              <w:t>Income and expense items not involving cash flows:</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Depreciation and amortization</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53,493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53,977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52,389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Arial" w:cs="Arial" w:eastAsia="Arial" w:hAnsi="Arial"/>
                <w:sz w:val="18"/>
                <w:szCs w:val="18"/>
                <w:b w:val="1"/>
                <w:bCs w:val="1"/>
                <w:color w:val="auto"/>
              </w:rPr>
              <w:t>Effect of indexation, translation and fair value measurement on debt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(4,797)</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(1,740)</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Other income, net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(1,578)</w:t>
            </w: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b w:val="1"/>
                <w:bCs w:val="1"/>
                <w:color w:val="auto"/>
              </w:rPr>
              <w:t>Changes in assets and liabilities:</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Trade accounts receivable</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(18,351)</w:t>
            </w: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8,089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Arial" w:cs="Arial" w:eastAsia="Arial" w:hAnsi="Arial"/>
                <w:sz w:val="18"/>
                <w:szCs w:val="18"/>
                <w:b w:val="1"/>
                <w:bCs w:val="1"/>
                <w:color w:val="auto"/>
              </w:rPr>
              <w:t>Other current assets</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5,713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3,370</w:t>
            </w: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Inventories</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(6,713)</w:t>
            </w: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(2,692)</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Arial" w:cs="Arial" w:eastAsia="Arial" w:hAnsi="Arial"/>
                <w:sz w:val="18"/>
                <w:szCs w:val="18"/>
                <w:b w:val="1"/>
                <w:bCs w:val="1"/>
                <w:color w:val="auto"/>
              </w:rPr>
              <w:t>Trade accounts payable</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10,222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(6,313)</w:t>
            </w: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Deferred revenue and customers' advances</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(5,466)</w:t>
            </w: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(712)</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Arial" w:cs="Arial" w:eastAsia="Arial" w:hAnsi="Arial"/>
                <w:sz w:val="18"/>
                <w:szCs w:val="18"/>
                <w:b w:val="1"/>
                <w:bCs w:val="1"/>
                <w:color w:val="auto"/>
              </w:rPr>
              <w:t>Other current liabilities</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13,355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(4,219)</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Long-term employee related liabilities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(387)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640"/>
              <w:spacing w:after="0"/>
              <w:rPr>
                <w:sz w:val="20"/>
                <w:szCs w:val="20"/>
                <w:color w:val="auto"/>
              </w:rPr>
            </w:pPr>
            <w:r>
              <w:rPr>
                <w:rFonts w:ascii="Arial" w:cs="Arial" w:eastAsia="Arial" w:hAnsi="Arial"/>
                <w:sz w:val="18"/>
                <w:szCs w:val="18"/>
                <w:b w:val="1"/>
                <w:bCs w:val="1"/>
                <w:color w:val="auto"/>
              </w:rPr>
              <w:t>Deferred tax, net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(5,151)</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(1,531)</w:t>
            </w: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(3,230)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800"/>
              <w:spacing w:after="0"/>
              <w:rPr>
                <w:sz w:val="20"/>
                <w:szCs w:val="20"/>
                <w:color w:val="auto"/>
              </w:rPr>
            </w:pPr>
            <w:r>
              <w:rPr>
                <w:rFonts w:ascii="Arial" w:cs="Arial" w:eastAsia="Arial" w:hAnsi="Arial"/>
                <w:sz w:val="18"/>
                <w:szCs w:val="18"/>
                <w:b w:val="1"/>
                <w:bCs w:val="1"/>
                <w:color w:val="auto"/>
              </w:rPr>
              <w:t>Net cash provided by operating activities</w:t>
            </w: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76,929</w:t>
            </w:r>
          </w:p>
        </w:tc>
        <w:tc>
          <w:tcPr>
            <w:tcW w:w="20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75,001</w:t>
            </w:r>
          </w:p>
        </w:tc>
        <w:tc>
          <w:tcPr>
            <w:tcW w:w="22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84,294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INVESTING ACTIVITIES</w:t>
            </w:r>
          </w:p>
        </w:tc>
        <w:tc>
          <w:tcPr>
            <w:tcW w:w="1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Investments in property and equipment, net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(40,148)</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(40,047)</w:t>
            </w: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(41,312)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Investments in marketable securities and other assets, net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(15,488)</w:t>
            </w: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(14,963)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800"/>
              <w:spacing w:after="0"/>
              <w:rPr>
                <w:sz w:val="20"/>
                <w:szCs w:val="20"/>
                <w:color w:val="auto"/>
              </w:rPr>
            </w:pPr>
            <w:r>
              <w:rPr>
                <w:rFonts w:ascii="Arial" w:cs="Arial" w:eastAsia="Arial" w:hAnsi="Arial"/>
                <w:sz w:val="18"/>
                <w:szCs w:val="18"/>
                <w:b w:val="1"/>
                <w:bCs w:val="1"/>
                <w:color w:val="auto"/>
              </w:rPr>
              <w:t>Net cash used in investing activities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(55,636)</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(55,010)</w:t>
            </w: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(41,312)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FLOWS - FINANCING ACTIVITIES</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Debt received (repaid), net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3,809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(6,656)</w:t>
            </w: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Exercise of warrants and options, net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658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14,254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80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3,835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(5,998)</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8,599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EFFECT OF FOREIGN CURRENCY EXCHANGE RATE CHANGE</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(2,909)</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4,707</w:t>
            </w:r>
          </w:p>
        </w:tc>
        <w:tc>
          <w:tcPr>
            <w:tcW w:w="16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INCREASE IN CASH AND CASH EQUIVALENTS</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22,219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18,700</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51,490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464,661</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445,961</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432,113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486,880</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464,661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483,603</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7420" w:type="dxa"/>
            <w:vAlign w:val="bottom"/>
            <w:tcBorders>
              <w:top w:val="single" w:sz="8" w:color="CCEEFF"/>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15" w:name="page16"/>
    <w:bookmarkEnd w:id="15"/>
    <w:p>
      <w:pPr>
        <w:jc w:val="center"/>
        <w:spacing w:after="0" w:line="266" w:lineRule="auto"/>
        <w:rPr>
          <w:sz w:val="20"/>
          <w:szCs w:val="20"/>
          <w:color w:val="auto"/>
        </w:rPr>
      </w:pPr>
      <w:r>
        <w:rPr>
          <w:rFonts w:ascii="Arial" w:cs="Arial" w:eastAsia="Arial" w:hAnsi="Arial"/>
          <w:sz w:val="18"/>
          <w:szCs w:val="18"/>
          <w:b w:val="1"/>
          <w:bCs w:val="1"/>
          <w:color w:val="auto"/>
        </w:rPr>
        <w:t>TOWER SEMICONDUCTOR LTD. AND SUBSIDIARIES CONDENSED CONSOLIDATED STATEMENTS OF CASH FLOWS (UNAUDITED)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97"/>
              </w:rPr>
              <w:t>June 30,</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June 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OPERATING ACTIVITIES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profit for the period</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63,190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98,773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Adjustments to reconcile net profit for the period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 net cash provided by operating activities: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80"/>
              <w:spacing w:after="0"/>
              <w:rPr>
                <w:sz w:val="20"/>
                <w:szCs w:val="20"/>
                <w:color w:val="auto"/>
              </w:rPr>
            </w:pPr>
            <w:r>
              <w:rPr>
                <w:rFonts w:ascii="Arial" w:cs="Arial" w:eastAsia="Arial" w:hAnsi="Arial"/>
                <w:sz w:val="18"/>
                <w:szCs w:val="18"/>
                <w:b w:val="1"/>
                <w:bCs w:val="1"/>
                <w:color w:val="auto"/>
              </w:rPr>
              <w:t>Income and expense items not involving cash flows: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Depreciation and amortization</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107,470</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102,087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40"/>
              <w:spacing w:after="0"/>
              <w:rPr>
                <w:sz w:val="20"/>
                <w:szCs w:val="20"/>
                <w:color w:val="auto"/>
              </w:rPr>
            </w:pPr>
            <w:r>
              <w:rPr>
                <w:rFonts w:ascii="Arial" w:cs="Arial" w:eastAsia="Arial" w:hAnsi="Arial"/>
                <w:sz w:val="18"/>
                <w:szCs w:val="18"/>
                <w:b w:val="1"/>
                <w:bCs w:val="1"/>
                <w:color w:val="auto"/>
              </w:rPr>
              <w:t>Effect of indexation, translation and fair value measurement on debt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(6,537)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11,761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8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Other income, net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(1,600)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(653)</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80"/>
              <w:spacing w:after="0"/>
              <w:rPr>
                <w:sz w:val="20"/>
                <w:szCs w:val="20"/>
                <w:color w:val="auto"/>
              </w:rPr>
            </w:pPr>
            <w:r>
              <w:rPr>
                <w:rFonts w:ascii="Arial" w:cs="Arial" w:eastAsia="Arial" w:hAnsi="Arial"/>
                <w:sz w:val="18"/>
                <w:szCs w:val="18"/>
                <w:b w:val="1"/>
                <w:bCs w:val="1"/>
                <w:color w:val="auto"/>
              </w:rPr>
              <w:t>Changes in assets and 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Trade accounts receivable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(10,262)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40"/>
              <w:spacing w:after="0"/>
              <w:rPr>
                <w:sz w:val="20"/>
                <w:szCs w:val="20"/>
                <w:color w:val="auto"/>
              </w:rPr>
            </w:pPr>
            <w:r>
              <w:rPr>
                <w:rFonts w:ascii="Arial" w:cs="Arial" w:eastAsia="Arial" w:hAnsi="Arial"/>
                <w:sz w:val="18"/>
                <w:szCs w:val="18"/>
                <w:b w:val="1"/>
                <w:bCs w:val="1"/>
                <w:color w:val="auto"/>
              </w:rPr>
              <w:t>Other current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9,083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Inventories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(9,405)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40"/>
              <w:spacing w:after="0"/>
              <w:rPr>
                <w:sz w:val="20"/>
                <w:szCs w:val="20"/>
                <w:color w:val="auto"/>
              </w:rPr>
            </w:pPr>
            <w:r>
              <w:rPr>
                <w:rFonts w:ascii="Arial" w:cs="Arial" w:eastAsia="Arial" w:hAnsi="Arial"/>
                <w:sz w:val="18"/>
                <w:szCs w:val="18"/>
                <w:b w:val="1"/>
                <w:bCs w:val="1"/>
                <w:color w:val="auto"/>
              </w:rPr>
              <w:t>Trade accounts payable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3,909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Deferred revenue and customers' advances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(6,178)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40"/>
              <w:spacing w:after="0"/>
              <w:rPr>
                <w:sz w:val="20"/>
                <w:szCs w:val="20"/>
                <w:color w:val="auto"/>
              </w:rPr>
            </w:pPr>
            <w:r>
              <w:rPr>
                <w:rFonts w:ascii="Arial" w:cs="Arial" w:eastAsia="Arial" w:hAnsi="Arial"/>
                <w:sz w:val="18"/>
                <w:szCs w:val="18"/>
                <w:b w:val="1"/>
                <w:bCs w:val="1"/>
                <w:color w:val="auto"/>
              </w:rPr>
              <w:t>Other current 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9,136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Long-term employee related 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640"/>
              <w:spacing w:after="0"/>
              <w:rPr>
                <w:sz w:val="20"/>
                <w:szCs w:val="20"/>
                <w:color w:val="auto"/>
              </w:rPr>
            </w:pPr>
            <w:r>
              <w:rPr>
                <w:rFonts w:ascii="Arial" w:cs="Arial" w:eastAsia="Arial" w:hAnsi="Arial"/>
                <w:sz w:val="18"/>
                <w:szCs w:val="18"/>
                <w:b w:val="1"/>
                <w:bCs w:val="1"/>
                <w:color w:val="auto"/>
              </w:rPr>
              <w:t>Deferred tax, net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(6,682)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(5,670)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151,930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166,434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INVESTING ACTIVITIES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b w:val="1"/>
                <w:bCs w:val="1"/>
                <w:color w:val="auto"/>
              </w:rPr>
              <w:t>Investments in property and equipment, net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(80,195)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(81,660)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Investments in marketable securities and other assets,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(30,451)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80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(110,646)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(81,660)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CASH FLOWS - FINANCING ACTIVITIES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b w:val="1"/>
                <w:bCs w:val="1"/>
                <w:color w:val="auto"/>
              </w:rPr>
              <w:t>Debt repaid, net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(2,847)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(17,460)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Exercise of warrants and options,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27,010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160"/>
              <w:spacing w:after="0"/>
              <w:rPr>
                <w:sz w:val="20"/>
                <w:szCs w:val="20"/>
                <w:color w:val="auto"/>
              </w:rPr>
            </w:pPr>
            <w:r>
              <w:rPr>
                <w:rFonts w:ascii="Arial" w:cs="Arial" w:eastAsia="Arial" w:hAnsi="Arial"/>
                <w:sz w:val="18"/>
                <w:szCs w:val="18"/>
                <w:b w:val="1"/>
                <w:bCs w:val="1"/>
                <w:color w:val="auto"/>
              </w:rPr>
              <w:t>Dividend paid to Panasonic</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(4,378)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5,172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EFFECT OF FOREIGN CURRENCY EXCHANGE RATE CHANGE</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4,280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IN CASH AND CASH EQUIVALENTS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40,919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94,226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445,961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389,377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486,880</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483,603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20" w:type="dxa"/>
            <w:vAlign w:val="bottom"/>
          </w:tcPr>
          <w:p>
            <w:pPr>
              <w:spacing w:after="0"/>
              <w:rPr>
                <w:sz w:val="24"/>
                <w:szCs w:val="24"/>
                <w:color w:val="auto"/>
              </w:rPr>
            </w:pPr>
          </w:p>
        </w:tc>
        <w:tc>
          <w:tcPr>
            <w:tcW w:w="8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lowerRoman"/>
      <w:start w:val="7"/>
    </w:lvl>
  </w:abstractNum>
  <w:abstractNum w:abstractNumId="4">
    <w:nsid w:val="46E87CCD"/>
    <w:multiLevelType w:val="hybridMultilevel"/>
    <w:lvl w:ilvl="0">
      <w:lvlJc w:val="left"/>
      <w:lvlText w:val="(%1)"/>
      <w:numFmt w:val="lowerRoman"/>
      <w:start w:val="1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2019-12-06T02:50:50Z</dcterms:created>
  <dcterms:modified xsi:type="dcterms:W3CDTF">2019-12-06T02:50:50Z</dcterms:modified>
</cp:coreProperties>
</file>