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188595</wp:posOffset>
            </wp:positionH>
            <wp:positionV relativeFrom="page">
              <wp:posOffset>137795</wp:posOffset>
            </wp:positionV>
            <wp:extent cx="71710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055" cy="24765"/>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224155</wp:posOffset>
            </wp:positionV>
            <wp:extent cx="71710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1055" cy="6350"/>
                    </a:xfrm>
                    <a:prstGeom prst="rect">
                      <a:avLst/>
                    </a:prstGeom>
                    <a:noFill/>
                  </pic:spPr>
                </pic:pic>
              </a:graphicData>
            </a:graphic>
          </wp:anchor>
        </w:drawing>
        <w:t>UNITED STATES</w:t>
      </w:r>
    </w:p>
    <w:p>
      <w:pPr>
        <w:spacing w:after="0" w:line="32"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color w:val="auto"/>
        </w:rPr>
        <w:t>Washington, D.C. 20549</w:t>
      </w:r>
    </w:p>
    <w:p>
      <w:pPr>
        <w:spacing w:after="0" w:line="20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REPORT OF FOREIGN PRIVATE ISSUER PURSUANT TO RULE 13a-16 OR 15d-16</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20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color w:val="auto"/>
        </w:rPr>
        <w:t>For the month of February 2023 No.1</w:t>
      </w:r>
    </w:p>
    <w:p>
      <w:pPr>
        <w:spacing w:after="0" w:line="21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color w:val="auto"/>
        </w:rPr>
        <w:t>Commission File Number 0-24790</w:t>
      </w:r>
    </w:p>
    <w:p>
      <w:pPr>
        <w:spacing w:after="0" w:line="20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21"/>
          <w:szCs w:val="21"/>
          <w:b w:val="1"/>
          <w:bCs w:val="1"/>
          <w:color w:val="auto"/>
        </w:rPr>
        <w:t>TOWER SEMICONDUCTOR LTD.</w:t>
      </w:r>
    </w:p>
    <w:p>
      <w:pPr>
        <w:spacing w:after="0" w:line="3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20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Ramat Gavriel Industrial Park</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P.O. Box 619, Migdal Haemek, Israel 2310502</w:t>
      </w:r>
    </w:p>
    <w:p>
      <w:pPr>
        <w:spacing w:after="0" w:line="2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88" w:lineRule="exact"/>
        <w:rPr>
          <w:sz w:val="24"/>
          <w:szCs w:val="24"/>
          <w:color w:val="auto"/>
        </w:rPr>
      </w:pPr>
    </w:p>
    <w:p>
      <w:pPr>
        <w:ind w:left="4340"/>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-293370</wp:posOffset>
            </wp:positionH>
            <wp:positionV relativeFrom="paragraph">
              <wp:posOffset>237490</wp:posOffset>
            </wp:positionV>
            <wp:extent cx="717105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9699"/>
          </w:cols>
          <w:pgMar w:left="760" w:top="428"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5"/>
          <w:szCs w:val="15"/>
          <w:color w:val="auto"/>
        </w:rPr>
        <w:t>On February 16, 2023, the Registrant announced its fourth quarter and full year 2022 results. Attached hereto is the following exhibit:</w:t>
      </w: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3"/>
          <w:szCs w:val="13"/>
          <w:u w:val="single" w:color="auto"/>
          <w:color w:val="0000EE"/>
        </w:rPr>
        <w:t>Exhibit 99.1</w:t>
      </w:r>
      <w:r>
        <w:rPr>
          <w:sz w:val="20"/>
          <w:szCs w:val="20"/>
          <w:color w:val="auto"/>
        </w:rPr>
        <w:tab/>
      </w:r>
      <w:r>
        <w:rPr>
          <w:rFonts w:ascii="Times New Roman" w:cs="Times New Roman" w:eastAsia="Times New Roman" w:hAnsi="Times New Roman"/>
          <w:sz w:val="12"/>
          <w:szCs w:val="12"/>
          <w:u w:val="single" w:color="auto"/>
          <w:color w:val="0000EE"/>
        </w:rPr>
        <w:t>Press release dated February 16, 2023</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following financial tables included in Exhibit 99.1 are hereby incorporated by reference into the Registrant’s Registration Statement on Form S-8 (File No. 333-204173 ):</w:t>
      </w:r>
    </w:p>
    <w:p>
      <w:pPr>
        <w:spacing w:after="0" w:line="210" w:lineRule="exact"/>
        <w:rPr>
          <w:sz w:val="20"/>
          <w:szCs w:val="20"/>
          <w:color w:val="auto"/>
        </w:rPr>
      </w:pPr>
    </w:p>
    <w:p>
      <w:pPr>
        <w:ind w:left="920" w:hanging="237"/>
        <w:spacing w:after="0"/>
        <w:tabs>
          <w:tab w:leader="none" w:pos="9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Condensed Consolidated Balance Sheets (Unaudited)</w:t>
      </w:r>
    </w:p>
    <w:p>
      <w:pPr>
        <w:spacing w:after="0" w:line="198" w:lineRule="exact"/>
        <w:rPr>
          <w:rFonts w:ascii="Times New Roman" w:cs="Times New Roman" w:eastAsia="Times New Roman" w:hAnsi="Times New Roman"/>
          <w:sz w:val="13"/>
          <w:szCs w:val="13"/>
          <w:color w:val="auto"/>
        </w:rPr>
      </w:pPr>
    </w:p>
    <w:p>
      <w:pPr>
        <w:ind w:left="920" w:hanging="237"/>
        <w:spacing w:after="0"/>
        <w:tabs>
          <w:tab w:leader="none" w:pos="9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Condensed Consolidated Statements of Operations (Unaudited)</w:t>
      </w:r>
    </w:p>
    <w:p>
      <w:pPr>
        <w:spacing w:after="0" w:line="198" w:lineRule="exact"/>
        <w:rPr>
          <w:rFonts w:ascii="Times New Roman" w:cs="Times New Roman" w:eastAsia="Times New Roman" w:hAnsi="Times New Roman"/>
          <w:sz w:val="13"/>
          <w:szCs w:val="13"/>
          <w:color w:val="auto"/>
        </w:rPr>
      </w:pPr>
    </w:p>
    <w:p>
      <w:pPr>
        <w:ind w:left="920" w:hanging="237"/>
        <w:spacing w:after="0"/>
        <w:tabs>
          <w:tab w:leader="none" w:pos="9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Condensed Consolidated Statement of Changes in Shareholders' Equity (Unaudited)</w:t>
      </w:r>
    </w:p>
    <w:p>
      <w:pPr>
        <w:spacing w:after="0" w:line="198" w:lineRule="exact"/>
        <w:rPr>
          <w:rFonts w:ascii="Times New Roman" w:cs="Times New Roman" w:eastAsia="Times New Roman" w:hAnsi="Times New Roman"/>
          <w:sz w:val="13"/>
          <w:szCs w:val="13"/>
          <w:color w:val="auto"/>
        </w:rPr>
      </w:pPr>
    </w:p>
    <w:p>
      <w:pPr>
        <w:ind w:left="920" w:hanging="237"/>
        <w:spacing w:after="0"/>
        <w:tabs>
          <w:tab w:leader="none" w:pos="9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213995</wp:posOffset>
            </wp:positionV>
            <wp:extent cx="717105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220"/>
          </w:cols>
          <w:pgMar w:left="300" w:top="32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18" w:lineRule="exact"/>
        <w:rPr>
          <w:sz w:val="20"/>
          <w:szCs w:val="20"/>
          <w:color w:val="auto"/>
        </w:rPr>
      </w:pPr>
    </w:p>
    <w:p>
      <w:pPr>
        <w:ind w:right="260" w:firstLine="457"/>
        <w:spacing w:after="0" w:line="30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60" w:type="dxa"/>
            <w:vAlign w:val="bottom"/>
          </w:tcPr>
          <w:p>
            <w:pPr>
              <w:spacing w:after="0"/>
              <w:rPr>
                <w:sz w:val="14"/>
                <w:szCs w:val="14"/>
                <w:color w:val="auto"/>
              </w:rPr>
            </w:pPr>
          </w:p>
        </w:tc>
        <w:tc>
          <w:tcPr>
            <w:tcW w:w="5580" w:type="dxa"/>
            <w:vAlign w:val="bottom"/>
            <w:gridSpan w:val="2"/>
          </w:tcPr>
          <w:p>
            <w:pPr>
              <w:ind w:left="2180"/>
              <w:spacing w:after="0"/>
              <w:rPr>
                <w:sz w:val="20"/>
                <w:szCs w:val="20"/>
                <w:color w:val="auto"/>
              </w:rPr>
            </w:pPr>
            <w:r>
              <w:rPr>
                <w:rFonts w:ascii="Times New Roman" w:cs="Times New Roman" w:eastAsia="Times New Roman" w:hAnsi="Times New Roman"/>
                <w:sz w:val="13"/>
                <w:szCs w:val="13"/>
                <w:b w:val="1"/>
                <w:bCs w:val="1"/>
                <w:color w:val="auto"/>
              </w:rPr>
              <w:t>TOWER SEMICONDUCTOR LTD.</w:t>
            </w:r>
          </w:p>
        </w:tc>
        <w:tc>
          <w:tcPr>
            <w:tcW w:w="2260" w:type="dxa"/>
            <w:vAlign w:val="bottom"/>
          </w:tcPr>
          <w:p>
            <w:pPr>
              <w:spacing w:after="0"/>
              <w:rPr>
                <w:sz w:val="14"/>
                <w:szCs w:val="14"/>
                <w:color w:val="auto"/>
              </w:rPr>
            </w:pPr>
          </w:p>
        </w:tc>
      </w:tr>
      <w:tr>
        <w:trPr>
          <w:trHeight w:val="32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Date: February 16, 2023</w:t>
            </w:r>
          </w:p>
        </w:tc>
        <w:tc>
          <w:tcPr>
            <w:tcW w:w="2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By:</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Nati Somekh</w:t>
            </w:r>
          </w:p>
        </w:tc>
        <w:tc>
          <w:tcPr>
            <w:tcW w:w="2260" w:type="dxa"/>
            <w:vAlign w:val="bottom"/>
          </w:tcPr>
          <w:p>
            <w:pPr>
              <w:spacing w:after="0"/>
              <w:rPr>
                <w:sz w:val="24"/>
                <w:szCs w:val="24"/>
                <w:color w:val="auto"/>
              </w:rPr>
            </w:pPr>
          </w:p>
        </w:tc>
      </w:tr>
      <w:tr>
        <w:trPr>
          <w:trHeight w:val="151"/>
        </w:trPr>
        <w:tc>
          <w:tcPr>
            <w:tcW w:w="3460" w:type="dxa"/>
            <w:vAlign w:val="bottom"/>
          </w:tcPr>
          <w:p>
            <w:pPr>
              <w:spacing w:after="0"/>
              <w:rPr>
                <w:sz w:val="13"/>
                <w:szCs w:val="13"/>
                <w:color w:val="auto"/>
              </w:rPr>
            </w:pPr>
          </w:p>
        </w:tc>
        <w:tc>
          <w:tcPr>
            <w:tcW w:w="2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Name:</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Nati Somekh</w:t>
            </w:r>
          </w:p>
        </w:tc>
        <w:tc>
          <w:tcPr>
            <w:tcW w:w="2260" w:type="dxa"/>
            <w:vAlign w:val="bottom"/>
          </w:tcPr>
          <w:p>
            <w:pPr>
              <w:spacing w:after="0"/>
              <w:rPr>
                <w:sz w:val="13"/>
                <w:szCs w:val="13"/>
                <w:color w:val="auto"/>
              </w:rPr>
            </w:pPr>
          </w:p>
        </w:tc>
      </w:tr>
      <w:tr>
        <w:trPr>
          <w:trHeight w:val="167"/>
        </w:trPr>
        <w:tc>
          <w:tcPr>
            <w:tcW w:w="3460" w:type="dxa"/>
            <w:vAlign w:val="bottom"/>
          </w:tcPr>
          <w:p>
            <w:pPr>
              <w:spacing w:after="0"/>
              <w:rPr>
                <w:sz w:val="14"/>
                <w:szCs w:val="14"/>
                <w:color w:val="auto"/>
              </w:rPr>
            </w:pPr>
          </w:p>
        </w:tc>
        <w:tc>
          <w:tcPr>
            <w:tcW w:w="2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Title:</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Corporate Secretary</w:t>
            </w:r>
          </w:p>
        </w:tc>
        <w:tc>
          <w:tcPr>
            <w:tcW w:w="2260" w:type="dxa"/>
            <w:vAlign w:val="bottom"/>
          </w:tcPr>
          <w:p>
            <w:pPr>
              <w:spacing w:after="0"/>
              <w:rPr>
                <w:sz w:val="14"/>
                <w:szCs w:val="14"/>
                <w:color w:val="auto"/>
              </w:rPr>
            </w:pPr>
          </w:p>
        </w:tc>
      </w:tr>
      <w:tr>
        <w:trPr>
          <w:trHeight w:val="261"/>
        </w:trPr>
        <w:tc>
          <w:tcPr>
            <w:tcW w:w="3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spacing w:after="0"/>
              <w:rPr>
                <w:sz w:val="22"/>
                <w:szCs w:val="22"/>
                <w:color w:val="auto"/>
              </w:rPr>
            </w:pPr>
          </w:p>
        </w:tc>
      </w:tr>
      <w:tr>
        <w:trPr>
          <w:trHeight w:val="105"/>
        </w:trPr>
        <w:tc>
          <w:tcPr>
            <w:tcW w:w="346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r>
    </w:tbl>
    <w:p>
      <w:pPr>
        <w:sectPr>
          <w:pgSz w:w="11900" w:h="16838" w:orient="portrait"/>
          <w:cols w:equalWidth="0" w:num="1">
            <w:col w:w="11300"/>
          </w:cols>
          <w:pgMar w:left="300" w:top="320"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055"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24765"/>
                    </a:xfrm>
                    <a:prstGeom prst="rect">
                      <a:avLst/>
                    </a:prstGeom>
                    <a:noFill/>
                  </pic:spPr>
                </pic:pic>
              </a:graphicData>
            </a:graphic>
          </wp:anchor>
        </w:drawing>
        <w:drawing>
          <wp:anchor simplePos="0" relativeHeight="251657728" behindDoc="1" locked="0" layoutInCell="0" allowOverlap="1">
            <wp:simplePos x="0" y="0"/>
            <wp:positionH relativeFrom="page">
              <wp:posOffset>188595</wp:posOffset>
            </wp:positionH>
            <wp:positionV relativeFrom="page">
              <wp:posOffset>174625</wp:posOffset>
            </wp:positionV>
            <wp:extent cx="71710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055" cy="635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Reports 2022 Fourth Quarter and Full Year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Full Year Record Revenue of $1.68 Billion;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Increased Profitability Resulting in 16% Net Margin for 2022</w:t>
      </w:r>
    </w:p>
    <w:p>
      <w:pPr>
        <w:spacing w:after="0" w:line="20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MIGDAL HAEMEK, ISRAEL – February 16, 2023 – </w:t>
      </w:r>
      <w:r>
        <w:rPr>
          <w:rFonts w:ascii="Times New Roman" w:cs="Times New Roman" w:eastAsia="Times New Roman" w:hAnsi="Times New Roman"/>
          <w:sz w:val="15"/>
          <w:szCs w:val="15"/>
          <w:color w:val="auto"/>
        </w:rPr>
        <w:t>Tower Semiconductor (NASDAQ: TSEM &amp; TASE: TSEM) reports today its results for the fourth quarter and for the year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Fourth Quarter of 2022 Results Overview</w:t>
      </w:r>
    </w:p>
    <w:p>
      <w:pPr>
        <w:spacing w:after="0" w:line="2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Revenue </w:t>
      </w:r>
      <w:r>
        <w:rPr>
          <w:rFonts w:ascii="Times New Roman" w:cs="Times New Roman" w:eastAsia="Times New Roman" w:hAnsi="Times New Roman"/>
          <w:sz w:val="15"/>
          <w:szCs w:val="15"/>
          <w:color w:val="auto"/>
        </w:rPr>
        <w:t>for the fourth quarter of 2022 was $403 million, as compared to $412 million in the fourth quarter of 2021. Organic revenue for the fourth quarter of 2022, defined as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revenue excluding revenues from Nuvoton in the Japanese fabs and from Maxim in the San Antonio fab, increased by 6% year over year. Revenue for the third quarter of 2022 was $427 million.</w:t>
      </w:r>
    </w:p>
    <w:p>
      <w:pPr>
        <w:spacing w:after="0" w:line="14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15"/>
          <w:szCs w:val="15"/>
          <w:color w:val="auto"/>
        </w:rPr>
        <w:t>for the fourth quarter of 2022 was $125 million, 25% higher than $100 million recorded in the fourth quarter of 2021, mainly due to replacing approximately $20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million of contractual revenue from Arai, following the previously disclosed cessation of its operations, with higher margin organic foundry customer revenue. Gross profit in the third quarter of 2022 was $125 million.</w:t>
      </w:r>
    </w:p>
    <w:p>
      <w:pPr>
        <w:spacing w:after="0" w:line="14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Operating profit </w:t>
      </w:r>
      <w:r>
        <w:rPr>
          <w:rFonts w:ascii="Times New Roman" w:cs="Times New Roman" w:eastAsia="Times New Roman" w:hAnsi="Times New Roman"/>
          <w:sz w:val="15"/>
          <w:szCs w:val="15"/>
          <w:color w:val="auto"/>
        </w:rPr>
        <w:t>for the fourth quarter of 2022 was $99 million, 77% higher than the $56 million recorded in the fourth quarter of 2021. Operating profit in the third quarter of 2022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was $79 million. Our operating profits for 2022 included restructuring income and cost relating to the previously disclosed Arai cessation of operations which occurred during 2022 as part of reorganizing and restructuring our Japan operations. All such related income and cost are presented in a separate line as restructuring income, net, in the amount of $14 million for the three months ended December 31, 2022, as compared with $4 million cost 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184785</wp:posOffset>
            </wp:positionV>
            <wp:extent cx="717105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0"/>
          </w:cols>
          <w:pgMar w:left="300" w:top="339" w:right="299" w:bottom="1440" w:gutter="0" w:footer="0" w:header="0"/>
        </w:sectPr>
      </w:pPr>
    </w:p>
    <w:bookmarkStart w:id="4" w:name="page5"/>
    <w:bookmarkEnd w:id="4"/>
    <w:p>
      <w:pPr>
        <w:jc w:val="both"/>
        <w:ind w:right="20"/>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Net profit </w:t>
      </w:r>
      <w:r>
        <w:rPr>
          <w:rFonts w:ascii="Times New Roman" w:cs="Times New Roman" w:eastAsia="Times New Roman" w:hAnsi="Times New Roman"/>
          <w:sz w:val="15"/>
          <w:szCs w:val="15"/>
          <w:color w:val="auto"/>
        </w:rPr>
        <w:t>for the fourth quarter of 2022 was $83 million, or $0.76 basic and $0.75 diluted earnings per share, 61% higher than the $52 million or $0.48 basic and $0.47 diluted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earnings per share recorded in the fourth quarter of 2021. Net profit in the third quarter of 2022 was $69 million, which represented $0.63 basic and $0.62 diluted earnings per share.</w:t>
      </w:r>
    </w:p>
    <w:p>
      <w:pPr>
        <w:spacing w:after="0" w:line="13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Cash flow </w:t>
      </w:r>
      <w:r>
        <w:rPr>
          <w:rFonts w:ascii="Times New Roman" w:cs="Times New Roman" w:eastAsia="Times New Roman" w:hAnsi="Times New Roman"/>
          <w:sz w:val="15"/>
          <w:szCs w:val="15"/>
          <w:color w:val="auto"/>
        </w:rPr>
        <w:t>generated from operating activities in the fourth quarter of 2022 was $133 million with investment in fixed assets of $38 million, net of proceeds from machinery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equipment sold during the quarter, including as part of Arai fab cessation of operations. During the fourth quarter of 2022, the company repaid $11 million of its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Full year 2022 Results Overview</w:t>
      </w:r>
    </w:p>
    <w:p>
      <w:pPr>
        <w:spacing w:after="0" w:line="21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Revenue </w:t>
      </w:r>
      <w:r>
        <w:rPr>
          <w:rFonts w:ascii="Times New Roman" w:cs="Times New Roman" w:eastAsia="Times New Roman" w:hAnsi="Times New Roman"/>
          <w:sz w:val="15"/>
          <w:szCs w:val="15"/>
          <w:color w:val="auto"/>
        </w:rPr>
        <w:t>for the full year of 2022 was $1.68 billion, as compared to $1.51 billion in 2021, reflecting 11% year over year revenue growth and 23% year over year organic revenue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growth (as defined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Gross profit </w:t>
      </w:r>
      <w:r>
        <w:rPr>
          <w:rFonts w:ascii="Times New Roman" w:cs="Times New Roman" w:eastAsia="Times New Roman" w:hAnsi="Times New Roman"/>
          <w:sz w:val="15"/>
          <w:szCs w:val="15"/>
          <w:color w:val="auto"/>
        </w:rPr>
        <w:t>for the full year of 2022 was $466 million, 42% higher than $329 million in 2021.</w:t>
      </w:r>
    </w:p>
    <w:p>
      <w:pPr>
        <w:spacing w:after="0" w:line="21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Operating profit </w:t>
      </w:r>
      <w:r>
        <w:rPr>
          <w:rFonts w:ascii="Times New Roman" w:cs="Times New Roman" w:eastAsia="Times New Roman" w:hAnsi="Times New Roman"/>
          <w:sz w:val="15"/>
          <w:szCs w:val="15"/>
          <w:color w:val="auto"/>
        </w:rPr>
        <w:t>for the full year of 2022 was $312 million, 87% higher than the $167 million in 2021. Our operating profit for 2022 included restructuring income, net relating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previously disclosed Arai cessation of operations which occurred during 2022 as part of reorganizing and restructuring our Japan operations. All such related income and cost are presented in a separate line as restructuring income, net, in the amount of $10 million for the year ended December 31, 2022.</w:t>
      </w:r>
    </w:p>
    <w:p>
      <w:pPr>
        <w:spacing w:after="0" w:line="14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Net profit </w:t>
      </w:r>
      <w:r>
        <w:rPr>
          <w:rFonts w:ascii="Times New Roman" w:cs="Times New Roman" w:eastAsia="Times New Roman" w:hAnsi="Times New Roman"/>
          <w:sz w:val="15"/>
          <w:szCs w:val="15"/>
          <w:color w:val="auto"/>
        </w:rPr>
        <w:t>for the full year of 2022 was $265 million, representing 16% net profit margins or $2.42 basic and $2.39 diluted earnings per share, 76% higher than the $150 million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$1.39 basic and $1.37 diluted earnings per share in 2021.</w:t>
      </w:r>
    </w:p>
    <w:p>
      <w:pPr>
        <w:spacing w:after="0" w:line="13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5"/>
          <w:szCs w:val="15"/>
          <w:b w:val="1"/>
          <w:bCs w:val="1"/>
          <w:color w:val="auto"/>
        </w:rPr>
        <w:t xml:space="preserve">Cash flow </w:t>
      </w:r>
      <w:r>
        <w:rPr>
          <w:rFonts w:ascii="Times New Roman" w:cs="Times New Roman" w:eastAsia="Times New Roman" w:hAnsi="Times New Roman"/>
          <w:sz w:val="15"/>
          <w:szCs w:val="15"/>
          <w:color w:val="auto"/>
        </w:rPr>
        <w:t>generated from operating activities for the full year of 2022 was $530 million with investment in fixed assets of $214 million, net of proceeds from machinery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equipment sold during the year, including as part of Arai fab cessation of operations. During the year ended December 31, 2022, the company repaid $78 million of its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Guidance and Conference Call</w:t>
      </w:r>
    </w:p>
    <w:p>
      <w:pPr>
        <w:spacing w:after="0" w:line="3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5"/>
          <w:szCs w:val="15"/>
          <w:color w:val="auto"/>
        </w:rPr>
        <w:t>In light of the Company’s definitive agreement with Intel Corporation, as announced on February 15, 2022, the Company is not providing revenue guidance for the first quarter 2023 and will not host an earnings conference call.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This release is available on Company’s website: </w:t>
      </w:r>
      <w:r>
        <w:rPr>
          <w:rFonts w:ascii="Times New Roman" w:cs="Times New Roman" w:eastAsia="Times New Roman" w:hAnsi="Times New Roman"/>
          <w:sz w:val="15"/>
          <w:szCs w:val="15"/>
          <w:u w:val="single" w:color="auto"/>
          <w:color w:val="auto"/>
        </w:rPr>
        <w:t>https://towersemi.com/2023/02/16/02162023/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171055"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5"/>
          <w:szCs w:val="15"/>
          <w:i w:val="1"/>
          <w:iCs w:val="1"/>
          <w:color w:val="auto"/>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(2) compensation expenses in respect of equity grants to directors, officers, and employees and (3) restructuring income, net, which includes income, net of cost associated with the cessation of operations of the Arai manufacturing factory in Japan which occurred during 2022 in the amount of approximately $</w:t>
      </w:r>
      <w:r>
        <w:rPr>
          <w:rFonts w:ascii="Times New Roman" w:cs="Times New Roman" w:eastAsia="Times New Roman" w:hAnsi="Times New Roman"/>
          <w:sz w:val="15"/>
          <w:szCs w:val="15"/>
          <w:color w:val="auto"/>
        </w:rPr>
        <w:t>14</w:t>
      </w:r>
      <w:r>
        <w:rPr>
          <w:rFonts w:ascii="Times New Roman" w:cs="Times New Roman" w:eastAsia="Times New Roman" w:hAnsi="Times New Roman"/>
          <w:sz w:val="15"/>
          <w:szCs w:val="15"/>
          <w:i w:val="1"/>
          <w:iCs w:val="1"/>
          <w:color w:val="auto"/>
        </w:rPr>
        <w:t xml:space="preserve"> million income, net for the three months ended December 31, 2022 as compared to $4 million restructuring related cost for the three months ended September 30, 2022 and as compared to $</w:t>
      </w: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i w:val="1"/>
          <w:iCs w:val="1"/>
          <w:color w:val="auto"/>
        </w:rPr>
        <w:t xml:space="preserve"> million restructuring income, net for the year ended December 31, 2022.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and (iv) restructuring cost (income, net) in relation to the Arai manufacturing factory in Japan, as described in (3) above. EBITDA is reconciled in the tables below from GAAP operating profit. EBITDA is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$133 million, $122 million and $134 million for the three months periods ended December 31, 2022, September 30, 2022 and December 31, 2021, respectively and in the amounts of $530 million and $421 million for the years ended December 31, 2022 and December 31, 2021, respectively) less cash used for investments in property and equipment, net (in the amounts of $38 million, $45 million and $86 million for the three months periods ended December 31, 2022, September 30, 2022 and December 31, 2021, respectively and in the amounts of $214 million and $279 million for the years ended December 31, 2022 and December 31, 2021,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317500</wp:posOffset>
            </wp:positionV>
            <wp:extent cx="717105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 w:name="page7"/>
    <w:bookmarkEnd w:id="6"/>
    <w:p>
      <w:pPr>
        <w:ind w:left="3"/>
        <w:spacing w:after="0"/>
        <w:rPr>
          <w:sz w:val="20"/>
          <w:szCs w:val="20"/>
          <w:color w:val="auto"/>
        </w:rPr>
      </w:pPr>
      <w:r>
        <w:rPr>
          <w:rFonts w:ascii="Times New Roman" w:cs="Times New Roman" w:eastAsia="Times New Roman" w:hAnsi="Times New Roman"/>
          <w:sz w:val="15"/>
          <w:szCs w:val="15"/>
          <w:b w:val="1"/>
          <w:bCs w:val="1"/>
          <w:color w:val="auto"/>
        </w:rPr>
        <w:t>About Tower Semiconductor</w:t>
      </w:r>
    </w:p>
    <w:p>
      <w:pPr>
        <w:spacing w:after="0" w:line="31" w:lineRule="exact"/>
        <w:rPr>
          <w:sz w:val="20"/>
          <w:szCs w:val="20"/>
          <w:color w:val="auto"/>
        </w:rPr>
      </w:pPr>
    </w:p>
    <w:p>
      <w:pPr>
        <w:jc w:val="both"/>
        <w:ind w:left="3"/>
        <w:spacing w:after="0" w:line="268" w:lineRule="auto"/>
        <w:rPr>
          <w:sz w:val="20"/>
          <w:szCs w:val="20"/>
          <w:color w:val="auto"/>
        </w:rPr>
      </w:pPr>
      <w:r>
        <w:rPr>
          <w:rFonts w:ascii="Times New Roman" w:cs="Times New Roman" w:eastAsia="Times New Roman" w:hAnsi="Times New Roman"/>
          <w:sz w:val="15"/>
          <w:szCs w:val="15"/>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z w:val="1"/>
          <w:szCs w:val="1"/>
          <w:color w:val="auto"/>
        </w:rPr>
        <w:drawing>
          <wp:inline distT="0" distB="0" distL="0" distR="0">
            <wp:extent cx="24765" cy="1041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65" cy="104140"/>
                    </a:xfrm>
                    <a:prstGeom prst="rect">
                      <a:avLst/>
                    </a:prstGeom>
                    <a:noFill/>
                    <a:ln>
                      <a:noFill/>
                    </a:ln>
                  </pic:spPr>
                </pic:pic>
              </a:graphicData>
            </a:graphic>
          </wp:inline>
        </w:drawing>
      </w:r>
      <w:r>
        <w:rPr>
          <w:rFonts w:ascii="Times New Roman" w:cs="Times New Roman" w:eastAsia="Times New Roman" w:hAnsi="Times New Roman"/>
          <w:sz w:val="15"/>
          <w:szCs w:val="15"/>
          <w:color w:val="auto"/>
        </w:rPr>
        <w:t xml:space="preserve">For more information, please visit: </w:t>
      </w:r>
      <w:r>
        <w:rPr>
          <w:rFonts w:ascii="Times New Roman" w:cs="Times New Roman" w:eastAsia="Times New Roman" w:hAnsi="Times New Roman"/>
          <w:sz w:val="15"/>
          <w:szCs w:val="15"/>
          <w:u w:val="single" w:color="auto"/>
          <w:color w:val="auto"/>
        </w:rPr>
        <w:t>www.towersemi.com</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color w:val="auto"/>
        </w:rPr>
        <w:t>CONTACTS</w:t>
      </w:r>
      <w:r>
        <w:rPr>
          <w:rFonts w:ascii="Times New Roman" w:cs="Times New Roman" w:eastAsia="Times New Roman" w:hAnsi="Times New Roman"/>
          <w:sz w:val="15"/>
          <w:szCs w:val="15"/>
          <w:color w:val="auto"/>
        </w:rPr>
        <w:t>:</w:t>
      </w:r>
    </w:p>
    <w:p>
      <w:pPr>
        <w:spacing w:after="0" w:line="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 xml:space="preserve">Noit Levy | Investor Relations | +972 74 737 7556 | </w:t>
      </w:r>
      <w:r>
        <w:rPr>
          <w:rFonts w:ascii="Times New Roman" w:cs="Times New Roman" w:eastAsia="Times New Roman" w:hAnsi="Times New Roman"/>
          <w:sz w:val="15"/>
          <w:szCs w:val="15"/>
          <w:u w:val="single" w:color="auto"/>
          <w:color w:val="auto"/>
        </w:rPr>
        <w:t>noitle@towersemi.com</w:t>
      </w:r>
    </w:p>
    <w:p>
      <w:pPr>
        <w:spacing w:after="0" w:line="207" w:lineRule="exact"/>
        <w:rPr>
          <w:sz w:val="20"/>
          <w:szCs w:val="20"/>
          <w:color w:val="auto"/>
        </w:rPr>
      </w:pPr>
    </w:p>
    <w:p>
      <w:pPr>
        <w:jc w:val="both"/>
        <w:ind w:left="3" w:right="20"/>
        <w:spacing w:after="0" w:line="270" w:lineRule="auto"/>
        <w:rPr>
          <w:sz w:val="20"/>
          <w:szCs w:val="20"/>
          <w:color w:val="auto"/>
        </w:rPr>
      </w:pPr>
      <w:r>
        <w:rPr>
          <w:rFonts w:ascii="Times New Roman" w:cs="Times New Roman" w:eastAsia="Times New Roman" w:hAnsi="Times New Roman"/>
          <w:sz w:val="15"/>
          <w:szCs w:val="15"/>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w:t>
      </w:r>
    </w:p>
    <w:p>
      <w:pPr>
        <w:spacing w:after="0" w:line="2" w:lineRule="exact"/>
        <w:rPr>
          <w:sz w:val="20"/>
          <w:szCs w:val="20"/>
          <w:color w:val="auto"/>
        </w:rPr>
      </w:pPr>
    </w:p>
    <w:p>
      <w:pPr>
        <w:jc w:val="both"/>
        <w:ind w:left="3" w:hanging="3"/>
        <w:spacing w:after="0" w:line="268" w:lineRule="auto"/>
        <w:tabs>
          <w:tab w:leader="none" w:pos="27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in order to enable us to maintain our profitability ,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w:t>
      </w:r>
    </w:p>
    <w:p>
      <w:pPr>
        <w:spacing w:after="0" w:line="12" w:lineRule="exact"/>
        <w:rPr>
          <w:rFonts w:ascii="Times New Roman" w:cs="Times New Roman" w:eastAsia="Times New Roman" w:hAnsi="Times New Roman"/>
          <w:sz w:val="15"/>
          <w:szCs w:val="15"/>
          <w:color w:val="auto"/>
        </w:rPr>
      </w:pPr>
    </w:p>
    <w:p>
      <w:pPr>
        <w:jc w:val="both"/>
        <w:ind w:left="3" w:hanging="3"/>
        <w:spacing w:after="0" w:line="270" w:lineRule="auto"/>
        <w:tabs>
          <w:tab w:leader="none" w:pos="515"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in addition to the aforementioned restructuring costs and future additional such costs, incurred by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(xxxix) our ability to satisfy the covenants stipulated in our agreements with the series G bondholders (as of December 31, 2022, we are in compliance with this indenture’s covenants), (xxxx)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(xxxxi) business interruption due to fire, earthquake and other natural disasters, the security situation in Israel, global trade “war”, COVID-19 pandemic, including its impact on global supply chain to the fabs and from the fabs, power interruptions and other events beyond our control.</w:t>
      </w:r>
    </w:p>
    <w:p>
      <w:pPr>
        <w:spacing w:after="0" w:line="168" w:lineRule="exact"/>
        <w:rPr>
          <w:sz w:val="20"/>
          <w:szCs w:val="20"/>
          <w:color w:val="auto"/>
        </w:rPr>
      </w:pPr>
    </w:p>
    <w:p>
      <w:pPr>
        <w:jc w:val="both"/>
        <w:ind w:left="3" w:right="20"/>
        <w:spacing w:after="0" w:line="283" w:lineRule="auto"/>
        <w:rPr>
          <w:sz w:val="20"/>
          <w:szCs w:val="20"/>
          <w:color w:val="auto"/>
        </w:rPr>
      </w:pPr>
      <w:r>
        <w:rPr>
          <w:rFonts w:ascii="Times New Roman" w:cs="Times New Roman" w:eastAsia="Times New Roman" w:hAnsi="Times New Roman"/>
          <w:sz w:val="15"/>
          <w:szCs w:val="15"/>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52"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  #  #</w:t>
      </w:r>
    </w:p>
    <w:p>
      <w:pPr>
        <w:spacing w:after="0" w:line="214"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5"/>
          <w:szCs w:val="15"/>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7105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3"/>
          </w:cols>
          <w:pgMar w:left="297" w:top="320"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22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Short-term deposits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495,359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363,648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Marketable securities</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169,694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190,068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152,935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142,228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302,108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234,512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34,319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54,817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3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1,495,174</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1,196,203</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962,258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876,683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GOODWILL AND OTHER INTANGIBLE ASSETS, NET</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14,031</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18,820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ASSETS, NET</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76,145</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139,535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2,547,608</w:t>
            </w:r>
          </w:p>
        </w:tc>
        <w:tc>
          <w:tcPr>
            <w:tcW w:w="22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2,231,241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63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Short-term debt</w:t>
            </w:r>
          </w:p>
        </w:tc>
        <w:tc>
          <w:tcPr>
            <w:tcW w:w="2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62,275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83,868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150,930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78,712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38,911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39,992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135,272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73,756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3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387,388</w:t>
            </w:r>
          </w:p>
        </w:tc>
        <w:tc>
          <w:tcPr>
            <w:tcW w:w="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276,328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DEBT</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210,069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230,972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LONG-TERM CUSTOMERS' ADVANCES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40,893</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69,968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DEFERRED TAX AND OTHER LONG-TERM LIABILITIES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20,717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38,584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20" w:type="dxa"/>
            <w:vAlign w:val="bottom"/>
            <w:tcBorders>
              <w:top w:val="single" w:sz="8" w:color="CCEEFF"/>
            </w:tcBorders>
          </w:tcPr>
          <w:p>
            <w:pPr>
              <w:spacing w:after="0"/>
              <w:rPr>
                <w:sz w:val="13"/>
                <w:szCs w:val="13"/>
                <w:color w:val="auto"/>
              </w:rPr>
            </w:pPr>
          </w:p>
        </w:tc>
        <w:tc>
          <w:tcPr>
            <w:tcW w:w="23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659,067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615,852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23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1,888,541</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1,615,389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50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2,547,608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2,231,241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32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8" w:name="page9"/>
    <w:bookmarkEnd w:id="8"/>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(UNAUDITED)</w:t>
      </w:r>
    </w:p>
    <w:p>
      <w:pPr>
        <w:spacing w:after="0" w:line="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(dollars and share count in thousands, except per share data)</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403,227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427,087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412,108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278,501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302,576</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311,935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124,726</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124,511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100,173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20,706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22,406</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22,371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Marketing, general and administrative</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18,864</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21,939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cost (income, net) *</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(13,592)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4,033</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25,994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45,303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44,310</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tcPr>
          <w:p>
            <w:pPr>
              <w:ind w:left="520"/>
              <w:spacing w:after="0" w:line="143" w:lineRule="exact"/>
              <w:rPr>
                <w:sz w:val="20"/>
                <w:szCs w:val="20"/>
                <w:color w:val="auto"/>
              </w:rPr>
            </w:pPr>
            <w:r>
              <w:rPr>
                <w:rFonts w:ascii="Times New Roman" w:cs="Times New Roman" w:eastAsia="Times New Roman" w:hAnsi="Times New Roman"/>
                <w:sz w:val="13"/>
                <w:szCs w:val="13"/>
                <w:b w:val="1"/>
                <w:bCs w:val="1"/>
                <w:color w:val="auto"/>
              </w:rPr>
              <w:t>OPERATING PROFIT</w:t>
            </w:r>
          </w:p>
        </w:tc>
        <w:tc>
          <w:tcPr>
            <w:tcW w:w="14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98,732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3"/>
                <w:szCs w:val="13"/>
                <w:b w:val="1"/>
                <w:bCs w:val="1"/>
                <w:color w:val="auto"/>
              </w:rPr>
              <w:t>79,208</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3"/>
                <w:szCs w:val="13"/>
                <w:b w:val="1"/>
                <w:bCs w:val="1"/>
                <w:color w:val="auto"/>
              </w:rPr>
              <w:t>55,863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FINANCING AND OTHER EXPENSE,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(9,351)</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(372)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98,677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69,857</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55,491</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INCOME TAX EXPENSE,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(12,835)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(3,175)</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(3,614)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85,842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66,682</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51,877</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(income) attributable to non-controlling interest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2,453</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 ATTRIBUTABLE TO THE 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83,324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69,135</w:t>
            </w:r>
          </w:p>
        </w:tc>
        <w:tc>
          <w:tcPr>
            <w:tcW w:w="20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51,739</w:t>
            </w: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7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spacing w:after="0"/>
              <w:rPr>
                <w:sz w:val="11"/>
                <w:szCs w:val="11"/>
                <w:color w:val="auto"/>
              </w:rPr>
            </w:pPr>
          </w:p>
        </w:tc>
        <w:tc>
          <w:tcPr>
            <w:tcW w:w="122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0.76</w:t>
            </w:r>
          </w:p>
        </w:tc>
        <w:tc>
          <w:tcPr>
            <w:tcW w:w="1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0.63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109,896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109,416</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108,768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7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0.62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0.47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tcBorders>
              <w:top w:val="single" w:sz="8" w:color="CCEEFF"/>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110,938</w:t>
            </w: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110,825</w:t>
            </w: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110,267</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 w:right="520" w:hanging="3"/>
        <w:spacing w:after="0" w:line="312" w:lineRule="auto"/>
        <w:tabs>
          <w:tab w:leader="none" w:pos="119"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Restructuring income, net for the three months ended December 31, 2022 and restructuring cost for the three months ended September 30, 2022 resulted from the previously disclosed Arai cessation of operations which occurred during 2022 as part of Japan operations reorganization and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7105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3"/>
          </w:cols>
          <w:pgMar w:left="297" w:top="318" w:right="299" w:bottom="1440" w:gutter="0" w:footer="0" w:header="0"/>
        </w:sectPr>
      </w:pPr>
    </w:p>
    <w:bookmarkStart w:id="9" w:name="page10"/>
    <w:bookmarkEnd w:id="9"/>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(UNAUDITED)</w:t>
      </w:r>
    </w:p>
    <w:p>
      <w:pPr>
        <w:spacing w:after="0" w:line="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b w:val="1"/>
          <w:bCs w:val="1"/>
          <w:color w:val="auto"/>
        </w:rPr>
        <w:t>(dollars and share count in thousands, except per share data)</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1,677,614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1,508,166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1,211,306</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1,179,048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466,308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329,118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83,911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85,386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Marketing, general and administrative</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80,282</w:t>
            </w:r>
          </w:p>
        </w:tc>
        <w:tc>
          <w:tcPr>
            <w:tcW w:w="3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77,221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Restructuring income, net *</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(9,559)</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20" w:type="dxa"/>
            <w:vAlign w:val="bottom"/>
            <w:tcBorders>
              <w:top w:val="single" w:sz="8" w:color="CCEEFF"/>
            </w:tcBorders>
          </w:tcPr>
          <w:p>
            <w:pPr>
              <w:spacing w:after="0"/>
              <w:rPr>
                <w:sz w:val="13"/>
                <w:szCs w:val="13"/>
                <w:color w:val="auto"/>
              </w:rPr>
            </w:pPr>
          </w:p>
        </w:tc>
        <w:tc>
          <w:tcPr>
            <w:tcW w:w="25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154,634</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162,607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OPERATING PROFIT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311,674</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166,511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AND OTHER EXPENSE, NET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(19,701)</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(11,412)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20" w:type="dxa"/>
            <w:vAlign w:val="bottom"/>
            <w:tcBorders>
              <w:top w:val="single" w:sz="8" w:color="CCEEFF"/>
            </w:tcBorders>
          </w:tcPr>
          <w:p>
            <w:pPr>
              <w:spacing w:after="0"/>
              <w:rPr>
                <w:sz w:val="13"/>
                <w:szCs w:val="13"/>
                <w:color w:val="auto"/>
              </w:rPr>
            </w:pPr>
          </w:p>
        </w:tc>
        <w:tc>
          <w:tcPr>
            <w:tcW w:w="25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PROFIT BEFORE INCOME TAX</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291,973</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155,099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TAX EXPENSE, NET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(25,502)</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20" w:type="dxa"/>
            <w:vAlign w:val="bottom"/>
            <w:tcBorders>
              <w:top w:val="single" w:sz="8" w:color="CCEEFF"/>
            </w:tcBorders>
          </w:tcPr>
          <w:p>
            <w:pPr>
              <w:spacing w:after="0"/>
              <w:rPr>
                <w:sz w:val="13"/>
                <w:szCs w:val="13"/>
                <w:color w:val="auto"/>
              </w:rPr>
            </w:pPr>
          </w:p>
        </w:tc>
        <w:tc>
          <w:tcPr>
            <w:tcW w:w="25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w:t>
            </w:r>
          </w:p>
        </w:tc>
        <w:tc>
          <w:tcPr>
            <w:tcW w:w="2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(1,902)</w:t>
            </w:r>
          </w:p>
        </w:tc>
        <w:tc>
          <w:tcPr>
            <w:tcW w:w="3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20" w:type="dxa"/>
            <w:vAlign w:val="bottom"/>
            <w:tcBorders>
              <w:top w:val="single" w:sz="8" w:color="CCEEFF"/>
            </w:tcBorders>
          </w:tcPr>
          <w:p>
            <w:pPr>
              <w:spacing w:after="0"/>
              <w:rPr>
                <w:sz w:val="13"/>
                <w:szCs w:val="13"/>
                <w:color w:val="auto"/>
              </w:rPr>
            </w:pPr>
          </w:p>
        </w:tc>
        <w:tc>
          <w:tcPr>
            <w:tcW w:w="256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NET PROFIT ATTRIBUTABLE TO THE COMPANY</w:t>
            </w:r>
          </w:p>
        </w:tc>
        <w:tc>
          <w:tcPr>
            <w:tcW w:w="2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150,012</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120" w:type="dxa"/>
            <w:vAlign w:val="bottom"/>
          </w:tcPr>
          <w:p>
            <w:pPr>
              <w:spacing w:after="0"/>
              <w:rPr>
                <w:sz w:val="11"/>
                <w:szCs w:val="11"/>
                <w:color w:val="auto"/>
              </w:rPr>
            </w:pPr>
          </w:p>
        </w:tc>
        <w:tc>
          <w:tcPr>
            <w:tcW w:w="2820" w:type="dxa"/>
            <w:vAlign w:val="bottom"/>
            <w:gridSpan w:val="2"/>
          </w:tcPr>
          <w:p>
            <w:pPr>
              <w:spacing w:after="0"/>
              <w:rPr>
                <w:sz w:val="11"/>
                <w:szCs w:val="11"/>
                <w:color w:val="auto"/>
              </w:rPr>
            </w:pPr>
          </w:p>
        </w:tc>
        <w:tc>
          <w:tcPr>
            <w:tcW w:w="110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25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2.42</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20" w:type="dxa"/>
            <w:vAlign w:val="bottom"/>
            <w:tcBorders>
              <w:top w:val="single" w:sz="8" w:color="CCEEFF"/>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256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109,349</w:t>
            </w:r>
          </w:p>
        </w:tc>
        <w:tc>
          <w:tcPr>
            <w:tcW w:w="2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108,279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spacing w:after="0"/>
              <w:rPr>
                <w:sz w:val="11"/>
                <w:szCs w:val="11"/>
                <w:color w:val="auto"/>
              </w:rPr>
            </w:pPr>
          </w:p>
        </w:tc>
        <w:tc>
          <w:tcPr>
            <w:tcW w:w="1100" w:type="dxa"/>
            <w:vAlign w:val="bottom"/>
            <w:gridSpan w:val="3"/>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DILUTED EARNINGS PER SHARE</w:t>
            </w:r>
          </w:p>
        </w:tc>
        <w:tc>
          <w:tcPr>
            <w:tcW w:w="2820" w:type="dxa"/>
            <w:vAlign w:val="bottom"/>
            <w:gridSpan w:val="2"/>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2.39</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1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25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110,754</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109,798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 w:right="140" w:hanging="3"/>
        <w:spacing w:after="0" w:line="312" w:lineRule="auto"/>
        <w:tabs>
          <w:tab w:leader="none" w:pos="119"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Restructuring income, net for the year ended December 31, 2022 resulted from the previously disclosed Arai cessation of operations which occurred during 2022 as part of Japan operations reorganization and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7105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055" cy="12065"/>
                    </a:xfrm>
                    <a:prstGeom prst="rect">
                      <a:avLst/>
                    </a:prstGeom>
                    <a:noFill/>
                  </pic:spPr>
                </pic:pic>
              </a:graphicData>
            </a:graphic>
          </wp:anchor>
        </w:drawing>
      </w:r>
    </w:p>
    <w:p>
      <w:pPr>
        <w:sectPr>
          <w:pgSz w:w="11900" w:h="16838" w:orient="portrait"/>
          <w:cols w:equalWidth="0" w:num="1">
            <w:col w:w="11303"/>
          </w:cols>
          <w:pgMar w:left="297" w:top="12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RECONCILIATION FROM GAAP OPERATING PROFIT TO EBITDA (UNAUDITED)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98,732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79,208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55,863</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69,456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67,343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64,692</w:t>
            </w: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Stock based compensation</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6,431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6,526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8,815</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Amortization of acquired intangible assets</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506</w:t>
            </w: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Restructuring and impairment cost (income, net)</w:t>
            </w:r>
          </w:p>
        </w:tc>
        <w:tc>
          <w:tcPr>
            <w:tcW w:w="14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(13,592)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4,033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161,537</w:t>
            </w:r>
          </w:p>
        </w:tc>
        <w:tc>
          <w:tcPr>
            <w:tcW w:w="20" w:type="dxa"/>
            <w:vAlign w:val="bottom"/>
            <w:tcBorders>
              <w:top w:val="single" w:sz="8" w:color="CCEEFF"/>
              <w:bottom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157,619</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129,876</w:t>
            </w:r>
          </w:p>
        </w:tc>
        <w:tc>
          <w:tcPr>
            <w:tcW w:w="1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8"/>
          </w:tcPr>
          <w:p>
            <w:pPr>
              <w:ind w:left="8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311,674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166,511</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262,053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242,811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Stock based compensation</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25,144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Amortization of acquired intangible assets</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Restructuring and impairment income, net</w:t>
            </w:r>
          </w:p>
        </w:tc>
        <w:tc>
          <w:tcPr>
            <w:tcW w:w="14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(9,559)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590,416</w:t>
            </w:r>
          </w:p>
        </w:tc>
        <w:tc>
          <w:tcPr>
            <w:tcW w:w="20" w:type="dxa"/>
            <w:vAlign w:val="bottom"/>
            <w:tcBorders>
              <w:top w:val="single" w:sz="8" w:color="CCEEFF"/>
              <w:bottom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436,459</w:t>
            </w:r>
          </w:p>
        </w:tc>
        <w:tc>
          <w:tcPr>
            <w:tcW w:w="100" w:type="dxa"/>
            <w:vAlign w:val="bottom"/>
            <w:tcBorders>
              <w:top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11" w:name="page12"/>
    <w:bookmarkEnd w:id="11"/>
    <w:p>
      <w:pPr>
        <w:jc w:val="center"/>
        <w:ind w:right="80"/>
        <w:spacing w:after="0" w:line="292" w:lineRule="auto"/>
        <w:rPr>
          <w:sz w:val="20"/>
          <w:szCs w:val="20"/>
          <w:color w:val="auto"/>
        </w:rPr>
      </w:pPr>
      <w:r>
        <w:rPr>
          <w:rFonts w:ascii="Times New Roman" w:cs="Times New Roman" w:eastAsia="Times New Roman" w:hAnsi="Times New Roman"/>
          <w:sz w:val="13"/>
          <w:szCs w:val="13"/>
          <w:b w:val="1"/>
          <w:bCs w:val="1"/>
          <w:color w:val="auto"/>
        </w:rPr>
        <w:t>TOWER SEMICONDUCTOR LTD. AND SUBSIDIARIES CONDENSED CONSOLIDATED STATEMENT OF CHANGES IN SHAREHOLDERS' EQUITY (UNAUDITED) (dollars and share data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2"/>
          </w:tcPr>
          <w:p>
            <w:pPr>
              <w:ind w:left="260"/>
              <w:spacing w:after="0"/>
              <w:rPr>
                <w:sz w:val="20"/>
                <w:szCs w:val="20"/>
                <w:color w:val="auto"/>
              </w:rPr>
            </w:pPr>
            <w:r>
              <w:rPr>
                <w:rFonts w:ascii="Times New Roman" w:cs="Times New Roman" w:eastAsia="Times New Roman" w:hAnsi="Times New Roman"/>
                <w:sz w:val="13"/>
                <w:szCs w:val="13"/>
                <w:b w:val="1"/>
                <w:bCs w:val="1"/>
                <w:color w:val="auto"/>
              </w:rPr>
              <w:t>THE COMPANY'S SHAREHOLDERS' EQUITY</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6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Non</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translation</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5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Treasury Comprehensive</w:t>
            </w: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issued</w:t>
            </w:r>
          </w:p>
        </w:tc>
        <w:tc>
          <w:tcPr>
            <w:tcW w:w="40" w:type="dxa"/>
            <w:vAlign w:val="bottom"/>
          </w:tcPr>
          <w:p>
            <w:pPr>
              <w:spacing w:after="0"/>
              <w:rPr>
                <w:sz w:val="15"/>
                <w:szCs w:val="15"/>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4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JANUARY 31, 2022</w:t>
            </w:r>
          </w:p>
        </w:tc>
        <w:tc>
          <w:tcPr>
            <w:tcW w:w="2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108,970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$ 435,453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$1,389,051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149,906</w:t>
            </w:r>
          </w:p>
        </w:tc>
        <w:tc>
          <w:tcPr>
            <w:tcW w:w="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(412)</w:t>
            </w:r>
          </w:p>
        </w:tc>
        <w:tc>
          <w:tcPr>
            <w:tcW w:w="1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w w:val="85"/>
              </w:rPr>
              <w:t>(27,471)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(315,448)</w:t>
            </w: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(6,618)</w:t>
            </w: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$1,615,389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during the year ended December 31, 2022:</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11,645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Exercise of options and RSUs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1,071</w:t>
            </w:r>
          </w:p>
        </w:tc>
        <w:tc>
          <w:tcPr>
            <w:tcW w:w="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4,697</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(4,653)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Employee stock-based compensation</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24,215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Profit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264,569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1,902</w:t>
            </w: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Foreign currency translation adjustments</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(18,026)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(18,026)</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(9,569)</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(27,595)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Change in employees plan assets and benefit obligations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(938)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(938)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(938)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Unrealized loss on derivatives</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(690)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244,915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110,041</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$ 440,150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$1,384,398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174,121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(2,040)</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w w:val="85"/>
              </w:rPr>
              <w:t>(45,497)</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(50,879)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(9,072)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(2,640)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$1,888,541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9"/>
              </w:rPr>
              <w:t>OUTSTANDING SHARES, NET OF TREASURY STOCK</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109,954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25" w:right="2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SOURCES AND USES REPORTS (UNAUDITED)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r>
      <w:tr>
        <w:trPr>
          <w:trHeight w:val="164"/>
        </w:trPr>
        <w:tc>
          <w:tcPr>
            <w:tcW w:w="73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390,369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211,177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211,503</w:t>
            </w:r>
          </w:p>
        </w:tc>
        <w:tc>
          <w:tcPr>
            <w:tcW w:w="120" w:type="dxa"/>
            <w:vAlign w:val="bottom"/>
            <w:shd w:val="clear" w:color="auto" w:fill="CCEEFF"/>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132,750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122,402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133,656</w:t>
            </w: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 net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(38,186)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(45,134)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(85,947)</w:t>
            </w: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Exercise of options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w:t>
            </w: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5,469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recevied (repaid),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(11,465)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(28,164)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1,040</w:t>
            </w: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Effect of Japanese Yen exchange rate change over cash balance</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(2,102)</w:t>
            </w: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Investments in short-term deposits, marketable securities and other assets,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(150,423)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129,257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(47,268)</w:t>
            </w:r>
          </w:p>
        </w:tc>
      </w:tr>
      <w:tr>
        <w:trPr>
          <w:trHeight w:val="20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390,369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16"/>
        </w:trPr>
        <w:tc>
          <w:tcPr>
            <w:tcW w:w="7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7"/>
          </w:tcPr>
          <w:p>
            <w:pPr>
              <w:ind w:left="8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7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211,683</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529,820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421,293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 net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(213,537)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(279,260)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Exercise of options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11,685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repaid,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(78,379)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(77,315)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Effect of Japanese Yen exchange rate change over cash balance</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(3,893)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73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Investments in short-term deposits, marketable securities and other assets, net</w:t>
            </w:r>
          </w:p>
        </w:tc>
        <w:tc>
          <w:tcPr>
            <w:tcW w:w="1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(115,911)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(59,684)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97"/>
        </w:trPr>
        <w:tc>
          <w:tcPr>
            <w:tcW w:w="7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(UNAUDITED)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5"/>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OPERATING ACTIVITIES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Net profit for the period</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266,471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Adjustments to reconcile net profit for the period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to net cash provided by operating activities: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Income and expense items not involving cash flows: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292,638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270,710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Effect of exchange rate differences and fair value adjustment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10,362</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6,934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(1,461)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Changes in assets and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Trade accounts receivable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(15,232)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20,427</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(26,731)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(77,891)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(44,192)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Trade accounts payable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(20,893)</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(25,004)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Deferred revenue and customers' advances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(30,069)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74,524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61,033</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16,850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Long-term employee related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2,956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Deferred tax, net and other long-term liabilities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13,084</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(10,270)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529,820</w:t>
            </w: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421,293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5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INVESTING ACTIVITIES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property and equipment, net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(213,537)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(279,260)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Investments in deposits, marketable securities and other assets, net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(115,911)</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(59,684)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(329,448)</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(338,944)</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 FINANCING ACTIVITIES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Debt repaid, net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(78,379)</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(77,315)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Proceeds from an investment in a subsidiary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11,685</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Exercise of options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5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(66,650)</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(76,857)</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EFFECT OF FOREIGN CURRENCY EXCHANGE RATE CHANGE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(3,893)</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(6,245)</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8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129,829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(753)</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BEGINNING OF PERIOD</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 END OF PERIOD</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340,759</w:t>
            </w:r>
          </w:p>
        </w:tc>
        <w:tc>
          <w:tcPr>
            <w:tcW w:w="20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210,930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8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3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6"/>
    </w:lvl>
  </w:abstractNum>
  <w:abstractNum w:abstractNumId="2">
    <w:nsid w:val="625558EC"/>
    <w:multiLevelType w:val="hybridMultilevel"/>
    <w:lvl w:ilvl="0">
      <w:lvlJc w:val="left"/>
      <w:lvlText w:val="(%1)"/>
      <w:numFmt w:val="lowerRoman"/>
      <w:start w:val="3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2023-02-16T06:02:51Z</dcterms:created>
  <dcterms:modified xsi:type="dcterms:W3CDTF">2023-02-16T06:02:51Z</dcterms:modified>
</cp:coreProperties>
</file>