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210" w:type="dxa"/>
        <w:tblCellMar>
          <w:top w:w="0" w:type="dxa"/>
          <w:left w:w="0" w:type="dxa"/>
          <w:bottom w:w="0" w:type="dxa"/>
          <w:right w:w="0" w:type="dxa"/>
        </w:tblCellMar>
      </w:tblPr>
      <w:tr>
        <w:trPr>
          <w:trHeight w:val="222"/>
        </w:trPr>
        <w:tc>
          <w:tcPr>
            <w:tcW w:w="10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Page 1 of 18</w:t>
            </w:r>
          </w:p>
        </w:tc>
      </w:tr>
      <w:tr>
        <w:trPr>
          <w:trHeight w:val="147"/>
        </w:trPr>
        <w:tc>
          <w:tcPr>
            <w:tcW w:w="2240" w:type="dxa"/>
            <w:vAlign w:val="bottom"/>
            <w:tcBorders>
              <w:bottom w:val="single" w:sz="8" w:color="auto"/>
            </w:tcBorders>
            <w:gridSpan w:val="2"/>
          </w:tcPr>
          <w:p>
            <w:pPr>
              <w:spacing w:after="0"/>
              <w:rPr>
                <w:sz w:val="12"/>
                <w:szCs w:val="12"/>
                <w:color w:val="auto"/>
              </w:rPr>
            </w:pPr>
          </w:p>
        </w:tc>
      </w:tr>
      <w:tr>
        <w:trPr>
          <w:trHeight w:val="142"/>
        </w:trPr>
        <w:tc>
          <w:tcPr>
            <w:tcW w:w="2240" w:type="dxa"/>
            <w:vAlign w:val="bottom"/>
            <w:tcBorders>
              <w:left w:val="single" w:sz="8" w:color="auto"/>
              <w:bottom w:val="single" w:sz="8" w:color="auto"/>
              <w:right w:val="single" w:sz="8" w:color="auto"/>
            </w:tcBorders>
            <w:gridSpan w:val="2"/>
          </w:tcPr>
          <w:p>
            <w:pPr>
              <w:jc w:val="right"/>
              <w:ind w:right="626"/>
              <w:spacing w:after="0" w:line="142" w:lineRule="exact"/>
              <w:rPr>
                <w:sz w:val="20"/>
                <w:szCs w:val="20"/>
                <w:color w:val="auto"/>
              </w:rPr>
            </w:pPr>
            <w:r>
              <w:rPr>
                <w:rFonts w:ascii="Arial" w:cs="Arial" w:eastAsia="Arial" w:hAnsi="Arial"/>
                <w:sz w:val="14"/>
                <w:szCs w:val="14"/>
                <w:color w:val="auto"/>
              </w:rPr>
              <w:t>OMB Approval</w:t>
            </w:r>
          </w:p>
        </w:tc>
      </w:tr>
      <w:tr>
        <w:trPr>
          <w:trHeight w:val="145"/>
        </w:trPr>
        <w:tc>
          <w:tcPr>
            <w:tcW w:w="1080" w:type="dxa"/>
            <w:vAlign w:val="bottom"/>
            <w:tcBorders>
              <w:bottom w:val="single" w:sz="8" w:color="auto"/>
            </w:tcBorders>
          </w:tcPr>
          <w:p>
            <w:pPr>
              <w:ind w:left="240"/>
              <w:spacing w:after="0" w:line="145" w:lineRule="exact"/>
              <w:rPr>
                <w:sz w:val="20"/>
                <w:szCs w:val="20"/>
                <w:color w:val="auto"/>
              </w:rPr>
            </w:pPr>
            <w:r>
              <w:rPr>
                <w:rFonts w:ascii="Arial" w:cs="Arial" w:eastAsia="Arial" w:hAnsi="Arial"/>
                <w:sz w:val="14"/>
                <w:szCs w:val="14"/>
                <w:color w:val="auto"/>
                <w:w w:val="91"/>
              </w:rPr>
              <w:t>OMB Number:</w:t>
            </w:r>
          </w:p>
        </w:tc>
        <w:tc>
          <w:tcPr>
            <w:tcW w:w="1160" w:type="dxa"/>
            <w:vAlign w:val="bottom"/>
            <w:tcBorders>
              <w:bottom w:val="single" w:sz="8" w:color="auto"/>
            </w:tcBorders>
          </w:tcPr>
          <w:p>
            <w:pPr>
              <w:jc w:val="right"/>
              <w:ind w:right="66"/>
              <w:spacing w:after="0" w:line="145" w:lineRule="exact"/>
              <w:rPr>
                <w:sz w:val="20"/>
                <w:szCs w:val="20"/>
                <w:color w:val="auto"/>
              </w:rPr>
            </w:pPr>
            <w:r>
              <w:rPr>
                <w:rFonts w:ascii="Arial" w:cs="Arial" w:eastAsia="Arial" w:hAnsi="Arial"/>
                <w:sz w:val="14"/>
                <w:szCs w:val="14"/>
                <w:color w:val="auto"/>
              </w:rPr>
              <w:t>3235-0145</w:t>
            </w:r>
          </w:p>
        </w:tc>
      </w:tr>
      <w:tr>
        <w:trPr>
          <w:trHeight w:val="157"/>
        </w:trPr>
        <w:tc>
          <w:tcPr>
            <w:tcW w:w="1080" w:type="dxa"/>
            <w:vAlign w:val="bottom"/>
          </w:tcPr>
          <w:p>
            <w:pPr>
              <w:ind w:left="240"/>
              <w:spacing w:after="0" w:line="157" w:lineRule="exact"/>
              <w:rPr>
                <w:sz w:val="20"/>
                <w:szCs w:val="20"/>
                <w:color w:val="auto"/>
              </w:rPr>
            </w:pPr>
            <w:r>
              <w:rPr>
                <w:rFonts w:ascii="Arial" w:cs="Arial" w:eastAsia="Arial" w:hAnsi="Arial"/>
                <w:sz w:val="14"/>
                <w:szCs w:val="14"/>
                <w:color w:val="auto"/>
              </w:rPr>
              <w:t>Expires:</w:t>
            </w:r>
          </w:p>
        </w:tc>
        <w:tc>
          <w:tcPr>
            <w:tcW w:w="1160" w:type="dxa"/>
            <w:vAlign w:val="bottom"/>
          </w:tcPr>
          <w:p>
            <w:pPr>
              <w:jc w:val="right"/>
              <w:ind w:right="66"/>
              <w:spacing w:after="0" w:line="157" w:lineRule="exact"/>
              <w:rPr>
                <w:sz w:val="20"/>
                <w:szCs w:val="20"/>
                <w:color w:val="auto"/>
              </w:rPr>
            </w:pPr>
            <w:r>
              <w:rPr>
                <w:rFonts w:ascii="Arial" w:cs="Arial" w:eastAsia="Arial" w:hAnsi="Arial"/>
                <w:sz w:val="14"/>
                <w:szCs w:val="14"/>
                <w:color w:val="auto"/>
                <w:w w:val="87"/>
              </w:rPr>
              <w:t>February 28, 2009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5845175</wp:posOffset>
            </wp:positionH>
            <wp:positionV relativeFrom="paragraph">
              <wp:posOffset>-216535</wp:posOffset>
            </wp:positionV>
            <wp:extent cx="1406525" cy="508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6525" cy="508000"/>
                    </a:xfrm>
                    <a:prstGeom prst="rect">
                      <a:avLst/>
                    </a:prstGeom>
                    <a:noFill/>
                  </pic:spPr>
                </pic:pic>
              </a:graphicData>
            </a:graphic>
          </wp:anchor>
        </w:drawing>
      </w:r>
    </w:p>
    <w:p>
      <w:pPr>
        <w:ind w:left="9440"/>
        <w:spacing w:after="0" w:line="221" w:lineRule="auto"/>
        <w:rPr>
          <w:sz w:val="20"/>
          <w:szCs w:val="20"/>
          <w:color w:val="auto"/>
        </w:rPr>
      </w:pPr>
      <w:r>
        <w:rPr>
          <w:rFonts w:ascii="Arial" w:cs="Arial" w:eastAsia="Arial" w:hAnsi="Arial"/>
          <w:sz w:val="14"/>
          <w:szCs w:val="14"/>
          <w:color w:val="auto"/>
        </w:rPr>
        <w:t>Estimated average burden</w:t>
      </w:r>
    </w:p>
    <w:p>
      <w:pPr>
        <w:ind w:left="9440"/>
        <w:spacing w:after="0" w:line="221" w:lineRule="auto"/>
        <w:rPr>
          <w:sz w:val="20"/>
          <w:szCs w:val="20"/>
          <w:color w:val="auto"/>
        </w:rPr>
      </w:pPr>
      <w:r>
        <w:rPr>
          <w:rFonts w:ascii="Arial" w:cs="Arial" w:eastAsia="Arial" w:hAnsi="Arial"/>
          <w:sz w:val="14"/>
          <w:szCs w:val="14"/>
          <w:color w:val="auto"/>
        </w:rPr>
        <w:t>hours per</w:t>
      </w:r>
    </w:p>
    <w:p>
      <w:pPr>
        <w:ind w:left="9440"/>
        <w:spacing w:after="0"/>
        <w:tabs>
          <w:tab w:leader="none" w:pos="11040" w:val="left"/>
        </w:tabs>
        <w:rPr>
          <w:sz w:val="20"/>
          <w:szCs w:val="20"/>
          <w:color w:val="auto"/>
        </w:rPr>
      </w:pPr>
      <w:r>
        <w:rPr>
          <w:rFonts w:ascii="Arial" w:cs="Arial" w:eastAsia="Arial" w:hAnsi="Arial"/>
          <w:sz w:val="14"/>
          <w:szCs w:val="14"/>
          <w:color w:val="auto"/>
        </w:rPr>
        <w:t>response</w:t>
      </w:r>
      <w:r>
        <w:rPr>
          <w:sz w:val="20"/>
          <w:szCs w:val="20"/>
          <w:color w:val="auto"/>
        </w:rPr>
        <w:tab/>
      </w:r>
      <w:r>
        <w:rPr>
          <w:rFonts w:ascii="Arial" w:cs="Arial" w:eastAsia="Arial" w:hAnsi="Arial"/>
          <w:sz w:val="14"/>
          <w:szCs w:val="14"/>
          <w:color w:val="auto"/>
        </w:rPr>
        <w:t>14.5</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3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jc w:val="center"/>
              <w:ind w:right="3735"/>
              <w:spacing w:after="0"/>
              <w:rPr>
                <w:sz w:val="20"/>
                <w:szCs w:val="20"/>
                <w:color w:val="auto"/>
              </w:rPr>
            </w:pPr>
            <w:r>
              <w:rPr>
                <w:rFonts w:ascii="Arial" w:cs="Arial" w:eastAsia="Arial" w:hAnsi="Arial"/>
                <w:sz w:val="24"/>
                <w:szCs w:val="24"/>
                <w:b w:val="1"/>
                <w:bCs w:val="1"/>
                <w:color w:val="auto"/>
                <w:w w:val="91"/>
              </w:rPr>
              <w:t>Tower Semiconductor Ltd.</w:t>
            </w:r>
          </w:p>
        </w:tc>
      </w:tr>
      <w:tr>
        <w:trPr>
          <w:trHeight w:val="168"/>
        </w:trPr>
        <w:tc>
          <w:tcPr>
            <w:tcW w:w="3820" w:type="dxa"/>
            <w:vAlign w:val="bottom"/>
          </w:tcPr>
          <w:p>
            <w:pPr>
              <w:spacing w:after="0"/>
              <w:rPr>
                <w:sz w:val="14"/>
                <w:szCs w:val="14"/>
                <w:color w:val="auto"/>
              </w:rPr>
            </w:pPr>
          </w:p>
        </w:tc>
        <w:tc>
          <w:tcPr>
            <w:tcW w:w="7600" w:type="dxa"/>
            <w:vAlign w:val="bottom"/>
          </w:tcPr>
          <w:p>
            <w:pPr>
              <w:jc w:val="center"/>
              <w:ind w:right="3715"/>
              <w:spacing w:after="0"/>
              <w:rPr>
                <w:sz w:val="20"/>
                <w:szCs w:val="20"/>
                <w:color w:val="auto"/>
              </w:rPr>
            </w:pPr>
            <w:r>
              <w:rPr>
                <w:rFonts w:ascii="Arial" w:cs="Arial" w:eastAsia="Arial" w:hAnsi="Arial"/>
                <w:sz w:val="14"/>
                <w:szCs w:val="14"/>
                <w:b w:val="1"/>
                <w:bCs w:val="1"/>
                <w:color w:val="auto"/>
                <w:w w:val="87"/>
              </w:rPr>
              <w:t>(Name of Issuer)</w:t>
            </w:r>
          </w:p>
        </w:tc>
      </w:tr>
      <w:tr>
        <w:trPr>
          <w:trHeight w:val="554"/>
        </w:trPr>
        <w:tc>
          <w:tcPr>
            <w:tcW w:w="3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jc w:val="center"/>
              <w:ind w:right="3735"/>
              <w:spacing w:after="0"/>
              <w:rPr>
                <w:sz w:val="20"/>
                <w:szCs w:val="20"/>
                <w:color w:val="auto"/>
              </w:rPr>
            </w:pPr>
            <w:r>
              <w:rPr>
                <w:rFonts w:ascii="Arial" w:cs="Arial" w:eastAsia="Arial" w:hAnsi="Arial"/>
                <w:sz w:val="18"/>
                <w:szCs w:val="18"/>
                <w:b w:val="1"/>
                <w:bCs w:val="1"/>
                <w:color w:val="auto"/>
                <w:w w:val="89"/>
              </w:rPr>
              <w:t>Ordinary Shares, NIS 1.00 par value per share</w:t>
            </w:r>
          </w:p>
        </w:tc>
      </w:tr>
      <w:tr>
        <w:trPr>
          <w:trHeight w:val="169"/>
        </w:trPr>
        <w:tc>
          <w:tcPr>
            <w:tcW w:w="3820" w:type="dxa"/>
            <w:vAlign w:val="bottom"/>
          </w:tcPr>
          <w:p>
            <w:pPr>
              <w:spacing w:after="0"/>
              <w:rPr>
                <w:sz w:val="14"/>
                <w:szCs w:val="14"/>
                <w:color w:val="auto"/>
              </w:rPr>
            </w:pPr>
          </w:p>
        </w:tc>
        <w:tc>
          <w:tcPr>
            <w:tcW w:w="7600" w:type="dxa"/>
            <w:vAlign w:val="bottom"/>
          </w:tcPr>
          <w:p>
            <w:pPr>
              <w:jc w:val="center"/>
              <w:ind w:right="3735"/>
              <w:spacing w:after="0"/>
              <w:rPr>
                <w:sz w:val="20"/>
                <w:szCs w:val="20"/>
                <w:color w:val="auto"/>
              </w:rPr>
            </w:pPr>
            <w:r>
              <w:rPr>
                <w:rFonts w:ascii="Arial" w:cs="Arial" w:eastAsia="Arial" w:hAnsi="Arial"/>
                <w:sz w:val="14"/>
                <w:szCs w:val="14"/>
                <w:b w:val="1"/>
                <w:bCs w:val="1"/>
                <w:color w:val="auto"/>
                <w:w w:val="85"/>
              </w:rPr>
              <w:t>(Title of Class of Securities)</w:t>
            </w:r>
          </w:p>
        </w:tc>
      </w:tr>
      <w:tr>
        <w:trPr>
          <w:trHeight w:val="554"/>
        </w:trPr>
        <w:tc>
          <w:tcPr>
            <w:tcW w:w="3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jc w:val="center"/>
              <w:ind w:right="3735"/>
              <w:spacing w:after="0"/>
              <w:rPr>
                <w:sz w:val="20"/>
                <w:szCs w:val="20"/>
                <w:color w:val="auto"/>
              </w:rPr>
            </w:pPr>
            <w:r>
              <w:rPr>
                <w:rFonts w:ascii="Arial" w:cs="Arial" w:eastAsia="Arial" w:hAnsi="Arial"/>
                <w:sz w:val="18"/>
                <w:szCs w:val="18"/>
                <w:b w:val="1"/>
                <w:bCs w:val="1"/>
                <w:color w:val="auto"/>
                <w:w w:val="91"/>
              </w:rPr>
              <w:t>M87915-10-0</w:t>
            </w:r>
          </w:p>
        </w:tc>
      </w:tr>
      <w:tr>
        <w:trPr>
          <w:trHeight w:val="169"/>
        </w:trPr>
        <w:tc>
          <w:tcPr>
            <w:tcW w:w="3820" w:type="dxa"/>
            <w:vAlign w:val="bottom"/>
          </w:tcPr>
          <w:p>
            <w:pPr>
              <w:spacing w:after="0"/>
              <w:rPr>
                <w:sz w:val="14"/>
                <w:szCs w:val="14"/>
                <w:color w:val="auto"/>
              </w:rPr>
            </w:pPr>
          </w:p>
        </w:tc>
        <w:tc>
          <w:tcPr>
            <w:tcW w:w="7600" w:type="dxa"/>
            <w:vAlign w:val="bottom"/>
          </w:tcPr>
          <w:p>
            <w:pPr>
              <w:jc w:val="center"/>
              <w:ind w:right="3735"/>
              <w:spacing w:after="0"/>
              <w:rPr>
                <w:sz w:val="20"/>
                <w:szCs w:val="20"/>
                <w:color w:val="auto"/>
              </w:rPr>
            </w:pPr>
            <w:r>
              <w:rPr>
                <w:rFonts w:ascii="Arial" w:cs="Arial" w:eastAsia="Arial" w:hAnsi="Arial"/>
                <w:sz w:val="14"/>
                <w:szCs w:val="14"/>
                <w:b w:val="1"/>
                <w:bCs w:val="1"/>
                <w:color w:val="auto"/>
                <w:w w:val="93"/>
              </w:rPr>
              <w:t>(CUSIP Number)</w:t>
            </w:r>
          </w:p>
        </w:tc>
      </w:tr>
      <w:tr>
        <w:trPr>
          <w:trHeight w:val="581"/>
        </w:trPr>
        <w:tc>
          <w:tcPr>
            <w:tcW w:w="38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Eyal Issaharov</w:t>
            </w:r>
          </w:p>
        </w:tc>
        <w:tc>
          <w:tcPr>
            <w:tcW w:w="7600" w:type="dxa"/>
            <w:vAlign w:val="bottom"/>
          </w:tcPr>
          <w:p>
            <w:pPr>
              <w:jc w:val="center"/>
              <w:ind w:left="2035"/>
              <w:spacing w:after="0"/>
              <w:rPr>
                <w:sz w:val="20"/>
                <w:szCs w:val="20"/>
                <w:color w:val="auto"/>
              </w:rPr>
            </w:pPr>
            <w:r>
              <w:rPr>
                <w:rFonts w:ascii="Arial" w:cs="Arial" w:eastAsia="Arial" w:hAnsi="Arial"/>
                <w:sz w:val="18"/>
                <w:szCs w:val="18"/>
                <w:b w:val="1"/>
                <w:bCs w:val="1"/>
                <w:color w:val="auto"/>
                <w:w w:val="85"/>
              </w:rPr>
              <w:t>Jennifer Janes</w:t>
            </w:r>
          </w:p>
        </w:tc>
      </w:tr>
      <w:tr>
        <w:trPr>
          <w:trHeight w:val="216"/>
        </w:trPr>
        <w:tc>
          <w:tcPr>
            <w:tcW w:w="3820" w:type="dxa"/>
            <w:vAlign w:val="bottom"/>
          </w:tcPr>
          <w:p>
            <w:pPr>
              <w:jc w:val="center"/>
              <w:ind w:left="1812"/>
              <w:spacing w:after="0"/>
              <w:rPr>
                <w:sz w:val="20"/>
                <w:szCs w:val="20"/>
                <w:color w:val="auto"/>
              </w:rPr>
            </w:pPr>
            <w:r>
              <w:rPr>
                <w:rFonts w:ascii="Arial" w:cs="Arial" w:eastAsia="Arial" w:hAnsi="Arial"/>
                <w:sz w:val="18"/>
                <w:szCs w:val="18"/>
                <w:b w:val="1"/>
                <w:bCs w:val="1"/>
                <w:color w:val="auto"/>
                <w:w w:val="92"/>
              </w:rPr>
              <w:t>Bank Hapoalim B.M.</w:t>
            </w:r>
          </w:p>
        </w:tc>
        <w:tc>
          <w:tcPr>
            <w:tcW w:w="7600" w:type="dxa"/>
            <w:vAlign w:val="bottom"/>
          </w:tcPr>
          <w:p>
            <w:pPr>
              <w:jc w:val="center"/>
              <w:ind w:left="2035"/>
              <w:spacing w:after="0"/>
              <w:rPr>
                <w:sz w:val="20"/>
                <w:szCs w:val="20"/>
                <w:color w:val="auto"/>
              </w:rPr>
            </w:pPr>
            <w:r>
              <w:rPr>
                <w:rFonts w:ascii="Arial" w:cs="Arial" w:eastAsia="Arial" w:hAnsi="Arial"/>
                <w:sz w:val="18"/>
                <w:szCs w:val="18"/>
                <w:b w:val="1"/>
                <w:bCs w:val="1"/>
                <w:color w:val="auto"/>
                <w:w w:val="91"/>
              </w:rPr>
              <w:t>Bank Leumi le-Israel B.M.</w:t>
            </w:r>
          </w:p>
        </w:tc>
      </w:tr>
      <w:tr>
        <w:trPr>
          <w:trHeight w:val="216"/>
        </w:trPr>
        <w:tc>
          <w:tcPr>
            <w:tcW w:w="3820" w:type="dxa"/>
            <w:vAlign w:val="bottom"/>
          </w:tcPr>
          <w:p>
            <w:pPr>
              <w:jc w:val="center"/>
              <w:ind w:left="1832"/>
              <w:spacing w:after="0"/>
              <w:rPr>
                <w:sz w:val="20"/>
                <w:szCs w:val="20"/>
                <w:color w:val="auto"/>
              </w:rPr>
            </w:pPr>
            <w:r>
              <w:rPr>
                <w:rFonts w:ascii="Arial" w:cs="Arial" w:eastAsia="Arial" w:hAnsi="Arial"/>
                <w:sz w:val="18"/>
                <w:szCs w:val="18"/>
                <w:b w:val="1"/>
                <w:bCs w:val="1"/>
                <w:color w:val="auto"/>
                <w:w w:val="87"/>
              </w:rPr>
              <w:t>50 Rothschild Blvd.</w:t>
            </w:r>
          </w:p>
        </w:tc>
        <w:tc>
          <w:tcPr>
            <w:tcW w:w="7600" w:type="dxa"/>
            <w:vAlign w:val="bottom"/>
          </w:tcPr>
          <w:p>
            <w:pPr>
              <w:jc w:val="center"/>
              <w:ind w:left="2035"/>
              <w:spacing w:after="0"/>
              <w:rPr>
                <w:sz w:val="20"/>
                <w:szCs w:val="20"/>
                <w:color w:val="auto"/>
              </w:rPr>
            </w:pPr>
            <w:r>
              <w:rPr>
                <w:rFonts w:ascii="Arial" w:cs="Arial" w:eastAsia="Arial" w:hAnsi="Arial"/>
                <w:sz w:val="18"/>
                <w:szCs w:val="18"/>
                <w:b w:val="1"/>
                <w:bCs w:val="1"/>
                <w:color w:val="auto"/>
                <w:w w:val="88"/>
              </w:rPr>
              <w:t>34 Yehuda Halevi Street</w:t>
            </w:r>
          </w:p>
        </w:tc>
      </w:tr>
      <w:tr>
        <w:trPr>
          <w:trHeight w:val="216"/>
        </w:trPr>
        <w:tc>
          <w:tcPr>
            <w:tcW w:w="38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Tel Aviv 66883, Israel</w:t>
            </w:r>
          </w:p>
        </w:tc>
        <w:tc>
          <w:tcPr>
            <w:tcW w:w="7600" w:type="dxa"/>
            <w:vAlign w:val="bottom"/>
          </w:tcPr>
          <w:p>
            <w:pPr>
              <w:jc w:val="center"/>
              <w:ind w:left="2055"/>
              <w:spacing w:after="0"/>
              <w:rPr>
                <w:sz w:val="20"/>
                <w:szCs w:val="20"/>
                <w:color w:val="auto"/>
              </w:rPr>
            </w:pPr>
            <w:r>
              <w:rPr>
                <w:rFonts w:ascii="Arial" w:cs="Arial" w:eastAsia="Arial" w:hAnsi="Arial"/>
                <w:sz w:val="18"/>
                <w:szCs w:val="18"/>
                <w:b w:val="1"/>
                <w:bCs w:val="1"/>
                <w:color w:val="auto"/>
                <w:w w:val="89"/>
              </w:rPr>
              <w:t>Tel Aviv 65546, Israel</w:t>
            </w:r>
          </w:p>
        </w:tc>
      </w:tr>
      <w:tr>
        <w:trPr>
          <w:trHeight w:val="228"/>
        </w:trPr>
        <w:tc>
          <w:tcPr>
            <w:tcW w:w="3820" w:type="dxa"/>
            <w:vAlign w:val="bottom"/>
          </w:tcPr>
          <w:p>
            <w:pPr>
              <w:jc w:val="center"/>
              <w:ind w:left="1812"/>
              <w:spacing w:after="0"/>
              <w:rPr>
                <w:sz w:val="20"/>
                <w:szCs w:val="20"/>
                <w:color w:val="auto"/>
              </w:rPr>
            </w:pPr>
            <w:r>
              <w:rPr>
                <w:rFonts w:ascii="Arial" w:cs="Arial" w:eastAsia="Arial" w:hAnsi="Arial"/>
                <w:sz w:val="18"/>
                <w:szCs w:val="18"/>
                <w:b w:val="1"/>
                <w:bCs w:val="1"/>
                <w:color w:val="auto"/>
                <w:w w:val="88"/>
              </w:rPr>
              <w:t>972-3-5676532</w:t>
            </w:r>
          </w:p>
        </w:tc>
        <w:tc>
          <w:tcPr>
            <w:tcW w:w="7600" w:type="dxa"/>
            <w:vAlign w:val="bottom"/>
          </w:tcPr>
          <w:p>
            <w:pPr>
              <w:jc w:val="center"/>
              <w:ind w:left="2035"/>
              <w:spacing w:after="0"/>
              <w:rPr>
                <w:sz w:val="20"/>
                <w:szCs w:val="20"/>
                <w:color w:val="auto"/>
              </w:rPr>
            </w:pPr>
            <w:r>
              <w:rPr>
                <w:rFonts w:ascii="Arial" w:cs="Arial" w:eastAsia="Arial" w:hAnsi="Arial"/>
                <w:sz w:val="18"/>
                <w:szCs w:val="18"/>
                <w:b w:val="1"/>
                <w:bCs w:val="1"/>
                <w:color w:val="auto"/>
                <w:w w:val="88"/>
              </w:rPr>
              <w:t>972-3-5149419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54"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30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right="8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ind w:right="80"/>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420"/>
          </w:cols>
          <w:pgMar w:left="240" w:top="239" w:right="239" w:bottom="1440" w:gutter="0" w:footer="0" w:header="0"/>
        </w:sectPr>
      </w:pPr>
    </w:p>
    <w:bookmarkStart w:id="1" w:name="page2"/>
    <w:bookmarkEnd w:id="1"/>
    <w:p>
      <w:pPr>
        <w:spacing w:after="0"/>
        <w:tabs>
          <w:tab w:leader="none" w:pos="572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Bank Hapoalim B.M.</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 -</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02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102,012,197</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448,298</w:t>
            </w:r>
          </w:p>
        </w:tc>
        <w:tc>
          <w:tcPr>
            <w:tcW w:w="0" w:type="dxa"/>
            <w:vAlign w:val="bottom"/>
          </w:tcPr>
          <w:p>
            <w:pPr>
              <w:spacing w:after="0"/>
              <w:rPr>
                <w:sz w:val="1"/>
                <w:szCs w:val="1"/>
                <w:color w:val="auto"/>
              </w:rPr>
            </w:pPr>
          </w:p>
        </w:tc>
      </w:tr>
      <w:tr>
        <w:trPr>
          <w:trHeight w:val="227"/>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102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4"/>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102,012,197</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10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448,298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102,460,495</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- 39.1% (1)</w:t>
      </w:r>
    </w:p>
    <w:p>
      <w:pPr>
        <w:spacing w:after="0" w:line="238"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left="460" w:right="4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ordinary shares outstanding as at July 31, 2008, as adjusted to reflect the issuance of ordinary shares to former shareholders of Jazz Technologies, Inc., as reported by the Issuer in its 424(b)(3) Prospectus filed on August 12, 2008 under Registration Statement No. 333-151919 and calculated in accordance with Rule 13d-3(d)(1)(i).</w:t>
      </w:r>
    </w:p>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572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Tarshish Hahzakot Vehashkaot Hapoalim Ltd.</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 -</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9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448,298</w:t>
            </w:r>
          </w:p>
        </w:tc>
        <w:tc>
          <w:tcPr>
            <w:tcW w:w="0" w:type="dxa"/>
            <w:vAlign w:val="bottom"/>
          </w:tcPr>
          <w:p>
            <w:pPr>
              <w:spacing w:after="0"/>
              <w:rPr>
                <w:sz w:val="1"/>
                <w:szCs w:val="1"/>
                <w:color w:val="auto"/>
              </w:rPr>
            </w:pPr>
          </w:p>
        </w:tc>
      </w:tr>
      <w:tr>
        <w:trPr>
          <w:trHeight w:val="227"/>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102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4"/>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42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vMerge w:val="continue"/>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448,298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448,298</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 less than 0.01% (1)</w:t>
      </w:r>
    </w:p>
    <w:p>
      <w:pPr>
        <w:spacing w:after="0" w:line="238"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left="460" w:right="4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ordinary shares outstanding as at July 31, 2008, as adjusted to reflect the issuance of ordinary shares to former shareholders of Jazz Technologies, Inc., as reported by the Issuer in its 424(b)(3) Prospectus filed on August 12, 2008 under Registration Statement No. 333-151919 and calculated in accordance with Rule 13d-3(d)(1)(i).</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572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Bank Leumi le-Israel B.M.</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I.R.S. Identification Nos. of above persons (entities only).</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 -</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02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101,989,907</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42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vMerge w:val="continue"/>
          </w:tcPr>
          <w:p>
            <w:pPr>
              <w:spacing w:after="0"/>
              <w:rPr>
                <w:sz w:val="19"/>
                <w:szCs w:val="19"/>
                <w:color w:val="auto"/>
              </w:rPr>
            </w:pPr>
          </w:p>
        </w:tc>
        <w:tc>
          <w:tcPr>
            <w:tcW w:w="9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4"/>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 -</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10260" w:type="dxa"/>
            <w:vAlign w:val="bottom"/>
            <w:gridSpan w:val="2"/>
            <w:vMerge w:val="restart"/>
          </w:tcPr>
          <w:p>
            <w:pPr>
              <w:ind w:left="100"/>
              <w:spacing w:after="0"/>
              <w:rPr>
                <w:sz w:val="20"/>
                <w:szCs w:val="20"/>
                <w:color w:val="auto"/>
              </w:rPr>
            </w:pPr>
            <w:r>
              <w:rPr>
                <w:rFonts w:ascii="Arial" w:cs="Arial" w:eastAsia="Arial" w:hAnsi="Arial"/>
                <w:sz w:val="22"/>
                <w:szCs w:val="22"/>
                <w:color w:val="auto"/>
              </w:rPr>
              <w:t>101,989,907</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10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4"/>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 -</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101,989,907</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- 39.0% (1)</w:t>
      </w:r>
    </w:p>
    <w:p>
      <w:pPr>
        <w:spacing w:after="0" w:line="238"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left="460" w:right="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ordinary shares outstanding as at July 31, 2008, as adjusted to reflect the issuance of ordinary shares to former shareholders of Jazz Technologies, Inc., as reported by the Issuer in its 424(b)(3) Prospectus filed on August 12, 2008 under Registration Statement No. 333-151919 and calculated in accordance with Rule 13d-3(d)(1)(i).</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5 of 18</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Schedules A and B below, which Schedules have been amended to read in their entirety as set forth below.</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hereby added to this Item 3:</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This Amendment No. 2 to this Statement relates to a further debt restructuring that became effective on September 9, 2008 (the </w:t>
      </w:r>
      <w:r>
        <w:rPr>
          <w:rFonts w:ascii="Arial" w:cs="Arial" w:eastAsia="Arial" w:hAnsi="Arial"/>
          <w:sz w:val="18"/>
          <w:szCs w:val="18"/>
          <w:b w:val="1"/>
          <w:bCs w:val="1"/>
          <w:color w:val="auto"/>
        </w:rPr>
        <w:t>“2008 Debt Restructuring”</w:t>
      </w:r>
      <w:r>
        <w:rPr>
          <w:rFonts w:ascii="Arial" w:cs="Arial" w:eastAsia="Arial" w:hAnsi="Arial"/>
          <w:sz w:val="18"/>
          <w:szCs w:val="18"/>
          <w:color w:val="auto"/>
        </w:rPr>
        <w:t xml:space="preserve">) whereby each of Hapoalim and Leumi converted all US $15,000,000 of loans separately made by each Bank to Tower pursuant to separate equipment finance facilities and approximately US $85,000,000 of loans made to Tower pursuant to the Facility Agreement (which was further amended and restated effective September 29, 2008) (the </w:t>
      </w:r>
      <w:r>
        <w:rPr>
          <w:rFonts w:ascii="Arial" w:cs="Arial" w:eastAsia="Arial" w:hAnsi="Arial"/>
          <w:sz w:val="18"/>
          <w:szCs w:val="18"/>
          <w:b w:val="1"/>
          <w:bCs w:val="1"/>
          <w:color w:val="auto"/>
        </w:rPr>
        <w:t>“2008 Restated Facility Agreement”</w:t>
      </w:r>
      <w:r>
        <w:rPr>
          <w:rFonts w:ascii="Arial" w:cs="Arial" w:eastAsia="Arial" w:hAnsi="Arial"/>
          <w:sz w:val="18"/>
          <w:szCs w:val="18"/>
          <w:color w:val="auto"/>
        </w:rPr>
        <w:t>) into a Capital Note in the principal amount of US $100,000,000, each such Capital Note being convertible into 70,422,535 Ordinary Shares.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hereby added to this Item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acquisition of the Capital Notes was to effectuate the 2008 Debt Restructuring.</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(a)(1) and (a)(2) of this Item 5 are hereby amended to read in their entirety as follows:</w:t>
      </w:r>
    </w:p>
    <w:p>
      <w:pPr>
        <w:spacing w:after="0" w:line="212" w:lineRule="exact"/>
        <w:rPr>
          <w:sz w:val="20"/>
          <w:szCs w:val="20"/>
          <w:color w:val="auto"/>
        </w:rPr>
      </w:pPr>
    </w:p>
    <w:p>
      <w:pPr>
        <w:jc w:val="both"/>
        <w:ind w:left="920" w:right="100" w:hanging="912"/>
        <w:spacing w:after="0" w:line="298" w:lineRule="auto"/>
        <w:tabs>
          <w:tab w:leader="none" w:pos="3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 xml:space="preserve">Leumi is the beneficial owner of 101,989,907 Ordinary Shares, consisting of 96,409,377 Ordinary Shares issuable upon conversion of its currently convertible Capital Notes and 5,580,530 Ordinary Shares issuable upon exercise of its currently exercisable warrants. Leumi’s ownership represents approximately 39.0% of the Ordinary Shares outstanding based on the most recently available filing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by Tower and calculated in accordance with rule 13d-3(d)(1)(i).</w:t>
      </w:r>
    </w:p>
    <w:p>
      <w:pPr>
        <w:spacing w:after="0" w:line="31" w:lineRule="exact"/>
        <w:rPr>
          <w:rFonts w:ascii="Arial" w:cs="Arial" w:eastAsia="Arial" w:hAnsi="Arial"/>
          <w:sz w:val="18"/>
          <w:szCs w:val="18"/>
          <w:color w:val="auto"/>
        </w:rPr>
      </w:pPr>
    </w:p>
    <w:p>
      <w:pPr>
        <w:ind w:left="900" w:right="260" w:hanging="446"/>
        <w:spacing w:after="0" w:line="294"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Hapoalim is the beneficial owner of 102,460,495 Ordinary Shares, consisting of 96,409,377 Ordinary Shares issuable upon conversion of its currently convertible Capital Notes and 6,051,118 Ordinary Shares issuable upon exercise of currently exercisable warrants (including warrants to purchase 5,602,820 Ordinary Shares held by Hapoalim and a warrant to purchase 448,298 Ordinary Shares held by Tarshish, its wholly-owned subsidiary). Hapoalim (and Tarshish’s ownership, as aforesaid) represents approximately 39.1% of the Ordinary Shares outstanding based on the most recently available filing with the Commission by Tower and calculated in accordance with rule 13d-3(d)(1)(i).</w:t>
      </w:r>
    </w:p>
    <w:p>
      <w:pPr>
        <w:sectPr>
          <w:pgSz w:w="11900" w:h="16838" w:orient="portrait"/>
          <w:cols w:equalWidth="0" w:num="1">
            <w:col w:w="11420"/>
          </w:cols>
          <w:pgMar w:left="240" w:top="2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6 of 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(b)(1) and (b)(2) of this Item 5 are hereby amended to read in their entirety as follows:</w:t>
      </w:r>
    </w:p>
    <w:p>
      <w:pPr>
        <w:spacing w:after="0" w:line="212" w:lineRule="exact"/>
        <w:rPr>
          <w:sz w:val="20"/>
          <w:szCs w:val="20"/>
          <w:color w:val="auto"/>
        </w:rPr>
      </w:pPr>
    </w:p>
    <w:p>
      <w:pPr>
        <w:ind w:left="920" w:right="120" w:hanging="912"/>
        <w:spacing w:after="0" w:line="259" w:lineRule="auto"/>
        <w:tabs>
          <w:tab w:leader="none" w:pos="3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(1)Leumi has sole voting and dispositive power over 101,989,907 Ordinary Shares consisting of 96,409,377 Ordinary Shares issuable upon conversion of currently convertible Capital Notes and 5,580,530 Ordinary Shares issuable upon exercise of currently exercisable warrants to purchase Ordinary Shares.</w:t>
      </w:r>
    </w:p>
    <w:p>
      <w:pPr>
        <w:spacing w:after="0" w:line="59" w:lineRule="exact"/>
        <w:rPr>
          <w:rFonts w:ascii="Arial" w:cs="Arial" w:eastAsia="Arial" w:hAnsi="Arial"/>
          <w:sz w:val="18"/>
          <w:szCs w:val="18"/>
          <w:color w:val="auto"/>
        </w:rPr>
      </w:pPr>
    </w:p>
    <w:p>
      <w:pPr>
        <w:ind w:left="900" w:right="220" w:hanging="446"/>
        <w:spacing w:after="0" w:line="256"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Hapoalim has sole voting and dispositive power over 102,012,197 Ordinary Shares consisting of 96,409,377 Ordinary Shares issuable upon conversion of currently convertible Capital Notes and 5,602,820 Ordinary Shares issuable upon exercise of currently exercisable warrants and Hapoalim and Tarshish share voting and dispositive power over 448,298 Ordinary Shares issuable upon exercise of a currently exercisable warrant held by Tarshish.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are hereby added to the end of this Item 5:</w:t>
      </w:r>
    </w:p>
    <w:p>
      <w:pPr>
        <w:spacing w:after="0" w:line="171"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Neither the filing of this Amendment No. 2 to this Statement nor any of its contents shall be deemed to constitute an admission by any Reporting Person (as defined above) that any such Reporting Person and any other persons or entities constitute a “group” for purposes of Section 13(d) of the Exchange Act and the rules promulgated thereunder. Further, the filing of this Amendment No. 2 to this Statement shall not be construed as an admission that any Reporting Person is, for the purposes of Section 13(d) or 13(g) of the Exchange Act, or for any other purpose, the beneficial owner of any Ordinary Shares other than those Ordinary Shares over which the Reporting Person has voting and dispositive power, as reported herein. Other than Hapoalim’s interest in Tarshish, each Reporting Person disclaims any pecuniary interest in any securities of Tower owned by any other Reporting Person, and expressly disclaims the existence of a group.</w:t>
      </w:r>
    </w:p>
    <w:p>
      <w:pPr>
        <w:spacing w:after="0" w:line="10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Without limiting the generality of the foregoing, although each Bank entered into an Amendment No. 1 to its Tag Along Agreement with Israel Corporation Ltd. (</w:t>
      </w:r>
      <w:r>
        <w:rPr>
          <w:rFonts w:ascii="Arial" w:cs="Arial" w:eastAsia="Arial" w:hAnsi="Arial"/>
          <w:sz w:val="16"/>
          <w:szCs w:val="16"/>
          <w:b w:val="1"/>
          <w:bCs w:val="1"/>
          <w:color w:val="auto"/>
        </w:rPr>
        <w:t>“TIC”</w:t>
      </w:r>
      <w:r>
        <w:rPr>
          <w:rFonts w:ascii="Arial" w:cs="Arial" w:eastAsia="Arial" w:hAnsi="Arial"/>
          <w:sz w:val="16"/>
          <w:szCs w:val="16"/>
          <w:color w:val="auto"/>
        </w:rPr>
        <w:t>), Tower’s largest shareholder, each as described in Item 6 below, each of the Reporting Persons expressly disclaims the existence of a group with TIC. Based on Amendment No. 7, dated September 25, 2008, to TIC’s Statement on Schedule 13D with respect to the Ordinary Shares, TIC may be deemed to have voting and dispositive control over approximately 63.2% of the Ordinary Shares. Leumi owns ordinary shares in TIC representing 17.96% of TIC’s issued share capital (18.16% of the voting rights) and a representative of Leumi is a member of TIC’s board of directors.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seventh paragraph of this Item 6 is hereby amended to read in its entirety as follows: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As part of the 2008 Debt Restructuring, the spread over LIBOR applicable to Tower’s quarterly interest payments on its remaining approximately $200 million of loans to the Banks was increased by 1.4 percentage points back to 2.5% from 1.1%, effective September 29, 2008. The 2008 Restated Facility Agreement provides that, subject to the conditions described below, Tower will issue to the Banks on January 30, 2011 such number of shares (or Capital Notes or convertible debentures) that equals the aggregate amount of interest that would have been payable but for the decrease in the spread over LIBOR applicable to Tower’s quarterly interest payments on its loans during the period of May 17, 2006 through September 29, 2008 to the Banks (the </w:t>
      </w:r>
      <w:r>
        <w:rPr>
          <w:rFonts w:ascii="Arial" w:cs="Arial" w:eastAsia="Arial" w:hAnsi="Arial"/>
          <w:sz w:val="16"/>
          <w:szCs w:val="16"/>
          <w:b w:val="1"/>
          <w:bCs w:val="1"/>
          <w:color w:val="auto"/>
        </w:rPr>
        <w:t>“2008 Decreased Amount”</w:t>
      </w:r>
      <w:r>
        <w:rPr>
          <w:rFonts w:ascii="Arial" w:cs="Arial" w:eastAsia="Arial" w:hAnsi="Arial"/>
          <w:sz w:val="16"/>
          <w:szCs w:val="16"/>
          <w:color w:val="auto"/>
        </w:rPr>
        <w:t xml:space="preserve">) divided by the average closing price of the Ordinary Shares during the fourth quarter of 2010 (the </w:t>
      </w:r>
      <w:r>
        <w:rPr>
          <w:rFonts w:ascii="Arial" w:cs="Arial" w:eastAsia="Arial" w:hAnsi="Arial"/>
          <w:sz w:val="16"/>
          <w:szCs w:val="16"/>
          <w:b w:val="1"/>
          <w:bCs w:val="1"/>
          <w:color w:val="auto"/>
        </w:rPr>
        <w:t>“Fourth Quarter 2010 Price”</w:t>
      </w:r>
      <w:r>
        <w:rPr>
          <w:rFonts w:ascii="Arial" w:cs="Arial" w:eastAsia="Arial" w:hAnsi="Arial"/>
          <w:sz w:val="16"/>
          <w:szCs w:val="16"/>
          <w:color w:val="auto"/>
        </w:rPr>
        <w:t>). If, during the second half of 2010, the closing price of Tower’s Ordinary Shares on every trading day during this period exceeds $3.49, then the Banks will only be granted such number of</w:t>
      </w:r>
    </w:p>
    <w:p>
      <w:pPr>
        <w:sectPr>
          <w:pgSz w:w="11900" w:h="16838" w:orient="portrait"/>
          <w:cols w:equalWidth="0" w:num="1">
            <w:col w:w="11420"/>
          </w:cols>
          <w:pgMar w:left="240" w:top="280" w:right="239" w:bottom="1440" w:gutter="0" w:footer="0" w:header="0"/>
        </w:sectPr>
      </w:pPr>
    </w:p>
    <w:bookmarkStart w:id="6" w:name="page7"/>
    <w:bookmarkEnd w:id="6"/>
    <w:p>
      <w:pPr>
        <w:ind w:left="105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7 of 18</w:t>
      </w:r>
    </w:p>
    <w:p>
      <w:pPr>
        <w:spacing w:after="0" w:line="19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Ordinary Shares (or Capital Notes or convertible debentures) that equals the 2008 Decreased Amount divided by 200% of the Fourth Quarter 2010 Price. If, during the period ending December 31, 2010, the Banks sell a portion of the Capital Notes issued to the Banks on September 28, 2006 (or shares issuable upon the conversion of such Capital Notes) at a price per share in excess of $3.49, then the consideration payable for the interest rate reduction will be reduced proportionately. The adjusted 2008 Decreased Amount is $12,086,670, subject to downward adjustment as set forth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first two paragraphs under the heading “Restated Facility Agreement” are hereby amended to read in their entirety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Restated Facility Agreement</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2008 Restated Facility Agreement imposes a number of restrictions on Tower, including restrictions on debt, investments, mergers, acquisitions, disposals, prohibitions on the payment of dividends and changes in ownership.</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change of ownership will be deemed to occur if (a) the Lead Investors shall, directly or indirectly through subsidiaries, cease to nominate, in aggregate, more than 50% of the board of directors of Tower (excluding, for this purpose, external directors (</w:t>
      </w:r>
      <w:r>
        <w:rPr>
          <w:rFonts w:ascii="Arial" w:cs="Arial" w:eastAsia="Arial" w:hAnsi="Arial"/>
          <w:sz w:val="18"/>
          <w:szCs w:val="18"/>
          <w:i w:val="1"/>
          <w:iCs w:val="1"/>
          <w:color w:val="auto"/>
        </w:rPr>
        <w:t>Dahaz</w:t>
      </w:r>
      <w:r>
        <w:rPr>
          <w:rFonts w:ascii="Arial" w:cs="Arial" w:eastAsia="Arial" w:hAnsi="Arial"/>
          <w:sz w:val="18"/>
          <w:szCs w:val="18"/>
          <w:color w:val="auto"/>
        </w:rPr>
        <w:t>), 1 (one) independent director under Nasdaq Marketplace Rules, officers of Tower (including the chief executive officer) who are ex-officio directors of Tower and any directors appointed by a purchaser of the Banks’ shares); or (b) at any time TIC shall cease to hold (directly or indirectly through subsidiaries) in the aggregate at least 48,164,483 Ordinary Shares and/or capital notes convertible into Ordinary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hereby added to the end of this Item 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Conversion Agreements and 2008 Capital Notes</w:t>
      </w:r>
    </w:p>
    <w:p>
      <w:pPr>
        <w:spacing w:after="0" w:line="84"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 xml:space="preserve">On September 25, 2008, each of Leumi and Hapoalim entered into a Conversion Agreement (the </w:t>
      </w:r>
      <w:r>
        <w:rPr>
          <w:rFonts w:ascii="Arial" w:cs="Arial" w:eastAsia="Arial" w:hAnsi="Arial"/>
          <w:sz w:val="15"/>
          <w:szCs w:val="15"/>
          <w:b w:val="1"/>
          <w:bCs w:val="1"/>
          <w:color w:val="auto"/>
        </w:rPr>
        <w:t>“2008 Conversion Agreement”</w:t>
      </w:r>
      <w:r>
        <w:rPr>
          <w:rFonts w:ascii="Arial" w:cs="Arial" w:eastAsia="Arial" w:hAnsi="Arial"/>
          <w:sz w:val="15"/>
          <w:szCs w:val="15"/>
          <w:color w:val="auto"/>
        </w:rPr>
        <w:t xml:space="preserve">) with Tower pursuant to which each Bank converted $100 million of its loans to Tower into a Capital Note (the </w:t>
      </w:r>
      <w:r>
        <w:rPr>
          <w:rFonts w:ascii="Arial" w:cs="Arial" w:eastAsia="Arial" w:hAnsi="Arial"/>
          <w:sz w:val="15"/>
          <w:szCs w:val="15"/>
          <w:b w:val="1"/>
          <w:bCs w:val="1"/>
          <w:color w:val="auto"/>
        </w:rPr>
        <w:t>“2008 Capital Note”</w:t>
      </w:r>
      <w:r>
        <w:rPr>
          <w:rFonts w:ascii="Arial" w:cs="Arial" w:eastAsia="Arial" w:hAnsi="Arial"/>
          <w:sz w:val="15"/>
          <w:szCs w:val="15"/>
          <w:color w:val="auto"/>
        </w:rPr>
        <w:t>) in the principal amount of $100,000,000 which, in turn, is fully convertible, at any time and from time to time, in whole or in part, into an aggregate of 70,422,535 Ordinary Shares, at an initial conversion price of $1.42 per Ordinary Share. The initial conversion price was 200% of the average of the closing prices of the Ordinary Shares on the NASDAQ Stock Market for the ten trading days prior to August 7, 2008, the date of Tower’s public announcement with respect to its negotiations with the Banks regarding the debt restructuring.</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terms of each 2008 Conversion Agreement and each 2008 Capital Note are substantially similar to those of the comparable Conversion Agreement and Capital Note entered into and issued, respectively, in 2006 except that only the Conversion Agreements in 2006 apply to the issuance of securities by Tower to the Banks in January 2011 with respect to the 2008 Decreased Amount.</w:t>
      </w:r>
    </w:p>
    <w:p>
      <w:pPr>
        <w:spacing w:after="0" w:line="14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foregoing summary of the 2008 Capital Notes is qualified in its entirety by reference to the form of Capital Note attached as Exhibit 1 to each of the 2008 Conversion Agreements. The 2008 Conversion Agreement entered into between Tower and Hapoalim is included as Exhibit 17 to this Schedule 13D and the Conversion Agreement entered into between Tower and Leumi is included as Exhibit 18 to this Schedule 13D. Each of these Agreements in their entirety is incorporated herein by reference and the summary herein with respect to the 2008 Conversion Agreements is qualified in its entirety by such reference.</w:t>
      </w:r>
    </w:p>
    <w:p>
      <w:pPr>
        <w:sectPr>
          <w:pgSz w:w="11900" w:h="16838" w:orient="portrait"/>
          <w:cols w:equalWidth="0" w:num="1">
            <w:col w:w="11420"/>
          </w:cols>
          <w:pgMar w:left="240" w:top="2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8 of 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Registration Rights Agreements</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Registration Rights Agreements entered into by Tower with each of the Banks in 2006 were amended and restated principally to provide each Bank with demand registration rights from time to time with respect to all or any portion of such Bank’s Registratable Securities, including Ordinary shares issuable upon conversion of the 2008 Capital Notes. The Amended and Restated Registration Rights Agreements replace and supersede the Registration Rights Agreements entered into on September 28, 2006.</w:t>
      </w:r>
    </w:p>
    <w:p>
      <w:pPr>
        <w:spacing w:after="0" w:line="143" w:lineRule="exact"/>
        <w:rPr>
          <w:sz w:val="20"/>
          <w:szCs w:val="20"/>
          <w:color w:val="auto"/>
        </w:rPr>
      </w:pPr>
    </w:p>
    <w:p>
      <w:pPr>
        <w:jc w:val="both"/>
        <w:ind w:right="460"/>
        <w:spacing w:after="0" w:line="298" w:lineRule="auto"/>
        <w:rPr>
          <w:sz w:val="20"/>
          <w:szCs w:val="20"/>
          <w:color w:val="auto"/>
        </w:rPr>
      </w:pPr>
      <w:r>
        <w:rPr>
          <w:rFonts w:ascii="Arial" w:cs="Arial" w:eastAsia="Arial" w:hAnsi="Arial"/>
          <w:sz w:val="16"/>
          <w:szCs w:val="16"/>
          <w:color w:val="auto"/>
        </w:rPr>
        <w:t>The foregoing summary of the Amended and Restated Registration Rights Agreements is qualified in its entirety by reference to the Amended and Restated Registration Rights Agreement entered into between Tower and Leumi which is included as Exhibit 3 to this Schedule 13D and the Amended and Restated Registration Rights Agreement entered into between Tower and Hapoalim which is included as Exhibit 4 to this Schedule 13D. Each of these Amended and Restated Agreements in their entirety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to Tag Along Agreements</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September 25, 2008, each Bank and TIC entered into an Amendment No. 1 to each Tag Along Agreement entered into in 2006, so as to include the 2008 Capital Note and the Ordinary Shares issuable on conversion thereof within the tag-along right granted by TIC to each Bank pursuant to each Tag Along Agreement entered into in 2006.</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foregoing summary of Amendment No. 1 to each Tag Along Agreement is qualified in its entirety by reference to Amendment No. 1 to the Tag Along Agreement entered into between TIC and Hapoalim which is included as Exhibit 19 to this Schedule 13D and Amendment No. 1 to the Tag Along Agreement entered into between TIC and Leumi which is included as Exhibit 20 to this Schedule 13D. Each of these Amendments in their entirety is incorporated hereby by reference.</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9 of 18</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9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Agreement, dated September 28, 2006, between Tower Semiconductor Ltd. and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Agreement, dated September 28, 2006, between Tower Semiconductor Ltd. and Bank Leumi le-Israel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Amended and Restated Registration Rights Agreement, dated September 25, 2008, between Tower Semiconductor Ltd. and Bank Leumi le-Israel B.M.</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Amended and Restated Registration Rights Agreement, dated September 25, 2008, between Tower Semiconductor Ltd. and Bank Hapoalim B.M.</w:t>
      </w:r>
    </w:p>
    <w:p>
      <w:pPr>
        <w:spacing w:after="0" w:line="113"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Warrants, each dated August 4, 2005, granted by Tower Semiconductor Ltd. to Bank Leumi le-Israel B.M. and Bank Hapoalim B.M. (incorporated by reference to Exhibit 4.47 to the Annual Report on Form 20-F of Tower Semiconductor Ltd. for the Fiscal Year ended December 31, 2005 (Commission File No: 0-24790)).</w:t>
      </w:r>
    </w:p>
    <w:p>
      <w:pPr>
        <w:spacing w:after="0" w:line="59"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Amendment, dated September 28, 2006, between Tower Semiconductor Ltd. and Tarshish Hahzaka Vehashkaot Hapoalim Ltd. to Warrant dated December 11, 2003.*</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Leumi le-Israel B.M. to Warrant dated December 11, 2003.*</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Leumi le-Israel B.M. to Warrant dated August 4, 2005.*</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Hapoalim B.M. to Warrant dated August 4, 2005.*</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Tag Along Agreement, dated September 28, 2006, between Israel Corporation Ltd. and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Tag Along Agreement, dated September 28, 2006, between Israel Corporation Ltd. and Bank Leumi le-Israel B.M.*</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 dated September 28, 2006, among Bank Hapoalim B.M., Israel Corporation Ltd., SanDisk Corporation, Alliance Semiconductor Corporation and Macronix International Co. Ltd.*</w:t>
      </w:r>
    </w:p>
    <w:p>
      <w:pPr>
        <w:spacing w:after="0" w:line="5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 dated September 28, 2006, among Bank Leumi le-Israel B.M., Israel Corporation Ltd., SanDisk Corporation, Alliance Semiconductor Corporation and Macronix International Co. Ltd.*</w:t>
      </w:r>
    </w:p>
    <w:p>
      <w:pPr>
        <w:sectPr>
          <w:pgSz w:w="11900" w:h="16838" w:orient="portrait"/>
          <w:cols w:equalWidth="0" w:num="1">
            <w:col w:w="11420"/>
          </w:cols>
          <w:pgMar w:left="2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10 of 18</w:t>
      </w:r>
    </w:p>
    <w:p>
      <w:pPr>
        <w:spacing w:after="0" w:line="15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Filing Agreement among Bank Leumi le-Israel B.M., Bank Hapoalim B.M. and Tarshish Hahzaka Vehashkaot Hapoalim Ltd.*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 dated September 10, 2007, granted by Tower Semiconductor Ltd. to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 dated September 10, 2007, granted by Tower Semiconductor Ltd. to Bank Leumi le-Israel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Agreement, dated September 25, 2008, between Tower Semiconductor Ltd. and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Agreement, dated September 25, 2008, between Tower Semiconductor Ltd. and Bank Leumi le-Israel B.M.</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 No. 1, dated September 25, 2008, to Tag Along Agreement, dated September 28, 2006, between Israel Corporation Ltd. and Bank Hapoalim B.M.</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 No. 1, dated September 25, 2008, to Tag Along Agreement, dated September 28, 2006, between Israel Corporation Ltd. and Bank Leumi le-Israel B.M.</w:t>
      </w:r>
    </w:p>
    <w:p>
      <w:pPr>
        <w:spacing w:after="0" w:line="5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original filing of this Statement on Schedule 13D</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with the filing of Amendment No. 1 to this Statement on Schedule 13D</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11 of 18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Amendment No. 2 to this statement is true, complete and correct.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October 30,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20" w:type="dxa"/>
            <w:vAlign w:val="bottom"/>
          </w:tcPr>
          <w:p>
            <w:pPr>
              <w:spacing w:after="0"/>
              <w:rPr>
                <w:sz w:val="20"/>
                <w:szCs w:val="20"/>
                <w:color w:val="auto"/>
              </w:rPr>
            </w:pPr>
          </w:p>
        </w:tc>
        <w:tc>
          <w:tcPr>
            <w:tcW w:w="3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Anat Golan</w:t>
            </w:r>
          </w:p>
        </w:tc>
        <w:tc>
          <w:tcPr>
            <w:tcW w:w="166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Jennifer Janes</w:t>
            </w:r>
          </w:p>
        </w:tc>
      </w:tr>
      <w:tr>
        <w:trPr>
          <w:trHeight w:val="208"/>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3380" w:type="dxa"/>
            <w:vAlign w:val="bottom"/>
          </w:tcPr>
          <w:p>
            <w:pPr>
              <w:ind w:left="120"/>
              <w:spacing w:after="0"/>
              <w:rPr>
                <w:sz w:val="20"/>
                <w:szCs w:val="20"/>
                <w:color w:val="auto"/>
              </w:rPr>
            </w:pPr>
            <w:r>
              <w:rPr>
                <w:rFonts w:ascii="Arial" w:cs="Arial" w:eastAsia="Arial" w:hAnsi="Arial"/>
                <w:sz w:val="18"/>
                <w:szCs w:val="18"/>
                <w:color w:val="auto"/>
              </w:rPr>
              <w:t>Anat Golan</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Jennifer Janes, Adv.</w:t>
            </w:r>
          </w:p>
        </w:tc>
      </w:tr>
      <w:tr>
        <w:trPr>
          <w:trHeight w:val="216"/>
        </w:trPr>
        <w:tc>
          <w:tcPr>
            <w:tcW w:w="9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Senior Manager</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22"/>
        </w:trPr>
        <w:tc>
          <w:tcPr>
            <w:tcW w:w="920" w:type="dxa"/>
            <w:vAlign w:val="bottom"/>
          </w:tcPr>
          <w:p>
            <w:pPr>
              <w:spacing w:after="0"/>
              <w:rPr>
                <w:sz w:val="19"/>
                <w:szCs w:val="19"/>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Customer Relationship Manager</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Group Secretary</w:t>
            </w:r>
          </w:p>
        </w:tc>
      </w:tr>
      <w:tr>
        <w:trPr>
          <w:trHeight w:val="318"/>
        </w:trPr>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120" w:type="dxa"/>
            <w:vAlign w:val="bottom"/>
            <w:gridSpan w:val="3"/>
          </w:tcPr>
          <w:p>
            <w:pPr>
              <w:jc w:val="center"/>
              <w:ind w:right="3172"/>
              <w:spacing w:after="0"/>
              <w:rPr>
                <w:sz w:val="20"/>
                <w:szCs w:val="20"/>
                <w:color w:val="auto"/>
              </w:rPr>
            </w:pPr>
            <w:r>
              <w:rPr>
                <w:rFonts w:ascii="Arial" w:cs="Arial" w:eastAsia="Arial" w:hAnsi="Arial"/>
                <w:sz w:val="18"/>
                <w:szCs w:val="18"/>
                <w:color w:val="auto"/>
                <w:w w:val="92"/>
              </w:rPr>
              <w:t>Bank Leumi le-Israel B.M.</w:t>
            </w:r>
          </w:p>
        </w:tc>
      </w:tr>
      <w:tr>
        <w:trPr>
          <w:trHeight w:val="222"/>
        </w:trPr>
        <w:tc>
          <w:tcPr>
            <w:tcW w:w="9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120" w:type="dxa"/>
            <w:vAlign w:val="bottom"/>
            <w:gridSpan w:val="3"/>
          </w:tcPr>
          <w:p>
            <w:pPr>
              <w:jc w:val="center"/>
              <w:ind w:right="3152"/>
              <w:spacing w:after="0"/>
              <w:rPr>
                <w:sz w:val="20"/>
                <w:szCs w:val="20"/>
                <w:color w:val="auto"/>
              </w:rPr>
            </w:pPr>
            <w:r>
              <w:rPr>
                <w:rFonts w:ascii="Arial" w:cs="Arial" w:eastAsia="Arial" w:hAnsi="Arial"/>
                <w:sz w:val="18"/>
                <w:szCs w:val="18"/>
                <w:color w:val="auto"/>
                <w:w w:val="91"/>
              </w:rPr>
              <w:t>Name/Title</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October 30, 2008</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41"/>
        </w:trPr>
        <w:tc>
          <w:tcPr>
            <w:tcW w:w="920" w:type="dxa"/>
            <w:vAlign w:val="bottom"/>
          </w:tcPr>
          <w:p>
            <w:pPr>
              <w:spacing w:after="0"/>
              <w:rPr>
                <w:sz w:val="24"/>
                <w:szCs w:val="24"/>
                <w:color w:val="auto"/>
              </w:rPr>
            </w:pPr>
          </w:p>
        </w:tc>
        <w:tc>
          <w:tcPr>
            <w:tcW w:w="3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Ofer Levy</w:t>
            </w:r>
          </w:p>
        </w:tc>
        <w:tc>
          <w:tcPr>
            <w:tcW w:w="16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Eyal Issaharov</w:t>
            </w:r>
          </w:p>
        </w:tc>
      </w:tr>
      <w:tr>
        <w:trPr>
          <w:trHeight w:val="208"/>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3380" w:type="dxa"/>
            <w:vAlign w:val="bottom"/>
          </w:tcPr>
          <w:p>
            <w:pPr>
              <w:ind w:left="120"/>
              <w:spacing w:after="0"/>
              <w:rPr>
                <w:sz w:val="20"/>
                <w:szCs w:val="20"/>
                <w:color w:val="auto"/>
              </w:rPr>
            </w:pPr>
            <w:r>
              <w:rPr>
                <w:rFonts w:ascii="Arial" w:cs="Arial" w:eastAsia="Arial" w:hAnsi="Arial"/>
                <w:sz w:val="18"/>
                <w:szCs w:val="18"/>
                <w:color w:val="auto"/>
              </w:rPr>
              <w:t>Ofer Levy</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Eyal Issaharov</w:t>
            </w:r>
          </w:p>
        </w:tc>
      </w:tr>
      <w:tr>
        <w:trPr>
          <w:trHeight w:val="222"/>
        </w:trPr>
        <w:tc>
          <w:tcPr>
            <w:tcW w:w="920" w:type="dxa"/>
            <w:vAlign w:val="bottom"/>
          </w:tcPr>
          <w:p>
            <w:pPr>
              <w:spacing w:after="0"/>
              <w:rPr>
                <w:sz w:val="19"/>
                <w:szCs w:val="19"/>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Chief Accountant</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Deputy Department Manager</w:t>
            </w:r>
          </w:p>
        </w:tc>
      </w:tr>
      <w:tr>
        <w:trPr>
          <w:trHeight w:val="318"/>
        </w:trPr>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120" w:type="dxa"/>
            <w:vAlign w:val="bottom"/>
            <w:gridSpan w:val="3"/>
          </w:tcPr>
          <w:p>
            <w:pPr>
              <w:jc w:val="center"/>
              <w:ind w:right="3172"/>
              <w:spacing w:after="0"/>
              <w:rPr>
                <w:sz w:val="20"/>
                <w:szCs w:val="20"/>
                <w:color w:val="auto"/>
              </w:rPr>
            </w:pPr>
            <w:r>
              <w:rPr>
                <w:rFonts w:ascii="Arial" w:cs="Arial" w:eastAsia="Arial" w:hAnsi="Arial"/>
                <w:sz w:val="18"/>
                <w:szCs w:val="18"/>
                <w:color w:val="auto"/>
                <w:w w:val="91"/>
              </w:rPr>
              <w:t>Bank Hapoalim B.M.</w:t>
            </w:r>
          </w:p>
        </w:tc>
      </w:tr>
      <w:tr>
        <w:trPr>
          <w:trHeight w:val="222"/>
        </w:trPr>
        <w:tc>
          <w:tcPr>
            <w:tcW w:w="9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120" w:type="dxa"/>
            <w:vAlign w:val="bottom"/>
            <w:gridSpan w:val="3"/>
          </w:tcPr>
          <w:p>
            <w:pPr>
              <w:jc w:val="center"/>
              <w:ind w:right="3152"/>
              <w:spacing w:after="0"/>
              <w:rPr>
                <w:sz w:val="20"/>
                <w:szCs w:val="20"/>
                <w:color w:val="auto"/>
              </w:rPr>
            </w:pPr>
            <w:r>
              <w:rPr>
                <w:rFonts w:ascii="Arial" w:cs="Arial" w:eastAsia="Arial" w:hAnsi="Arial"/>
                <w:sz w:val="18"/>
                <w:szCs w:val="18"/>
                <w:color w:val="auto"/>
                <w:w w:val="91"/>
              </w:rPr>
              <w:t>Name/Title</w:t>
            </w: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October 30, 2008</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41"/>
        </w:trPr>
        <w:tc>
          <w:tcPr>
            <w:tcW w:w="920" w:type="dxa"/>
            <w:vAlign w:val="bottom"/>
          </w:tcPr>
          <w:p>
            <w:pPr>
              <w:spacing w:after="0"/>
              <w:rPr>
                <w:sz w:val="24"/>
                <w:szCs w:val="24"/>
                <w:color w:val="auto"/>
              </w:rPr>
            </w:pPr>
          </w:p>
        </w:tc>
        <w:tc>
          <w:tcPr>
            <w:tcW w:w="3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Ofer Levy</w:t>
            </w:r>
          </w:p>
        </w:tc>
        <w:tc>
          <w:tcPr>
            <w:tcW w:w="16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Haim Messing</w:t>
            </w:r>
          </w:p>
        </w:tc>
      </w:tr>
      <w:tr>
        <w:trPr>
          <w:trHeight w:val="208"/>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3380" w:type="dxa"/>
            <w:vAlign w:val="bottom"/>
          </w:tcPr>
          <w:p>
            <w:pPr>
              <w:ind w:left="120"/>
              <w:spacing w:after="0"/>
              <w:rPr>
                <w:sz w:val="20"/>
                <w:szCs w:val="20"/>
                <w:color w:val="auto"/>
              </w:rPr>
            </w:pPr>
            <w:r>
              <w:rPr>
                <w:rFonts w:ascii="Arial" w:cs="Arial" w:eastAsia="Arial" w:hAnsi="Arial"/>
                <w:sz w:val="18"/>
                <w:szCs w:val="18"/>
                <w:color w:val="auto"/>
              </w:rPr>
              <w:t>Ofer Levy</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Haim Messing</w:t>
            </w:r>
          </w:p>
        </w:tc>
      </w:tr>
      <w:tr>
        <w:trPr>
          <w:trHeight w:val="222"/>
        </w:trPr>
        <w:tc>
          <w:tcPr>
            <w:tcW w:w="920" w:type="dxa"/>
            <w:vAlign w:val="bottom"/>
          </w:tcPr>
          <w:p>
            <w:pPr>
              <w:spacing w:after="0"/>
              <w:rPr>
                <w:sz w:val="19"/>
                <w:szCs w:val="19"/>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Comptroller</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Deputy Department Manager</w:t>
            </w:r>
          </w:p>
        </w:tc>
      </w:tr>
    </w:tbl>
    <w:p>
      <w:pPr>
        <w:spacing w:after="0" w:line="102" w:lineRule="exact"/>
        <w:rPr>
          <w:sz w:val="20"/>
          <w:szCs w:val="20"/>
          <w:color w:val="auto"/>
        </w:rPr>
      </w:pPr>
    </w:p>
    <w:p>
      <w:pPr>
        <w:jc w:val="center"/>
        <w:ind w:left="1040"/>
        <w:spacing w:after="0"/>
        <w:rPr>
          <w:sz w:val="20"/>
          <w:szCs w:val="20"/>
          <w:color w:val="auto"/>
        </w:rPr>
      </w:pPr>
      <w:r>
        <w:rPr>
          <w:rFonts w:ascii="Arial" w:cs="Arial" w:eastAsia="Arial" w:hAnsi="Arial"/>
          <w:sz w:val="18"/>
          <w:szCs w:val="18"/>
          <w:color w:val="auto"/>
        </w:rPr>
        <w:t>Tarshish Hahzakot ve Hashkaot Hapoalim Ltd.</w:t>
      </w:r>
    </w:p>
    <w:p>
      <w:pPr>
        <w:spacing w:after="0" w:line="15" w:lineRule="exact"/>
        <w:rPr>
          <w:sz w:val="20"/>
          <w:szCs w:val="20"/>
          <w:color w:val="auto"/>
        </w:rPr>
      </w:pPr>
    </w:p>
    <w:p>
      <w:pPr>
        <w:jc w:val="center"/>
        <w:ind w:left="1040"/>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28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12 of 18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Regarding Senior Officers and Directors of Bank Hapoalim B.M.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1120"/>
              <w:spacing w:after="0"/>
              <w:rPr>
                <w:sz w:val="20"/>
                <w:szCs w:val="20"/>
                <w:color w:val="auto"/>
              </w:rPr>
            </w:pPr>
            <w:r>
              <w:rPr>
                <w:rFonts w:ascii="Arial" w:cs="Arial" w:eastAsia="Arial" w:hAnsi="Arial"/>
                <w:sz w:val="14"/>
                <w:szCs w:val="14"/>
                <w:b w:val="1"/>
                <w:bCs w:val="1"/>
                <w:color w:val="auto"/>
              </w:rPr>
              <w:t>Address</w:t>
            </w:r>
          </w:p>
        </w:tc>
        <w:tc>
          <w:tcPr>
            <w:tcW w:w="120" w:type="dxa"/>
            <w:vAlign w:val="bottom"/>
          </w:tcPr>
          <w:p>
            <w:pPr>
              <w:spacing w:after="0"/>
              <w:rPr>
                <w:sz w:val="15"/>
                <w:szCs w:val="15"/>
                <w:color w:val="auto"/>
              </w:rPr>
            </w:pPr>
          </w:p>
        </w:tc>
        <w:tc>
          <w:tcPr>
            <w:tcW w:w="2840" w:type="dxa"/>
            <w:vAlign w:val="bottom"/>
          </w:tcPr>
          <w:p>
            <w:pPr>
              <w:ind w:left="80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5"/>
                <w:szCs w:val="15"/>
                <w:color w:val="auto"/>
              </w:rPr>
            </w:pPr>
          </w:p>
        </w:tc>
        <w:tc>
          <w:tcPr>
            <w:tcW w:w="2720" w:type="dxa"/>
            <w:vAlign w:val="bottom"/>
          </w:tcPr>
          <w:p>
            <w:pPr>
              <w:ind w:left="1020"/>
              <w:spacing w:after="0"/>
              <w:rPr>
                <w:sz w:val="20"/>
                <w:szCs w:val="20"/>
                <w:color w:val="auto"/>
              </w:rPr>
            </w:pPr>
            <w:r>
              <w:rPr>
                <w:rFonts w:ascii="Arial" w:cs="Arial" w:eastAsia="Arial" w:hAnsi="Arial"/>
                <w:sz w:val="14"/>
                <w:szCs w:val="14"/>
                <w:b w:val="1"/>
                <w:bCs w:val="1"/>
                <w:color w:val="auto"/>
              </w:rPr>
              <w:t>Citizenship</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Dan</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Dankner</w:t>
            </w: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63 Yehuda Halevi</w:t>
            </w:r>
          </w:p>
        </w:tc>
        <w:tc>
          <w:tcPr>
            <w:tcW w:w="120" w:type="dxa"/>
            <w:vAlign w:val="bottom"/>
          </w:tcPr>
          <w:p>
            <w:pPr>
              <w:spacing w:after="0"/>
              <w:rPr>
                <w:sz w:val="17"/>
                <w:szCs w:val="17"/>
                <w:color w:val="auto"/>
              </w:rPr>
            </w:pPr>
          </w:p>
        </w:tc>
        <w:tc>
          <w:tcPr>
            <w:tcW w:w="2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Bank</w:t>
            </w:r>
          </w:p>
        </w:tc>
        <w:tc>
          <w:tcPr>
            <w:tcW w:w="120" w:type="dxa"/>
            <w:vAlign w:val="bottom"/>
          </w:tcPr>
          <w:p>
            <w:pPr>
              <w:spacing w:after="0"/>
              <w:rPr>
                <w:sz w:val="17"/>
                <w:szCs w:val="17"/>
                <w:color w:val="auto"/>
              </w:rPr>
            </w:pPr>
          </w:p>
        </w:tc>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Israeli</w:t>
            </w: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1"/>
              </w:rPr>
              <w:t>Hapoalim B.M.; Chairman of the board</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4"/>
              </w:rPr>
              <w:t>of: Israel Salt Industries Ltd., Isracard</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Ltd., Poalim Capital Markets Ltd.</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Yair Orgler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Joseph Dauber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Ido Joseph Dissentshik</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Journalist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Nira Dror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Pnina Dvorin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Lawyer and Companies Director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Irit Izakson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Moshe Koren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Banking and Financial Advisor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Jay Pomrenze</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USA</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Mali Baron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Nir Zichlinskey</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Leslie Littner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Independent Adviser on Risk</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Management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Efrat Peled</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CEO – Arison Holdings (1998) Ltd.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Oded Sarig</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Ronen Israel</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 in various companies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13 of 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Officers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tcPr>
          <w:p>
            <w:pPr>
              <w:spacing w:after="0"/>
              <w:rPr>
                <w:sz w:val="15"/>
                <w:szCs w:val="15"/>
                <w:color w:val="auto"/>
              </w:rPr>
            </w:pPr>
          </w:p>
        </w:tc>
        <w:tc>
          <w:tcPr>
            <w:tcW w:w="27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Business Address</w:t>
            </w:r>
          </w:p>
        </w:tc>
        <w:tc>
          <w:tcPr>
            <w:tcW w:w="120" w:type="dxa"/>
            <w:vAlign w:val="bottom"/>
          </w:tcPr>
          <w:p>
            <w:pPr>
              <w:spacing w:after="0"/>
              <w:rPr>
                <w:sz w:val="15"/>
                <w:szCs w:val="15"/>
                <w:color w:val="auto"/>
              </w:rPr>
            </w:pPr>
          </w:p>
        </w:tc>
        <w:tc>
          <w:tcPr>
            <w:tcW w:w="28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5"/>
                <w:szCs w:val="15"/>
                <w:color w:val="auto"/>
              </w:rPr>
            </w:pPr>
          </w:p>
        </w:tc>
        <w:tc>
          <w:tcPr>
            <w:tcW w:w="27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Citizenship</w:t>
            </w:r>
          </w:p>
        </w:tc>
      </w:tr>
      <w:tr>
        <w:trPr>
          <w:trHeight w:val="201"/>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Zvi Ziv</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63 Yehuda Halevi</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4"/>
              </w:rPr>
              <w:t>President and Chief Executive Officer</w:t>
            </w:r>
          </w:p>
        </w:tc>
        <w:tc>
          <w:tcPr>
            <w:tcW w:w="1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Ofer Levy</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Chief Accountant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David Luzon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Head of Information Technology and</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Ilan Mazur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Chief Legal Adviser to the Bank</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Hanna Pri-Zan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Client Asset Management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Zion Keinan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2"/>
              </w:rPr>
              <w:t>Deputy CEO and Head of Commercial</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Banking</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Barry Ben-Zeev</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Senior Deputy Managing Director,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Head of Finance (CFO) and Head of</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Banking Subsidiaries</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Doron Klausner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4"/>
              </w:rPr>
              <w:t>Head of Human Resources, Logistics</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and Procurement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Alberto Garfunkel</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International Activity</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Mario Szuszan</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Global Treasurer</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Lilach Asher-Topilsky</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Senior Deputy Managing Director,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the Centre for Strategic</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Management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Dan Alexander Koller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Senior Deputy Managing Director,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Risk Management</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Orit Lerer</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Senior Deputy Managing Director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Chief Internal Auditor of the Bank</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Yoram Weissbrem</w:t>
            </w:r>
          </w:p>
        </w:tc>
        <w:tc>
          <w:tcPr>
            <w:tcW w:w="2740" w:type="dxa"/>
            <w:vAlign w:val="bottom"/>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Secretary of the Bank</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PRINCIPAL HOLDERS OF THE ISSUED SHARE CAPITAL OF BANK HAPOALIM B.M.</w:t>
      </w:r>
    </w:p>
    <w:p>
      <w:pPr>
        <w:spacing w:after="0" w:line="362"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ARISON HOLDINGS (1998)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ISRAEL SALT INDUSTRIES LTD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Arison Holdings (1998) Ltd. - Director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1120"/>
              <w:spacing w:after="0"/>
              <w:rPr>
                <w:sz w:val="20"/>
                <w:szCs w:val="20"/>
                <w:color w:val="auto"/>
              </w:rPr>
            </w:pPr>
            <w:r>
              <w:rPr>
                <w:rFonts w:ascii="Arial" w:cs="Arial" w:eastAsia="Arial" w:hAnsi="Arial"/>
                <w:sz w:val="14"/>
                <w:szCs w:val="14"/>
                <w:b w:val="1"/>
                <w:bCs w:val="1"/>
                <w:color w:val="auto"/>
              </w:rPr>
              <w:t>Address</w:t>
            </w:r>
          </w:p>
        </w:tc>
        <w:tc>
          <w:tcPr>
            <w:tcW w:w="120" w:type="dxa"/>
            <w:vAlign w:val="bottom"/>
          </w:tcPr>
          <w:p>
            <w:pPr>
              <w:spacing w:after="0"/>
              <w:rPr>
                <w:sz w:val="15"/>
                <w:szCs w:val="15"/>
                <w:color w:val="auto"/>
              </w:rPr>
            </w:pPr>
          </w:p>
        </w:tc>
        <w:tc>
          <w:tcPr>
            <w:tcW w:w="2840" w:type="dxa"/>
            <w:vAlign w:val="bottom"/>
          </w:tcPr>
          <w:p>
            <w:pPr>
              <w:ind w:left="1100"/>
              <w:spacing w:after="0"/>
              <w:rPr>
                <w:sz w:val="20"/>
                <w:szCs w:val="20"/>
                <w:color w:val="auto"/>
              </w:rPr>
            </w:pPr>
            <w:r>
              <w:rPr>
                <w:rFonts w:ascii="Arial" w:cs="Arial" w:eastAsia="Arial" w:hAnsi="Arial"/>
                <w:sz w:val="14"/>
                <w:szCs w:val="14"/>
                <w:b w:val="1"/>
                <w:bCs w:val="1"/>
                <w:color w:val="auto"/>
              </w:rPr>
              <w:t>Citizenship</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Irit</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Izakson</w:t>
            </w: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63 Yehuda Halevi</w:t>
            </w:r>
          </w:p>
        </w:tc>
        <w:tc>
          <w:tcPr>
            <w:tcW w:w="120" w:type="dxa"/>
            <w:vAlign w:val="bottom"/>
          </w:tcPr>
          <w:p>
            <w:pPr>
              <w:spacing w:after="0"/>
              <w:rPr>
                <w:sz w:val="17"/>
                <w:szCs w:val="17"/>
                <w:color w:val="auto"/>
              </w:rPr>
            </w:pPr>
          </w:p>
        </w:tc>
        <w:tc>
          <w:tcPr>
            <w:tcW w:w="2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 Tel-Aviv,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750"/>
        </w:trPr>
        <w:tc>
          <w:tcPr>
            <w:tcW w:w="2880" w:type="dxa"/>
            <w:vAlign w:val="bottom"/>
            <w:gridSpan w:val="2"/>
          </w:tcPr>
          <w:p>
            <w:pPr>
              <w:spacing w:after="0"/>
              <w:rPr>
                <w:sz w:val="20"/>
                <w:szCs w:val="20"/>
                <w:color w:val="auto"/>
              </w:rPr>
            </w:pPr>
            <w:r>
              <w:rPr>
                <w:rFonts w:ascii="Arial" w:cs="Arial" w:eastAsia="Arial" w:hAnsi="Arial"/>
                <w:sz w:val="18"/>
                <w:szCs w:val="18"/>
                <w:color w:val="auto"/>
              </w:rPr>
              <w:t>Shari Arison-Glazer</w:t>
            </w:r>
          </w:p>
        </w:tc>
        <w:tc>
          <w:tcPr>
            <w:tcW w:w="2740" w:type="dxa"/>
            <w:vAlign w:val="bottom"/>
          </w:tcPr>
          <w:p>
            <w:pPr>
              <w:spacing w:after="0"/>
              <w:rPr>
                <w:sz w:val="20"/>
                <w:szCs w:val="20"/>
                <w:color w:val="auto"/>
              </w:rPr>
            </w:pPr>
            <w:r>
              <w:rPr>
                <w:rFonts w:ascii="Arial" w:cs="Arial" w:eastAsia="Arial" w:hAnsi="Arial"/>
                <w:sz w:val="18"/>
                <w:szCs w:val="18"/>
                <w:color w:val="auto"/>
              </w:rPr>
              <w:t>23 Shaul Hamelech</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Israeli &amp; USA</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Blvd., Tel-Aviv,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James M. Dubin</w:t>
            </w:r>
          </w:p>
        </w:tc>
        <w:tc>
          <w:tcPr>
            <w:tcW w:w="2740" w:type="dxa"/>
            <w:vAlign w:val="bottom"/>
          </w:tcPr>
          <w:p>
            <w:pPr>
              <w:spacing w:after="0"/>
              <w:rPr>
                <w:sz w:val="20"/>
                <w:szCs w:val="20"/>
                <w:color w:val="auto"/>
              </w:rPr>
            </w:pPr>
            <w:r>
              <w:rPr>
                <w:rFonts w:ascii="Arial" w:cs="Arial" w:eastAsia="Arial" w:hAnsi="Arial"/>
                <w:sz w:val="18"/>
                <w:szCs w:val="18"/>
                <w:color w:val="auto"/>
              </w:rPr>
              <w:t>c/o Paul Weiss, 1285</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Avenue of the Americas,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New York, NY</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Michael M. Arison</w:t>
            </w:r>
          </w:p>
        </w:tc>
        <w:tc>
          <w:tcPr>
            <w:tcW w:w="2740" w:type="dxa"/>
            <w:vAlign w:val="bottom"/>
          </w:tcPr>
          <w:p>
            <w:pPr>
              <w:spacing w:after="0"/>
              <w:rPr>
                <w:sz w:val="20"/>
                <w:szCs w:val="20"/>
                <w:color w:val="auto"/>
              </w:rPr>
            </w:pPr>
            <w:r>
              <w:rPr>
                <w:rFonts w:ascii="Arial" w:cs="Arial" w:eastAsia="Arial" w:hAnsi="Arial"/>
                <w:sz w:val="18"/>
                <w:szCs w:val="18"/>
                <w:color w:val="auto"/>
              </w:rPr>
              <w:t>3655 N.W. 87 Avenue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Miami, FL 33178</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Jason Arison</w:t>
            </w:r>
          </w:p>
        </w:tc>
        <w:tc>
          <w:tcPr>
            <w:tcW w:w="2740" w:type="dxa"/>
            <w:vAlign w:val="bottom"/>
          </w:tcPr>
          <w:p>
            <w:pPr>
              <w:spacing w:after="0"/>
              <w:rPr>
                <w:sz w:val="20"/>
                <w:szCs w:val="20"/>
                <w:color w:val="auto"/>
              </w:rPr>
            </w:pPr>
            <w:r>
              <w:rPr>
                <w:rFonts w:ascii="Arial" w:cs="Arial" w:eastAsia="Arial" w:hAnsi="Arial"/>
                <w:sz w:val="18"/>
                <w:szCs w:val="18"/>
                <w:color w:val="auto"/>
              </w:rPr>
              <w:t>23 Shaul Hamelech</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Israeli &amp; USA</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Blvd., Tel-Aviv,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David Arison</w:t>
            </w:r>
          </w:p>
        </w:tc>
        <w:tc>
          <w:tcPr>
            <w:tcW w:w="2740" w:type="dxa"/>
            <w:vAlign w:val="bottom"/>
          </w:tcPr>
          <w:p>
            <w:pPr>
              <w:spacing w:after="0"/>
              <w:rPr>
                <w:sz w:val="20"/>
                <w:szCs w:val="20"/>
                <w:color w:val="auto"/>
              </w:rPr>
            </w:pPr>
            <w:r>
              <w:rPr>
                <w:rFonts w:ascii="Arial" w:cs="Arial" w:eastAsia="Arial" w:hAnsi="Arial"/>
                <w:sz w:val="18"/>
                <w:szCs w:val="18"/>
                <w:color w:val="auto"/>
              </w:rPr>
              <w:t>23 Shaul Hamelech</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Israeli &amp; USA</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Blvd., Tel-Aviv,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pacing w:after="0" w:line="8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Israel Corporation is the largest holder of the Issuer’s ordinary shares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Page 14 of 18</w:t>
      </w:r>
    </w:p>
    <w:p>
      <w:pPr>
        <w:spacing w:after="0" w:line="200" w:lineRule="exact"/>
        <w:rPr>
          <w:sz w:val="20"/>
          <w:szCs w:val="20"/>
          <w:color w:val="auto"/>
        </w:rPr>
      </w:pPr>
    </w:p>
    <w:p>
      <w:pPr>
        <w:spacing w:after="0" w:line="372" w:lineRule="exact"/>
        <w:rPr>
          <w:sz w:val="20"/>
          <w:szCs w:val="20"/>
          <w:color w:val="auto"/>
        </w:rPr>
      </w:pPr>
    </w:p>
    <w:p>
      <w:pPr>
        <w:ind w:left="1340" w:hanging="169"/>
        <w:spacing w:after="0"/>
        <w:tabs>
          <w:tab w:leader="none" w:pos="134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OF</w:t>
      </w:r>
    </w:p>
    <w:p>
      <w:pPr>
        <w:spacing w:after="0" w:line="1" w:lineRule="exact"/>
        <w:rPr>
          <w:rFonts w:ascii="Arial" w:cs="Arial" w:eastAsia="Arial" w:hAnsi="Arial"/>
          <w:sz w:val="14"/>
          <w:szCs w:val="14"/>
          <w:b w:val="1"/>
          <w:bCs w:val="1"/>
          <w:color w:val="auto"/>
        </w:rPr>
      </w:pPr>
    </w:p>
    <w:p>
      <w:pPr>
        <w:ind w:left="1060"/>
        <w:spacing w:after="0"/>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CAPITAL</w:t>
      </w:r>
    </w:p>
    <w:p>
      <w:pPr>
        <w:jc w:val="right"/>
        <w:ind w:right="920"/>
        <w:spacing w:after="0"/>
        <w:rPr>
          <w:sz w:val="20"/>
          <w:szCs w:val="20"/>
          <w:color w:val="auto"/>
        </w:rPr>
      </w:pPr>
      <w:r>
        <w:rPr>
          <w:rFonts w:ascii="Arial" w:cs="Arial" w:eastAsia="Arial" w:hAnsi="Arial"/>
          <w:sz w:val="18"/>
          <w:szCs w:val="18"/>
          <w:color w:val="auto"/>
        </w:rPr>
        <w:t>20.02%</w:t>
      </w:r>
    </w:p>
    <w:p>
      <w:pPr>
        <w:spacing w:after="0" w:line="8"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17322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ind w:right="300"/>
        <w:spacing w:after="0" w:line="239" w:lineRule="auto"/>
        <w:rPr>
          <w:sz w:val="20"/>
          <w:szCs w:val="20"/>
          <w:color w:val="auto"/>
        </w:rPr>
      </w:pPr>
      <w:r>
        <w:rPr>
          <w:rFonts w:ascii="Arial" w:cs="Arial" w:eastAsia="Arial" w:hAnsi="Arial"/>
          <w:sz w:val="18"/>
          <w:szCs w:val="18"/>
          <w:color w:val="auto"/>
        </w:rPr>
        <w:t>Director of: Bank Hapoalim B.M., IDB Development B.M., Israel Corporation Ltd.</w:t>
      </w:r>
      <w:r>
        <w:rPr>
          <w:rFonts w:ascii="Arial" w:cs="Arial" w:eastAsia="Arial" w:hAnsi="Arial"/>
          <w:sz w:val="22"/>
          <w:szCs w:val="22"/>
          <w:color w:val="auto"/>
          <w:vertAlign w:val="superscript"/>
        </w:rPr>
        <w:t>1</w:t>
      </w:r>
      <w:r>
        <w:rPr>
          <w:rFonts w:ascii="Arial" w:cs="Arial" w:eastAsia="Arial" w:hAnsi="Arial"/>
          <w:sz w:val="18"/>
          <w:szCs w:val="18"/>
          <w:color w:val="auto"/>
        </w:rPr>
        <w:t>, Chemical Industries Ltd.</w:t>
      </w:r>
    </w:p>
    <w:p>
      <w:pPr>
        <w:spacing w:after="0" w:line="10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Chairman of the Board of Directors - Arison Holdings (1998) Ltd.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Attorney - Paul Weiss</w:t>
      </w:r>
    </w:p>
    <w:p>
      <w:pPr>
        <w:spacing w:after="0" w:line="200" w:lineRule="exact"/>
        <w:rPr>
          <w:sz w:val="20"/>
          <w:szCs w:val="20"/>
          <w:color w:val="auto"/>
        </w:rPr>
      </w:pPr>
    </w:p>
    <w:p>
      <w:pPr>
        <w:spacing w:after="0" w:line="36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Chairman and CEO of Carnival Corporation</w:t>
      </w:r>
    </w:p>
    <w:p>
      <w:pPr>
        <w:spacing w:after="0" w:line="91" w:lineRule="exact"/>
        <w:rPr>
          <w:sz w:val="20"/>
          <w:szCs w:val="20"/>
          <w:color w:val="auto"/>
        </w:rPr>
      </w:pPr>
    </w:p>
    <w:p>
      <w:pPr>
        <w:jc w:val="both"/>
        <w:ind w:right="460"/>
        <w:spacing w:after="0" w:line="332" w:lineRule="auto"/>
        <w:rPr>
          <w:sz w:val="20"/>
          <w:szCs w:val="20"/>
          <w:color w:val="auto"/>
        </w:rPr>
      </w:pPr>
      <w:r>
        <w:rPr>
          <w:rFonts w:ascii="Arial" w:cs="Arial" w:eastAsia="Arial" w:hAnsi="Arial"/>
          <w:sz w:val="16"/>
          <w:szCs w:val="16"/>
          <w:color w:val="auto"/>
        </w:rPr>
        <w:t>Vice-Chairman, The Ted Arison Family Foundation (Israel) Ltd.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Student</w:t>
      </w:r>
    </w:p>
    <w:p>
      <w:pPr>
        <w:sectPr>
          <w:pgSz w:w="11900" w:h="16838" w:orient="portrait"/>
          <w:cols w:equalWidth="0" w:num="2">
            <w:col w:w="8580" w:space="120"/>
            <w:col w:w="2720"/>
          </w:cols>
          <w:pgMar w:left="240" w:top="2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ind w:left="1740"/>
              <w:spacing w:after="0"/>
              <w:rPr>
                <w:sz w:val="20"/>
                <w:szCs w:val="20"/>
                <w:color w:val="auto"/>
              </w:rPr>
            </w:pPr>
            <w:r>
              <w:rPr>
                <w:rFonts w:ascii="Arial" w:cs="Arial" w:eastAsia="Arial" w:hAnsi="Arial"/>
                <w:sz w:val="18"/>
                <w:szCs w:val="18"/>
                <w:color w:val="auto"/>
                <w:w w:val="87"/>
              </w:rPr>
              <w:t>Page 15 of 18</w:t>
            </w:r>
          </w:p>
        </w:tc>
      </w:tr>
      <w:tr>
        <w:trPr>
          <w:trHeight w:val="326"/>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Israel Salt Industries Ltd. - Director Information</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8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Borders>
              <w:top w:val="single" w:sz="8" w:color="auto"/>
            </w:tcBorders>
          </w:tcPr>
          <w:p>
            <w:pPr>
              <w:spacing w:after="0"/>
              <w:rPr>
                <w:sz w:val="24"/>
                <w:szCs w:val="24"/>
                <w:color w:val="auto"/>
              </w:rPr>
            </w:pPr>
          </w:p>
        </w:tc>
        <w:tc>
          <w:tcPr>
            <w:tcW w:w="1940" w:type="dxa"/>
            <w:vAlign w:val="bottom"/>
          </w:tcPr>
          <w:p>
            <w:pPr>
              <w:ind w:left="320"/>
              <w:spacing w:after="0"/>
              <w:rPr>
                <w:sz w:val="20"/>
                <w:szCs w:val="20"/>
                <w:color w:val="auto"/>
              </w:rPr>
            </w:pPr>
            <w:r>
              <w:rPr>
                <w:rFonts w:ascii="Arial" w:cs="Arial" w:eastAsia="Arial" w:hAnsi="Arial"/>
                <w:sz w:val="14"/>
                <w:szCs w:val="14"/>
                <w:b w:val="1"/>
                <w:bCs w:val="1"/>
                <w:color w:val="auto"/>
              </w:rPr>
              <w:t>Address</w:t>
            </w:r>
          </w:p>
        </w:tc>
        <w:tc>
          <w:tcPr>
            <w:tcW w:w="120" w:type="dxa"/>
            <w:vAlign w:val="bottom"/>
          </w:tcPr>
          <w:p>
            <w:pPr>
              <w:spacing w:after="0"/>
              <w:rPr>
                <w:sz w:val="24"/>
                <w:szCs w:val="24"/>
                <w:color w:val="auto"/>
              </w:rPr>
            </w:pPr>
          </w:p>
        </w:tc>
        <w:tc>
          <w:tcPr>
            <w:tcW w:w="2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Citizenship</w:t>
            </w:r>
          </w:p>
        </w:tc>
        <w:tc>
          <w:tcPr>
            <w:tcW w:w="120" w:type="dxa"/>
            <w:vAlign w:val="bottom"/>
          </w:tcPr>
          <w:p>
            <w:pPr>
              <w:spacing w:after="0"/>
              <w:rPr>
                <w:sz w:val="24"/>
                <w:szCs w:val="24"/>
                <w:color w:val="auto"/>
              </w:rPr>
            </w:pPr>
          </w:p>
        </w:tc>
        <w:tc>
          <w:tcPr>
            <w:tcW w:w="2740" w:type="dxa"/>
            <w:vAlign w:val="bottom"/>
            <w:gridSpan w:val="2"/>
          </w:tcPr>
          <w:p>
            <w:pPr>
              <w:ind w:left="740"/>
              <w:spacing w:after="0"/>
              <w:rPr>
                <w:sz w:val="20"/>
                <w:szCs w:val="20"/>
                <w:color w:val="auto"/>
              </w:rPr>
            </w:pPr>
            <w:r>
              <w:rPr>
                <w:rFonts w:ascii="Arial" w:cs="Arial" w:eastAsia="Arial" w:hAnsi="Arial"/>
                <w:sz w:val="14"/>
                <w:szCs w:val="14"/>
                <w:b w:val="1"/>
                <w:bCs w:val="1"/>
                <w:color w:val="auto"/>
              </w:rPr>
              <w:t>Principal Occupation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Dan</w:t>
            </w:r>
          </w:p>
        </w:tc>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Dankner</w:t>
            </w:r>
          </w:p>
        </w:tc>
        <w:tc>
          <w:tcPr>
            <w:tcW w:w="27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63 Yehuda Halevi</w:t>
            </w:r>
          </w:p>
        </w:tc>
        <w:tc>
          <w:tcPr>
            <w:tcW w:w="120" w:type="dxa"/>
            <w:vAlign w:val="bottom"/>
          </w:tcPr>
          <w:p>
            <w:pPr>
              <w:spacing w:after="0"/>
              <w:rPr>
                <w:sz w:val="17"/>
                <w:szCs w:val="17"/>
                <w:color w:val="auto"/>
              </w:rPr>
            </w:pPr>
          </w:p>
        </w:tc>
        <w:tc>
          <w:tcPr>
            <w:tcW w:w="284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17"/>
                <w:szCs w:val="17"/>
                <w:color w:val="auto"/>
              </w:rPr>
            </w:pPr>
          </w:p>
        </w:tc>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Bank</w:t>
            </w:r>
          </w:p>
        </w:tc>
        <w:tc>
          <w:tcPr>
            <w:tcW w:w="2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St., Tel-Aviv, 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Hapoalim B.M.</w:t>
            </w: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Efrat Peled</w:t>
            </w:r>
          </w:p>
        </w:tc>
        <w:tc>
          <w:tcPr>
            <w:tcW w:w="2740" w:type="dxa"/>
            <w:vAlign w:val="bottom"/>
            <w:gridSpan w:val="2"/>
          </w:tcPr>
          <w:p>
            <w:pPr>
              <w:spacing w:after="0"/>
              <w:rPr>
                <w:sz w:val="20"/>
                <w:szCs w:val="20"/>
                <w:color w:val="auto"/>
              </w:rPr>
            </w:pPr>
            <w:r>
              <w:rPr>
                <w:rFonts w:ascii="Arial" w:cs="Arial" w:eastAsia="Arial" w:hAnsi="Arial"/>
                <w:sz w:val="18"/>
                <w:szCs w:val="18"/>
                <w:color w:val="auto"/>
              </w:rPr>
              <w:t>23 Shaul Hamelech</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8"/>
              </w:rPr>
              <w:t>CEO – Arison Holdings (1998) Ltd.</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Blvd., Tel-Aviv, 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Nir Zichlinskey</w:t>
            </w:r>
          </w:p>
        </w:tc>
        <w:tc>
          <w:tcPr>
            <w:tcW w:w="2740" w:type="dxa"/>
            <w:vAlign w:val="bottom"/>
            <w:gridSpan w:val="2"/>
          </w:tcPr>
          <w:p>
            <w:pPr>
              <w:spacing w:after="0"/>
              <w:rPr>
                <w:sz w:val="20"/>
                <w:szCs w:val="20"/>
                <w:color w:val="auto"/>
              </w:rPr>
            </w:pPr>
            <w:r>
              <w:rPr>
                <w:rFonts w:ascii="Arial" w:cs="Arial" w:eastAsia="Arial" w:hAnsi="Arial"/>
                <w:sz w:val="18"/>
                <w:szCs w:val="18"/>
                <w:color w:val="auto"/>
              </w:rPr>
              <w:t>23 Shaul Hamelech</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Vice President – Arison Holdings</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Blvd., Tel-Aviv, 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(1998) Ltd.</w:t>
            </w:r>
          </w:p>
        </w:tc>
      </w:tr>
      <w:tr>
        <w:trPr>
          <w:trHeight w:val="338"/>
        </w:trPr>
        <w:tc>
          <w:tcPr>
            <w:tcW w:w="2880" w:type="dxa"/>
            <w:vAlign w:val="bottom"/>
            <w:gridSpan w:val="3"/>
          </w:tcPr>
          <w:p>
            <w:pPr>
              <w:spacing w:after="0"/>
              <w:rPr>
                <w:sz w:val="20"/>
                <w:szCs w:val="20"/>
                <w:color w:val="auto"/>
              </w:rPr>
            </w:pPr>
            <w:r>
              <w:rPr>
                <w:rFonts w:ascii="Arial" w:cs="Arial" w:eastAsia="Arial" w:hAnsi="Arial"/>
                <w:sz w:val="18"/>
                <w:szCs w:val="18"/>
                <w:color w:val="auto"/>
              </w:rPr>
              <w:t>Alon Dankner</w:t>
            </w:r>
          </w:p>
        </w:tc>
        <w:tc>
          <w:tcPr>
            <w:tcW w:w="2740" w:type="dxa"/>
            <w:vAlign w:val="bottom"/>
            <w:gridSpan w:val="2"/>
          </w:tcPr>
          <w:p>
            <w:pPr>
              <w:spacing w:after="0"/>
              <w:rPr>
                <w:sz w:val="20"/>
                <w:szCs w:val="20"/>
                <w:color w:val="auto"/>
              </w:rPr>
            </w:pPr>
            <w:r>
              <w:rPr>
                <w:rFonts w:ascii="Arial" w:cs="Arial" w:eastAsia="Arial" w:hAnsi="Arial"/>
                <w:sz w:val="18"/>
                <w:szCs w:val="18"/>
                <w:color w:val="auto"/>
              </w:rPr>
              <w:t>P.O box 7 Atlit, Israel</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318"/>
        </w:trPr>
        <w:tc>
          <w:tcPr>
            <w:tcW w:w="2880" w:type="dxa"/>
            <w:vAlign w:val="bottom"/>
            <w:gridSpan w:val="3"/>
          </w:tcPr>
          <w:p>
            <w:pPr>
              <w:spacing w:after="0"/>
              <w:rPr>
                <w:sz w:val="20"/>
                <w:szCs w:val="20"/>
                <w:color w:val="auto"/>
              </w:rPr>
            </w:pPr>
            <w:r>
              <w:rPr>
                <w:rFonts w:ascii="Arial" w:cs="Arial" w:eastAsia="Arial" w:hAnsi="Arial"/>
                <w:sz w:val="18"/>
                <w:szCs w:val="18"/>
                <w:color w:val="auto"/>
              </w:rPr>
              <w:t>Iris Dror</w:t>
            </w:r>
          </w:p>
        </w:tc>
        <w:tc>
          <w:tcPr>
            <w:tcW w:w="2740" w:type="dxa"/>
            <w:vAlign w:val="bottom"/>
            <w:gridSpan w:val="2"/>
          </w:tcPr>
          <w:p>
            <w:pPr>
              <w:spacing w:after="0"/>
              <w:rPr>
                <w:sz w:val="20"/>
                <w:szCs w:val="20"/>
                <w:color w:val="auto"/>
              </w:rPr>
            </w:pPr>
            <w:r>
              <w:rPr>
                <w:rFonts w:ascii="Arial" w:cs="Arial" w:eastAsia="Arial" w:hAnsi="Arial"/>
                <w:sz w:val="18"/>
                <w:szCs w:val="18"/>
                <w:color w:val="auto"/>
              </w:rPr>
              <w:t>15 Tomer St.,</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Manager at Arison Group</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Reut, 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Daliah Rabin</w:t>
            </w:r>
          </w:p>
        </w:tc>
        <w:tc>
          <w:tcPr>
            <w:tcW w:w="2740" w:type="dxa"/>
            <w:vAlign w:val="bottom"/>
            <w:gridSpan w:val="2"/>
          </w:tcPr>
          <w:p>
            <w:pPr>
              <w:spacing w:after="0"/>
              <w:rPr>
                <w:sz w:val="20"/>
                <w:szCs w:val="20"/>
                <w:color w:val="auto"/>
              </w:rPr>
            </w:pPr>
            <w:r>
              <w:rPr>
                <w:rFonts w:ascii="Arial" w:cs="Arial" w:eastAsia="Arial" w:hAnsi="Arial"/>
                <w:sz w:val="18"/>
                <w:szCs w:val="18"/>
                <w:color w:val="auto"/>
              </w:rPr>
              <w:t>5 Harav Ashi St.,</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Chairman – Rabin Center</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Tel-Aviv, 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Eli Ovadia</w:t>
            </w:r>
          </w:p>
        </w:tc>
        <w:tc>
          <w:tcPr>
            <w:tcW w:w="2740" w:type="dxa"/>
            <w:vAlign w:val="bottom"/>
            <w:gridSpan w:val="2"/>
          </w:tcPr>
          <w:p>
            <w:pPr>
              <w:spacing w:after="0"/>
              <w:rPr>
                <w:sz w:val="20"/>
                <w:szCs w:val="20"/>
                <w:color w:val="auto"/>
              </w:rPr>
            </w:pPr>
            <w:r>
              <w:rPr>
                <w:rFonts w:ascii="Arial" w:cs="Arial" w:eastAsia="Arial" w:hAnsi="Arial"/>
                <w:sz w:val="18"/>
                <w:szCs w:val="18"/>
                <w:color w:val="auto"/>
              </w:rPr>
              <w:t>69 Sharet St., Afula,</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Chairman – Airports Authority</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Nechama Ronen</w:t>
            </w:r>
          </w:p>
        </w:tc>
        <w:tc>
          <w:tcPr>
            <w:tcW w:w="2740" w:type="dxa"/>
            <w:vAlign w:val="bottom"/>
            <w:gridSpan w:val="2"/>
          </w:tcPr>
          <w:p>
            <w:pPr>
              <w:spacing w:after="0"/>
              <w:rPr>
                <w:sz w:val="20"/>
                <w:szCs w:val="20"/>
                <w:color w:val="auto"/>
              </w:rPr>
            </w:pPr>
            <w:r>
              <w:rPr>
                <w:rFonts w:ascii="Arial" w:cs="Arial" w:eastAsia="Arial" w:hAnsi="Arial"/>
                <w:sz w:val="18"/>
                <w:szCs w:val="18"/>
                <w:color w:val="auto"/>
              </w:rPr>
              <w:t>Moshav Beit-Herut,</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1"/>
              </w:rPr>
              <w:t>Chair – Maman Cargo Terminals and</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Handling Ltd.</w:t>
            </w: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Haim Erez</w:t>
            </w:r>
          </w:p>
        </w:tc>
        <w:tc>
          <w:tcPr>
            <w:tcW w:w="2740" w:type="dxa"/>
            <w:vAlign w:val="bottom"/>
            <w:gridSpan w:val="2"/>
          </w:tcPr>
          <w:p>
            <w:pPr>
              <w:spacing w:after="0"/>
              <w:rPr>
                <w:sz w:val="20"/>
                <w:szCs w:val="20"/>
                <w:color w:val="auto"/>
              </w:rPr>
            </w:pPr>
            <w:r>
              <w:rPr>
                <w:rFonts w:ascii="Arial" w:cs="Arial" w:eastAsia="Arial" w:hAnsi="Arial"/>
                <w:sz w:val="18"/>
                <w:szCs w:val="18"/>
                <w:color w:val="auto"/>
              </w:rPr>
              <w:t>9A Mendes St.,</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Director in Various Companies</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Ramat-Gan, 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4"/>
        </w:trPr>
        <w:tc>
          <w:tcPr>
            <w:tcW w:w="8580" w:type="dxa"/>
            <w:vAlign w:val="bottom"/>
            <w:gridSpan w:val="8"/>
          </w:tcPr>
          <w:p>
            <w:pPr>
              <w:spacing w:after="0"/>
              <w:rPr>
                <w:sz w:val="20"/>
                <w:szCs w:val="20"/>
                <w:color w:val="auto"/>
              </w:rPr>
            </w:pPr>
            <w:r>
              <w:rPr>
                <w:rFonts w:ascii="Arial" w:cs="Arial" w:eastAsia="Arial" w:hAnsi="Arial"/>
                <w:sz w:val="18"/>
                <w:szCs w:val="18"/>
                <w:b w:val="1"/>
                <w:bCs w:val="1"/>
                <w:color w:val="auto"/>
                <w:w w:val="98"/>
              </w:rPr>
              <w:t>Information Regarding Senior Officers and Directors of Tarshish Hahzakot Vehashkaot Hapoalim Ltd.</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Board of Directors</w:t>
            </w:r>
          </w:p>
        </w:tc>
        <w:tc>
          <w:tcPr>
            <w:tcW w:w="8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0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Address</w:t>
            </w:r>
          </w:p>
        </w:tc>
        <w:tc>
          <w:tcPr>
            <w:tcW w:w="120" w:type="dxa"/>
            <w:vAlign w:val="bottom"/>
          </w:tcPr>
          <w:p>
            <w:pPr>
              <w:spacing w:after="0"/>
              <w:rPr>
                <w:sz w:val="24"/>
                <w:szCs w:val="24"/>
                <w:color w:val="auto"/>
              </w:rPr>
            </w:pPr>
          </w:p>
        </w:tc>
        <w:tc>
          <w:tcPr>
            <w:tcW w:w="2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Principal Occupation</w:t>
            </w:r>
          </w:p>
        </w:tc>
        <w:tc>
          <w:tcPr>
            <w:tcW w:w="120" w:type="dxa"/>
            <w:vAlign w:val="bottom"/>
          </w:tcPr>
          <w:p>
            <w:pPr>
              <w:spacing w:after="0"/>
              <w:rPr>
                <w:sz w:val="24"/>
                <w:szCs w:val="24"/>
                <w:color w:val="auto"/>
              </w:rPr>
            </w:pPr>
          </w:p>
        </w:tc>
        <w:tc>
          <w:tcPr>
            <w:tcW w:w="27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Citizenship</w:t>
            </w:r>
          </w:p>
        </w:tc>
        <w:tc>
          <w:tcPr>
            <w:tcW w:w="20" w:type="dxa"/>
            <w:vAlign w:val="bottom"/>
          </w:tcPr>
          <w:p>
            <w:pPr>
              <w:spacing w:after="0"/>
              <w:rPr>
                <w:sz w:val="24"/>
                <w:szCs w:val="24"/>
                <w:color w:val="auto"/>
              </w:rPr>
            </w:pPr>
          </w:p>
        </w:tc>
      </w:tr>
      <w:tr>
        <w:trPr>
          <w:trHeight w:val="201"/>
        </w:trPr>
        <w:tc>
          <w:tcPr>
            <w:tcW w:w="2880" w:type="dxa"/>
            <w:vAlign w:val="bottom"/>
            <w:gridSpan w:val="3"/>
          </w:tcPr>
          <w:p>
            <w:pPr>
              <w:spacing w:after="0" w:line="201" w:lineRule="exact"/>
              <w:rPr>
                <w:sz w:val="20"/>
                <w:szCs w:val="20"/>
                <w:color w:val="auto"/>
              </w:rPr>
            </w:pPr>
            <w:r>
              <w:rPr>
                <w:rFonts w:ascii="Arial" w:cs="Arial" w:eastAsia="Arial" w:hAnsi="Arial"/>
                <w:sz w:val="18"/>
                <w:szCs w:val="18"/>
                <w:color w:val="auto"/>
              </w:rPr>
              <w:t>Alberto Garfunkel</w:t>
            </w: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63 Yehuda Halevi</w:t>
            </w:r>
          </w:p>
        </w:tc>
        <w:tc>
          <w:tcPr>
            <w:tcW w:w="120" w:type="dxa"/>
            <w:vAlign w:val="bottom"/>
          </w:tcPr>
          <w:p>
            <w:pPr>
              <w:spacing w:after="0"/>
              <w:rPr>
                <w:sz w:val="17"/>
                <w:szCs w:val="17"/>
                <w:color w:val="auto"/>
              </w:rPr>
            </w:pPr>
          </w:p>
        </w:tc>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w w:val="98"/>
              </w:rPr>
              <w:t>Head of International Activity - Bank</w:t>
            </w:r>
          </w:p>
        </w:tc>
        <w:tc>
          <w:tcPr>
            <w:tcW w:w="1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Israeli</w:t>
            </w:r>
          </w:p>
        </w:tc>
        <w:tc>
          <w:tcPr>
            <w:tcW w:w="2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St., Tel Aviv, Israel</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Hapoalim B.M.</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Yoram Weissbrem</w:t>
            </w:r>
          </w:p>
        </w:tc>
        <w:tc>
          <w:tcPr>
            <w:tcW w:w="2740" w:type="dxa"/>
            <w:vAlign w:val="bottom"/>
            <w:gridSpan w:val="2"/>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Secretary of Bank Hapoalim B.M.</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St., Tel Aviv, Israel</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880" w:type="dxa"/>
            <w:vAlign w:val="bottom"/>
            <w:gridSpan w:val="3"/>
          </w:tcPr>
          <w:p>
            <w:pPr>
              <w:spacing w:after="0"/>
              <w:rPr>
                <w:sz w:val="20"/>
                <w:szCs w:val="20"/>
                <w:color w:val="auto"/>
              </w:rPr>
            </w:pPr>
            <w:r>
              <w:rPr>
                <w:rFonts w:ascii="Arial" w:cs="Arial" w:eastAsia="Arial" w:hAnsi="Arial"/>
                <w:sz w:val="18"/>
                <w:szCs w:val="18"/>
                <w:color w:val="auto"/>
              </w:rPr>
              <w:t>Yossi Rubinstein</w:t>
            </w:r>
          </w:p>
        </w:tc>
        <w:tc>
          <w:tcPr>
            <w:tcW w:w="2740" w:type="dxa"/>
            <w:vAlign w:val="bottom"/>
            <w:gridSpan w:val="2"/>
          </w:tcPr>
          <w:p>
            <w:pPr>
              <w:spacing w:after="0"/>
              <w:rPr>
                <w:sz w:val="20"/>
                <w:szCs w:val="20"/>
                <w:color w:val="auto"/>
              </w:rPr>
            </w:pPr>
            <w:r>
              <w:rPr>
                <w:rFonts w:ascii="Arial" w:cs="Arial" w:eastAsia="Arial" w:hAnsi="Arial"/>
                <w:sz w:val="18"/>
                <w:szCs w:val="18"/>
                <w:color w:val="auto"/>
              </w:rPr>
              <w:t>63 Yehuda Halevi</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w w:val="89"/>
              </w:rPr>
              <w:t>Business development and operation at</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16"/>
        </w:trPr>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St., Tel-Aviv, Israel</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the Global treasury Division - Bank</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Hapoalim B.M.</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16 of 18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18" w:lineRule="exact"/>
        <w:rPr>
          <w:sz w:val="20"/>
          <w:szCs w:val="20"/>
          <w:color w:val="auto"/>
        </w:rPr>
      </w:pPr>
    </w:p>
    <w:p>
      <w:pPr>
        <w:ind w:left="5060" w:right="4900" w:hanging="5052"/>
        <w:spacing w:after="0" w:line="516" w:lineRule="auto"/>
        <w:tabs>
          <w:tab w:leader="none" w:pos="45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Information Regarding Executive Officers and Directors of Bank Leumi le-Israel B.M Board of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860"/>
              <w:spacing w:after="0"/>
              <w:rPr>
                <w:sz w:val="20"/>
                <w:szCs w:val="20"/>
                <w:color w:val="auto"/>
              </w:rPr>
            </w:pPr>
            <w:r>
              <w:rPr>
                <w:rFonts w:ascii="Arial" w:cs="Arial" w:eastAsia="Arial" w:hAnsi="Arial"/>
                <w:sz w:val="14"/>
                <w:szCs w:val="14"/>
                <w:b w:val="1"/>
                <w:bCs w:val="1"/>
                <w:color w:val="auto"/>
              </w:rPr>
              <w:t>Business Address</w:t>
            </w:r>
          </w:p>
        </w:tc>
        <w:tc>
          <w:tcPr>
            <w:tcW w:w="120" w:type="dxa"/>
            <w:vAlign w:val="bottom"/>
          </w:tcPr>
          <w:p>
            <w:pPr>
              <w:spacing w:after="0"/>
              <w:rPr>
                <w:sz w:val="15"/>
                <w:szCs w:val="15"/>
                <w:color w:val="auto"/>
              </w:rPr>
            </w:pPr>
          </w:p>
        </w:tc>
        <w:tc>
          <w:tcPr>
            <w:tcW w:w="2840" w:type="dxa"/>
            <w:vAlign w:val="bottom"/>
          </w:tcPr>
          <w:p>
            <w:pPr>
              <w:ind w:left="80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5"/>
                <w:szCs w:val="15"/>
                <w:color w:val="auto"/>
              </w:rPr>
            </w:pPr>
          </w:p>
        </w:tc>
        <w:tc>
          <w:tcPr>
            <w:tcW w:w="2720" w:type="dxa"/>
            <w:vAlign w:val="bottom"/>
          </w:tcPr>
          <w:p>
            <w:pPr>
              <w:ind w:left="1020"/>
              <w:spacing w:after="0"/>
              <w:rPr>
                <w:sz w:val="20"/>
                <w:szCs w:val="20"/>
                <w:color w:val="auto"/>
              </w:rPr>
            </w:pPr>
            <w:r>
              <w:rPr>
                <w:rFonts w:ascii="Arial" w:cs="Arial" w:eastAsia="Arial" w:hAnsi="Arial"/>
                <w:sz w:val="14"/>
                <w:szCs w:val="14"/>
                <w:b w:val="1"/>
                <w:bCs w:val="1"/>
                <w:color w:val="auto"/>
              </w:rPr>
              <w:t>Citizenship</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Eitan</w:t>
            </w:r>
          </w:p>
        </w:tc>
        <w:tc>
          <w:tcPr>
            <w:tcW w:w="2500" w:type="dxa"/>
            <w:vAlign w:val="bottom"/>
          </w:tcPr>
          <w:p>
            <w:pPr>
              <w:ind w:left="40"/>
              <w:spacing w:after="0" w:line="201" w:lineRule="exact"/>
              <w:rPr>
                <w:sz w:val="20"/>
                <w:szCs w:val="20"/>
                <w:color w:val="auto"/>
              </w:rPr>
            </w:pPr>
            <w:r>
              <w:rPr>
                <w:rFonts w:ascii="Arial" w:cs="Arial" w:eastAsia="Arial" w:hAnsi="Arial"/>
                <w:sz w:val="18"/>
                <w:szCs w:val="18"/>
                <w:color w:val="auto"/>
              </w:rPr>
              <w:t>Raff</w:t>
            </w: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34 Yehuda Halevi Street, Tel Aviv</w:t>
            </w:r>
          </w:p>
        </w:tc>
        <w:tc>
          <w:tcPr>
            <w:tcW w:w="120" w:type="dxa"/>
            <w:vAlign w:val="bottom"/>
          </w:tcPr>
          <w:p>
            <w:pPr>
              <w:spacing w:after="0"/>
              <w:rPr>
                <w:sz w:val="17"/>
                <w:szCs w:val="17"/>
                <w:color w:val="auto"/>
              </w:rPr>
            </w:pPr>
          </w:p>
        </w:tc>
        <w:tc>
          <w:tcPr>
            <w:tcW w:w="2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Chairman of the Board of Directors of</w:t>
            </w:r>
          </w:p>
        </w:tc>
        <w:tc>
          <w:tcPr>
            <w:tcW w:w="120" w:type="dxa"/>
            <w:vAlign w:val="bottom"/>
          </w:tcPr>
          <w:p>
            <w:pPr>
              <w:spacing w:after="0"/>
              <w:rPr>
                <w:sz w:val="17"/>
                <w:szCs w:val="17"/>
                <w:color w:val="auto"/>
              </w:rPr>
            </w:pPr>
          </w:p>
        </w:tc>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Bank Leumi and its subsidiaries</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Doron Cohen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CEO, Co-Op Blue Square Services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Corporation Ltd., Economic and</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Business Consulting</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Meir Dayan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Economist, International Business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Consulting</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Moshe Dovrat</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Company Director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Zipora Gal Yam</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Economic Consultant, Company</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Arieh Gans</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Professor of Accounting, Tel Aviv</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University and Company Director</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Israel Gilead</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Professor of Law, The Hebrew</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University of Jerusalem</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Yaacov Goldman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C.P.A. (Isr.), Business Consultant and</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Company Director</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Rami Avraham Guzman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1"/>
              </w:rPr>
              <w:t>Company Director, Public/Government</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Company Advisor</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Miri Katz</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Attorney</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Zvi Koren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Economic Advisor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Jacob Mashaal</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Company Manager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tcPr>
          <w:p>
            <w:pPr>
              <w:spacing w:after="0"/>
              <w:rPr>
                <w:sz w:val="15"/>
                <w:szCs w:val="15"/>
                <w:color w:val="auto"/>
              </w:rPr>
            </w:pPr>
          </w:p>
        </w:tc>
        <w:tc>
          <w:tcPr>
            <w:tcW w:w="27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Business Address</w:t>
            </w:r>
          </w:p>
        </w:tc>
      </w:tr>
      <w:tr>
        <w:trPr>
          <w:trHeight w:val="201"/>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Efraim Sadka</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34 Yehuda Halevi Street, Tel Aviv</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Nurit Segal</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Moshe Vidman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r>
    </w:tbl>
    <w:p>
      <w:pPr>
        <w:spacing w:after="0" w:line="304" w:lineRule="exact"/>
        <w:rPr>
          <w:sz w:val="20"/>
          <w:szCs w:val="20"/>
          <w:color w:val="auto"/>
        </w:rPr>
      </w:pPr>
    </w:p>
    <w:p>
      <w:pPr>
        <w:ind w:right="200" w:firstLine="8"/>
        <w:spacing w:after="0" w:line="649"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Israel Corporation is the largest holder of the Issuer’s ordinary shares </w:t>
      </w:r>
      <w:r>
        <w:rPr>
          <w:rFonts w:ascii="Arial" w:cs="Arial" w:eastAsia="Arial" w:hAnsi="Arial"/>
          <w:sz w:val="16"/>
          <w:szCs w:val="16"/>
          <w:u w:val="single" w:color="auto"/>
          <w:color w:val="auto"/>
        </w:rPr>
        <w:t>Executive Officers - Members of Management of Bank Leumi le-Israel B.M.</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860"/>
              <w:spacing w:after="0"/>
              <w:rPr>
                <w:sz w:val="20"/>
                <w:szCs w:val="20"/>
                <w:color w:val="auto"/>
              </w:rPr>
            </w:pPr>
            <w:r>
              <w:rPr>
                <w:rFonts w:ascii="Arial" w:cs="Arial" w:eastAsia="Arial" w:hAnsi="Arial"/>
                <w:sz w:val="14"/>
                <w:szCs w:val="14"/>
                <w:b w:val="1"/>
                <w:bCs w:val="1"/>
                <w:color w:val="auto"/>
              </w:rPr>
              <w:t>Business Address</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5"/>
              </w:rPr>
              <w:t>Galia</w:t>
            </w:r>
          </w:p>
        </w:tc>
        <w:tc>
          <w:tcPr>
            <w:tcW w:w="2500" w:type="dxa"/>
            <w:vAlign w:val="bottom"/>
          </w:tcPr>
          <w:p>
            <w:pPr>
              <w:ind w:left="60"/>
              <w:spacing w:after="0" w:line="201" w:lineRule="exact"/>
              <w:rPr>
                <w:sz w:val="20"/>
                <w:szCs w:val="20"/>
                <w:color w:val="auto"/>
              </w:rPr>
            </w:pPr>
            <w:r>
              <w:rPr>
                <w:rFonts w:ascii="Arial" w:cs="Arial" w:eastAsia="Arial" w:hAnsi="Arial"/>
                <w:sz w:val="18"/>
                <w:szCs w:val="18"/>
                <w:color w:val="auto"/>
              </w:rPr>
              <w:t>Maor</w:t>
            </w: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34 Yehuda Halevi Street, Tel Aviv</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Zeev Nahari</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Gideon Altman</w:t>
      </w:r>
      <w:r>
        <w:rPr>
          <w:sz w:val="20"/>
          <w:szCs w:val="20"/>
          <w:color w:val="auto"/>
        </w:rPr>
        <w:tab/>
      </w:r>
      <w:r>
        <w:rPr>
          <w:rFonts w:ascii="Arial" w:cs="Arial" w:eastAsia="Arial" w:hAnsi="Arial"/>
          <w:sz w:val="16"/>
          <w:szCs w:val="16"/>
          <w:color w:val="auto"/>
        </w:rPr>
        <w:t>34 Yehuda Halevi Street, Tel Aviv</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65546, Israel</w:t>
      </w:r>
    </w:p>
    <w:p>
      <w:pPr>
        <w:spacing w:after="0" w:line="11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David Bar-Lev</w:t>
      </w:r>
      <w:r>
        <w:rPr>
          <w:sz w:val="20"/>
          <w:szCs w:val="20"/>
          <w:color w:val="auto"/>
        </w:rPr>
        <w:tab/>
      </w:r>
      <w:r>
        <w:rPr>
          <w:rFonts w:ascii="Arial" w:cs="Arial" w:eastAsia="Arial" w:hAnsi="Arial"/>
          <w:sz w:val="16"/>
          <w:szCs w:val="16"/>
          <w:color w:val="auto"/>
        </w:rPr>
        <w:t>34 Yehuda Halevi Street, Tel Aviv</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65546, Israel</w:t>
      </w:r>
    </w:p>
    <w:p>
      <w:pPr>
        <w:spacing w:after="0" w:line="11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Nahum Bitterman</w:t>
      </w:r>
      <w:r>
        <w:rPr>
          <w:sz w:val="20"/>
          <w:szCs w:val="20"/>
          <w:color w:val="auto"/>
        </w:rPr>
        <w:tab/>
      </w:r>
      <w:r>
        <w:rPr>
          <w:rFonts w:ascii="Arial" w:cs="Arial" w:eastAsia="Arial" w:hAnsi="Arial"/>
          <w:sz w:val="16"/>
          <w:szCs w:val="16"/>
          <w:color w:val="auto"/>
        </w:rPr>
        <w:t>34 Yehuda Halevi Street, Tel Aviv</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65546, Israel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Page 17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-219710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5"/>
                <w:szCs w:val="15"/>
                <w:color w:val="auto"/>
              </w:rPr>
            </w:pPr>
          </w:p>
        </w:tc>
        <w:tc>
          <w:tcPr>
            <w:tcW w:w="27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Citizenship</w:t>
            </w:r>
          </w:p>
        </w:tc>
      </w:tr>
      <w:tr>
        <w:trPr>
          <w:trHeight w:val="201"/>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Professor of Economics, Tel Aviv</w:t>
            </w:r>
          </w:p>
        </w:tc>
        <w:tc>
          <w:tcPr>
            <w:tcW w:w="1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Israeli</w:t>
            </w: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University</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40" w:type="dxa"/>
            <w:vAlign w:val="bottom"/>
            <w:gridSpan w:val="2"/>
          </w:tcPr>
          <w:p>
            <w:pPr>
              <w:spacing w:after="0"/>
              <w:rPr>
                <w:sz w:val="20"/>
                <w:szCs w:val="20"/>
                <w:color w:val="auto"/>
              </w:rPr>
            </w:pPr>
            <w:r>
              <w:rPr>
                <w:rFonts w:ascii="Arial" w:cs="Arial" w:eastAsia="Arial" w:hAnsi="Arial"/>
                <w:sz w:val="18"/>
                <w:szCs w:val="18"/>
                <w:color w:val="auto"/>
                <w:w w:val="97"/>
              </w:rPr>
              <w:t>Business and Economic Consultant,</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Company Director</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40" w:type="dxa"/>
            <w:vAlign w:val="bottom"/>
            <w:gridSpan w:val="2"/>
          </w:tcPr>
          <w:p>
            <w:pPr>
              <w:spacing w:after="0"/>
              <w:rPr>
                <w:sz w:val="20"/>
                <w:szCs w:val="20"/>
                <w:color w:val="auto"/>
              </w:rPr>
            </w:pPr>
            <w:r>
              <w:rPr>
                <w:rFonts w:ascii="Arial" w:cs="Arial" w:eastAsia="Arial" w:hAnsi="Arial"/>
                <w:sz w:val="18"/>
                <w:szCs w:val="18"/>
                <w:color w:val="auto"/>
              </w:rPr>
              <w:t>Company Director,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Representative in Israel of Revlon,</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99"/>
        </w:trPr>
        <w:tc>
          <w:tcPr>
            <w:tcW w:w="2840" w:type="dxa"/>
            <w:vAlign w:val="bottom"/>
            <w:gridSpan w:val="2"/>
          </w:tcPr>
          <w:p>
            <w:pPr>
              <w:spacing w:after="0"/>
              <w:rPr>
                <w:sz w:val="20"/>
                <w:szCs w:val="20"/>
                <w:color w:val="auto"/>
              </w:rPr>
            </w:pPr>
            <w:r>
              <w:rPr>
                <w:rFonts w:ascii="Arial" w:cs="Arial" w:eastAsia="Arial" w:hAnsi="Arial"/>
                <w:sz w:val="18"/>
                <w:szCs w:val="18"/>
                <w:color w:val="auto"/>
              </w:rPr>
              <w:t>Director of Israel Corporation Ltd.</w:t>
            </w:r>
            <w:r>
              <w:rPr>
                <w:rFonts w:ascii="Arial" w:cs="Arial" w:eastAsia="Arial" w:hAnsi="Arial"/>
                <w:sz w:val="22"/>
                <w:szCs w:val="22"/>
                <w:color w:val="auto"/>
                <w:vertAlign w:val="superscript"/>
              </w:rPr>
              <w:t>1</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Occupation – Position held</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with the Bank</w:t>
            </w:r>
          </w:p>
        </w:tc>
        <w:tc>
          <w:tcPr>
            <w:tcW w:w="120" w:type="dxa"/>
            <w:vAlign w:val="bottom"/>
          </w:tcPr>
          <w:p>
            <w:pPr>
              <w:spacing w:after="0"/>
              <w:rPr>
                <w:sz w:val="15"/>
                <w:szCs w:val="15"/>
                <w:color w:val="auto"/>
              </w:rPr>
            </w:pPr>
          </w:p>
        </w:tc>
        <w:tc>
          <w:tcPr>
            <w:tcW w:w="27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Citizenship</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3"/>
              </w:rPr>
              <w:t>President and Chief Executive Officer</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525"/>
        </w:trPr>
        <w:tc>
          <w:tcPr>
            <w:tcW w:w="2840" w:type="dxa"/>
            <w:vAlign w:val="bottom"/>
            <w:gridSpan w:val="2"/>
          </w:tcPr>
          <w:p>
            <w:pPr>
              <w:spacing w:after="0"/>
              <w:rPr>
                <w:sz w:val="20"/>
                <w:szCs w:val="20"/>
                <w:color w:val="auto"/>
              </w:rPr>
            </w:pPr>
            <w:r>
              <w:rPr>
                <w:rFonts w:ascii="Arial" w:cs="Arial" w:eastAsia="Arial" w:hAnsi="Arial"/>
                <w:sz w:val="18"/>
                <w:szCs w:val="18"/>
                <w:color w:val="auto"/>
                <w:w w:val="91"/>
              </w:rPr>
              <w:t>Senior Deputy Chief Executive Officer,</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Acting CEO in the absence of the</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w w:val="99"/>
              </w:rPr>
              <w:t>President and CEO, Chief Financial</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w w:val="95"/>
              </w:rPr>
              <w:t>Officer, Head of Finance, Accounting</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w w:val="93"/>
              </w:rPr>
              <w:t>and Capital Markets, Head of Finance</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and Economics Division</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40" w:type="dxa"/>
            <w:vAlign w:val="bottom"/>
            <w:gridSpan w:val="2"/>
          </w:tcPr>
          <w:p>
            <w:pPr>
              <w:spacing w:after="0"/>
              <w:rPr>
                <w:sz w:val="20"/>
                <w:szCs w:val="20"/>
                <w:color w:val="auto"/>
              </w:rPr>
            </w:pPr>
            <w:r>
              <w:rPr>
                <w:rFonts w:ascii="Arial" w:cs="Arial" w:eastAsia="Arial" w:hAnsi="Arial"/>
                <w:sz w:val="18"/>
                <w:szCs w:val="18"/>
                <w:color w:val="auto"/>
                <w:w w:val="97"/>
              </w:rPr>
              <w:t>Acting Head of Commercial Banking</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Division</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24"/>
        </w:trPr>
        <w:tc>
          <w:tcPr>
            <w:tcW w:w="2840" w:type="dxa"/>
            <w:vAlign w:val="bottom"/>
            <w:gridSpan w:val="2"/>
          </w:tcPr>
          <w:p>
            <w:pPr>
              <w:spacing w:after="0"/>
              <w:rPr>
                <w:sz w:val="20"/>
                <w:szCs w:val="20"/>
                <w:color w:val="auto"/>
              </w:rPr>
            </w:pPr>
            <w:r>
              <w:rPr>
                <w:rFonts w:ascii="Arial" w:cs="Arial" w:eastAsia="Arial" w:hAnsi="Arial"/>
                <w:sz w:val="18"/>
                <w:szCs w:val="18"/>
                <w:color w:val="auto"/>
              </w:rPr>
              <w:t>Head of Human Resources</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534"/>
        </w:trPr>
        <w:tc>
          <w:tcPr>
            <w:tcW w:w="2840" w:type="dxa"/>
            <w:vAlign w:val="bottom"/>
            <w:gridSpan w:val="2"/>
          </w:tcPr>
          <w:p>
            <w:pPr>
              <w:spacing w:after="0"/>
              <w:rPr>
                <w:sz w:val="20"/>
                <w:szCs w:val="20"/>
                <w:color w:val="auto"/>
              </w:rPr>
            </w:pPr>
            <w:r>
              <w:rPr>
                <w:rFonts w:ascii="Arial" w:cs="Arial" w:eastAsia="Arial" w:hAnsi="Arial"/>
                <w:sz w:val="18"/>
                <w:szCs w:val="18"/>
                <w:color w:val="auto"/>
              </w:rPr>
              <w:t>Chief Legal Advisor, Head of Legal</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Division</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ectPr>
          <w:pgSz w:w="11900" w:h="16838" w:orient="portrait"/>
          <w:cols w:equalWidth="0" w:num="2">
            <w:col w:w="5620" w:space="120"/>
            <w:col w:w="5680"/>
          </w:cols>
          <w:pgMar w:left="240" w:top="280"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18 of 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Occupation – Position held</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75"/>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ind w:left="860"/>
              <w:spacing w:after="0"/>
              <w:rPr>
                <w:sz w:val="20"/>
                <w:szCs w:val="20"/>
                <w:color w:val="auto"/>
              </w:rPr>
            </w:pPr>
            <w:r>
              <w:rPr>
                <w:rFonts w:ascii="Arial" w:cs="Arial" w:eastAsia="Arial" w:hAnsi="Arial"/>
                <w:sz w:val="14"/>
                <w:szCs w:val="14"/>
                <w:b w:val="1"/>
                <w:bCs w:val="1"/>
                <w:color w:val="auto"/>
              </w:rPr>
              <w:t>Business Address</w:t>
            </w:r>
          </w:p>
        </w:tc>
        <w:tc>
          <w:tcPr>
            <w:tcW w:w="12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7"/>
              </w:rPr>
              <w:t>with the Bank</w:t>
            </w:r>
          </w:p>
        </w:tc>
        <w:tc>
          <w:tcPr>
            <w:tcW w:w="120" w:type="dxa"/>
            <w:vAlign w:val="bottom"/>
          </w:tcPr>
          <w:p>
            <w:pPr>
              <w:spacing w:after="0"/>
              <w:rPr>
                <w:sz w:val="15"/>
                <w:szCs w:val="15"/>
                <w:color w:val="auto"/>
              </w:rPr>
            </w:pPr>
          </w:p>
        </w:tc>
        <w:tc>
          <w:tcPr>
            <w:tcW w:w="2720" w:type="dxa"/>
            <w:vAlign w:val="bottom"/>
          </w:tcPr>
          <w:p>
            <w:pPr>
              <w:ind w:left="1020"/>
              <w:spacing w:after="0"/>
              <w:rPr>
                <w:sz w:val="20"/>
                <w:szCs w:val="20"/>
                <w:color w:val="auto"/>
              </w:rPr>
            </w:pPr>
            <w:r>
              <w:rPr>
                <w:rFonts w:ascii="Arial" w:cs="Arial" w:eastAsia="Arial" w:hAnsi="Arial"/>
                <w:sz w:val="14"/>
                <w:szCs w:val="14"/>
                <w:b w:val="1"/>
                <w:bCs w:val="1"/>
                <w:color w:val="auto"/>
              </w:rPr>
              <w:t>Citizenship</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Zvi</w:t>
            </w: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Itskovitch</w:t>
            </w: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34 Yehuda Halevi Street, Tel Aviv</w:t>
            </w:r>
          </w:p>
        </w:tc>
        <w:tc>
          <w:tcPr>
            <w:tcW w:w="120" w:type="dxa"/>
            <w:vAlign w:val="bottom"/>
          </w:tcPr>
          <w:p>
            <w:pPr>
              <w:spacing w:after="0"/>
              <w:rPr>
                <w:sz w:val="17"/>
                <w:szCs w:val="17"/>
                <w:color w:val="auto"/>
              </w:rPr>
            </w:pPr>
          </w:p>
        </w:tc>
        <w:tc>
          <w:tcPr>
            <w:tcW w:w="2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Head of International and Private</w:t>
            </w:r>
          </w:p>
        </w:tc>
        <w:tc>
          <w:tcPr>
            <w:tcW w:w="120" w:type="dxa"/>
            <w:vAlign w:val="bottom"/>
          </w:tcPr>
          <w:p>
            <w:pPr>
              <w:spacing w:after="0"/>
              <w:rPr>
                <w:sz w:val="17"/>
                <w:szCs w:val="17"/>
                <w:color w:val="auto"/>
              </w:rPr>
            </w:pPr>
          </w:p>
        </w:tc>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Banking Division</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Baruch Lederman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Banking Division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Itzhak Malach</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Operations, Information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Systems and Administration</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Rakefet Russak-Aminoach</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Corporate Division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Menachem Schwartz</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Chief Accounting Officer, Head of</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Accounting</w:t>
            </w: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18"/>
        </w:trPr>
        <w:tc>
          <w:tcPr>
            <w:tcW w:w="2880" w:type="dxa"/>
            <w:vAlign w:val="bottom"/>
            <w:gridSpan w:val="2"/>
          </w:tcPr>
          <w:p>
            <w:pPr>
              <w:spacing w:after="0"/>
              <w:rPr>
                <w:sz w:val="20"/>
                <w:szCs w:val="20"/>
                <w:color w:val="auto"/>
              </w:rPr>
            </w:pPr>
            <w:r>
              <w:rPr>
                <w:rFonts w:ascii="Arial" w:cs="Arial" w:eastAsia="Arial" w:hAnsi="Arial"/>
                <w:sz w:val="18"/>
                <w:szCs w:val="18"/>
                <w:color w:val="auto"/>
              </w:rPr>
              <w:t>Daniel Tsiddon</w:t>
            </w:r>
          </w:p>
        </w:tc>
        <w:tc>
          <w:tcPr>
            <w:tcW w:w="2740" w:type="dxa"/>
            <w:vAlign w:val="bottom"/>
          </w:tcPr>
          <w:p>
            <w:pPr>
              <w:spacing w:after="0"/>
              <w:rPr>
                <w:sz w:val="20"/>
                <w:szCs w:val="20"/>
                <w:color w:val="auto"/>
              </w:rPr>
            </w:pPr>
            <w:r>
              <w:rPr>
                <w:rFonts w:ascii="Arial" w:cs="Arial" w:eastAsia="Arial" w:hAnsi="Arial"/>
                <w:sz w:val="18"/>
                <w:szCs w:val="18"/>
                <w:color w:val="auto"/>
              </w:rPr>
              <w:t>34 Yehuda Halevi Street, Tel Aviv</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Head of Capital Markets Division</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65546, Israel</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2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Information regarding Persons Controlling Bank Leumi le-Israel B.M.</w:t>
      </w:r>
    </w:p>
    <w:p>
      <w:pPr>
        <w:spacing w:after="0" w:line="90" w:lineRule="exact"/>
        <w:rPr>
          <w:rFonts w:ascii="Arial" w:cs="Arial" w:eastAsia="Arial" w:hAnsi="Arial"/>
          <w:sz w:val="18"/>
          <w:szCs w:val="18"/>
          <w:color w:val="auto"/>
        </w:rPr>
      </w:pPr>
    </w:p>
    <w:p>
      <w:pPr>
        <w:ind w:left="460" w:right="20"/>
        <w:spacing w:after="0" w:line="256" w:lineRule="auto"/>
        <w:rPr>
          <w:rFonts w:ascii="Arial" w:cs="Arial" w:eastAsia="Arial" w:hAnsi="Arial"/>
          <w:sz w:val="18"/>
          <w:szCs w:val="18"/>
          <w:color w:val="auto"/>
        </w:rPr>
      </w:pPr>
      <w:r>
        <w:rPr>
          <w:rFonts w:ascii="Arial" w:cs="Arial" w:eastAsia="Arial" w:hAnsi="Arial"/>
          <w:sz w:val="18"/>
          <w:szCs w:val="18"/>
          <w:color w:val="auto"/>
        </w:rPr>
        <w:t>The Government of Israel on behalf of the State of Israel is currently the only shareholder of the Bank holding 10% or more of the means of control, with 11.48% of the issued share capital of the Bank (14.22% of the voting rights). Pursuant to Israeli law, the Government is required to avoid involvement in the ongoing management of the Bank’s affairs, and the Bank shall not be deemed to be a corporation with governmental participation in its management for the purposes of any law and for all intents and purposes.</w:t>
      </w:r>
    </w:p>
    <w:p>
      <w:pPr>
        <w:spacing w:after="0" w:line="62" w:lineRule="exact"/>
        <w:rPr>
          <w:rFonts w:ascii="Arial" w:cs="Arial" w:eastAsia="Arial" w:hAnsi="Arial"/>
          <w:sz w:val="18"/>
          <w:szCs w:val="18"/>
          <w:color w:val="auto"/>
        </w:rPr>
      </w:pPr>
    </w:p>
    <w:p>
      <w:pPr>
        <w:jc w:val="both"/>
        <w:ind w:left="460" w:right="140"/>
        <w:spacing w:after="0" w:line="306" w:lineRule="auto"/>
        <w:rPr>
          <w:rFonts w:ascii="Arial" w:cs="Arial" w:eastAsia="Arial" w:hAnsi="Arial"/>
          <w:sz w:val="18"/>
          <w:szCs w:val="18"/>
          <w:color w:val="auto"/>
        </w:rPr>
      </w:pPr>
      <w:r>
        <w:rPr>
          <w:rFonts w:ascii="Arial" w:cs="Arial" w:eastAsia="Arial" w:hAnsi="Arial"/>
          <w:sz w:val="16"/>
          <w:szCs w:val="16"/>
          <w:color w:val="auto"/>
        </w:rPr>
        <w:t>Further, under Israeli banking legislation, since September 2004 no person may control a banking corporation without receiving a control permit from the Bank of Israel, and no person may hold 5% or more of the means of control of a banking corporation without receiving a holding permit from the Bank of Israel (until that date, 10%). As of the date of this report, no such control permit has been granted to any of the Bank’s shareholders.</w:t>
      </w:r>
    </w:p>
    <w:p>
      <w:pPr>
        <w:sectPr>
          <w:pgSz w:w="11900" w:h="16838" w:orient="portrait"/>
          <w:cols w:equalWidth="0" w:num="1">
            <w:col w:w="11420"/>
          </w:cols>
          <w:pgMar w:left="240" w:top="280"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159"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 xml:space="preserve">This Registration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originally made on September 28, 2006 by and between TOWER SEMICONDUCTOR LTD. (the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or</w:t>
      </w:r>
      <w:r>
        <w:rPr>
          <w:rFonts w:ascii="Arial" w:cs="Arial" w:eastAsia="Arial" w:hAnsi="Arial"/>
          <w:sz w:val="16"/>
          <w:szCs w:val="16"/>
          <w:b w:val="1"/>
          <w:bCs w:val="1"/>
          <w:color w:val="auto"/>
        </w:rPr>
        <w:t xml:space="preserve"> “Tower”</w:t>
      </w:r>
      <w:r>
        <w:rPr>
          <w:rFonts w:ascii="Arial" w:cs="Arial" w:eastAsia="Arial" w:hAnsi="Arial"/>
          <w:sz w:val="16"/>
          <w:szCs w:val="16"/>
          <w:color w:val="auto"/>
        </w:rPr>
        <w:t>), a company organized under the laws of the State of Israel, and BANK LEUMI LE-ISRAEL B.M., a banking corporation organized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laws of the State of Israel (the </w:t>
      </w:r>
      <w:r>
        <w:rPr>
          <w:rFonts w:ascii="Arial" w:cs="Arial" w:eastAsia="Arial" w:hAnsi="Arial"/>
          <w:sz w:val="16"/>
          <w:szCs w:val="16"/>
          <w:b w:val="1"/>
          <w:bCs w:val="1"/>
          <w:color w:val="auto"/>
        </w:rPr>
        <w:t>“Bank”</w:t>
      </w:r>
      <w:r>
        <w:rPr>
          <w:rFonts w:ascii="Arial" w:cs="Arial" w:eastAsia="Arial" w:hAnsi="Arial"/>
          <w:sz w:val="16"/>
          <w:szCs w:val="16"/>
          <w:color w:val="auto"/>
        </w:rPr>
        <w:t>), is hereby amended and restated by the parties on September 25, 2008.</w:t>
      </w:r>
    </w:p>
    <w:p>
      <w:pPr>
        <w:spacing w:after="0" w:line="97"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w:t>
      </w:r>
    </w:p>
    <w:p>
      <w:pPr>
        <w:spacing w:after="0" w:line="74"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color w:val="auto"/>
        </w:rPr>
        <w:t xml:space="preserve">WHEREAS, the Bank and Bank Hapoalim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as amended and restated on August 24, 2006, as further amended by Amendment No. 1 thereto dated September 10, 2007, as amended (the </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WHEREAS, the Bank and the Company are parties to a Conversion Agreement dated September 28, 2006 (the </w:t>
      </w:r>
      <w:r>
        <w:rPr>
          <w:rFonts w:ascii="Arial" w:cs="Arial" w:eastAsia="Arial" w:hAnsi="Arial"/>
          <w:sz w:val="16"/>
          <w:szCs w:val="16"/>
          <w:b w:val="1"/>
          <w:bCs w:val="1"/>
          <w:color w:val="auto"/>
        </w:rPr>
        <w:t>“2006 Conversion Agreement”</w:t>
      </w:r>
      <w:r>
        <w:rPr>
          <w:rFonts w:ascii="Arial" w:cs="Arial" w:eastAsia="Arial" w:hAnsi="Arial"/>
          <w:sz w:val="16"/>
          <w:szCs w:val="16"/>
          <w:color w:val="auto"/>
        </w:rPr>
        <w:t>); and</w:t>
      </w:r>
    </w:p>
    <w:p>
      <w:pPr>
        <w:spacing w:after="0" w:line="20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WHEREAS, at the request of Tower, the Banks and Tower have entered into an Amending Agreement to the Facility Agreement dated September 25, 2008 (the </w:t>
      </w:r>
      <w:r>
        <w:rPr>
          <w:rFonts w:ascii="Arial" w:cs="Arial" w:eastAsia="Arial" w:hAnsi="Arial"/>
          <w:sz w:val="16"/>
          <w:szCs w:val="16"/>
          <w:b w:val="1"/>
          <w:bCs w:val="1"/>
          <w:color w:val="auto"/>
        </w:rPr>
        <w:t>“Amending Agreement”</w:t>
      </w:r>
      <w:r>
        <w:rPr>
          <w:rFonts w:ascii="Arial" w:cs="Arial" w:eastAsia="Arial" w:hAnsi="Arial"/>
          <w:sz w:val="16"/>
          <w:szCs w:val="16"/>
          <w:color w:val="auto"/>
        </w:rPr>
        <w:t xml:space="preserve">), the conditions to the effectiveness of which include,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issuance to each of the Banks or its nominee, of an equity-equivalent convertible capital note which will in turn be convertible, in whole or in part, by the Bank at any time and from time to time into shares of Tower and the entering into by the Bank and Tower of a conversion agreement (the </w:t>
      </w:r>
      <w:r>
        <w:rPr>
          <w:rFonts w:ascii="Arial" w:cs="Arial" w:eastAsia="Arial" w:hAnsi="Arial"/>
          <w:sz w:val="16"/>
          <w:szCs w:val="16"/>
          <w:b w:val="1"/>
          <w:bCs w:val="1"/>
          <w:color w:val="auto"/>
        </w:rPr>
        <w:t>“2008 Conversion Agreement”</w:t>
      </w:r>
      <w:r>
        <w:rPr>
          <w:rFonts w:ascii="Arial" w:cs="Arial" w:eastAsia="Arial" w:hAnsi="Arial"/>
          <w:sz w:val="16"/>
          <w:szCs w:val="16"/>
          <w:color w:val="auto"/>
        </w:rPr>
        <w:t xml:space="preserve">) and the amendment and restatement of this Agreement, in each case, on or prior to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WHEREAS, clause 9.4 of the Facility Agreement, including as amended by the Amending Agreement, obligates the Company, under certain circumstances, to make a payment to the Banks which, subject to said clause 9.4 and the 2006 Conversion Agreement, can be paid in the form of shares, capital notes or convertible debentures (the </w:t>
      </w:r>
      <w:r>
        <w:rPr>
          <w:rFonts w:ascii="Arial" w:cs="Arial" w:eastAsia="Arial" w:hAnsi="Arial"/>
          <w:sz w:val="18"/>
          <w:szCs w:val="18"/>
          <w:b w:val="1"/>
          <w:bCs w:val="1"/>
          <w:color w:val="auto"/>
        </w:rPr>
        <w:t>“Clause 9.4 Equity Issuances”</w:t>
      </w:r>
      <w:r>
        <w:rPr>
          <w:rFonts w:ascii="Arial" w:cs="Arial" w:eastAsia="Arial" w:hAnsi="Arial"/>
          <w:sz w:val="18"/>
          <w:szCs w:val="18"/>
          <w:color w:val="auto"/>
        </w:rPr>
        <w:t>); and</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WHEREAS the parties intend that the registration rights set forth in this Agreement be applicable with respect to all shares issuable upon conversion or exercise of any and all capital notes issued or issuable pursuant to the 2006 and 2008 Conversion Agreements and warrants held by the Bank or its affiliate, as well as with respect to the Clause 9.4 Equity Issuances;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and restate this Agreement in its entirety,</w:t>
      </w:r>
    </w:p>
    <w:p>
      <w:pPr>
        <w:sectPr>
          <w:pgSz w:w="11900" w:h="16838" w:orient="portrait"/>
          <w:cols w:equalWidth="0" w:num="1">
            <w:col w:w="11420"/>
          </w:cols>
          <w:pgMar w:left="240" w:top="125" w:right="239" w:bottom="1440" w:gutter="0" w:footer="0" w:header="0"/>
        </w:sectPr>
      </w:pPr>
    </w:p>
    <w:bookmarkStart w:id="19" w:name="page20"/>
    <w:bookmarkEnd w:id="19"/>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25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“Capital Note” </w:t>
      </w:r>
      <w:r>
        <w:rPr>
          <w:rFonts w:ascii="Arial" w:cs="Arial" w:eastAsia="Arial" w:hAnsi="Arial"/>
          <w:sz w:val="18"/>
          <w:szCs w:val="18"/>
          <w:color w:val="auto"/>
        </w:rPr>
        <w:t>means any capital note that is convertible into shares of Tower.</w:t>
      </w:r>
    </w:p>
    <w:p>
      <w:pPr>
        <w:spacing w:after="0" w:line="90" w:lineRule="exact"/>
        <w:rPr>
          <w:rFonts w:ascii="Arial" w:cs="Arial" w:eastAsia="Arial" w:hAnsi="Arial"/>
          <w:sz w:val="18"/>
          <w:szCs w:val="18"/>
          <w:color w:val="auto"/>
        </w:rPr>
      </w:pPr>
    </w:p>
    <w:p>
      <w:pPr>
        <w:ind w:left="900" w:right="140" w:hanging="446"/>
        <w:spacing w:after="0" w:line="262"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Bank, any nominee of the Bank to hold the Clause 9.4 Equity Issuances (the</w:t>
      </w:r>
      <w:r>
        <w:rPr>
          <w:rFonts w:ascii="Arial" w:cs="Arial" w:eastAsia="Arial" w:hAnsi="Arial"/>
          <w:sz w:val="18"/>
          <w:szCs w:val="18"/>
          <w:b w:val="1"/>
          <w:bCs w:val="1"/>
          <w:color w:val="auto"/>
        </w:rPr>
        <w:t xml:space="preserve"> “Nominee”</w:t>
      </w:r>
      <w:r>
        <w:rPr>
          <w:rFonts w:ascii="Arial" w:cs="Arial" w:eastAsia="Arial" w:hAnsi="Arial"/>
          <w:sz w:val="18"/>
          <w:szCs w:val="18"/>
          <w:color w:val="auto"/>
        </w:rPr>
        <w:t>), any transferee or assignee to whom</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 or the Nominee assigns its rights, in whole or in part, and any transferee or assignee thereof to whom a transferee or assignee assigns its rights, in accordance with Section 9.</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“ISA” </w:t>
      </w:r>
      <w:r>
        <w:rPr>
          <w:rFonts w:ascii="Arial" w:cs="Arial" w:eastAsia="Arial" w:hAnsi="Arial"/>
          <w:sz w:val="18"/>
          <w:szCs w:val="18"/>
          <w:color w:val="auto"/>
        </w:rPr>
        <w:t>means the Israel Securities Authority or any similar or successor agency of Israel administering the Israel Securities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“Israel Securities Law” </w:t>
      </w:r>
      <w:r>
        <w:rPr>
          <w:rFonts w:ascii="Arial" w:cs="Arial" w:eastAsia="Arial" w:hAnsi="Arial"/>
          <w:sz w:val="16"/>
          <w:szCs w:val="16"/>
          <w:color w:val="auto"/>
        </w:rPr>
        <w:t>means the Israel Securities Law, 5728-1968 (including the regulations promulgated thereunder), as amended.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22"/>
        </w:numPr>
        <w:rPr>
          <w:rFonts w:ascii="Arial" w:cs="Arial" w:eastAsia="Arial" w:hAnsi="Arial"/>
          <w:sz w:val="15"/>
          <w:szCs w:val="15"/>
          <w:color w:val="auto"/>
        </w:rPr>
      </w:pPr>
      <w:r>
        <w:rPr>
          <w:rFonts w:ascii="Arial" w:cs="Arial" w:eastAsia="Arial" w:hAnsi="Arial"/>
          <w:sz w:val="15"/>
          <w:szCs w:val="15"/>
          <w:b w:val="1"/>
          <w:bCs w:val="1"/>
          <w:color w:val="auto"/>
        </w:rPr>
        <w:t xml:space="preserve">“1934 Act” </w:t>
      </w:r>
      <w:r>
        <w:rPr>
          <w:rFonts w:ascii="Arial" w:cs="Arial" w:eastAsia="Arial" w:hAnsi="Arial"/>
          <w:sz w:val="15"/>
          <w:szCs w:val="15"/>
          <w:color w:val="auto"/>
        </w:rPr>
        <w:t>means the U.S. Securities Exchange Act of 1934, as amended, and the rules and regulations thereunder, or any similar successor statute.</w:t>
      </w:r>
    </w:p>
    <w:p>
      <w:pPr>
        <w:spacing w:after="0" w:line="124" w:lineRule="exact"/>
        <w:rPr>
          <w:rFonts w:ascii="Arial" w:cs="Arial" w:eastAsia="Arial" w:hAnsi="Arial"/>
          <w:sz w:val="15"/>
          <w:szCs w:val="15"/>
          <w:color w:val="auto"/>
        </w:rPr>
      </w:pPr>
    </w:p>
    <w:p>
      <w:pPr>
        <w:ind w:left="900" w:right="140" w:hanging="446"/>
        <w:spacing w:after="0" w:line="262"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w:t>
      </w:r>
      <w:r>
        <w:rPr>
          <w:rFonts w:ascii="Arial" w:cs="Arial" w:eastAsia="Arial" w:hAnsi="Arial"/>
          <w:sz w:val="18"/>
          <w:szCs w:val="18"/>
          <w:color w:val="auto"/>
        </w:rPr>
        <w:t>, 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 and the effectiveness of such registration statement in accordance with the 1933 Act or the equivalent actions under the laws of another jurisdiction.</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(i) the ordinary shares of the Company issued or issuable upon conversion of any Capital Note by any Holder,</w:t>
      </w:r>
    </w:p>
    <w:p>
      <w:pPr>
        <w:spacing w:after="0" w:line="44" w:lineRule="exact"/>
        <w:rPr>
          <w:rFonts w:ascii="Arial" w:cs="Arial" w:eastAsia="Arial" w:hAnsi="Arial"/>
          <w:sz w:val="16"/>
          <w:szCs w:val="16"/>
          <w:color w:val="auto"/>
        </w:rPr>
      </w:pPr>
    </w:p>
    <w:p>
      <w:pPr>
        <w:ind w:left="900" w:hanging="1"/>
        <w:spacing w:after="0" w:line="253" w:lineRule="auto"/>
        <w:tabs>
          <w:tab w:leader="none" w:pos="1158"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ordinary shares issued as part of the Clause 9.4 Equity Issuances, including shares issued or issuable upon conversion of Capital Notes or convertible debentures issued as part of the Clause 9.4 Equity Issuances, which are held by any Holder, (iii) ordinary shares of the Company issued or issuable upon exercise of any Warrant,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58" w:lineRule="exact"/>
        <w:rPr>
          <w:rFonts w:ascii="Arial" w:cs="Arial" w:eastAsia="Arial" w:hAnsi="Arial"/>
          <w:sz w:val="18"/>
          <w:szCs w:val="18"/>
          <w:color w:val="auto"/>
        </w:rPr>
      </w:pPr>
    </w:p>
    <w:p>
      <w:pPr>
        <w:ind w:left="900" w:right="100" w:hanging="446"/>
        <w:spacing w:after="0" w:line="301"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“Registration Statement” </w:t>
      </w:r>
      <w:r>
        <w:rPr>
          <w:rFonts w:ascii="Arial" w:cs="Arial" w:eastAsia="Arial" w:hAnsi="Arial"/>
          <w:sz w:val="16"/>
          <w:szCs w:val="16"/>
          <w:color w:val="auto"/>
        </w:rPr>
        <w:t>means registration statements of the Company covering Registrable Securities filed from time to time with (a) the SEC</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1933 Act, including the Form F-3 Registration Statement No. 333-131315 previously filed by the Company covering ordinary shares issuable upon the exercise of the 2003 Warrants and the 2005 Warrants, and (b) the ISA under the Israel Securities Law, to the extent required under the Israel Securities Law, so as to allow the Holder to freely resell the Registrable Securities in Israel, including on the TASE.</w:t>
      </w:r>
    </w:p>
    <w:p>
      <w:pPr>
        <w:spacing w:after="0" w:line="95" w:lineRule="exact"/>
        <w:rPr>
          <w:rFonts w:ascii="Arial" w:cs="Arial" w:eastAsia="Arial" w:hAnsi="Arial"/>
          <w:sz w:val="16"/>
          <w:szCs w:val="16"/>
          <w:color w:val="auto"/>
        </w:rPr>
      </w:pPr>
    </w:p>
    <w:p>
      <w:pPr>
        <w:ind w:left="5680" w:hanging="112"/>
        <w:spacing w:after="0"/>
        <w:tabs>
          <w:tab w:leader="none" w:pos="5680" w:val="left"/>
        </w:tabs>
        <w:numPr>
          <w:ilvl w:val="3"/>
          <w:numId w:val="2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20" w:name="page21"/>
    <w:bookmarkEnd w:id="20"/>
    <w:p>
      <w:pPr>
        <w:ind w:left="892" w:hanging="446"/>
        <w:spacing w:after="0" w:line="275"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w:t>
      </w:r>
      <w:r>
        <w:rPr>
          <w:rFonts w:ascii="Arial" w:cs="Arial" w:eastAsia="Arial" w:hAnsi="Arial"/>
          <w:sz w:val="18"/>
          <w:szCs w:val="18"/>
          <w:color w:val="auto"/>
        </w:rPr>
        <w:t>means the United States Securities and Exchange Commission or any similar or successor agency of the United States administering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38" w:lineRule="exact"/>
        <w:rPr>
          <w:rFonts w:ascii="Arial" w:cs="Arial" w:eastAsia="Arial" w:hAnsi="Arial"/>
          <w:sz w:val="18"/>
          <w:szCs w:val="18"/>
          <w:color w:val="auto"/>
        </w:rPr>
      </w:pPr>
    </w:p>
    <w:p>
      <w:pPr>
        <w:ind w:left="892" w:right="60" w:hanging="446"/>
        <w:spacing w:after="0" w:line="275"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“2003 Warrant” </w:t>
      </w:r>
      <w:r>
        <w:rPr>
          <w:rFonts w:ascii="Arial" w:cs="Arial" w:eastAsia="Arial" w:hAnsi="Arial"/>
          <w:sz w:val="18"/>
          <w:szCs w:val="18"/>
          <w:color w:val="auto"/>
        </w:rPr>
        <w:t>means the warrant granted in 2003 to the Bank to purchase 448,298 (subject to adjustment in accordance with such warrant)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Tower.</w:t>
      </w:r>
    </w:p>
    <w:p>
      <w:pPr>
        <w:spacing w:after="0" w:line="38" w:lineRule="exact"/>
        <w:rPr>
          <w:rFonts w:ascii="Arial" w:cs="Arial" w:eastAsia="Arial" w:hAnsi="Arial"/>
          <w:sz w:val="18"/>
          <w:szCs w:val="18"/>
          <w:color w:val="auto"/>
        </w:rPr>
      </w:pPr>
    </w:p>
    <w:p>
      <w:pPr>
        <w:ind w:left="892" w:right="400" w:hanging="446"/>
        <w:spacing w:after="0" w:line="275"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“2005 Warrant” </w:t>
      </w:r>
      <w:r>
        <w:rPr>
          <w:rFonts w:ascii="Arial" w:cs="Arial" w:eastAsia="Arial" w:hAnsi="Arial"/>
          <w:sz w:val="18"/>
          <w:szCs w:val="18"/>
          <w:color w:val="auto"/>
        </w:rPr>
        <w:t>means the warrant granted in 2005 to the Bank to purchase 4,132,232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38" w:lineRule="exact"/>
        <w:rPr>
          <w:rFonts w:ascii="Arial" w:cs="Arial" w:eastAsia="Arial" w:hAnsi="Arial"/>
          <w:sz w:val="18"/>
          <w:szCs w:val="18"/>
          <w:color w:val="auto"/>
        </w:rPr>
      </w:pPr>
    </w:p>
    <w:p>
      <w:pPr>
        <w:ind w:left="892" w:right="400" w:hanging="446"/>
        <w:spacing w:after="0" w:line="275"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“2007 Warrant” </w:t>
      </w:r>
      <w:r>
        <w:rPr>
          <w:rFonts w:ascii="Arial" w:cs="Arial" w:eastAsia="Arial" w:hAnsi="Arial"/>
          <w:sz w:val="18"/>
          <w:szCs w:val="18"/>
          <w:color w:val="auto"/>
        </w:rPr>
        <w:t>means the warrant granted in 2007 to the Bank to purchase 1,000,000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38" w:lineRule="exact"/>
        <w:rPr>
          <w:rFonts w:ascii="Arial" w:cs="Arial" w:eastAsia="Arial" w:hAnsi="Arial"/>
          <w:sz w:val="18"/>
          <w:szCs w:val="18"/>
          <w:color w:val="auto"/>
        </w:rPr>
      </w:pPr>
    </w:p>
    <w:p>
      <w:pPr>
        <w:ind w:left="892" w:right="120" w:hanging="446"/>
        <w:spacing w:after="0" w:line="275"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“Warrant” </w:t>
      </w:r>
      <w:r>
        <w:rPr>
          <w:rFonts w:ascii="Arial" w:cs="Arial" w:eastAsia="Arial" w:hAnsi="Arial"/>
          <w:sz w:val="18"/>
          <w:szCs w:val="18"/>
          <w:color w:val="auto"/>
        </w:rPr>
        <w:t>means the 2003 Warrant, the 2005 Warrant and the 2007 Warrant, or any of them or any portion thereof as any of such Warrants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at any time or from time to time.</w:t>
      </w:r>
    </w:p>
    <w:p>
      <w:pPr>
        <w:spacing w:after="0" w:line="12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ind w:left="892" w:right="40" w:hanging="446"/>
        <w:spacing w:after="0" w:line="268"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50"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50" w:lineRule="exact"/>
        <w:rPr>
          <w:rFonts w:ascii="Arial" w:cs="Arial" w:eastAsia="Arial" w:hAnsi="Arial"/>
          <w:sz w:val="18"/>
          <w:szCs w:val="18"/>
          <w:color w:val="auto"/>
        </w:rPr>
      </w:pPr>
    </w:p>
    <w:p>
      <w:pPr>
        <w:ind w:left="892" w:right="300" w:hanging="446"/>
        <w:spacing w:after="0" w:line="268"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44" w:lineRule="exact"/>
        <w:rPr>
          <w:rFonts w:ascii="Arial" w:cs="Arial" w:eastAsia="Arial" w:hAnsi="Arial"/>
          <w:sz w:val="18"/>
          <w:szCs w:val="18"/>
          <w:color w:val="auto"/>
        </w:rPr>
      </w:pPr>
    </w:p>
    <w:p>
      <w:pPr>
        <w:ind w:left="892" w:right="100" w:hanging="446"/>
        <w:spacing w:after="0" w:line="275"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38" w:lineRule="exact"/>
        <w:rPr>
          <w:rFonts w:ascii="Arial" w:cs="Arial" w:eastAsia="Arial" w:hAnsi="Arial"/>
          <w:sz w:val="18"/>
          <w:szCs w:val="18"/>
          <w:color w:val="auto"/>
        </w:rPr>
      </w:pPr>
    </w:p>
    <w:p>
      <w:pPr>
        <w:ind w:left="892" w:hanging="446"/>
        <w:spacing w:after="0"/>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96" w:lineRule="exact"/>
        <w:rPr>
          <w:rFonts w:ascii="Arial" w:cs="Arial" w:eastAsia="Arial" w:hAnsi="Arial"/>
          <w:sz w:val="18"/>
          <w:szCs w:val="18"/>
          <w:color w:val="auto"/>
        </w:rPr>
      </w:pPr>
    </w:p>
    <w:p>
      <w:pPr>
        <w:ind w:left="892" w:right="640" w:hanging="446"/>
        <w:spacing w:after="0" w:line="268"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DEMAND REGISTRATION.</w:t>
      </w:r>
    </w:p>
    <w:p>
      <w:pPr>
        <w:spacing w:after="0" w:line="90"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shall prepare, and, as soon as practicable but in no event later than 45 days after each date on which the Company receives a written request</w:t>
      </w:r>
    </w:p>
    <w:p>
      <w:pPr>
        <w:spacing w:after="0" w:line="118" w:lineRule="exact"/>
        <w:rPr>
          <w:rFonts w:ascii="Arial" w:cs="Arial" w:eastAsia="Arial" w:hAnsi="Arial"/>
          <w:sz w:val="18"/>
          <w:szCs w:val="18"/>
          <w:color w:val="auto"/>
        </w:rPr>
      </w:pPr>
    </w:p>
    <w:p>
      <w:pPr>
        <w:ind w:left="5672" w:hanging="112"/>
        <w:spacing w:after="0"/>
        <w:tabs>
          <w:tab w:leader="none" w:pos="5672" w:val="left"/>
        </w:tabs>
        <w:numPr>
          <w:ilvl w:val="2"/>
          <w:numId w:val="2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12"/>
          </w:cols>
          <w:pgMar w:left="248" w:top="274" w:right="239" w:bottom="1440" w:gutter="0" w:footer="0" w:header="0"/>
        </w:sectPr>
      </w:pPr>
    </w:p>
    <w:bookmarkStart w:id="21" w:name="page22"/>
    <w:bookmarkEnd w:id="21"/>
    <w:p>
      <w:pPr>
        <w:jc w:val="both"/>
        <w:ind w:left="912"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Bank from time to time, file with the SEC a Registration Statement on Form F-3 and make all required filings with the ISA covering the resale of all, or at the request of the Bank, any portion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62" w:lineRule="exact"/>
        <w:rPr>
          <w:sz w:val="20"/>
          <w:szCs w:val="20"/>
          <w:color w:val="auto"/>
        </w:rPr>
      </w:pPr>
    </w:p>
    <w:p>
      <w:pPr>
        <w:ind w:left="892" w:hanging="446"/>
        <w:spacing w:after="0" w:line="294" w:lineRule="auto"/>
        <w:tabs>
          <w:tab w:leader="none" w:pos="892"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237" w:lineRule="exact"/>
        <w:rPr>
          <w:rFonts w:ascii="Arial" w:cs="Arial" w:eastAsia="Arial" w:hAnsi="Arial"/>
          <w:sz w:val="16"/>
          <w:szCs w:val="16"/>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90" w:lineRule="exact"/>
        <w:rPr>
          <w:rFonts w:ascii="Arial" w:cs="Arial" w:eastAsia="Arial" w:hAnsi="Arial"/>
          <w:sz w:val="18"/>
          <w:szCs w:val="18"/>
          <w:color w:val="auto"/>
        </w:rPr>
      </w:pPr>
    </w:p>
    <w:p>
      <w:pPr>
        <w:ind w:left="892" w:hanging="446"/>
        <w:spacing w:after="0" w:line="287" w:lineRule="auto"/>
        <w:tabs>
          <w:tab w:leader="none" w:pos="892"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 (z)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Company to ensure that such Registration Statement (including any amendments or supplements thereto and prospectuses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41" w:lineRule="exact"/>
        <w:rPr>
          <w:rFonts w:ascii="Arial" w:cs="Arial" w:eastAsia="Arial" w:hAnsi="Arial"/>
          <w:sz w:val="16"/>
          <w:szCs w:val="16"/>
          <w:color w:val="auto"/>
        </w:rPr>
      </w:pPr>
    </w:p>
    <w:p>
      <w:pPr>
        <w:ind w:left="892" w:right="80" w:hanging="446"/>
        <w:spacing w:after="0" w:line="290" w:lineRule="auto"/>
        <w:tabs>
          <w:tab w:leader="none" w:pos="892"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w:t>
      </w:r>
    </w:p>
    <w:p>
      <w:pPr>
        <w:spacing w:after="0" w:line="104" w:lineRule="exact"/>
        <w:rPr>
          <w:rFonts w:ascii="Arial" w:cs="Arial" w:eastAsia="Arial" w:hAnsi="Arial"/>
          <w:sz w:val="16"/>
          <w:szCs w:val="16"/>
          <w:color w:val="auto"/>
        </w:rPr>
      </w:pPr>
    </w:p>
    <w:p>
      <w:pPr>
        <w:ind w:left="5672" w:hanging="112"/>
        <w:spacing w:after="0"/>
        <w:tabs>
          <w:tab w:leader="none" w:pos="56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80" w:right="259" w:bottom="1440" w:gutter="0" w:footer="0" w:header="0"/>
        </w:sectPr>
      </w:pPr>
    </w:p>
    <w:bookmarkStart w:id="22" w:name="page23"/>
    <w:bookmarkEnd w:id="22"/>
    <w:p>
      <w:pPr>
        <w:ind w:left="46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63" w:lineRule="exact"/>
        <w:rPr>
          <w:sz w:val="20"/>
          <w:szCs w:val="20"/>
          <w:color w:val="auto"/>
        </w:rPr>
      </w:pPr>
    </w:p>
    <w:p>
      <w:pPr>
        <w:ind w:left="446" w:right="20" w:hanging="446"/>
        <w:spacing w:after="0" w:line="289" w:lineRule="auto"/>
        <w:tabs>
          <w:tab w:leader="none" w:pos="4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37" w:lineRule="exact"/>
        <w:rPr>
          <w:rFonts w:ascii="Arial" w:cs="Arial" w:eastAsia="Arial" w:hAnsi="Arial"/>
          <w:sz w:val="16"/>
          <w:szCs w:val="16"/>
          <w:color w:val="auto"/>
        </w:rPr>
      </w:pPr>
    </w:p>
    <w:p>
      <w:pPr>
        <w:ind w:left="446" w:hanging="446"/>
        <w:spacing w:after="0" w:line="286" w:lineRule="auto"/>
        <w:tabs>
          <w:tab w:leader="none" w:pos="4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13" w:lineRule="exact"/>
        <w:rPr>
          <w:rFonts w:ascii="Arial" w:cs="Arial" w:eastAsia="Arial" w:hAnsi="Arial"/>
          <w:sz w:val="16"/>
          <w:szCs w:val="16"/>
          <w:color w:val="auto"/>
        </w:rPr>
      </w:pPr>
    </w:p>
    <w:p>
      <w:pPr>
        <w:ind w:left="5226" w:hanging="112"/>
        <w:spacing w:after="0"/>
        <w:tabs>
          <w:tab w:leader="none" w:pos="52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66"/>
          </w:cols>
          <w:pgMar w:left="694" w:top="280" w:right="239" w:bottom="1440" w:gutter="0" w:footer="0" w:header="0"/>
        </w:sectPr>
      </w:pPr>
    </w:p>
    <w:bookmarkStart w:id="23" w:name="page24"/>
    <w:bookmarkEnd w:id="23"/>
    <w:p>
      <w:pPr>
        <w:ind w:left="446" w:hanging="446"/>
        <w:spacing w:after="0" w:line="286" w:lineRule="auto"/>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43" w:lineRule="exact"/>
        <w:rPr>
          <w:rFonts w:ascii="Arial" w:cs="Arial" w:eastAsia="Arial" w:hAnsi="Arial"/>
          <w:sz w:val="16"/>
          <w:szCs w:val="16"/>
          <w:color w:val="auto"/>
        </w:rPr>
      </w:pPr>
    </w:p>
    <w:p>
      <w:pPr>
        <w:ind w:left="446" w:right="180" w:hanging="446"/>
        <w:spacing w:after="0" w:line="255"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61"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The Company shall deliver to the Holders a copy of the approvals of the TASE and the NASDAQ (and/or any other exchange, if applicable) to the listing of the Registrable Securities covered by such Registration Statement on such exchange, in the case of the TASE, by not later than the Amendment Closing Date, and in the case of the NASDAQ (and/or other applicable exchanges) not later than the effective date of such Registration Statement .</w:t>
      </w:r>
    </w:p>
    <w:p>
      <w:pPr>
        <w:spacing w:after="0" w:line="34" w:lineRule="exact"/>
        <w:rPr>
          <w:rFonts w:ascii="Arial" w:cs="Arial" w:eastAsia="Arial" w:hAnsi="Arial"/>
          <w:sz w:val="16"/>
          <w:szCs w:val="16"/>
          <w:color w:val="auto"/>
        </w:rPr>
      </w:pPr>
    </w:p>
    <w:p>
      <w:pPr>
        <w:ind w:left="446" w:right="460" w:hanging="446"/>
        <w:spacing w:after="0" w:line="298" w:lineRule="auto"/>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99" w:lineRule="exact"/>
        <w:rPr>
          <w:rFonts w:ascii="Arial" w:cs="Arial" w:eastAsia="Arial" w:hAnsi="Arial"/>
          <w:sz w:val="16"/>
          <w:szCs w:val="16"/>
          <w:color w:val="auto"/>
        </w:rPr>
      </w:pPr>
    </w:p>
    <w:p>
      <w:pPr>
        <w:ind w:left="5226" w:hanging="112"/>
        <w:spacing w:after="0"/>
        <w:tabs>
          <w:tab w:leader="none" w:pos="52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66"/>
          </w:cols>
          <w:pgMar w:left="694" w:top="280" w:right="239" w:bottom="1440" w:gutter="0" w:footer="0" w:header="0"/>
        </w:sectPr>
      </w:pPr>
    </w:p>
    <w:bookmarkStart w:id="24" w:name="page25"/>
    <w:bookmarkEnd w:id="24"/>
    <w:p>
      <w:pPr>
        <w:ind w:left="446" w:right="32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provide a transfer agent and registrar of all Registrable Securities and a CUSIP number not later than the effective date of the applicable Registration Statement.</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39"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62" w:lineRule="exact"/>
        <w:rPr>
          <w:rFonts w:ascii="Arial" w:cs="Arial" w:eastAsia="Arial" w:hAnsi="Arial"/>
          <w:sz w:val="18"/>
          <w:szCs w:val="18"/>
          <w:color w:val="auto"/>
        </w:rPr>
      </w:pPr>
    </w:p>
    <w:p>
      <w:pPr>
        <w:ind w:left="446" w:right="160" w:hanging="446"/>
        <w:spacing w:after="0" w:line="298"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31" w:lineRule="exact"/>
        <w:rPr>
          <w:rFonts w:ascii="Arial" w:cs="Arial" w:eastAsia="Arial" w:hAnsi="Arial"/>
          <w:sz w:val="16"/>
          <w:szCs w:val="16"/>
          <w:color w:val="auto"/>
        </w:rPr>
      </w:pPr>
    </w:p>
    <w:p>
      <w:pPr>
        <w:ind w:left="446" w:right="120" w:hanging="446"/>
        <w:spacing w:after="0" w:line="289"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37" w:lineRule="exact"/>
        <w:rPr>
          <w:rFonts w:ascii="Arial" w:cs="Arial" w:eastAsia="Arial" w:hAnsi="Arial"/>
          <w:sz w:val="16"/>
          <w:szCs w:val="16"/>
          <w:color w:val="auto"/>
        </w:rPr>
      </w:pPr>
    </w:p>
    <w:p>
      <w:pPr>
        <w:ind w:left="446" w:right="20" w:hanging="446"/>
        <w:spacing w:after="0" w:line="298"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99" w:lineRule="exact"/>
        <w:rPr>
          <w:rFonts w:ascii="Arial" w:cs="Arial" w:eastAsia="Arial" w:hAnsi="Arial"/>
          <w:sz w:val="16"/>
          <w:szCs w:val="16"/>
          <w:color w:val="auto"/>
        </w:rPr>
      </w:pPr>
    </w:p>
    <w:p>
      <w:pPr>
        <w:ind w:left="5226" w:hanging="112"/>
        <w:spacing w:after="0"/>
        <w:tabs>
          <w:tab w:leader="none" w:pos="52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6"/>
          </w:cols>
          <w:pgMar w:left="694" w:top="280" w:right="239" w:bottom="1440" w:gutter="0" w:footer="0" w:header="0"/>
        </w:sectPr>
      </w:pPr>
    </w:p>
    <w:bookmarkStart w:id="25" w:name="page26"/>
    <w:bookmarkEnd w:id="25"/>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OF THE HOLDERS.</w:t>
      </w:r>
    </w:p>
    <w:p>
      <w:pPr>
        <w:spacing w:after="0" w:line="90" w:lineRule="exact"/>
        <w:rPr>
          <w:rFonts w:ascii="Arial" w:cs="Arial" w:eastAsia="Arial" w:hAnsi="Arial"/>
          <w:sz w:val="18"/>
          <w:szCs w:val="18"/>
          <w:color w:val="auto"/>
        </w:rPr>
      </w:pPr>
    </w:p>
    <w:p>
      <w:pPr>
        <w:ind w:left="452" w:right="540"/>
        <w:spacing w:after="0" w:line="323" w:lineRule="auto"/>
        <w:rPr>
          <w:rFonts w:ascii="Arial" w:cs="Arial" w:eastAsia="Arial" w:hAnsi="Arial"/>
          <w:sz w:val="18"/>
          <w:szCs w:val="18"/>
          <w:color w:val="auto"/>
        </w:rPr>
      </w:pPr>
      <w:r>
        <w:rPr>
          <w:rFonts w:ascii="Arial" w:cs="Arial" w:eastAsia="Arial" w:hAnsi="Arial"/>
          <w:sz w:val="15"/>
          <w:szCs w:val="15"/>
          <w:color w:val="auto"/>
        </w:rPr>
        <w:t>Each Holder agrees that, upon receipt of any notice from the Company of the happening of any event of the kind described in the first sentence of Section 3(e) or the issuance of any stop order or suspension as referred to in Section 3(f), such Holder will immediately discontinue disposition of Registrable Securities pursuant to any Registration Statement(s) covering such Registrable Securities until such Holder’s receipt of the copies of the supplemented or amended prospectus contemplated by clause (i) of Section 3(e) or receipt of notice that no supplement or amendment is required.</w:t>
      </w:r>
    </w:p>
    <w:p>
      <w:pPr>
        <w:spacing w:after="0" w:line="219"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OF REGISTRATION.</w:t>
      </w:r>
    </w:p>
    <w:p>
      <w:pPr>
        <w:spacing w:after="0" w:line="90" w:lineRule="exact"/>
        <w:rPr>
          <w:rFonts w:ascii="Arial" w:cs="Arial" w:eastAsia="Arial" w:hAnsi="Arial"/>
          <w:sz w:val="18"/>
          <w:szCs w:val="18"/>
          <w:color w:val="auto"/>
        </w:rPr>
      </w:pPr>
    </w:p>
    <w:p>
      <w:pPr>
        <w:ind w:left="452" w:right="60"/>
        <w:spacing w:after="0" w:line="306" w:lineRule="auto"/>
        <w:rPr>
          <w:rFonts w:ascii="Arial" w:cs="Arial" w:eastAsia="Arial" w:hAnsi="Arial"/>
          <w:sz w:val="18"/>
          <w:szCs w:val="18"/>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28"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 the event any Registrable Securities are included in a Registration Statement under this Agreement:</w:t>
      </w:r>
    </w:p>
    <w:p>
      <w:pPr>
        <w:spacing w:after="0" w:line="90"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any</w:t>
      </w:r>
    </w:p>
    <w:p>
      <w:pPr>
        <w:spacing w:after="0" w:line="110" w:lineRule="exact"/>
        <w:rPr>
          <w:rFonts w:ascii="Arial" w:cs="Arial" w:eastAsia="Arial" w:hAnsi="Arial"/>
          <w:sz w:val="16"/>
          <w:szCs w:val="16"/>
          <w:color w:val="auto"/>
        </w:rPr>
      </w:pPr>
    </w:p>
    <w:p>
      <w:pPr>
        <w:ind w:left="5672" w:hanging="112"/>
        <w:spacing w:after="0"/>
        <w:tabs>
          <w:tab w:leader="none" w:pos="5672" w:val="left"/>
        </w:tabs>
        <w:numPr>
          <w:ilvl w:val="2"/>
          <w:numId w:val="3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92"/>
          </w:cols>
          <w:pgMar w:left="248" w:top="280" w:right="259" w:bottom="1440" w:gutter="0" w:footer="0" w:header="0"/>
        </w:sectPr>
      </w:pPr>
    </w:p>
    <w:bookmarkStart w:id="26" w:name="page27"/>
    <w:bookmarkEnd w:id="26"/>
    <w:p>
      <w:pPr>
        <w:ind w:left="466"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w:t>
      </w:r>
    </w:p>
    <w:p>
      <w:pPr>
        <w:spacing w:after="0" w:line="2" w:lineRule="exact"/>
        <w:rPr>
          <w:sz w:val="20"/>
          <w:szCs w:val="20"/>
          <w:color w:val="auto"/>
        </w:rPr>
      </w:pPr>
    </w:p>
    <w:p>
      <w:pPr>
        <w:ind w:left="466" w:right="140" w:hanging="7"/>
        <w:spacing w:after="0" w:line="286" w:lineRule="auto"/>
        <w:tabs>
          <w:tab w:leader="none" w:pos="764"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any material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43" w:lineRule="exact"/>
        <w:rPr>
          <w:rFonts w:ascii="Arial" w:cs="Arial" w:eastAsia="Arial" w:hAnsi="Arial"/>
          <w:sz w:val="16"/>
          <w:szCs w:val="16"/>
          <w:color w:val="auto"/>
        </w:rPr>
      </w:pPr>
    </w:p>
    <w:p>
      <w:pPr>
        <w:ind w:left="446" w:hanging="446"/>
        <w:spacing w:after="0" w:line="286" w:lineRule="auto"/>
        <w:tabs>
          <w:tab w:leader="none" w:pos="4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w:t>
      </w:r>
    </w:p>
    <w:p>
      <w:pPr>
        <w:spacing w:after="0" w:line="110" w:lineRule="exact"/>
        <w:rPr>
          <w:rFonts w:ascii="Arial" w:cs="Arial" w:eastAsia="Arial" w:hAnsi="Arial"/>
          <w:sz w:val="16"/>
          <w:szCs w:val="16"/>
          <w:color w:val="auto"/>
        </w:rPr>
      </w:pPr>
    </w:p>
    <w:p>
      <w:pPr>
        <w:ind w:left="5226" w:hanging="112"/>
        <w:spacing w:after="0"/>
        <w:tabs>
          <w:tab w:leader="none" w:pos="5226" w:val="left"/>
        </w:tabs>
        <w:numPr>
          <w:ilvl w:val="2"/>
          <w:numId w:val="33"/>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26"/>
          </w:cols>
          <w:pgMar w:left="694" w:top="280" w:right="279" w:bottom="1440" w:gutter="0" w:footer="0" w:header="0"/>
        </w:sectPr>
      </w:pPr>
    </w:p>
    <w:bookmarkStart w:id="27" w:name="page28"/>
    <w:bookmarkEnd w:id="27"/>
    <w:p>
      <w:pPr>
        <w:ind w:left="46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4" w:lineRule="exact"/>
        <w:rPr>
          <w:sz w:val="20"/>
          <w:szCs w:val="20"/>
          <w:color w:val="auto"/>
        </w:rPr>
      </w:pPr>
    </w:p>
    <w:p>
      <w:pPr>
        <w:ind w:left="446" w:right="20" w:hanging="446"/>
        <w:spacing w:after="0" w:line="284" w:lineRule="auto"/>
        <w:tabs>
          <w:tab w:leader="none" w:pos="4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51" w:lineRule="exact"/>
        <w:rPr>
          <w:rFonts w:ascii="Arial" w:cs="Arial" w:eastAsia="Arial" w:hAnsi="Arial"/>
          <w:sz w:val="16"/>
          <w:szCs w:val="16"/>
          <w:color w:val="auto"/>
        </w:rPr>
      </w:pPr>
    </w:p>
    <w:p>
      <w:pPr>
        <w:ind w:left="446" w:right="240" w:hanging="446"/>
        <w:spacing w:after="0" w:line="268" w:lineRule="auto"/>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50" w:lineRule="exact"/>
        <w:rPr>
          <w:rFonts w:ascii="Arial" w:cs="Arial" w:eastAsia="Arial" w:hAnsi="Arial"/>
          <w:sz w:val="18"/>
          <w:szCs w:val="18"/>
          <w:color w:val="auto"/>
        </w:rPr>
      </w:pPr>
    </w:p>
    <w:p>
      <w:pPr>
        <w:ind w:left="446" w:right="300" w:hanging="446"/>
        <w:spacing w:after="0" w:line="332" w:lineRule="auto"/>
        <w:tabs>
          <w:tab w:leader="none" w:pos="4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3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46"/>
          </w:cols>
          <w:pgMar w:left="694" w:top="280" w:right="259" w:bottom="1440" w:gutter="0" w:footer="0" w:header="0"/>
        </w:sectPr>
      </w:pPr>
    </w:p>
    <w:bookmarkStart w:id="28" w:name="page29"/>
    <w:bookmarkEnd w:id="28"/>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w:t>
      </w:r>
    </w:p>
    <w:p>
      <w:pPr>
        <w:spacing w:after="0" w:line="90" w:lineRule="exact"/>
        <w:rPr>
          <w:rFonts w:ascii="Arial" w:cs="Arial" w:eastAsia="Arial" w:hAnsi="Arial"/>
          <w:sz w:val="18"/>
          <w:szCs w:val="18"/>
          <w:color w:val="auto"/>
        </w:rPr>
      </w:pPr>
    </w:p>
    <w:p>
      <w:pPr>
        <w:ind w:left="452"/>
        <w:spacing w:after="0" w:line="309" w:lineRule="auto"/>
        <w:rPr>
          <w:rFonts w:ascii="Arial" w:cs="Arial" w:eastAsia="Arial" w:hAnsi="Arial"/>
          <w:sz w:val="18"/>
          <w:szCs w:val="18"/>
          <w:color w:val="auto"/>
        </w:rPr>
      </w:pPr>
      <w:r>
        <w:rPr>
          <w:rFonts w:ascii="Arial" w:cs="Arial" w:eastAsia="Arial" w:hAnsi="Arial"/>
          <w:sz w:val="15"/>
          <w:szCs w:val="15"/>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7" w:lineRule="exact"/>
        <w:rPr>
          <w:rFonts w:ascii="Arial" w:cs="Arial" w:eastAsia="Arial" w:hAnsi="Arial"/>
          <w:sz w:val="18"/>
          <w:szCs w:val="18"/>
          <w:color w:val="auto"/>
        </w:rPr>
      </w:pPr>
    </w:p>
    <w:p>
      <w:pPr>
        <w:ind w:left="452" w:right="14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234"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REPORTS UNDER THE 1934 ACT.</w:t>
      </w:r>
    </w:p>
    <w:p>
      <w:pPr>
        <w:spacing w:after="0" w:line="90" w:lineRule="exact"/>
        <w:rPr>
          <w:rFonts w:ascii="Arial" w:cs="Arial" w:eastAsia="Arial" w:hAnsi="Arial"/>
          <w:sz w:val="18"/>
          <w:szCs w:val="18"/>
          <w:color w:val="auto"/>
        </w:rPr>
      </w:pPr>
    </w:p>
    <w:p>
      <w:pPr>
        <w:ind w:left="452" w:right="40"/>
        <w:spacing w:after="0" w:line="332" w:lineRule="auto"/>
        <w:rPr>
          <w:rFonts w:ascii="Arial" w:cs="Arial" w:eastAsia="Arial" w:hAnsi="Arial"/>
          <w:sz w:val="18"/>
          <w:szCs w:val="18"/>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4" w:lineRule="exact"/>
        <w:rPr>
          <w:rFonts w:ascii="Arial" w:cs="Arial" w:eastAsia="Arial" w:hAnsi="Arial"/>
          <w:sz w:val="18"/>
          <w:szCs w:val="18"/>
          <w:color w:val="auto"/>
        </w:rPr>
      </w:pPr>
    </w:p>
    <w:p>
      <w:pPr>
        <w:ind w:left="892" w:hanging="446"/>
        <w:spacing w:after="0"/>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90" w:lineRule="exact"/>
        <w:rPr>
          <w:rFonts w:ascii="Arial" w:cs="Arial" w:eastAsia="Arial" w:hAnsi="Arial"/>
          <w:sz w:val="18"/>
          <w:szCs w:val="18"/>
          <w:color w:val="auto"/>
        </w:rPr>
      </w:pPr>
    </w:p>
    <w:p>
      <w:pPr>
        <w:jc w:val="both"/>
        <w:ind w:left="892" w:right="160" w:hanging="446"/>
        <w:spacing w:after="0" w:line="259" w:lineRule="auto"/>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59" w:lineRule="exact"/>
        <w:rPr>
          <w:rFonts w:ascii="Arial" w:cs="Arial" w:eastAsia="Arial" w:hAnsi="Arial"/>
          <w:sz w:val="18"/>
          <w:szCs w:val="18"/>
          <w:color w:val="auto"/>
        </w:rPr>
      </w:pPr>
    </w:p>
    <w:p>
      <w:pPr>
        <w:jc w:val="both"/>
        <w:ind w:left="892" w:right="20" w:hanging="446"/>
        <w:spacing w:after="0" w:line="298" w:lineRule="auto"/>
        <w:tabs>
          <w:tab w:leader="none" w:pos="892" w:val="left"/>
        </w:tabs>
        <w:numPr>
          <w:ilvl w:val="1"/>
          <w:numId w:val="35"/>
        </w:numPr>
        <w:rPr>
          <w:rFonts w:ascii="Arial" w:cs="Arial" w:eastAsia="Arial" w:hAnsi="Arial"/>
          <w:sz w:val="16"/>
          <w:szCs w:val="16"/>
          <w:color w:val="auto"/>
        </w:rPr>
      </w:pPr>
      <w:r>
        <w:rPr>
          <w:rFonts w:ascii="Arial" w:cs="Arial" w:eastAsia="Arial" w:hAnsi="Arial"/>
          <w:sz w:val="16"/>
          <w:szCs w:val="16"/>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99" w:lineRule="exact"/>
        <w:rPr>
          <w:rFonts w:ascii="Arial" w:cs="Arial" w:eastAsia="Arial" w:hAnsi="Arial"/>
          <w:sz w:val="16"/>
          <w:szCs w:val="16"/>
          <w:color w:val="auto"/>
        </w:rPr>
      </w:pPr>
    </w:p>
    <w:p>
      <w:pPr>
        <w:ind w:left="5612" w:hanging="93"/>
        <w:spacing w:after="0"/>
        <w:tabs>
          <w:tab w:leader="none" w:pos="5612" w:val="left"/>
        </w:tabs>
        <w:numPr>
          <w:ilvl w:val="2"/>
          <w:numId w:val="3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72"/>
          </w:cols>
          <w:pgMar w:left="248" w:top="280" w:right="279" w:bottom="1440" w:gutter="0" w:footer="0" w:header="0"/>
        </w:sectPr>
      </w:pPr>
    </w:p>
    <w:bookmarkStart w:id="29" w:name="page30"/>
    <w:bookmarkEnd w:id="29"/>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OF REGISTRATION RIGHTS.</w:t>
      </w:r>
    </w:p>
    <w:p>
      <w:pPr>
        <w:spacing w:after="0" w:line="90" w:lineRule="exact"/>
        <w:rPr>
          <w:rFonts w:ascii="Arial" w:cs="Arial" w:eastAsia="Arial" w:hAnsi="Arial"/>
          <w:sz w:val="18"/>
          <w:szCs w:val="18"/>
          <w:color w:val="auto"/>
        </w:rPr>
      </w:pPr>
    </w:p>
    <w:p>
      <w:pPr>
        <w:ind w:left="452"/>
        <w:spacing w:after="0" w:line="286" w:lineRule="auto"/>
        <w:rPr>
          <w:rFonts w:ascii="Arial" w:cs="Arial" w:eastAsia="Arial" w:hAnsi="Arial"/>
          <w:sz w:val="18"/>
          <w:szCs w:val="18"/>
          <w:color w:val="auto"/>
        </w:rPr>
      </w:pPr>
      <w:r>
        <w:rPr>
          <w:rFonts w:ascii="Arial" w:cs="Arial" w:eastAsia="Arial" w:hAnsi="Arial"/>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any of the 1933 Act, the Israel Securities Law and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90" w:lineRule="exact"/>
        <w:rPr>
          <w:rFonts w:ascii="Arial" w:cs="Arial" w:eastAsia="Arial" w:hAnsi="Arial"/>
          <w:sz w:val="18"/>
          <w:szCs w:val="18"/>
          <w:color w:val="auto"/>
        </w:rPr>
      </w:pPr>
    </w:p>
    <w:p>
      <w:pPr>
        <w:ind w:left="452" w:right="100"/>
        <w:spacing w:after="0" w:line="294" w:lineRule="auto"/>
        <w:rPr>
          <w:rFonts w:ascii="Arial" w:cs="Arial" w:eastAsia="Arial" w:hAnsi="Arial"/>
          <w:sz w:val="18"/>
          <w:szCs w:val="18"/>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37" w:lineRule="exact"/>
        <w:rPr>
          <w:rFonts w:ascii="Arial" w:cs="Arial" w:eastAsia="Arial" w:hAnsi="Arial"/>
          <w:sz w:val="18"/>
          <w:szCs w:val="18"/>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REGISTRATION STATEMENTS; INCIDENTAL REGISTRATIONS; NO CONFLICTING AGREEMENTS.</w:t>
      </w:r>
    </w:p>
    <w:p>
      <w:pPr>
        <w:spacing w:after="0" w:line="90" w:lineRule="exact"/>
        <w:rPr>
          <w:rFonts w:ascii="Arial" w:cs="Arial" w:eastAsia="Arial" w:hAnsi="Arial"/>
          <w:sz w:val="18"/>
          <w:szCs w:val="18"/>
          <w:color w:val="auto"/>
        </w:rPr>
      </w:pPr>
    </w:p>
    <w:p>
      <w:pPr>
        <w:ind w:left="892" w:right="20" w:hanging="446"/>
        <w:spacing w:after="0" w:line="254"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 For the purposes of this Section 11(a) only, Registration Statement shall mean a Registration Statement that is filed for an amount of Registrable Securities, that the Holder believes in good faith can be reasonably sold pursuant to such Registration Statement.</w:t>
      </w:r>
    </w:p>
    <w:p>
      <w:pPr>
        <w:spacing w:after="0" w:line="130" w:lineRule="exact"/>
        <w:rPr>
          <w:rFonts w:ascii="Arial" w:cs="Arial" w:eastAsia="Arial" w:hAnsi="Arial"/>
          <w:sz w:val="18"/>
          <w:szCs w:val="18"/>
          <w:color w:val="auto"/>
        </w:rPr>
      </w:pPr>
    </w:p>
    <w:p>
      <w:pPr>
        <w:ind w:left="5612" w:hanging="96"/>
        <w:spacing w:after="0"/>
        <w:tabs>
          <w:tab w:leader="none" w:pos="5612" w:val="left"/>
        </w:tabs>
        <w:numPr>
          <w:ilvl w:val="2"/>
          <w:numId w:val="3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92"/>
          </w:cols>
          <w:pgMar w:left="248" w:top="280" w:right="259" w:bottom="1440" w:gutter="0" w:footer="0" w:header="0"/>
        </w:sectPr>
      </w:pPr>
    </w:p>
    <w:bookmarkStart w:id="30" w:name="page31"/>
    <w:bookmarkEnd w:id="30"/>
    <w:p>
      <w:pPr>
        <w:ind w:left="892" w:hanging="446"/>
        <w:spacing w:after="0" w:line="289" w:lineRule="auto"/>
        <w:tabs>
          <w:tab w:leader="none" w:pos="892"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37" w:lineRule="exact"/>
        <w:rPr>
          <w:rFonts w:ascii="Arial" w:cs="Arial" w:eastAsia="Arial" w:hAnsi="Arial"/>
          <w:sz w:val="16"/>
          <w:szCs w:val="16"/>
          <w:color w:val="auto"/>
        </w:rPr>
      </w:pPr>
    </w:p>
    <w:p>
      <w:pPr>
        <w:ind w:left="892" w:right="40" w:hanging="446"/>
        <w:spacing w:after="0" w:line="268" w:lineRule="auto"/>
        <w:tabs>
          <w:tab w:leader="none" w:pos="8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90" w:lineRule="exact"/>
        <w:rPr>
          <w:rFonts w:ascii="Arial" w:cs="Arial" w:eastAsia="Arial" w:hAnsi="Arial"/>
          <w:sz w:val="18"/>
          <w:szCs w:val="18"/>
          <w:color w:val="auto"/>
        </w:rPr>
      </w:pPr>
    </w:p>
    <w:p>
      <w:pPr>
        <w:ind w:left="892" w:right="60" w:hanging="446"/>
        <w:spacing w:after="0" w:line="255" w:lineRule="auto"/>
        <w:tabs>
          <w:tab w:leader="none" w:pos="89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183"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to the Borrower at:</w:t>
            </w:r>
          </w:p>
        </w:tc>
        <w:tc>
          <w:tcPr>
            <w:tcW w:w="3660" w:type="dxa"/>
            <w:vAlign w:val="bottom"/>
            <w:gridSpan w:val="2"/>
          </w:tcPr>
          <w:p>
            <w:pPr>
              <w:ind w:left="560"/>
              <w:spacing w:after="0"/>
              <w:rPr>
                <w:sz w:val="20"/>
                <w:szCs w:val="20"/>
                <w:color w:val="auto"/>
              </w:rPr>
            </w:pPr>
            <w:r>
              <w:rPr>
                <w:rFonts w:ascii="Arial" w:cs="Arial" w:eastAsia="Arial" w:hAnsi="Arial"/>
                <w:sz w:val="18"/>
                <w:szCs w:val="18"/>
                <w:color w:val="auto"/>
              </w:rPr>
              <w:t>Tower Semiconductor Ltd.</w:t>
            </w:r>
          </w:p>
        </w:tc>
      </w:tr>
      <w:tr>
        <w:trPr>
          <w:trHeight w:val="216"/>
        </w:trPr>
        <w:tc>
          <w:tcPr>
            <w:tcW w:w="252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w w:val="85"/>
              </w:rPr>
              <w:t>P.O. Box 619</w:t>
            </w:r>
          </w:p>
        </w:tc>
        <w:tc>
          <w:tcPr>
            <w:tcW w:w="21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3660" w:type="dxa"/>
            <w:vAlign w:val="bottom"/>
            <w:gridSpan w:val="2"/>
          </w:tcPr>
          <w:p>
            <w:pPr>
              <w:ind w:left="560"/>
              <w:spacing w:after="0"/>
              <w:rPr>
                <w:sz w:val="20"/>
                <w:szCs w:val="20"/>
                <w:color w:val="auto"/>
              </w:rPr>
            </w:pPr>
            <w:r>
              <w:rPr>
                <w:rFonts w:ascii="Arial" w:cs="Arial" w:eastAsia="Arial" w:hAnsi="Arial"/>
                <w:sz w:val="18"/>
                <w:szCs w:val="18"/>
                <w:color w:val="auto"/>
              </w:rPr>
              <w:t>Migdal Haemek</w:t>
            </w:r>
          </w:p>
        </w:tc>
      </w:tr>
      <w:tr>
        <w:trPr>
          <w:trHeight w:val="216"/>
        </w:trPr>
        <w:tc>
          <w:tcPr>
            <w:tcW w:w="252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rPr>
              <w:t>Israel</w:t>
            </w:r>
          </w:p>
        </w:tc>
        <w:tc>
          <w:tcPr>
            <w:tcW w:w="21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rPr>
              <w:t>Facsimile:</w:t>
            </w:r>
          </w:p>
        </w:tc>
        <w:tc>
          <w:tcPr>
            <w:tcW w:w="2160" w:type="dxa"/>
            <w:vAlign w:val="bottom"/>
          </w:tcPr>
          <w:p>
            <w:pPr>
              <w:ind w:left="20"/>
              <w:spacing w:after="0"/>
              <w:rPr>
                <w:sz w:val="20"/>
                <w:szCs w:val="20"/>
                <w:color w:val="auto"/>
              </w:rPr>
            </w:pPr>
            <w:r>
              <w:rPr>
                <w:rFonts w:ascii="Arial" w:cs="Arial" w:eastAsia="Arial" w:hAnsi="Arial"/>
                <w:sz w:val="18"/>
                <w:szCs w:val="18"/>
                <w:color w:val="auto"/>
              </w:rPr>
              <w:t>(04) 604 7242</w:t>
            </w:r>
          </w:p>
        </w:tc>
      </w:tr>
      <w:tr>
        <w:trPr>
          <w:trHeight w:val="216"/>
        </w:trPr>
        <w:tc>
          <w:tcPr>
            <w:tcW w:w="252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rPr>
              <w:t>Attention:</w:t>
            </w:r>
          </w:p>
        </w:tc>
        <w:tc>
          <w:tcPr>
            <w:tcW w:w="2160" w:type="dxa"/>
            <w:vAlign w:val="bottom"/>
          </w:tcPr>
          <w:p>
            <w:pPr>
              <w:ind w:left="20"/>
              <w:spacing w:after="0"/>
              <w:rPr>
                <w:sz w:val="20"/>
                <w:szCs w:val="20"/>
                <w:color w:val="auto"/>
              </w:rPr>
            </w:pPr>
            <w:r>
              <w:rPr>
                <w:rFonts w:ascii="Arial" w:cs="Arial" w:eastAsia="Arial" w:hAnsi="Arial"/>
                <w:sz w:val="18"/>
                <w:szCs w:val="18"/>
                <w:color w:val="auto"/>
              </w:rPr>
              <w:t>Oren Shirazi</w:t>
            </w:r>
          </w:p>
        </w:tc>
      </w:tr>
      <w:tr>
        <w:trPr>
          <w:trHeight w:val="222"/>
        </w:trPr>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1"/>
              </w:rPr>
              <w:t>Acting Chief Financial Officer</w:t>
            </w:r>
          </w:p>
        </w:tc>
      </w:tr>
      <w:tr>
        <w:trPr>
          <w:trHeight w:val="412"/>
        </w:trPr>
        <w:tc>
          <w:tcPr>
            <w:tcW w:w="2520" w:type="dxa"/>
            <w:vAlign w:val="bottom"/>
          </w:tcPr>
          <w:p>
            <w:pPr>
              <w:spacing w:after="0"/>
              <w:rPr>
                <w:sz w:val="20"/>
                <w:szCs w:val="20"/>
                <w:color w:val="auto"/>
              </w:rPr>
            </w:pPr>
            <w:r>
              <w:rPr>
                <w:rFonts w:ascii="Arial" w:cs="Arial" w:eastAsia="Arial" w:hAnsi="Arial"/>
                <w:sz w:val="18"/>
                <w:szCs w:val="18"/>
                <w:color w:val="auto"/>
              </w:rPr>
              <w:t>with a copy to (which shall</w:t>
            </w:r>
          </w:p>
        </w:tc>
        <w:tc>
          <w:tcPr>
            <w:tcW w:w="1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i w:val="1"/>
                <w:iCs w:val="1"/>
                <w:color w:val="auto"/>
              </w:rPr>
              <w:t xml:space="preserve">not constitute notice): </w:t>
            </w:r>
            <w:r>
              <w:rPr>
                <w:rFonts w:ascii="Arial" w:cs="Arial" w:eastAsia="Arial" w:hAnsi="Arial"/>
                <w:sz w:val="18"/>
                <w:szCs w:val="18"/>
                <w:color w:val="auto"/>
              </w:rPr>
              <w:t>Yigal</w:t>
            </w:r>
          </w:p>
        </w:tc>
        <w:tc>
          <w:tcPr>
            <w:tcW w:w="1500" w:type="dxa"/>
            <w:vAlign w:val="bottom"/>
          </w:tcPr>
          <w:p>
            <w:pPr>
              <w:ind w:left="560"/>
              <w:spacing w:after="0"/>
              <w:rPr>
                <w:sz w:val="20"/>
                <w:szCs w:val="20"/>
                <w:color w:val="auto"/>
              </w:rPr>
            </w:pPr>
            <w:r>
              <w:rPr>
                <w:rFonts w:ascii="Arial" w:cs="Arial" w:eastAsia="Arial" w:hAnsi="Arial"/>
                <w:sz w:val="18"/>
                <w:szCs w:val="18"/>
                <w:color w:val="auto"/>
                <w:w w:val="93"/>
              </w:rPr>
              <w:t>Arnon &amp; Co.</w:t>
            </w:r>
          </w:p>
        </w:tc>
        <w:tc>
          <w:tcPr>
            <w:tcW w:w="21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3660" w:type="dxa"/>
            <w:vAlign w:val="bottom"/>
            <w:gridSpan w:val="2"/>
          </w:tcPr>
          <w:p>
            <w:pPr>
              <w:ind w:left="560"/>
              <w:spacing w:after="0"/>
              <w:rPr>
                <w:sz w:val="20"/>
                <w:szCs w:val="20"/>
                <w:color w:val="auto"/>
              </w:rPr>
            </w:pPr>
            <w:r>
              <w:rPr>
                <w:rFonts w:ascii="Arial" w:cs="Arial" w:eastAsia="Arial" w:hAnsi="Arial"/>
                <w:sz w:val="18"/>
                <w:szCs w:val="18"/>
                <w:color w:val="auto"/>
              </w:rPr>
              <w:t>1 Azrieli Center</w:t>
            </w:r>
          </w:p>
        </w:tc>
      </w:tr>
      <w:tr>
        <w:trPr>
          <w:trHeight w:val="216"/>
        </w:trPr>
        <w:tc>
          <w:tcPr>
            <w:tcW w:w="2520" w:type="dxa"/>
            <w:vAlign w:val="bottom"/>
          </w:tcPr>
          <w:p>
            <w:pPr>
              <w:spacing w:after="0"/>
              <w:rPr>
                <w:sz w:val="18"/>
                <w:szCs w:val="18"/>
                <w:color w:val="auto"/>
              </w:rPr>
            </w:pPr>
          </w:p>
        </w:tc>
        <w:tc>
          <w:tcPr>
            <w:tcW w:w="3660" w:type="dxa"/>
            <w:vAlign w:val="bottom"/>
            <w:gridSpan w:val="2"/>
          </w:tcPr>
          <w:p>
            <w:pPr>
              <w:ind w:left="560"/>
              <w:spacing w:after="0" w:line="217" w:lineRule="exact"/>
              <w:rPr>
                <w:sz w:val="20"/>
                <w:szCs w:val="20"/>
                <w:color w:val="auto"/>
              </w:rPr>
            </w:pPr>
            <w:r>
              <w:rPr>
                <w:rFonts w:ascii="Arial" w:cs="Arial" w:eastAsia="Arial" w:hAnsi="Arial"/>
                <w:sz w:val="18"/>
                <w:szCs w:val="18"/>
                <w:color w:val="auto"/>
              </w:rPr>
              <w:t>46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The Round Tower</w:t>
            </w:r>
          </w:p>
        </w:tc>
      </w:tr>
      <w:tr>
        <w:trPr>
          <w:trHeight w:val="216"/>
        </w:trPr>
        <w:tc>
          <w:tcPr>
            <w:tcW w:w="2520" w:type="dxa"/>
            <w:vAlign w:val="bottom"/>
          </w:tcPr>
          <w:p>
            <w:pPr>
              <w:spacing w:after="0"/>
              <w:rPr>
                <w:sz w:val="18"/>
                <w:szCs w:val="18"/>
                <w:color w:val="auto"/>
              </w:rPr>
            </w:pPr>
          </w:p>
        </w:tc>
        <w:tc>
          <w:tcPr>
            <w:tcW w:w="3660" w:type="dxa"/>
            <w:vAlign w:val="bottom"/>
            <w:gridSpan w:val="2"/>
          </w:tcPr>
          <w:p>
            <w:pPr>
              <w:ind w:left="560"/>
              <w:spacing w:after="0"/>
              <w:rPr>
                <w:sz w:val="20"/>
                <w:szCs w:val="20"/>
                <w:color w:val="auto"/>
              </w:rPr>
            </w:pPr>
            <w:r>
              <w:rPr>
                <w:rFonts w:ascii="Arial" w:cs="Arial" w:eastAsia="Arial" w:hAnsi="Arial"/>
                <w:sz w:val="18"/>
                <w:szCs w:val="18"/>
                <w:color w:val="auto"/>
              </w:rPr>
              <w:t>Tel-Aviv 67021</w:t>
            </w:r>
          </w:p>
        </w:tc>
      </w:tr>
      <w:tr>
        <w:trPr>
          <w:trHeight w:val="216"/>
        </w:trPr>
        <w:tc>
          <w:tcPr>
            <w:tcW w:w="252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rPr>
              <w:t>Israel</w:t>
            </w:r>
          </w:p>
        </w:tc>
        <w:tc>
          <w:tcPr>
            <w:tcW w:w="21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rPr>
              <w:t>Facsimile:</w:t>
            </w:r>
          </w:p>
        </w:tc>
        <w:tc>
          <w:tcPr>
            <w:tcW w:w="2160" w:type="dxa"/>
            <w:vAlign w:val="bottom"/>
          </w:tcPr>
          <w:p>
            <w:pPr>
              <w:ind w:left="20"/>
              <w:spacing w:after="0"/>
              <w:rPr>
                <w:sz w:val="20"/>
                <w:szCs w:val="20"/>
                <w:color w:val="auto"/>
              </w:rPr>
            </w:pPr>
            <w:r>
              <w:rPr>
                <w:rFonts w:ascii="Arial" w:cs="Arial" w:eastAsia="Arial" w:hAnsi="Arial"/>
                <w:sz w:val="18"/>
                <w:szCs w:val="18"/>
                <w:color w:val="auto"/>
              </w:rPr>
              <w:t>(03) 608 7714</w:t>
            </w:r>
          </w:p>
        </w:tc>
      </w:tr>
      <w:tr>
        <w:trPr>
          <w:trHeight w:val="222"/>
        </w:trPr>
        <w:tc>
          <w:tcPr>
            <w:tcW w:w="2520" w:type="dxa"/>
            <w:vAlign w:val="bottom"/>
          </w:tcPr>
          <w:p>
            <w:pPr>
              <w:spacing w:after="0"/>
              <w:rPr>
                <w:sz w:val="19"/>
                <w:szCs w:val="19"/>
                <w:color w:val="auto"/>
              </w:rPr>
            </w:pPr>
          </w:p>
        </w:tc>
        <w:tc>
          <w:tcPr>
            <w:tcW w:w="1500" w:type="dxa"/>
            <w:vAlign w:val="bottom"/>
          </w:tcPr>
          <w:p>
            <w:pPr>
              <w:ind w:left="560"/>
              <w:spacing w:after="0"/>
              <w:rPr>
                <w:sz w:val="20"/>
                <w:szCs w:val="20"/>
                <w:color w:val="auto"/>
              </w:rPr>
            </w:pPr>
            <w:r>
              <w:rPr>
                <w:rFonts w:ascii="Arial" w:cs="Arial" w:eastAsia="Arial" w:hAnsi="Arial"/>
                <w:sz w:val="18"/>
                <w:szCs w:val="18"/>
                <w:color w:val="auto"/>
              </w:rPr>
              <w:t>Attention:</w:t>
            </w:r>
          </w:p>
        </w:tc>
        <w:tc>
          <w:tcPr>
            <w:tcW w:w="2160" w:type="dxa"/>
            <w:vAlign w:val="bottom"/>
          </w:tcPr>
          <w:p>
            <w:pPr>
              <w:ind w:left="20"/>
              <w:spacing w:after="0"/>
              <w:rPr>
                <w:sz w:val="20"/>
                <w:szCs w:val="20"/>
                <w:color w:val="auto"/>
              </w:rPr>
            </w:pPr>
            <w:r>
              <w:rPr>
                <w:rFonts w:ascii="Arial" w:cs="Arial" w:eastAsia="Arial" w:hAnsi="Arial"/>
                <w:sz w:val="18"/>
                <w:szCs w:val="18"/>
                <w:color w:val="auto"/>
              </w:rPr>
              <w:t>David H. Schapiro, Adv.</w:t>
            </w:r>
          </w:p>
        </w:tc>
      </w:tr>
      <w:tr>
        <w:trPr>
          <w:trHeight w:val="365"/>
        </w:trPr>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60" w:type="dxa"/>
            <w:vAlign w:val="bottom"/>
          </w:tcPr>
          <w:p>
            <w:pPr>
              <w:ind w:left="580"/>
              <w:spacing w:after="0"/>
              <w:rPr>
                <w:sz w:val="20"/>
                <w:szCs w:val="20"/>
                <w:color w:val="auto"/>
              </w:rPr>
            </w:pPr>
            <w:r>
              <w:rPr>
                <w:rFonts w:ascii="Arial" w:cs="Arial" w:eastAsia="Arial" w:hAnsi="Arial"/>
                <w:sz w:val="18"/>
                <w:szCs w:val="18"/>
                <w:color w:val="auto"/>
              </w:rPr>
              <w:t>- 13 -</w:t>
            </w:r>
          </w:p>
        </w:tc>
      </w:tr>
    </w:tbl>
    <w:p>
      <w:pPr>
        <w:sectPr>
          <w:pgSz w:w="11900" w:h="16838" w:orient="portrait"/>
          <w:cols w:equalWidth="0" w:num="1">
            <w:col w:w="11372"/>
          </w:cols>
          <w:pgMar w:left="248" w:top="280" w:right="279" w:bottom="1440" w:gutter="0" w:footer="0" w:header="0"/>
        </w:sectPr>
      </w:pPr>
    </w:p>
    <w:bookmarkStart w:id="31" w:name="page32"/>
    <w:bookmarkEnd w:id="31"/>
    <w:p>
      <w:pPr>
        <w:ind w:left="466"/>
        <w:spacing w:after="0"/>
        <w:rPr>
          <w:sz w:val="20"/>
          <w:szCs w:val="20"/>
          <w:color w:val="auto"/>
        </w:rPr>
      </w:pPr>
      <w:r>
        <w:rPr>
          <w:rFonts w:ascii="Arial" w:cs="Arial" w:eastAsia="Arial" w:hAnsi="Arial"/>
          <w:sz w:val="16"/>
          <w:szCs w:val="16"/>
          <w:color w:val="auto"/>
        </w:rPr>
        <w:t>to the Bank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-219710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34 Yehuda Halevi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5"/>
          <w:szCs w:val="15"/>
          <w:color w:val="auto"/>
        </w:rPr>
        <w:t>972-3-5149278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Head of Corporate Division</w:t>
      </w:r>
    </w:p>
    <w:p>
      <w:pPr>
        <w:spacing w:after="0" w:line="200" w:lineRule="exact"/>
        <w:rPr>
          <w:sz w:val="20"/>
          <w:szCs w:val="20"/>
          <w:color w:val="auto"/>
        </w:rPr>
      </w:pPr>
    </w:p>
    <w:p>
      <w:pPr>
        <w:sectPr>
          <w:pgSz w:w="11900" w:h="16838" w:orient="portrait"/>
          <w:cols w:equalWidth="0" w:num="2">
            <w:col w:w="2826" w:space="720"/>
            <w:col w:w="7260"/>
          </w:cols>
          <w:pgMar w:left="694" w:top="280" w:right="399" w:bottom="1440" w:gutter="0" w:footer="0" w:header="0"/>
        </w:sectPr>
      </w:pPr>
    </w:p>
    <w:p>
      <w:pPr>
        <w:spacing w:after="0" w:line="42" w:lineRule="exact"/>
        <w:rPr>
          <w:sz w:val="20"/>
          <w:szCs w:val="20"/>
          <w:color w:val="auto"/>
        </w:rPr>
      </w:pPr>
    </w:p>
    <w:p>
      <w:pPr>
        <w:ind w:left="466"/>
        <w:spacing w:after="0"/>
        <w:rPr>
          <w:sz w:val="20"/>
          <w:szCs w:val="20"/>
          <w:color w:val="auto"/>
        </w:rPr>
      </w:pPr>
      <w:r>
        <w:rPr>
          <w:rFonts w:ascii="Arial" w:cs="Arial" w:eastAsia="Arial" w:hAnsi="Arial"/>
          <w:sz w:val="16"/>
          <w:szCs w:val="16"/>
          <w:color w:val="auto"/>
        </w:rPr>
        <w:t>to any other Holder at: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such address as shall be notified to the Company pursuant to Section 9 above.</w:t>
      </w:r>
    </w:p>
    <w:p>
      <w:pPr>
        <w:spacing w:after="0" w:line="124" w:lineRule="exact"/>
        <w:rPr>
          <w:sz w:val="20"/>
          <w:szCs w:val="20"/>
          <w:color w:val="auto"/>
        </w:rPr>
      </w:pPr>
    </w:p>
    <w:p>
      <w:pPr>
        <w:sectPr>
          <w:pgSz w:w="11900" w:h="16838" w:orient="portrait"/>
          <w:cols w:equalWidth="0" w:num="2">
            <w:col w:w="2826" w:space="720"/>
            <w:col w:w="7260"/>
          </w:cols>
          <w:pgMar w:left="694" w:top="280" w:right="399" w:bottom="1440" w:gutter="0" w:footer="0" w:header="0"/>
          <w:type w:val="continuous"/>
        </w:sectPr>
      </w:pPr>
    </w:p>
    <w:p>
      <w:pPr>
        <w:ind w:left="446" w:hanging="446"/>
        <w:spacing w:after="0" w:line="268"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50"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62" w:lineRule="exact"/>
        <w:rPr>
          <w:rFonts w:ascii="Arial" w:cs="Arial" w:eastAsia="Arial" w:hAnsi="Arial"/>
          <w:sz w:val="18"/>
          <w:szCs w:val="18"/>
          <w:color w:val="auto"/>
        </w:rPr>
      </w:pPr>
    </w:p>
    <w:p>
      <w:pPr>
        <w:ind w:left="446" w:right="160" w:hanging="446"/>
        <w:spacing w:after="0" w:line="306" w:lineRule="auto"/>
        <w:tabs>
          <w:tab w:leader="none" w:pos="4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25" w:lineRule="exact"/>
        <w:rPr>
          <w:rFonts w:ascii="Arial" w:cs="Arial" w:eastAsia="Arial" w:hAnsi="Arial"/>
          <w:sz w:val="16"/>
          <w:szCs w:val="16"/>
          <w:color w:val="auto"/>
        </w:rPr>
      </w:pPr>
    </w:p>
    <w:p>
      <w:pPr>
        <w:ind w:left="446" w:right="260" w:hanging="446"/>
        <w:spacing w:after="0" w:line="259"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90" w:lineRule="exact"/>
        <w:rPr>
          <w:rFonts w:ascii="Arial" w:cs="Arial" w:eastAsia="Arial" w:hAnsi="Arial"/>
          <w:sz w:val="18"/>
          <w:szCs w:val="18"/>
          <w:color w:val="auto"/>
        </w:rPr>
      </w:pPr>
    </w:p>
    <w:p>
      <w:pPr>
        <w:jc w:val="both"/>
        <w:ind w:left="446" w:right="100" w:hanging="446"/>
        <w:spacing w:after="0" w:line="259" w:lineRule="auto"/>
        <w:tabs>
          <w:tab w:leader="none" w:pos="4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59" w:lineRule="exact"/>
        <w:rPr>
          <w:rFonts w:ascii="Arial" w:cs="Arial" w:eastAsia="Arial" w:hAnsi="Arial"/>
          <w:sz w:val="18"/>
          <w:szCs w:val="18"/>
          <w:color w:val="auto"/>
        </w:rPr>
      </w:pPr>
    </w:p>
    <w:p>
      <w:pPr>
        <w:jc w:val="both"/>
        <w:ind w:left="446" w:right="240" w:hanging="446"/>
        <w:spacing w:after="0" w:line="306" w:lineRule="auto"/>
        <w:tabs>
          <w:tab w:leader="none" w:pos="4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806"/>
          </w:cols>
          <w:pgMar w:left="694" w:top="280" w:right="399" w:bottom="1440" w:gutter="0" w:footer="0" w:header="0"/>
          <w:type w:val="continuous"/>
        </w:sectPr>
      </w:pPr>
    </w:p>
    <w:bookmarkStart w:id="32" w:name="page33"/>
    <w:bookmarkEnd w:id="32"/>
    <w:p>
      <w:pPr>
        <w:ind w:left="900" w:right="3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language used in this Agreement will be deemed to be the language chosen by the parties to express their mutual intent and no rules of strict construction will be applied against any party.</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WITNESS WHEREOF, the parties have caused this amended and restated Registration Rights Agreement to be duly executed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89"/>
              </w:rPr>
              <w:t>Oren Shirazi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Acting VP &amp; CFO</w:t>
            </w:r>
          </w:p>
        </w:tc>
      </w:tr>
      <w:tr>
        <w:trPr>
          <w:trHeight w:val="58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89"/>
              </w:rPr>
              <w:t>Yoram Glatt</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jc w:val="center"/>
              <w:spacing w:after="0"/>
              <w:rPr>
                <w:sz w:val="20"/>
                <w:szCs w:val="20"/>
                <w:color w:val="auto"/>
              </w:rPr>
            </w:pPr>
            <w:r>
              <w:rPr>
                <w:rFonts w:ascii="Arial" w:cs="Arial" w:eastAsia="Arial" w:hAnsi="Arial"/>
                <w:sz w:val="18"/>
                <w:szCs w:val="18"/>
                <w:color w:val="auto"/>
                <w:w w:val="84"/>
              </w:rPr>
              <w:t>Treasurer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BANK LEUMI LE–ISRAEL B.M.</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Anat Golan</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91"/>
              </w:rPr>
              <w:t>Anat Golan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jc w:val="center"/>
              <w:spacing w:after="0"/>
              <w:rPr>
                <w:sz w:val="20"/>
                <w:szCs w:val="20"/>
                <w:color w:val="auto"/>
              </w:rPr>
            </w:pPr>
            <w:r>
              <w:rPr>
                <w:rFonts w:ascii="Arial" w:cs="Arial" w:eastAsia="Arial" w:hAnsi="Arial"/>
                <w:sz w:val="18"/>
                <w:szCs w:val="18"/>
                <w:color w:val="auto"/>
                <w:w w:val="88"/>
              </w:rPr>
              <w:t>Senior Relationship Manager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Rina Vahaba</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86"/>
              </w:rPr>
              <w:t>Rina Vahaba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jc w:val="center"/>
              <w:spacing w:after="0"/>
              <w:rPr>
                <w:sz w:val="20"/>
                <w:szCs w:val="20"/>
                <w:color w:val="auto"/>
              </w:rPr>
            </w:pPr>
            <w:r>
              <w:rPr>
                <w:rFonts w:ascii="Arial" w:cs="Arial" w:eastAsia="Arial" w:hAnsi="Arial"/>
                <w:sz w:val="18"/>
                <w:szCs w:val="18"/>
                <w:color w:val="auto"/>
                <w:w w:val="88"/>
              </w:rPr>
              <w:t>Head of Technology Sector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159"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color w:val="auto"/>
        </w:rPr>
        <w:t xml:space="preserve">This Registration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originally made on September 28, 2006 by and between TOWER SEMICONDUCTOR LTD. (the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or</w:t>
      </w:r>
      <w:r>
        <w:rPr>
          <w:rFonts w:ascii="Arial" w:cs="Arial" w:eastAsia="Arial" w:hAnsi="Arial"/>
          <w:sz w:val="16"/>
          <w:szCs w:val="16"/>
          <w:b w:val="1"/>
          <w:bCs w:val="1"/>
          <w:color w:val="auto"/>
        </w:rPr>
        <w:t xml:space="preserve"> “Tower”</w:t>
      </w:r>
      <w:r>
        <w:rPr>
          <w:rFonts w:ascii="Arial" w:cs="Arial" w:eastAsia="Arial" w:hAnsi="Arial"/>
          <w:sz w:val="16"/>
          <w:szCs w:val="16"/>
          <w:color w:val="auto"/>
        </w:rPr>
        <w:t>), a company organized under the laws of the State of Israel, and BANK HAPOALIM B.M., a banking corporation organized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laws of the State of Israel (the </w:t>
      </w:r>
      <w:r>
        <w:rPr>
          <w:rFonts w:ascii="Arial" w:cs="Arial" w:eastAsia="Arial" w:hAnsi="Arial"/>
          <w:sz w:val="16"/>
          <w:szCs w:val="16"/>
          <w:b w:val="1"/>
          <w:bCs w:val="1"/>
          <w:color w:val="auto"/>
        </w:rPr>
        <w:t>“Bank”</w:t>
      </w:r>
      <w:r>
        <w:rPr>
          <w:rFonts w:ascii="Arial" w:cs="Arial" w:eastAsia="Arial" w:hAnsi="Arial"/>
          <w:sz w:val="16"/>
          <w:szCs w:val="16"/>
          <w:color w:val="auto"/>
        </w:rPr>
        <w:t>), is hereby amended and restated by the parties on September 25, 2008.</w:t>
      </w:r>
    </w:p>
    <w:p>
      <w:pPr>
        <w:spacing w:after="0" w:line="97"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 and</w:t>
      </w:r>
    </w:p>
    <w:p>
      <w:pPr>
        <w:spacing w:after="0" w:line="7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 xml:space="preserve">WHEREAS, the Bank and Bank Leumi Le–Israel B.M. (collectively, the </w:t>
      </w:r>
      <w:r>
        <w:rPr>
          <w:rFonts w:ascii="Arial" w:cs="Arial" w:eastAsia="Arial" w:hAnsi="Arial"/>
          <w:sz w:val="18"/>
          <w:szCs w:val="18"/>
          <w:b w:val="1"/>
          <w:bCs w:val="1"/>
          <w:color w:val="auto"/>
        </w:rPr>
        <w:t>“Banks”</w:t>
      </w:r>
      <w:r>
        <w:rPr>
          <w:rFonts w:ascii="Arial" w:cs="Arial" w:eastAsia="Arial" w:hAnsi="Arial"/>
          <w:sz w:val="18"/>
          <w:szCs w:val="18"/>
          <w:color w:val="auto"/>
        </w:rPr>
        <w:t xml:space="preserve">) and Tower are parties to a Facility Agreement dated January 18, 2001, as amended, as amended and restated on August 24, 2006, as further amended by Amendment No. 1 thereto dated September 10, 2007, as amended (the </w:t>
      </w:r>
      <w:r>
        <w:rPr>
          <w:rFonts w:ascii="Arial" w:cs="Arial" w:eastAsia="Arial" w:hAnsi="Arial"/>
          <w:sz w:val="18"/>
          <w:szCs w:val="18"/>
          <w:b w:val="1"/>
          <w:bCs w:val="1"/>
          <w:color w:val="auto"/>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WHEREAS, the Bank and the Company are parties to a Conversion Agreement dated September 28, 2006 (the </w:t>
      </w:r>
      <w:r>
        <w:rPr>
          <w:rFonts w:ascii="Arial" w:cs="Arial" w:eastAsia="Arial" w:hAnsi="Arial"/>
          <w:sz w:val="16"/>
          <w:szCs w:val="16"/>
          <w:b w:val="1"/>
          <w:bCs w:val="1"/>
          <w:color w:val="auto"/>
        </w:rPr>
        <w:t>“2006 Conversion Agreement”</w:t>
      </w:r>
      <w:r>
        <w:rPr>
          <w:rFonts w:ascii="Arial" w:cs="Arial" w:eastAsia="Arial" w:hAnsi="Arial"/>
          <w:sz w:val="16"/>
          <w:szCs w:val="16"/>
          <w:color w:val="auto"/>
        </w:rPr>
        <w:t>); and</w:t>
      </w:r>
    </w:p>
    <w:p>
      <w:pPr>
        <w:spacing w:after="0" w:line="20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WHEREAS, at the request of Tower, the Banks and Tower have entered into an Amending Agreement to the Facility Agreement dated September 25, 2008 (the </w:t>
      </w:r>
      <w:r>
        <w:rPr>
          <w:rFonts w:ascii="Arial" w:cs="Arial" w:eastAsia="Arial" w:hAnsi="Arial"/>
          <w:sz w:val="16"/>
          <w:szCs w:val="16"/>
          <w:b w:val="1"/>
          <w:bCs w:val="1"/>
          <w:color w:val="auto"/>
        </w:rPr>
        <w:t>“Amending Agreement”</w:t>
      </w:r>
      <w:r>
        <w:rPr>
          <w:rFonts w:ascii="Arial" w:cs="Arial" w:eastAsia="Arial" w:hAnsi="Arial"/>
          <w:sz w:val="16"/>
          <w:szCs w:val="16"/>
          <w:color w:val="auto"/>
        </w:rPr>
        <w:t xml:space="preserve">), the conditions to the effectiveness of which include,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issuance to each of the Banks or its nominee, of an equity-equivalent convertible capital note which will in turn be convertible, in whole or in part, by the Bank at any time and from time to time into shares of Tower and the entering into by the Bank and Tower of a conversion agreement (the </w:t>
      </w:r>
      <w:r>
        <w:rPr>
          <w:rFonts w:ascii="Arial" w:cs="Arial" w:eastAsia="Arial" w:hAnsi="Arial"/>
          <w:sz w:val="16"/>
          <w:szCs w:val="16"/>
          <w:b w:val="1"/>
          <w:bCs w:val="1"/>
          <w:color w:val="auto"/>
        </w:rPr>
        <w:t>“2008 Conversion Agreement”</w:t>
      </w:r>
      <w:r>
        <w:rPr>
          <w:rFonts w:ascii="Arial" w:cs="Arial" w:eastAsia="Arial" w:hAnsi="Arial"/>
          <w:sz w:val="16"/>
          <w:szCs w:val="16"/>
          <w:color w:val="auto"/>
        </w:rPr>
        <w:t xml:space="preserve">) and the amendment and restatement of this Agreement, in each case, on or prior to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WHEREAS, clause 9.4 of the Facility Agreement, including as amended by the Amending Agreement, obligates the Company, under certain circumstances, to make a payment to the Banks which, subject to said clause 9.4 and the 2006 Conversion Agreement, can be paid in the form of shares, capital notes or convertible debentures (the </w:t>
      </w:r>
      <w:r>
        <w:rPr>
          <w:rFonts w:ascii="Arial" w:cs="Arial" w:eastAsia="Arial" w:hAnsi="Arial"/>
          <w:sz w:val="18"/>
          <w:szCs w:val="18"/>
          <w:b w:val="1"/>
          <w:bCs w:val="1"/>
          <w:color w:val="auto"/>
        </w:rPr>
        <w:t>“Clause 9.4 Equity Issuances”</w:t>
      </w:r>
      <w:r>
        <w:rPr>
          <w:rFonts w:ascii="Arial" w:cs="Arial" w:eastAsia="Arial" w:hAnsi="Arial"/>
          <w:sz w:val="18"/>
          <w:szCs w:val="18"/>
          <w:color w:val="auto"/>
        </w:rPr>
        <w:t>); and</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WHEREAS the parties intend that the registration rights set forth in this Agreement be applicable with respect to all shares issuable upon conversion or exercise of any and all capital notes issued or issuable pursuant to the 2006 and 2008 Conversion Agreements and warrants held by the Bank or its affiliate, as well as with respect to the Clause 9.4 Equity Issuances;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and restate this Agreement in its entirety,</w:t>
      </w:r>
    </w:p>
    <w:p>
      <w:pPr>
        <w:sectPr>
          <w:pgSz w:w="11900" w:h="16838" w:orient="portrait"/>
          <w:cols w:equalWidth="0" w:num="1">
            <w:col w:w="11420"/>
          </w:cols>
          <w:pgMar w:left="240" w:top="125" w:right="239" w:bottom="1440" w:gutter="0" w:footer="0" w:header="0"/>
        </w:sectPr>
      </w:pPr>
    </w:p>
    <w:bookmarkStart w:id="34" w:name="page35"/>
    <w:bookmarkEnd w:id="34"/>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premises and the mutual covenants contained herein and other good and valuable consideration, the receipt and sufficiency of which are hereby acknowledged, the Company and the Bank hereby agree as follows:</w:t>
      </w:r>
    </w:p>
    <w:p>
      <w:pPr>
        <w:spacing w:after="0" w:line="5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“Capital Note” </w:t>
      </w:r>
      <w:r>
        <w:rPr>
          <w:rFonts w:ascii="Arial" w:cs="Arial" w:eastAsia="Arial" w:hAnsi="Arial"/>
          <w:sz w:val="18"/>
          <w:szCs w:val="18"/>
          <w:color w:val="auto"/>
        </w:rPr>
        <w:t>means any capital note that is convertible into shares of Tower.</w:t>
      </w:r>
    </w:p>
    <w:p>
      <w:pPr>
        <w:spacing w:after="0" w:line="90" w:lineRule="exact"/>
        <w:rPr>
          <w:rFonts w:ascii="Arial" w:cs="Arial" w:eastAsia="Arial" w:hAnsi="Arial"/>
          <w:sz w:val="18"/>
          <w:szCs w:val="18"/>
          <w:color w:val="auto"/>
        </w:rPr>
      </w:pPr>
    </w:p>
    <w:p>
      <w:pPr>
        <w:ind w:left="900" w:right="120" w:hanging="446"/>
        <w:spacing w:after="0" w:line="262"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Bank, Tarshish, any nominee of the Bank to hold the Clause 9.4 Equity Issuances (the</w:t>
      </w:r>
      <w:r>
        <w:rPr>
          <w:rFonts w:ascii="Arial" w:cs="Arial" w:eastAsia="Arial" w:hAnsi="Arial"/>
          <w:sz w:val="18"/>
          <w:szCs w:val="18"/>
          <w:b w:val="1"/>
          <w:bCs w:val="1"/>
          <w:color w:val="auto"/>
        </w:rPr>
        <w:t xml:space="preserve"> “Nominee”</w:t>
      </w:r>
      <w:r>
        <w:rPr>
          <w:rFonts w:ascii="Arial" w:cs="Arial" w:eastAsia="Arial" w:hAnsi="Arial"/>
          <w:sz w:val="18"/>
          <w:szCs w:val="18"/>
          <w:color w:val="auto"/>
        </w:rPr>
        <w:t>), any transferee or assignee</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the Bank or the Nominee assigns its rights, in whole or in part, and any transferee or assignee thereof to whom a transferee or assignee assigns its rights, in accordance with Section 9.</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“ISA” </w:t>
      </w:r>
      <w:r>
        <w:rPr>
          <w:rFonts w:ascii="Arial" w:cs="Arial" w:eastAsia="Arial" w:hAnsi="Arial"/>
          <w:sz w:val="18"/>
          <w:szCs w:val="18"/>
          <w:color w:val="auto"/>
        </w:rPr>
        <w:t>means the Israel Securities Authority or any similar or successor agency of Israel administering the Israel Securities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“Israel Securities Law” </w:t>
      </w:r>
      <w:r>
        <w:rPr>
          <w:rFonts w:ascii="Arial" w:cs="Arial" w:eastAsia="Arial" w:hAnsi="Arial"/>
          <w:sz w:val="16"/>
          <w:szCs w:val="16"/>
          <w:color w:val="auto"/>
        </w:rPr>
        <w:t>means the Israel Securities Law, 5728-1968 (including the regulations promulgated thereunder), as amended.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U.S. Securities Act of 1933, as amended, and the rules and regulations thereunder, or any similar successor statute.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“1934 Act” </w:t>
      </w:r>
      <w:r>
        <w:rPr>
          <w:rFonts w:ascii="Arial" w:cs="Arial" w:eastAsia="Arial" w:hAnsi="Arial"/>
          <w:sz w:val="15"/>
          <w:szCs w:val="15"/>
          <w:color w:val="auto"/>
        </w:rPr>
        <w:t>means the U.S. Securities Exchange Act of 1934, as amended, and the rules and regulations thereunder, or any similar successor statute.</w:t>
      </w:r>
    </w:p>
    <w:p>
      <w:pPr>
        <w:spacing w:after="0" w:line="124" w:lineRule="exact"/>
        <w:rPr>
          <w:rFonts w:ascii="Arial" w:cs="Arial" w:eastAsia="Arial" w:hAnsi="Arial"/>
          <w:sz w:val="15"/>
          <w:szCs w:val="15"/>
          <w:color w:val="auto"/>
        </w:rPr>
      </w:pPr>
    </w:p>
    <w:p>
      <w:pPr>
        <w:ind w:left="900" w:right="140" w:hanging="446"/>
        <w:spacing w:after="0" w:line="262"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w:t>
      </w:r>
      <w:r>
        <w:rPr>
          <w:rFonts w:ascii="Arial" w:cs="Arial" w:eastAsia="Arial" w:hAnsi="Arial"/>
          <w:sz w:val="18"/>
          <w:szCs w:val="18"/>
          <w:color w:val="auto"/>
        </w:rPr>
        <w:t>, 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preparing and filing a registration statement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1933 Act and the effectiveness of such registration statement in accordance with the 1933 Act or the equivalent actions under the laws of another jurisdiction.</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“Registrable Securities” </w:t>
      </w:r>
      <w:r>
        <w:rPr>
          <w:rFonts w:ascii="Arial" w:cs="Arial" w:eastAsia="Arial" w:hAnsi="Arial"/>
          <w:sz w:val="16"/>
          <w:szCs w:val="16"/>
          <w:color w:val="auto"/>
        </w:rPr>
        <w:t>means: (i) the ordinary shares of the Company issued or issuable upon conversion of any Capital Note by any Holder,</w:t>
      </w:r>
    </w:p>
    <w:p>
      <w:pPr>
        <w:spacing w:after="0" w:line="44" w:lineRule="exact"/>
        <w:rPr>
          <w:rFonts w:ascii="Arial" w:cs="Arial" w:eastAsia="Arial" w:hAnsi="Arial"/>
          <w:sz w:val="16"/>
          <w:szCs w:val="16"/>
          <w:color w:val="auto"/>
        </w:rPr>
      </w:pPr>
    </w:p>
    <w:p>
      <w:pPr>
        <w:ind w:left="900" w:hanging="1"/>
        <w:spacing w:after="0" w:line="253" w:lineRule="auto"/>
        <w:tabs>
          <w:tab w:leader="none" w:pos="1158"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ordinary shares issued as part of the Clause 9.4 Equity Issuances, including shares issued or issuable upon conversion of Capital Notes or convertible debentures issued as part of the Clause 9.4 Equity Issuances, which are held by any Holder, (iii) ordinary shares of the Company issued or issuable upon exercise of any Warrant, and (iv) any shares of capital stock issued or issuable with respect to the ordinary shares of the Company as a result of any stock split, stock dividend, rights offering, recapitalization, merger, exchange or similar event or otherwise, including as described in any Capital Note.</w:t>
      </w:r>
    </w:p>
    <w:p>
      <w:pPr>
        <w:spacing w:after="0" w:line="58" w:lineRule="exact"/>
        <w:rPr>
          <w:rFonts w:ascii="Arial" w:cs="Arial" w:eastAsia="Arial" w:hAnsi="Arial"/>
          <w:sz w:val="18"/>
          <w:szCs w:val="18"/>
          <w:color w:val="auto"/>
        </w:rPr>
      </w:pPr>
    </w:p>
    <w:p>
      <w:pPr>
        <w:ind w:left="900" w:right="100" w:hanging="446"/>
        <w:spacing w:after="0" w:line="301"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“Registration Statement” </w:t>
      </w:r>
      <w:r>
        <w:rPr>
          <w:rFonts w:ascii="Arial" w:cs="Arial" w:eastAsia="Arial" w:hAnsi="Arial"/>
          <w:sz w:val="16"/>
          <w:szCs w:val="16"/>
          <w:color w:val="auto"/>
        </w:rPr>
        <w:t>means registration statements of the Company covering Registrable Securities filed from time to time with (a) the SEC</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1933 Act, including the Form F-3 Registration Statement No. 333-131315 previously filed by the Company covering ordinary shares issuable upon the exercise of the 2003 Warrants and the 2005 Warrants, and (b) the ISA under the Israel Securities Law, to the extent required under the Israel Securities Law, so as to allow the Holder to freely resell the Registrable Securities in Israel, including on the TASE.</w:t>
      </w:r>
    </w:p>
    <w:p>
      <w:pPr>
        <w:spacing w:after="0" w:line="95" w:lineRule="exact"/>
        <w:rPr>
          <w:rFonts w:ascii="Arial" w:cs="Arial" w:eastAsia="Arial" w:hAnsi="Arial"/>
          <w:sz w:val="16"/>
          <w:szCs w:val="16"/>
          <w:color w:val="auto"/>
        </w:rPr>
      </w:pPr>
    </w:p>
    <w:p>
      <w:pPr>
        <w:ind w:left="5680" w:hanging="112"/>
        <w:spacing w:after="0"/>
        <w:tabs>
          <w:tab w:leader="none" w:pos="5680" w:val="left"/>
        </w:tabs>
        <w:numPr>
          <w:ilvl w:val="3"/>
          <w:numId w:val="4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35" w:name="page36"/>
    <w:bookmarkEnd w:id="35"/>
    <w:p>
      <w:pPr>
        <w:ind w:left="446" w:hanging="446"/>
        <w:spacing w:after="0" w:line="275"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w:t>
      </w:r>
      <w:r>
        <w:rPr>
          <w:rFonts w:ascii="Arial" w:cs="Arial" w:eastAsia="Arial" w:hAnsi="Arial"/>
          <w:sz w:val="18"/>
          <w:szCs w:val="18"/>
          <w:color w:val="auto"/>
        </w:rPr>
        <w:t>means the United States Securities and Exchange Commission or any similar or successor agency of the United States administering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38" w:lineRule="exact"/>
        <w:rPr>
          <w:rFonts w:ascii="Arial" w:cs="Arial" w:eastAsia="Arial" w:hAnsi="Arial"/>
          <w:sz w:val="18"/>
          <w:szCs w:val="18"/>
          <w:color w:val="auto"/>
        </w:rPr>
      </w:pPr>
    </w:p>
    <w:p>
      <w:pPr>
        <w:ind w:left="446" w:right="80" w:hanging="446"/>
        <w:spacing w:after="0" w:line="275"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“2003 Warrant” </w:t>
      </w:r>
      <w:r>
        <w:rPr>
          <w:rFonts w:ascii="Arial" w:cs="Arial" w:eastAsia="Arial" w:hAnsi="Arial"/>
          <w:sz w:val="18"/>
          <w:szCs w:val="18"/>
          <w:color w:val="auto"/>
        </w:rPr>
        <w:t>means the warrant granted in 2003 to Tarshish to purchase 448,298 (subject to adjustment in accordance with such warrant)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Tower.</w:t>
      </w:r>
    </w:p>
    <w:p>
      <w:pPr>
        <w:spacing w:after="0" w:line="38" w:lineRule="exact"/>
        <w:rPr>
          <w:rFonts w:ascii="Arial" w:cs="Arial" w:eastAsia="Arial" w:hAnsi="Arial"/>
          <w:sz w:val="18"/>
          <w:szCs w:val="18"/>
          <w:color w:val="auto"/>
        </w:rPr>
      </w:pPr>
    </w:p>
    <w:p>
      <w:pPr>
        <w:ind w:left="446" w:right="400" w:hanging="446"/>
        <w:spacing w:after="0" w:line="275"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“2005 Warrant” </w:t>
      </w:r>
      <w:r>
        <w:rPr>
          <w:rFonts w:ascii="Arial" w:cs="Arial" w:eastAsia="Arial" w:hAnsi="Arial"/>
          <w:sz w:val="18"/>
          <w:szCs w:val="18"/>
          <w:color w:val="auto"/>
        </w:rPr>
        <w:t>means the warrant granted in 2005 to the Bank to purchase 4,132,232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38" w:lineRule="exact"/>
        <w:rPr>
          <w:rFonts w:ascii="Arial" w:cs="Arial" w:eastAsia="Arial" w:hAnsi="Arial"/>
          <w:sz w:val="18"/>
          <w:szCs w:val="18"/>
          <w:color w:val="auto"/>
        </w:rPr>
      </w:pPr>
    </w:p>
    <w:p>
      <w:pPr>
        <w:ind w:left="446" w:right="400" w:hanging="446"/>
        <w:spacing w:after="0" w:line="275"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“2007 Warrant” </w:t>
      </w:r>
      <w:r>
        <w:rPr>
          <w:rFonts w:ascii="Arial" w:cs="Arial" w:eastAsia="Arial" w:hAnsi="Arial"/>
          <w:sz w:val="18"/>
          <w:szCs w:val="18"/>
          <w:color w:val="auto"/>
        </w:rPr>
        <w:t>means the warrant granted in 2007 to the Bank to purchase 1,470,588 (subject to adjustment in accordance with such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Tower.</w:t>
      </w:r>
    </w:p>
    <w:p>
      <w:pPr>
        <w:spacing w:after="0" w:line="38" w:lineRule="exact"/>
        <w:rPr>
          <w:rFonts w:ascii="Arial" w:cs="Arial" w:eastAsia="Arial" w:hAnsi="Arial"/>
          <w:sz w:val="18"/>
          <w:szCs w:val="18"/>
          <w:color w:val="auto"/>
        </w:rPr>
      </w:pPr>
    </w:p>
    <w:p>
      <w:pPr>
        <w:ind w:left="446" w:right="260" w:hanging="446"/>
        <w:spacing w:after="0" w:line="275"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“Tarshish” </w:t>
      </w:r>
      <w:r>
        <w:rPr>
          <w:rFonts w:ascii="Arial" w:cs="Arial" w:eastAsia="Arial" w:hAnsi="Arial"/>
          <w:sz w:val="18"/>
          <w:szCs w:val="18"/>
          <w:color w:val="auto"/>
        </w:rPr>
        <w:t>means Tarshish Hahzakot Vehashkaot Hapoalim Ltd., a company organized under the laws of the State of Israel and an affiliate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w:t>
      </w:r>
    </w:p>
    <w:p>
      <w:pPr>
        <w:spacing w:after="0" w:line="38" w:lineRule="exact"/>
        <w:rPr>
          <w:rFonts w:ascii="Arial" w:cs="Arial" w:eastAsia="Arial" w:hAnsi="Arial"/>
          <w:sz w:val="18"/>
          <w:szCs w:val="18"/>
          <w:color w:val="auto"/>
        </w:rPr>
      </w:pPr>
    </w:p>
    <w:p>
      <w:pPr>
        <w:ind w:left="446" w:right="120" w:hanging="446"/>
        <w:spacing w:after="0" w:line="275"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“Warrant” </w:t>
      </w:r>
      <w:r>
        <w:rPr>
          <w:rFonts w:ascii="Arial" w:cs="Arial" w:eastAsia="Arial" w:hAnsi="Arial"/>
          <w:sz w:val="18"/>
          <w:szCs w:val="18"/>
          <w:color w:val="auto"/>
        </w:rPr>
        <w:t>means the 2003 Warrant, the 2005 Warrant and the 2007 Warrant, or any of them or any portion thereof as any of such Warrants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at any time or from time to time.</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ind w:left="446" w:right="40" w:hanging="446"/>
        <w:spacing w:after="0" w:line="268"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50"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50" w:lineRule="exact"/>
        <w:rPr>
          <w:rFonts w:ascii="Arial" w:cs="Arial" w:eastAsia="Arial" w:hAnsi="Arial"/>
          <w:sz w:val="18"/>
          <w:szCs w:val="18"/>
          <w:color w:val="auto"/>
        </w:rPr>
      </w:pPr>
    </w:p>
    <w:p>
      <w:pPr>
        <w:ind w:left="446" w:right="300" w:hanging="446"/>
        <w:spacing w:after="0" w:line="268"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44" w:lineRule="exact"/>
        <w:rPr>
          <w:rFonts w:ascii="Arial" w:cs="Arial" w:eastAsia="Arial" w:hAnsi="Arial"/>
          <w:sz w:val="18"/>
          <w:szCs w:val="18"/>
          <w:color w:val="auto"/>
        </w:rPr>
      </w:pPr>
    </w:p>
    <w:p>
      <w:pPr>
        <w:ind w:left="446" w:right="100" w:hanging="446"/>
        <w:spacing w:after="0" w:line="275"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38" w:lineRule="exact"/>
        <w:rPr>
          <w:rFonts w:ascii="Arial" w:cs="Arial" w:eastAsia="Arial" w:hAnsi="Arial"/>
          <w:sz w:val="18"/>
          <w:szCs w:val="18"/>
          <w:color w:val="auto"/>
        </w:rPr>
      </w:pPr>
    </w:p>
    <w:p>
      <w:pPr>
        <w:ind w:left="446" w:hanging="446"/>
        <w:spacing w:after="0"/>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96" w:lineRule="exact"/>
        <w:rPr>
          <w:rFonts w:ascii="Arial" w:cs="Arial" w:eastAsia="Arial" w:hAnsi="Arial"/>
          <w:sz w:val="18"/>
          <w:szCs w:val="18"/>
          <w:color w:val="auto"/>
        </w:rPr>
      </w:pPr>
    </w:p>
    <w:p>
      <w:pPr>
        <w:ind w:left="446" w:right="640" w:hanging="446"/>
        <w:spacing w:after="0" w:line="268" w:lineRule="auto"/>
        <w:tabs>
          <w:tab w:leader="none" w:pos="4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4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66"/>
          </w:cols>
          <w:pgMar w:left="694" w:top="274" w:right="239" w:bottom="1440" w:gutter="0" w:footer="0" w:header="0"/>
        </w:sectPr>
      </w:pPr>
    </w:p>
    <w:bookmarkStart w:id="36" w:name="page37"/>
    <w:bookmarkEnd w:id="36"/>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DEMAND REGISTRATION.</w:t>
      </w:r>
    </w:p>
    <w:p>
      <w:pPr>
        <w:spacing w:after="0" w:line="90"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shall prepare, and, as soon as practicable but in no event later than 45 days after each date on which the Company receives a written request from the Bank from time to time, file with the SEC a Registration Statement on Form F-3 and make all required filings with the ISA covering the resale of all, or at the request of the Bank, any portion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61" w:lineRule="exact"/>
        <w:rPr>
          <w:rFonts w:ascii="Arial" w:cs="Arial" w:eastAsia="Arial" w:hAnsi="Arial"/>
          <w:sz w:val="18"/>
          <w:szCs w:val="18"/>
          <w:color w:val="auto"/>
        </w:rPr>
      </w:pPr>
    </w:p>
    <w:p>
      <w:pPr>
        <w:ind w:left="892" w:hanging="446"/>
        <w:spacing w:after="0" w:line="294" w:lineRule="auto"/>
        <w:tabs>
          <w:tab w:leader="none" w:pos="8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156" w:lineRule="exact"/>
        <w:rPr>
          <w:rFonts w:ascii="Arial" w:cs="Arial" w:eastAsia="Arial" w:hAnsi="Arial"/>
          <w:sz w:val="16"/>
          <w:szCs w:val="16"/>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90" w:lineRule="exact"/>
        <w:rPr>
          <w:rFonts w:ascii="Arial" w:cs="Arial" w:eastAsia="Arial" w:hAnsi="Arial"/>
          <w:sz w:val="18"/>
          <w:szCs w:val="18"/>
          <w:color w:val="auto"/>
        </w:rPr>
      </w:pPr>
    </w:p>
    <w:p>
      <w:pPr>
        <w:ind w:left="892" w:hanging="446"/>
        <w:spacing w:after="0" w:line="287" w:lineRule="auto"/>
        <w:tabs>
          <w:tab w:leader="none" w:pos="8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 (z) 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Company to ensure that such Registration Statement (including any amendments or supplements thereto and prospectuses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41" w:lineRule="exact"/>
        <w:rPr>
          <w:rFonts w:ascii="Arial" w:cs="Arial" w:eastAsia="Arial" w:hAnsi="Arial"/>
          <w:sz w:val="16"/>
          <w:szCs w:val="16"/>
          <w:color w:val="auto"/>
        </w:rPr>
      </w:pPr>
    </w:p>
    <w:p>
      <w:pPr>
        <w:jc w:val="both"/>
        <w:ind w:left="892" w:right="80" w:hanging="446"/>
        <w:spacing w:after="0" w:line="255"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w:t>
      </w:r>
    </w:p>
    <w:p>
      <w:pPr>
        <w:spacing w:after="0" w:line="129" w:lineRule="exact"/>
        <w:rPr>
          <w:rFonts w:ascii="Arial" w:cs="Arial" w:eastAsia="Arial" w:hAnsi="Arial"/>
          <w:sz w:val="18"/>
          <w:szCs w:val="18"/>
          <w:color w:val="auto"/>
        </w:rPr>
      </w:pPr>
    </w:p>
    <w:p>
      <w:pPr>
        <w:ind w:left="5672" w:hanging="112"/>
        <w:spacing w:after="0"/>
        <w:tabs>
          <w:tab w:leader="none" w:pos="5672" w:val="left"/>
        </w:tabs>
        <w:numPr>
          <w:ilvl w:val="2"/>
          <w:numId w:val="4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80" w:right="259" w:bottom="1440" w:gutter="0" w:footer="0" w:header="0"/>
        </w:sectPr>
      </w:pPr>
    </w:p>
    <w:bookmarkStart w:id="37" w:name="page38"/>
    <w:bookmarkEnd w:id="37"/>
    <w:p>
      <w:pPr>
        <w:ind w:left="466"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37" w:lineRule="exact"/>
        <w:rPr>
          <w:sz w:val="20"/>
          <w:szCs w:val="20"/>
          <w:color w:val="auto"/>
        </w:rPr>
      </w:pPr>
    </w:p>
    <w:p>
      <w:pPr>
        <w:ind w:left="446" w:right="20" w:hanging="446"/>
        <w:spacing w:after="0" w:line="289" w:lineRule="auto"/>
        <w:tabs>
          <w:tab w:leader="none" w:pos="4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37" w:lineRule="exact"/>
        <w:rPr>
          <w:rFonts w:ascii="Arial" w:cs="Arial" w:eastAsia="Arial" w:hAnsi="Arial"/>
          <w:sz w:val="16"/>
          <w:szCs w:val="16"/>
          <w:color w:val="auto"/>
        </w:rPr>
      </w:pPr>
    </w:p>
    <w:p>
      <w:pPr>
        <w:ind w:left="446" w:hanging="446"/>
        <w:spacing w:after="0" w:line="286" w:lineRule="auto"/>
        <w:tabs>
          <w:tab w:leader="none" w:pos="4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13" w:lineRule="exact"/>
        <w:rPr>
          <w:rFonts w:ascii="Arial" w:cs="Arial" w:eastAsia="Arial" w:hAnsi="Arial"/>
          <w:sz w:val="16"/>
          <w:szCs w:val="16"/>
          <w:color w:val="auto"/>
        </w:rPr>
      </w:pPr>
    </w:p>
    <w:p>
      <w:pPr>
        <w:ind w:left="5226" w:hanging="112"/>
        <w:spacing w:after="0"/>
        <w:tabs>
          <w:tab w:leader="none" w:pos="5226" w:val="left"/>
        </w:tabs>
        <w:numPr>
          <w:ilvl w:val="1"/>
          <w:numId w:val="4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66"/>
          </w:cols>
          <w:pgMar w:left="694" w:top="280" w:right="239" w:bottom="1440" w:gutter="0" w:footer="0" w:header="0"/>
        </w:sectPr>
      </w:pPr>
    </w:p>
    <w:bookmarkStart w:id="38" w:name="page39"/>
    <w:bookmarkEnd w:id="38"/>
    <w:p>
      <w:pPr>
        <w:ind w:left="446" w:hanging="446"/>
        <w:spacing w:after="0" w:line="286" w:lineRule="auto"/>
        <w:tabs>
          <w:tab w:leader="none" w:pos="446"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43" w:lineRule="exact"/>
        <w:rPr>
          <w:rFonts w:ascii="Arial" w:cs="Arial" w:eastAsia="Arial" w:hAnsi="Arial"/>
          <w:sz w:val="16"/>
          <w:szCs w:val="16"/>
          <w:color w:val="auto"/>
        </w:rPr>
      </w:pPr>
    </w:p>
    <w:p>
      <w:pPr>
        <w:ind w:left="446" w:right="180" w:hanging="446"/>
        <w:spacing w:after="0" w:line="255" w:lineRule="auto"/>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61"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The Company shall deliver to the Holders a copy of the approvals of the TASE and the NASDAQ (and/or any other exchange, if applicable) to the listing of the Registrable Securities covered by such Registration Statement on such exchange, in the case of the TASE, by not later than the Amendment Closing Date, and in the case of the NASDAQ (and/or other applicable exchanges) not later than the effective date of such Registration Statement .</w:t>
      </w:r>
    </w:p>
    <w:p>
      <w:pPr>
        <w:spacing w:after="0" w:line="34" w:lineRule="exact"/>
        <w:rPr>
          <w:rFonts w:ascii="Arial" w:cs="Arial" w:eastAsia="Arial" w:hAnsi="Arial"/>
          <w:sz w:val="16"/>
          <w:szCs w:val="16"/>
          <w:color w:val="auto"/>
        </w:rPr>
      </w:pPr>
    </w:p>
    <w:p>
      <w:pPr>
        <w:ind w:left="446" w:right="460" w:hanging="446"/>
        <w:spacing w:after="0" w:line="298" w:lineRule="auto"/>
        <w:tabs>
          <w:tab w:leader="none" w:pos="4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99" w:lineRule="exact"/>
        <w:rPr>
          <w:rFonts w:ascii="Arial" w:cs="Arial" w:eastAsia="Arial" w:hAnsi="Arial"/>
          <w:sz w:val="16"/>
          <w:szCs w:val="16"/>
          <w:color w:val="auto"/>
        </w:rPr>
      </w:pPr>
    </w:p>
    <w:p>
      <w:pPr>
        <w:ind w:left="5226" w:hanging="112"/>
        <w:spacing w:after="0"/>
        <w:tabs>
          <w:tab w:leader="none" w:pos="52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66"/>
          </w:cols>
          <w:pgMar w:left="694" w:top="280" w:right="239" w:bottom="1440" w:gutter="0" w:footer="0" w:header="0"/>
        </w:sectPr>
      </w:pPr>
    </w:p>
    <w:bookmarkStart w:id="39" w:name="page40"/>
    <w:bookmarkEnd w:id="39"/>
    <w:p>
      <w:pPr>
        <w:ind w:left="446" w:right="320" w:hanging="446"/>
        <w:spacing w:after="0" w:line="268" w:lineRule="auto"/>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provide a transfer agent and registrar of all Registrable Securities and a CUSIP number not later than the effective date of the applicable Registration Statement.</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39"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62" w:lineRule="exact"/>
        <w:rPr>
          <w:rFonts w:ascii="Arial" w:cs="Arial" w:eastAsia="Arial" w:hAnsi="Arial"/>
          <w:sz w:val="18"/>
          <w:szCs w:val="18"/>
          <w:color w:val="auto"/>
        </w:rPr>
      </w:pPr>
    </w:p>
    <w:p>
      <w:pPr>
        <w:ind w:left="446" w:right="160" w:hanging="446"/>
        <w:spacing w:after="0" w:line="298" w:lineRule="auto"/>
        <w:tabs>
          <w:tab w:leader="none" w:pos="44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31" w:lineRule="exact"/>
        <w:rPr>
          <w:rFonts w:ascii="Arial" w:cs="Arial" w:eastAsia="Arial" w:hAnsi="Arial"/>
          <w:sz w:val="16"/>
          <w:szCs w:val="16"/>
          <w:color w:val="auto"/>
        </w:rPr>
      </w:pPr>
    </w:p>
    <w:p>
      <w:pPr>
        <w:ind w:left="446" w:right="120" w:hanging="446"/>
        <w:spacing w:after="0" w:line="289" w:lineRule="auto"/>
        <w:tabs>
          <w:tab w:leader="none" w:pos="44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104" w:lineRule="exact"/>
        <w:rPr>
          <w:rFonts w:ascii="Arial" w:cs="Arial" w:eastAsia="Arial" w:hAnsi="Arial"/>
          <w:sz w:val="16"/>
          <w:szCs w:val="16"/>
          <w:color w:val="auto"/>
        </w:rPr>
      </w:pPr>
    </w:p>
    <w:p>
      <w:pPr>
        <w:ind w:left="5226" w:hanging="112"/>
        <w:spacing w:after="0"/>
        <w:tabs>
          <w:tab w:leader="none" w:pos="52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6"/>
          </w:cols>
          <w:pgMar w:left="694" w:top="280" w:right="239" w:bottom="1440" w:gutter="0" w:footer="0" w:header="0"/>
        </w:sectPr>
      </w:pPr>
    </w:p>
    <w:bookmarkStart w:id="40" w:name="page41"/>
    <w:bookmarkEnd w:id="40"/>
    <w:p>
      <w:pPr>
        <w:ind w:left="892" w:hanging="446"/>
        <w:spacing w:after="0" w:line="298" w:lineRule="auto"/>
        <w:tabs>
          <w:tab w:leader="none" w:pos="892" w:val="left"/>
        </w:tabs>
        <w:numPr>
          <w:ilvl w:val="1"/>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234" w:lineRule="exact"/>
        <w:rPr>
          <w:rFonts w:ascii="Arial" w:cs="Arial" w:eastAsia="Arial" w:hAnsi="Arial"/>
          <w:sz w:val="16"/>
          <w:szCs w:val="16"/>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OBLIGATIONS OF THE HOLDERS.</w:t>
      </w:r>
    </w:p>
    <w:p>
      <w:pPr>
        <w:spacing w:after="0" w:line="90" w:lineRule="exact"/>
        <w:rPr>
          <w:rFonts w:ascii="Arial" w:cs="Arial" w:eastAsia="Arial" w:hAnsi="Arial"/>
          <w:sz w:val="18"/>
          <w:szCs w:val="18"/>
          <w:color w:val="auto"/>
        </w:rPr>
      </w:pPr>
    </w:p>
    <w:p>
      <w:pPr>
        <w:ind w:left="452" w:right="540"/>
        <w:spacing w:after="0" w:line="323" w:lineRule="auto"/>
        <w:rPr>
          <w:rFonts w:ascii="Arial" w:cs="Arial" w:eastAsia="Arial" w:hAnsi="Arial"/>
          <w:sz w:val="18"/>
          <w:szCs w:val="18"/>
          <w:color w:val="auto"/>
        </w:rPr>
      </w:pPr>
      <w:r>
        <w:rPr>
          <w:rFonts w:ascii="Arial" w:cs="Arial" w:eastAsia="Arial" w:hAnsi="Arial"/>
          <w:sz w:val="15"/>
          <w:szCs w:val="15"/>
          <w:color w:val="auto"/>
        </w:rPr>
        <w:t>Each Holder agrees that, upon receipt of any notice from the Company of the happening of any event of the kind described in the first sentence of Section 3(e) or the issuance of any stop order or suspension as referred to in Section 3(f), such Holder will immediately discontinue disposition of Registrable Securities pursuant to any Registration Statement(s) covering such Registrable Securities until such Holder’s receipt of the copies of the supplemented or amended prospectus contemplated by clause (i) of Section 3(e) or receipt of notice that no supplement or amendment is required.</w:t>
      </w:r>
    </w:p>
    <w:p>
      <w:pPr>
        <w:spacing w:after="0" w:line="219"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OF REGISTRATION.</w:t>
      </w:r>
    </w:p>
    <w:p>
      <w:pPr>
        <w:spacing w:after="0" w:line="90" w:lineRule="exact"/>
        <w:rPr>
          <w:rFonts w:ascii="Arial" w:cs="Arial" w:eastAsia="Arial" w:hAnsi="Arial"/>
          <w:sz w:val="18"/>
          <w:szCs w:val="18"/>
          <w:color w:val="auto"/>
        </w:rPr>
      </w:pPr>
    </w:p>
    <w:p>
      <w:pPr>
        <w:ind w:left="452" w:right="60"/>
        <w:spacing w:after="0" w:line="306" w:lineRule="auto"/>
        <w:rPr>
          <w:rFonts w:ascii="Arial" w:cs="Arial" w:eastAsia="Arial" w:hAnsi="Arial"/>
          <w:sz w:val="18"/>
          <w:szCs w:val="18"/>
          <w:color w:val="auto"/>
        </w:rPr>
      </w:pPr>
      <w:r>
        <w:rPr>
          <w:rFonts w:ascii="Arial" w:cs="Arial" w:eastAsia="Arial" w:hAnsi="Arial"/>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228"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 the event any Registrable Securities are included in a Registration Statement under this Agreement:</w:t>
      </w:r>
    </w:p>
    <w:p>
      <w:pPr>
        <w:spacing w:after="0" w:line="90" w:lineRule="exact"/>
        <w:rPr>
          <w:rFonts w:ascii="Arial" w:cs="Arial" w:eastAsia="Arial" w:hAnsi="Arial"/>
          <w:sz w:val="18"/>
          <w:szCs w:val="18"/>
          <w:color w:val="auto"/>
        </w:rPr>
      </w:pPr>
    </w:p>
    <w:p>
      <w:pPr>
        <w:ind w:left="892" w:hanging="446"/>
        <w:spacing w:after="0" w:line="288" w:lineRule="auto"/>
        <w:tabs>
          <w:tab w:leader="none" w:pos="892"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w:t>
      </w:r>
    </w:p>
    <w:p>
      <w:pPr>
        <w:spacing w:after="0" w:line="106" w:lineRule="exact"/>
        <w:rPr>
          <w:rFonts w:ascii="Arial" w:cs="Arial" w:eastAsia="Arial" w:hAnsi="Arial"/>
          <w:sz w:val="16"/>
          <w:szCs w:val="16"/>
          <w:color w:val="auto"/>
        </w:rPr>
      </w:pPr>
    </w:p>
    <w:p>
      <w:pPr>
        <w:ind w:left="5672" w:hanging="112"/>
        <w:spacing w:after="0"/>
        <w:tabs>
          <w:tab w:leader="none" w:pos="5672" w:val="left"/>
        </w:tabs>
        <w:numPr>
          <w:ilvl w:val="2"/>
          <w:numId w:val="4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92"/>
          </w:cols>
          <w:pgMar w:left="248" w:top="280" w:right="259" w:bottom="1440" w:gutter="0" w:footer="0" w:header="0"/>
        </w:sectPr>
      </w:pPr>
    </w:p>
    <w:bookmarkStart w:id="41" w:name="page42"/>
    <w:bookmarkEnd w:id="41"/>
    <w:p>
      <w:pPr>
        <w:ind w:left="46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w:t>
      </w:r>
      <w:r>
        <w:rPr>
          <w:rFonts w:ascii="Arial" w:cs="Arial" w:eastAsia="Arial" w:hAnsi="Arial"/>
          <w:sz w:val="16"/>
          <w:szCs w:val="16"/>
          <w:color w:val="auto"/>
        </w:rPr>
        <w:t xml:space="preserve"> </w:t>
      </w:r>
      <w:r>
        <w:rPr>
          <w:rFonts w:ascii="Arial" w:cs="Arial" w:eastAsia="Arial" w:hAnsi="Arial"/>
          <w:sz w:val="16"/>
          <w:szCs w:val="16"/>
          <w:b w:val="1"/>
          <w:bCs w:val="1"/>
          <w:color w:val="auto"/>
        </w:rPr>
        <w:t>Filing”</w:t>
      </w:r>
      <w:r>
        <w:rPr>
          <w:rFonts w:ascii="Arial" w:cs="Arial" w:eastAsia="Arial" w:hAnsi="Arial"/>
          <w:sz w:val="16"/>
          <w:szCs w:val="16"/>
          <w:color w:val="auto"/>
        </w:rPr>
        <w:t>), or the omission or alleged omission to state a material fact required to be stated therein or necessary to make the statements therein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46" w:lineRule="exact"/>
        <w:rPr>
          <w:sz w:val="20"/>
          <w:szCs w:val="20"/>
          <w:color w:val="auto"/>
        </w:rPr>
      </w:pPr>
    </w:p>
    <w:p>
      <w:pPr>
        <w:ind w:left="446" w:right="140" w:hanging="446"/>
        <w:spacing w:after="0" w:line="309" w:lineRule="auto"/>
        <w:tabs>
          <w:tab w:leader="none" w:pos="446"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Arial" w:cs="Arial" w:eastAsia="Arial" w:hAnsi="Arial"/>
          <w:sz w:val="15"/>
          <w:szCs w:val="15"/>
          <w:b w:val="1"/>
          <w:bCs w:val="1"/>
          <w:color w:val="auto"/>
        </w:rPr>
        <w:t>“Indemnified Party”</w:t>
      </w:r>
      <w:r>
        <w:rPr>
          <w:rFonts w:ascii="Arial" w:cs="Arial" w:eastAsia="Arial" w:hAnsi="Arial"/>
          <w:sz w:val="15"/>
          <w:szCs w:val="15"/>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w:t>
      </w:r>
    </w:p>
    <w:p>
      <w:pPr>
        <w:spacing w:after="0" w:line="94" w:lineRule="exact"/>
        <w:rPr>
          <w:rFonts w:ascii="Arial" w:cs="Arial" w:eastAsia="Arial" w:hAnsi="Arial"/>
          <w:sz w:val="15"/>
          <w:szCs w:val="15"/>
          <w:color w:val="auto"/>
        </w:rPr>
      </w:pPr>
    </w:p>
    <w:p>
      <w:pPr>
        <w:ind w:left="5226" w:hanging="112"/>
        <w:spacing w:after="0"/>
        <w:tabs>
          <w:tab w:leader="none" w:pos="52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6"/>
          </w:cols>
          <w:pgMar w:left="694" w:top="274" w:right="239" w:bottom="1440" w:gutter="0" w:footer="0" w:header="0"/>
        </w:sectPr>
      </w:pPr>
    </w:p>
    <w:bookmarkStart w:id="42" w:name="page43"/>
    <w:bookmarkEnd w:id="42"/>
    <w:p>
      <w:pPr>
        <w:ind w:left="46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35" w:lineRule="exact"/>
        <w:rPr>
          <w:sz w:val="20"/>
          <w:szCs w:val="20"/>
          <w:color w:val="auto"/>
        </w:rPr>
      </w:pPr>
    </w:p>
    <w:p>
      <w:pPr>
        <w:ind w:left="446" w:hanging="446"/>
        <w:spacing w:after="0" w:line="284" w:lineRule="auto"/>
        <w:tabs>
          <w:tab w:leader="none" w:pos="4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51" w:lineRule="exact"/>
        <w:rPr>
          <w:rFonts w:ascii="Arial" w:cs="Arial" w:eastAsia="Arial" w:hAnsi="Arial"/>
          <w:sz w:val="16"/>
          <w:szCs w:val="16"/>
          <w:color w:val="auto"/>
        </w:rPr>
      </w:pPr>
    </w:p>
    <w:p>
      <w:pPr>
        <w:ind w:left="446" w:right="220" w:hanging="446"/>
        <w:spacing w:after="0" w:line="268" w:lineRule="auto"/>
        <w:tabs>
          <w:tab w:leader="none" w:pos="4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50" w:lineRule="exact"/>
        <w:rPr>
          <w:rFonts w:ascii="Arial" w:cs="Arial" w:eastAsia="Arial" w:hAnsi="Arial"/>
          <w:sz w:val="18"/>
          <w:szCs w:val="18"/>
          <w:color w:val="auto"/>
        </w:rPr>
      </w:pPr>
    </w:p>
    <w:p>
      <w:pPr>
        <w:ind w:left="446" w:right="280" w:hanging="446"/>
        <w:spacing w:after="0" w:line="332" w:lineRule="auto"/>
        <w:tabs>
          <w:tab w:leader="none" w:pos="4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5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26"/>
          </w:cols>
          <w:pgMar w:left="694" w:top="280" w:right="279" w:bottom="1440" w:gutter="0" w:footer="0" w:header="0"/>
        </w:sectPr>
      </w:pPr>
    </w:p>
    <w:bookmarkStart w:id="43" w:name="page44"/>
    <w:bookmarkEnd w:id="43"/>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w:t>
      </w:r>
    </w:p>
    <w:p>
      <w:pPr>
        <w:spacing w:after="0" w:line="90" w:lineRule="exact"/>
        <w:rPr>
          <w:rFonts w:ascii="Arial" w:cs="Arial" w:eastAsia="Arial" w:hAnsi="Arial"/>
          <w:sz w:val="18"/>
          <w:szCs w:val="18"/>
          <w:color w:val="auto"/>
        </w:rPr>
      </w:pPr>
    </w:p>
    <w:p>
      <w:pPr>
        <w:ind w:left="452"/>
        <w:spacing w:after="0" w:line="309" w:lineRule="auto"/>
        <w:rPr>
          <w:rFonts w:ascii="Arial" w:cs="Arial" w:eastAsia="Arial" w:hAnsi="Arial"/>
          <w:sz w:val="18"/>
          <w:szCs w:val="18"/>
          <w:color w:val="auto"/>
        </w:rPr>
      </w:pPr>
      <w:r>
        <w:rPr>
          <w:rFonts w:ascii="Arial" w:cs="Arial" w:eastAsia="Arial" w:hAnsi="Arial"/>
          <w:sz w:val="15"/>
          <w:szCs w:val="15"/>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7" w:lineRule="exact"/>
        <w:rPr>
          <w:rFonts w:ascii="Arial" w:cs="Arial" w:eastAsia="Arial" w:hAnsi="Arial"/>
          <w:sz w:val="18"/>
          <w:szCs w:val="18"/>
          <w:color w:val="auto"/>
        </w:rPr>
      </w:pPr>
    </w:p>
    <w:p>
      <w:pPr>
        <w:ind w:left="452" w:right="140"/>
        <w:spacing w:after="0" w:line="298" w:lineRule="auto"/>
        <w:rPr>
          <w:rFonts w:ascii="Arial" w:cs="Arial" w:eastAsia="Arial" w:hAnsi="Arial"/>
          <w:sz w:val="18"/>
          <w:szCs w:val="18"/>
          <w:color w:val="auto"/>
        </w:rPr>
      </w:pPr>
      <w:r>
        <w:rPr>
          <w:rFonts w:ascii="Arial" w:cs="Arial" w:eastAsia="Arial" w:hAnsi="Arial"/>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234"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REPORTS UNDER THE 1934 ACT.</w:t>
      </w:r>
    </w:p>
    <w:p>
      <w:pPr>
        <w:spacing w:after="0" w:line="90" w:lineRule="exact"/>
        <w:rPr>
          <w:rFonts w:ascii="Arial" w:cs="Arial" w:eastAsia="Arial" w:hAnsi="Arial"/>
          <w:sz w:val="18"/>
          <w:szCs w:val="18"/>
          <w:color w:val="auto"/>
        </w:rPr>
      </w:pPr>
    </w:p>
    <w:p>
      <w:pPr>
        <w:ind w:left="452" w:right="40"/>
        <w:spacing w:after="0" w:line="332" w:lineRule="auto"/>
        <w:rPr>
          <w:rFonts w:ascii="Arial" w:cs="Arial" w:eastAsia="Arial" w:hAnsi="Arial"/>
          <w:sz w:val="18"/>
          <w:szCs w:val="18"/>
          <w:color w:val="auto"/>
        </w:rPr>
      </w:pPr>
      <w:r>
        <w:rPr>
          <w:rFonts w:ascii="Arial" w:cs="Arial" w:eastAsia="Arial" w:hAnsi="Arial"/>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4" w:lineRule="exact"/>
        <w:rPr>
          <w:rFonts w:ascii="Arial" w:cs="Arial" w:eastAsia="Arial" w:hAnsi="Arial"/>
          <w:sz w:val="18"/>
          <w:szCs w:val="18"/>
          <w:color w:val="auto"/>
        </w:rPr>
      </w:pPr>
    </w:p>
    <w:p>
      <w:pPr>
        <w:ind w:left="892" w:hanging="446"/>
        <w:spacing w:after="0"/>
        <w:tabs>
          <w:tab w:leader="none" w:pos="8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90" w:lineRule="exact"/>
        <w:rPr>
          <w:rFonts w:ascii="Arial" w:cs="Arial" w:eastAsia="Arial" w:hAnsi="Arial"/>
          <w:sz w:val="18"/>
          <w:szCs w:val="18"/>
          <w:color w:val="auto"/>
        </w:rPr>
      </w:pPr>
    </w:p>
    <w:p>
      <w:pPr>
        <w:jc w:val="both"/>
        <w:ind w:left="892" w:right="160" w:hanging="446"/>
        <w:spacing w:after="0" w:line="259" w:lineRule="auto"/>
        <w:tabs>
          <w:tab w:leader="none" w:pos="8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126" w:lineRule="exact"/>
        <w:rPr>
          <w:rFonts w:ascii="Arial" w:cs="Arial" w:eastAsia="Arial" w:hAnsi="Arial"/>
          <w:sz w:val="18"/>
          <w:szCs w:val="18"/>
          <w:color w:val="auto"/>
        </w:rPr>
      </w:pPr>
    </w:p>
    <w:p>
      <w:pPr>
        <w:ind w:left="5612" w:hanging="93"/>
        <w:spacing w:after="0"/>
        <w:tabs>
          <w:tab w:leader="none" w:pos="5612" w:val="left"/>
        </w:tabs>
        <w:numPr>
          <w:ilvl w:val="2"/>
          <w:numId w:val="5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72"/>
          </w:cols>
          <w:pgMar w:left="248" w:top="280" w:right="279" w:bottom="1440" w:gutter="0" w:footer="0" w:header="0"/>
        </w:sectPr>
      </w:pPr>
    </w:p>
    <w:bookmarkStart w:id="44" w:name="page45"/>
    <w:bookmarkEnd w:id="44"/>
    <w:p>
      <w:pPr>
        <w:jc w:val="both"/>
        <w:ind w:left="892" w:right="40" w:hanging="446"/>
        <w:spacing w:after="0" w:line="298" w:lineRule="auto"/>
        <w:tabs>
          <w:tab w:leader="none" w:pos="892"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34" w:lineRule="exact"/>
        <w:rPr>
          <w:rFonts w:ascii="Arial" w:cs="Arial" w:eastAsia="Arial" w:hAnsi="Arial"/>
          <w:sz w:val="16"/>
          <w:szCs w:val="16"/>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ASSIGNMENT OF REGISTRATION RIGHTS.</w:t>
      </w:r>
    </w:p>
    <w:p>
      <w:pPr>
        <w:spacing w:after="0" w:line="90" w:lineRule="exact"/>
        <w:rPr>
          <w:rFonts w:ascii="Arial" w:cs="Arial" w:eastAsia="Arial" w:hAnsi="Arial"/>
          <w:sz w:val="18"/>
          <w:szCs w:val="18"/>
          <w:color w:val="auto"/>
        </w:rPr>
      </w:pPr>
    </w:p>
    <w:p>
      <w:pPr>
        <w:ind w:left="452"/>
        <w:spacing w:after="0" w:line="286" w:lineRule="auto"/>
        <w:rPr>
          <w:rFonts w:ascii="Arial" w:cs="Arial" w:eastAsia="Arial" w:hAnsi="Arial"/>
          <w:sz w:val="18"/>
          <w:szCs w:val="18"/>
          <w:color w:val="auto"/>
        </w:rPr>
      </w:pPr>
      <w:r>
        <w:rPr>
          <w:rFonts w:ascii="Arial" w:cs="Arial" w:eastAsia="Arial" w:hAnsi="Arial"/>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any of the 1933 Act, the Israel Securities Law and other applicable securities laws) if: (i) 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48" w:lineRule="exact"/>
        <w:rPr>
          <w:rFonts w:ascii="Arial" w:cs="Arial" w:eastAsia="Arial" w:hAnsi="Arial"/>
          <w:sz w:val="18"/>
          <w:szCs w:val="18"/>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90" w:lineRule="exact"/>
        <w:rPr>
          <w:rFonts w:ascii="Arial" w:cs="Arial" w:eastAsia="Arial" w:hAnsi="Arial"/>
          <w:sz w:val="18"/>
          <w:szCs w:val="18"/>
          <w:color w:val="auto"/>
        </w:rPr>
      </w:pPr>
    </w:p>
    <w:p>
      <w:pPr>
        <w:ind w:left="452" w:right="100"/>
        <w:spacing w:after="0" w:line="294" w:lineRule="auto"/>
        <w:rPr>
          <w:rFonts w:ascii="Arial" w:cs="Arial" w:eastAsia="Arial" w:hAnsi="Arial"/>
          <w:sz w:val="18"/>
          <w:szCs w:val="18"/>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37" w:lineRule="exact"/>
        <w:rPr>
          <w:rFonts w:ascii="Arial" w:cs="Arial" w:eastAsia="Arial" w:hAnsi="Arial"/>
          <w:sz w:val="18"/>
          <w:szCs w:val="18"/>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REGISTRATION STATEMENTS; INCIDENTAL REGISTRATIONS; NO CONFLICTING AGREEMENTS.</w:t>
      </w:r>
    </w:p>
    <w:p>
      <w:pPr>
        <w:spacing w:after="0" w:line="90" w:lineRule="exact"/>
        <w:rPr>
          <w:rFonts w:ascii="Arial" w:cs="Arial" w:eastAsia="Arial" w:hAnsi="Arial"/>
          <w:sz w:val="18"/>
          <w:szCs w:val="18"/>
          <w:color w:val="auto"/>
        </w:rPr>
      </w:pPr>
    </w:p>
    <w:p>
      <w:pPr>
        <w:ind w:left="892" w:right="20" w:hanging="446"/>
        <w:spacing w:after="0" w:line="254" w:lineRule="auto"/>
        <w:tabs>
          <w:tab w:leader="none" w:pos="8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 For the purposes of this Section 11(a) only, Registration Statement shall mean a Registration Statement that is filed for an amount of Registrable Securities, that the Holder believes in good faith can be reasonably sold pursuant to such Registration Statement.</w:t>
      </w:r>
    </w:p>
    <w:p>
      <w:pPr>
        <w:spacing w:after="0" w:line="130" w:lineRule="exact"/>
        <w:rPr>
          <w:rFonts w:ascii="Arial" w:cs="Arial" w:eastAsia="Arial" w:hAnsi="Arial"/>
          <w:sz w:val="18"/>
          <w:szCs w:val="18"/>
          <w:color w:val="auto"/>
        </w:rPr>
      </w:pPr>
    </w:p>
    <w:p>
      <w:pPr>
        <w:ind w:left="5612" w:hanging="96"/>
        <w:spacing w:after="0"/>
        <w:tabs>
          <w:tab w:leader="none" w:pos="5612" w:val="left"/>
        </w:tabs>
        <w:numPr>
          <w:ilvl w:val="2"/>
          <w:numId w:val="5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92"/>
          </w:cols>
          <w:pgMar w:left="248" w:top="280" w:right="259" w:bottom="1440" w:gutter="0" w:footer="0" w:header="0"/>
        </w:sectPr>
      </w:pPr>
    </w:p>
    <w:bookmarkStart w:id="45" w:name="page46"/>
    <w:bookmarkEnd w:id="45"/>
    <w:p>
      <w:pPr>
        <w:ind w:left="892" w:hanging="446"/>
        <w:spacing w:after="0" w:line="289" w:lineRule="auto"/>
        <w:tabs>
          <w:tab w:leader="none" w:pos="892" w:val="left"/>
        </w:tabs>
        <w:numPr>
          <w:ilvl w:val="1"/>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37" w:lineRule="exact"/>
        <w:rPr>
          <w:rFonts w:ascii="Arial" w:cs="Arial" w:eastAsia="Arial" w:hAnsi="Arial"/>
          <w:sz w:val="16"/>
          <w:szCs w:val="16"/>
          <w:color w:val="auto"/>
        </w:rPr>
      </w:pPr>
    </w:p>
    <w:p>
      <w:pPr>
        <w:ind w:left="892" w:right="40" w:hanging="446"/>
        <w:spacing w:after="0" w:line="268" w:lineRule="auto"/>
        <w:tabs>
          <w:tab w:leader="none" w:pos="8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90" w:lineRule="exact"/>
        <w:rPr>
          <w:rFonts w:ascii="Arial" w:cs="Arial" w:eastAsia="Arial" w:hAnsi="Arial"/>
          <w:sz w:val="18"/>
          <w:szCs w:val="18"/>
          <w:color w:val="auto"/>
        </w:rPr>
      </w:pPr>
    </w:p>
    <w:p>
      <w:pPr>
        <w:ind w:left="892" w:right="60" w:hanging="446"/>
        <w:spacing w:after="0" w:line="255" w:lineRule="auto"/>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183"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to the Borrower at:</w:t>
            </w:r>
          </w:p>
        </w:tc>
        <w:tc>
          <w:tcPr>
            <w:tcW w:w="3480" w:type="dxa"/>
            <w:vAlign w:val="bottom"/>
            <w:gridSpan w:val="2"/>
          </w:tcPr>
          <w:p>
            <w:pPr>
              <w:ind w:left="440"/>
              <w:spacing w:after="0"/>
              <w:rPr>
                <w:sz w:val="20"/>
                <w:szCs w:val="20"/>
                <w:color w:val="auto"/>
              </w:rPr>
            </w:pPr>
            <w:r>
              <w:rPr>
                <w:rFonts w:ascii="Arial" w:cs="Arial" w:eastAsia="Arial" w:hAnsi="Arial"/>
                <w:sz w:val="18"/>
                <w:szCs w:val="18"/>
                <w:color w:val="auto"/>
              </w:rPr>
              <w:t>Tower Semiconductor Ltd.</w:t>
            </w:r>
          </w:p>
        </w:tc>
      </w:tr>
      <w:tr>
        <w:trPr>
          <w:trHeight w:val="216"/>
        </w:trPr>
        <w:tc>
          <w:tcPr>
            <w:tcW w:w="2340" w:type="dxa"/>
            <w:vAlign w:val="bottom"/>
          </w:tcPr>
          <w:p>
            <w:pPr>
              <w:spacing w:after="0"/>
              <w:rPr>
                <w:sz w:val="18"/>
                <w:szCs w:val="18"/>
                <w:color w:val="auto"/>
              </w:rPr>
            </w:pPr>
          </w:p>
        </w:tc>
        <w:tc>
          <w:tcPr>
            <w:tcW w:w="3480" w:type="dxa"/>
            <w:vAlign w:val="bottom"/>
            <w:gridSpan w:val="2"/>
          </w:tcPr>
          <w:p>
            <w:pPr>
              <w:ind w:left="440"/>
              <w:spacing w:after="0"/>
              <w:rPr>
                <w:sz w:val="20"/>
                <w:szCs w:val="20"/>
                <w:color w:val="auto"/>
              </w:rPr>
            </w:pPr>
            <w:r>
              <w:rPr>
                <w:rFonts w:ascii="Arial" w:cs="Arial" w:eastAsia="Arial" w:hAnsi="Arial"/>
                <w:sz w:val="18"/>
                <w:szCs w:val="18"/>
                <w:color w:val="auto"/>
              </w:rPr>
              <w:t>P.O. Box 619</w:t>
            </w:r>
          </w:p>
        </w:tc>
      </w:tr>
      <w:tr>
        <w:trPr>
          <w:trHeight w:val="216"/>
        </w:trPr>
        <w:tc>
          <w:tcPr>
            <w:tcW w:w="2340" w:type="dxa"/>
            <w:vAlign w:val="bottom"/>
          </w:tcPr>
          <w:p>
            <w:pPr>
              <w:spacing w:after="0"/>
              <w:rPr>
                <w:sz w:val="18"/>
                <w:szCs w:val="18"/>
                <w:color w:val="auto"/>
              </w:rPr>
            </w:pPr>
          </w:p>
        </w:tc>
        <w:tc>
          <w:tcPr>
            <w:tcW w:w="3480" w:type="dxa"/>
            <w:vAlign w:val="bottom"/>
            <w:gridSpan w:val="2"/>
          </w:tcPr>
          <w:p>
            <w:pPr>
              <w:ind w:left="440"/>
              <w:spacing w:after="0"/>
              <w:rPr>
                <w:sz w:val="20"/>
                <w:szCs w:val="20"/>
                <w:color w:val="auto"/>
              </w:rPr>
            </w:pPr>
            <w:r>
              <w:rPr>
                <w:rFonts w:ascii="Arial" w:cs="Arial" w:eastAsia="Arial" w:hAnsi="Arial"/>
                <w:sz w:val="18"/>
                <w:szCs w:val="18"/>
                <w:color w:val="auto"/>
              </w:rPr>
              <w:t>Migdal Haemek</w:t>
            </w:r>
          </w:p>
        </w:tc>
      </w:tr>
      <w:tr>
        <w:trPr>
          <w:trHeight w:val="216"/>
        </w:trPr>
        <w:tc>
          <w:tcPr>
            <w:tcW w:w="234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Israel</w:t>
            </w:r>
          </w:p>
        </w:tc>
        <w:tc>
          <w:tcPr>
            <w:tcW w:w="22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w w:val="93"/>
              </w:rPr>
              <w:t>Facsimile:</w:t>
            </w:r>
          </w:p>
        </w:tc>
        <w:tc>
          <w:tcPr>
            <w:tcW w:w="2260" w:type="dxa"/>
            <w:vAlign w:val="bottom"/>
          </w:tcPr>
          <w:p>
            <w:pPr>
              <w:jc w:val="right"/>
              <w:ind w:right="1132"/>
              <w:spacing w:after="0"/>
              <w:rPr>
                <w:sz w:val="20"/>
                <w:szCs w:val="20"/>
                <w:color w:val="auto"/>
              </w:rPr>
            </w:pPr>
            <w:r>
              <w:rPr>
                <w:rFonts w:ascii="Arial" w:cs="Arial" w:eastAsia="Arial" w:hAnsi="Arial"/>
                <w:sz w:val="18"/>
                <w:szCs w:val="18"/>
                <w:color w:val="auto"/>
                <w:w w:val="90"/>
              </w:rPr>
              <w:t>(04) 604 7242</w:t>
            </w:r>
          </w:p>
        </w:tc>
      </w:tr>
      <w:tr>
        <w:trPr>
          <w:trHeight w:val="216"/>
        </w:trPr>
        <w:tc>
          <w:tcPr>
            <w:tcW w:w="234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w w:val="99"/>
              </w:rPr>
              <w:t>Attention:</w:t>
            </w:r>
          </w:p>
        </w:tc>
        <w:tc>
          <w:tcPr>
            <w:tcW w:w="2260" w:type="dxa"/>
            <w:vAlign w:val="bottom"/>
          </w:tcPr>
          <w:p>
            <w:pPr>
              <w:jc w:val="right"/>
              <w:ind w:right="1212"/>
              <w:spacing w:after="0"/>
              <w:rPr>
                <w:sz w:val="20"/>
                <w:szCs w:val="20"/>
                <w:color w:val="auto"/>
              </w:rPr>
            </w:pPr>
            <w:r>
              <w:rPr>
                <w:rFonts w:ascii="Arial" w:cs="Arial" w:eastAsia="Arial" w:hAnsi="Arial"/>
                <w:sz w:val="18"/>
                <w:szCs w:val="18"/>
                <w:color w:val="auto"/>
                <w:w w:val="93"/>
              </w:rPr>
              <w:t>Oren Shirazi</w:t>
            </w:r>
          </w:p>
        </w:tc>
      </w:tr>
      <w:tr>
        <w:trPr>
          <w:trHeight w:val="222"/>
        </w:trPr>
        <w:tc>
          <w:tcPr>
            <w:tcW w:w="2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w w:val="96"/>
              </w:rPr>
              <w:t>Acting Chief Financial Officer</w:t>
            </w:r>
          </w:p>
        </w:tc>
      </w:tr>
      <w:tr>
        <w:trPr>
          <w:trHeight w:val="426"/>
        </w:trPr>
        <w:tc>
          <w:tcPr>
            <w:tcW w:w="2340" w:type="dxa"/>
            <w:vAlign w:val="bottom"/>
          </w:tcPr>
          <w:p>
            <w:pPr>
              <w:spacing w:after="0"/>
              <w:rPr>
                <w:sz w:val="20"/>
                <w:szCs w:val="20"/>
                <w:color w:val="auto"/>
              </w:rPr>
            </w:pPr>
            <w:r>
              <w:rPr>
                <w:rFonts w:ascii="Arial" w:cs="Arial" w:eastAsia="Arial" w:hAnsi="Arial"/>
                <w:sz w:val="18"/>
                <w:szCs w:val="18"/>
                <w:i w:val="1"/>
                <w:iCs w:val="1"/>
                <w:color w:val="auto"/>
              </w:rPr>
              <w:t>with a copy to (which shall</w:t>
            </w:r>
          </w:p>
        </w:tc>
        <w:tc>
          <w:tcPr>
            <w:tcW w:w="3480" w:type="dxa"/>
            <w:vAlign w:val="bottom"/>
            <w:gridSpan w:val="2"/>
          </w:tcPr>
          <w:p>
            <w:pPr>
              <w:ind w:left="440"/>
              <w:spacing w:after="0"/>
              <w:rPr>
                <w:sz w:val="20"/>
                <w:szCs w:val="20"/>
                <w:color w:val="auto"/>
              </w:rPr>
            </w:pPr>
            <w:r>
              <w:rPr>
                <w:rFonts w:ascii="Arial" w:cs="Arial" w:eastAsia="Arial" w:hAnsi="Arial"/>
                <w:sz w:val="18"/>
                <w:szCs w:val="18"/>
                <w:color w:val="auto"/>
              </w:rPr>
              <w:t>Yigal Arnon &amp; Co.</w:t>
            </w:r>
          </w:p>
        </w:tc>
      </w:tr>
      <w:tr>
        <w:trPr>
          <w:trHeight w:val="216"/>
        </w:trPr>
        <w:tc>
          <w:tcPr>
            <w:tcW w:w="2340" w:type="dxa"/>
            <w:vAlign w:val="bottom"/>
          </w:tcPr>
          <w:p>
            <w:pPr>
              <w:spacing w:after="0"/>
              <w:rPr>
                <w:sz w:val="20"/>
                <w:szCs w:val="20"/>
                <w:color w:val="auto"/>
              </w:rPr>
            </w:pPr>
            <w:r>
              <w:rPr>
                <w:rFonts w:ascii="Arial" w:cs="Arial" w:eastAsia="Arial" w:hAnsi="Arial"/>
                <w:sz w:val="18"/>
                <w:szCs w:val="18"/>
                <w:i w:val="1"/>
                <w:iCs w:val="1"/>
                <w:color w:val="auto"/>
              </w:rPr>
              <w:t>not constitute notice):</w:t>
            </w:r>
          </w:p>
        </w:tc>
        <w:tc>
          <w:tcPr>
            <w:tcW w:w="3480" w:type="dxa"/>
            <w:vAlign w:val="bottom"/>
            <w:gridSpan w:val="2"/>
          </w:tcPr>
          <w:p>
            <w:pPr>
              <w:ind w:left="440"/>
              <w:spacing w:after="0"/>
              <w:rPr>
                <w:sz w:val="20"/>
                <w:szCs w:val="20"/>
                <w:color w:val="auto"/>
              </w:rPr>
            </w:pPr>
            <w:r>
              <w:rPr>
                <w:rFonts w:ascii="Arial" w:cs="Arial" w:eastAsia="Arial" w:hAnsi="Arial"/>
                <w:sz w:val="18"/>
                <w:szCs w:val="18"/>
                <w:color w:val="auto"/>
              </w:rPr>
              <w:t>1 Azrieli Center</w:t>
            </w:r>
          </w:p>
        </w:tc>
      </w:tr>
      <w:tr>
        <w:trPr>
          <w:trHeight w:val="216"/>
        </w:trPr>
        <w:tc>
          <w:tcPr>
            <w:tcW w:w="2340" w:type="dxa"/>
            <w:vAlign w:val="bottom"/>
          </w:tcPr>
          <w:p>
            <w:pPr>
              <w:spacing w:after="0"/>
              <w:rPr>
                <w:sz w:val="18"/>
                <w:szCs w:val="18"/>
                <w:color w:val="auto"/>
              </w:rPr>
            </w:pPr>
          </w:p>
        </w:tc>
        <w:tc>
          <w:tcPr>
            <w:tcW w:w="348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46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The Round Tower</w:t>
            </w:r>
          </w:p>
        </w:tc>
      </w:tr>
      <w:tr>
        <w:trPr>
          <w:trHeight w:val="216"/>
        </w:trPr>
        <w:tc>
          <w:tcPr>
            <w:tcW w:w="2340" w:type="dxa"/>
            <w:vAlign w:val="bottom"/>
          </w:tcPr>
          <w:p>
            <w:pPr>
              <w:spacing w:after="0"/>
              <w:rPr>
                <w:sz w:val="18"/>
                <w:szCs w:val="18"/>
                <w:color w:val="auto"/>
              </w:rPr>
            </w:pPr>
          </w:p>
        </w:tc>
        <w:tc>
          <w:tcPr>
            <w:tcW w:w="3480" w:type="dxa"/>
            <w:vAlign w:val="bottom"/>
            <w:gridSpan w:val="2"/>
          </w:tcPr>
          <w:p>
            <w:pPr>
              <w:ind w:left="440"/>
              <w:spacing w:after="0"/>
              <w:rPr>
                <w:sz w:val="20"/>
                <w:szCs w:val="20"/>
                <w:color w:val="auto"/>
              </w:rPr>
            </w:pPr>
            <w:r>
              <w:rPr>
                <w:rFonts w:ascii="Arial" w:cs="Arial" w:eastAsia="Arial" w:hAnsi="Arial"/>
                <w:sz w:val="18"/>
                <w:szCs w:val="18"/>
                <w:color w:val="auto"/>
              </w:rPr>
              <w:t>Tel-Aviv 67021</w:t>
            </w:r>
          </w:p>
        </w:tc>
      </w:tr>
      <w:tr>
        <w:trPr>
          <w:trHeight w:val="216"/>
        </w:trPr>
        <w:tc>
          <w:tcPr>
            <w:tcW w:w="234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Israel</w:t>
            </w:r>
          </w:p>
        </w:tc>
        <w:tc>
          <w:tcPr>
            <w:tcW w:w="22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w w:val="93"/>
              </w:rPr>
              <w:t>Facsimile:</w:t>
            </w:r>
          </w:p>
        </w:tc>
        <w:tc>
          <w:tcPr>
            <w:tcW w:w="2260" w:type="dxa"/>
            <w:vAlign w:val="bottom"/>
          </w:tcPr>
          <w:p>
            <w:pPr>
              <w:jc w:val="right"/>
              <w:ind w:right="1032"/>
              <w:spacing w:after="0"/>
              <w:rPr>
                <w:sz w:val="20"/>
                <w:szCs w:val="20"/>
                <w:color w:val="auto"/>
              </w:rPr>
            </w:pPr>
            <w:r>
              <w:rPr>
                <w:rFonts w:ascii="Arial" w:cs="Arial" w:eastAsia="Arial" w:hAnsi="Arial"/>
                <w:sz w:val="18"/>
                <w:szCs w:val="18"/>
                <w:color w:val="auto"/>
                <w:w w:val="99"/>
              </w:rPr>
              <w:t>(03) 608 7714</w:t>
            </w:r>
          </w:p>
        </w:tc>
      </w:tr>
      <w:tr>
        <w:trPr>
          <w:trHeight w:val="222"/>
        </w:trPr>
        <w:tc>
          <w:tcPr>
            <w:tcW w:w="2340" w:type="dxa"/>
            <w:vAlign w:val="bottom"/>
          </w:tcPr>
          <w:p>
            <w:pPr>
              <w:spacing w:after="0"/>
              <w:rPr>
                <w:sz w:val="19"/>
                <w:szCs w:val="19"/>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w w:val="99"/>
              </w:rPr>
              <w:t>Attention:</w:t>
            </w:r>
          </w:p>
        </w:tc>
        <w:tc>
          <w:tcPr>
            <w:tcW w:w="2260" w:type="dxa"/>
            <w:vAlign w:val="bottom"/>
          </w:tcPr>
          <w:p>
            <w:pPr>
              <w:jc w:val="right"/>
              <w:ind w:right="272"/>
              <w:spacing w:after="0"/>
              <w:rPr>
                <w:sz w:val="20"/>
                <w:szCs w:val="20"/>
                <w:color w:val="auto"/>
              </w:rPr>
            </w:pPr>
            <w:r>
              <w:rPr>
                <w:rFonts w:ascii="Arial" w:cs="Arial" w:eastAsia="Arial" w:hAnsi="Arial"/>
                <w:sz w:val="18"/>
                <w:szCs w:val="18"/>
                <w:color w:val="auto"/>
                <w:w w:val="98"/>
              </w:rPr>
              <w:t>David H. Schapiro, Adv.</w:t>
            </w:r>
          </w:p>
        </w:tc>
      </w:tr>
      <w:tr>
        <w:trPr>
          <w:trHeight w:val="378"/>
        </w:trPr>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60" w:type="dxa"/>
            <w:vAlign w:val="bottom"/>
          </w:tcPr>
          <w:p>
            <w:pPr>
              <w:jc w:val="right"/>
              <w:ind w:right="752"/>
              <w:spacing w:after="0"/>
              <w:rPr>
                <w:sz w:val="20"/>
                <w:szCs w:val="20"/>
                <w:color w:val="auto"/>
              </w:rPr>
            </w:pPr>
            <w:r>
              <w:rPr>
                <w:rFonts w:ascii="Arial" w:cs="Arial" w:eastAsia="Arial" w:hAnsi="Arial"/>
                <w:sz w:val="18"/>
                <w:szCs w:val="18"/>
                <w:color w:val="auto"/>
              </w:rPr>
              <w:t>- 13 -</w:t>
            </w:r>
          </w:p>
        </w:tc>
      </w:tr>
    </w:tbl>
    <w:p>
      <w:pPr>
        <w:sectPr>
          <w:pgSz w:w="11900" w:h="16838" w:orient="portrait"/>
          <w:cols w:equalWidth="0" w:num="1">
            <w:col w:w="11372"/>
          </w:cols>
          <w:pgMar w:left="248" w:top="280" w:right="279" w:bottom="1440" w:gutter="0" w:footer="0" w:header="0"/>
        </w:sectPr>
      </w:pPr>
    </w:p>
    <w:bookmarkStart w:id="46" w:name="page47"/>
    <w:bookmarkEnd w:id="46"/>
    <w:p>
      <w:pPr>
        <w:ind w:left="466"/>
        <w:spacing w:after="0"/>
        <w:tabs>
          <w:tab w:leader="none" w:pos="322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Bank at:</w:t>
      </w:r>
      <w:r>
        <w:rPr>
          <w:sz w:val="20"/>
          <w:szCs w:val="20"/>
          <w:color w:val="auto"/>
        </w:rPr>
        <w:tab/>
      </w:r>
      <w:r>
        <w:rPr>
          <w:rFonts w:ascii="Arial" w:cs="Arial" w:eastAsia="Arial" w:hAnsi="Arial"/>
          <w:sz w:val="16"/>
          <w:szCs w:val="16"/>
          <w:color w:val="auto"/>
        </w:rPr>
        <w:t>Corporate Division</w:t>
      </w:r>
    </w:p>
    <w:p>
      <w:pPr>
        <w:spacing w:after="0" w:line="15" w:lineRule="exact"/>
        <w:rPr>
          <w:sz w:val="20"/>
          <w:szCs w:val="20"/>
          <w:color w:val="auto"/>
        </w:rPr>
      </w:pPr>
    </w:p>
    <w:p>
      <w:pPr>
        <w:ind w:left="3246"/>
        <w:spacing w:after="0"/>
        <w:rPr>
          <w:sz w:val="20"/>
          <w:szCs w:val="20"/>
          <w:color w:val="auto"/>
        </w:rPr>
      </w:pPr>
      <w:r>
        <w:rPr>
          <w:rFonts w:ascii="Arial" w:cs="Arial" w:eastAsia="Arial" w:hAnsi="Arial"/>
          <w:sz w:val="18"/>
          <w:szCs w:val="18"/>
          <w:color w:val="auto"/>
        </w:rPr>
        <w:t>Migdal Levenstein</w:t>
      </w:r>
    </w:p>
    <w:p>
      <w:pPr>
        <w:spacing w:after="0" w:line="9" w:lineRule="exact"/>
        <w:rPr>
          <w:sz w:val="20"/>
          <w:szCs w:val="20"/>
          <w:color w:val="auto"/>
        </w:rPr>
      </w:pPr>
    </w:p>
    <w:p>
      <w:pPr>
        <w:ind w:left="3246"/>
        <w:spacing w:after="0"/>
        <w:rPr>
          <w:sz w:val="20"/>
          <w:szCs w:val="20"/>
          <w:color w:val="auto"/>
        </w:rPr>
      </w:pPr>
      <w:r>
        <w:rPr>
          <w:rFonts w:ascii="Arial" w:cs="Arial" w:eastAsia="Arial" w:hAnsi="Arial"/>
          <w:sz w:val="18"/>
          <w:szCs w:val="18"/>
          <w:color w:val="auto"/>
        </w:rPr>
        <w:t>23 Menachem Begin Road</w:t>
      </w:r>
    </w:p>
    <w:p>
      <w:pPr>
        <w:spacing w:after="0" w:line="9" w:lineRule="exact"/>
        <w:rPr>
          <w:sz w:val="20"/>
          <w:szCs w:val="20"/>
          <w:color w:val="auto"/>
        </w:rPr>
      </w:pPr>
    </w:p>
    <w:p>
      <w:pPr>
        <w:ind w:left="3246"/>
        <w:spacing w:after="0"/>
        <w:rPr>
          <w:sz w:val="20"/>
          <w:szCs w:val="20"/>
          <w:color w:val="auto"/>
        </w:rPr>
      </w:pPr>
      <w:r>
        <w:rPr>
          <w:rFonts w:ascii="Arial" w:cs="Arial" w:eastAsia="Arial" w:hAnsi="Arial"/>
          <w:sz w:val="18"/>
          <w:szCs w:val="18"/>
          <w:color w:val="auto"/>
        </w:rPr>
        <w:t>Tel-Aviv</w:t>
      </w:r>
    </w:p>
    <w:p>
      <w:pPr>
        <w:spacing w:after="0" w:line="9" w:lineRule="exact"/>
        <w:rPr>
          <w:sz w:val="20"/>
          <w:szCs w:val="20"/>
          <w:color w:val="auto"/>
        </w:rPr>
      </w:pPr>
    </w:p>
    <w:p>
      <w:pPr>
        <w:ind w:left="3246"/>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3246"/>
        <w:spacing w:after="0"/>
        <w:tabs>
          <w:tab w:leader="none" w:pos="4146"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(03) 567 2995</w:t>
      </w:r>
    </w:p>
    <w:p>
      <w:pPr>
        <w:spacing w:after="0" w:line="9" w:lineRule="exact"/>
        <w:rPr>
          <w:sz w:val="20"/>
          <w:szCs w:val="20"/>
          <w:color w:val="auto"/>
        </w:rPr>
      </w:pPr>
    </w:p>
    <w:p>
      <w:pPr>
        <w:ind w:left="3246"/>
        <w:spacing w:after="0"/>
        <w:tabs>
          <w:tab w:leader="none" w:pos="4166" w:val="left"/>
        </w:tabs>
        <w:rPr>
          <w:sz w:val="20"/>
          <w:szCs w:val="20"/>
          <w:color w:val="auto"/>
        </w:rPr>
      </w:pPr>
      <w:r>
        <w:rPr>
          <w:rFonts w:ascii="Arial" w:cs="Arial" w:eastAsia="Arial" w:hAnsi="Arial"/>
          <w:sz w:val="16"/>
          <w:szCs w:val="16"/>
          <w:color w:val="auto"/>
        </w:rPr>
        <w:t>Attention:</w:t>
        <w:tab/>
        <w:t>Head of Corporate Division</w:t>
      </w:r>
    </w:p>
    <w:p>
      <w:pPr>
        <w:sectPr>
          <w:pgSz w:w="11900" w:h="16838" w:orient="portrait"/>
          <w:cols w:equalWidth="0" w:num="1">
            <w:col w:w="10806"/>
          </w:cols>
          <w:pgMar w:left="694" w:top="280" w:right="399" w:bottom="1440" w:gutter="0" w:footer="0" w:header="0"/>
        </w:sectPr>
      </w:pPr>
    </w:p>
    <w:p>
      <w:pPr>
        <w:spacing w:after="0" w:line="242" w:lineRule="exact"/>
        <w:rPr>
          <w:sz w:val="20"/>
          <w:szCs w:val="20"/>
          <w:color w:val="auto"/>
        </w:rPr>
      </w:pPr>
    </w:p>
    <w:p>
      <w:pPr>
        <w:ind w:left="466"/>
        <w:spacing w:after="0"/>
        <w:rPr>
          <w:sz w:val="20"/>
          <w:szCs w:val="20"/>
          <w:color w:val="auto"/>
        </w:rPr>
      </w:pPr>
      <w:r>
        <w:rPr>
          <w:rFonts w:ascii="Arial" w:cs="Arial" w:eastAsia="Arial" w:hAnsi="Arial"/>
          <w:sz w:val="16"/>
          <w:szCs w:val="16"/>
          <w:color w:val="auto"/>
        </w:rPr>
        <w:t>to any other Holder at: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such address as shall be notified to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Company pursuant to Section 9 above.</w:t>
      </w:r>
    </w:p>
    <w:p>
      <w:pPr>
        <w:spacing w:after="0" w:line="132" w:lineRule="exact"/>
        <w:rPr>
          <w:sz w:val="20"/>
          <w:szCs w:val="20"/>
          <w:color w:val="auto"/>
        </w:rPr>
      </w:pPr>
    </w:p>
    <w:p>
      <w:pPr>
        <w:sectPr>
          <w:pgSz w:w="11900" w:h="16838" w:orient="portrait"/>
          <w:cols w:equalWidth="0" w:num="2">
            <w:col w:w="2526" w:space="720"/>
            <w:col w:w="7560"/>
          </w:cols>
          <w:pgMar w:left="694" w:top="280" w:right="399" w:bottom="1440" w:gutter="0" w:footer="0" w:header="0"/>
          <w:type w:val="continuous"/>
        </w:sectPr>
      </w:pPr>
    </w:p>
    <w:p>
      <w:pPr>
        <w:ind w:left="446" w:hanging="446"/>
        <w:spacing w:after="0" w:line="268"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50"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62" w:lineRule="exact"/>
        <w:rPr>
          <w:rFonts w:ascii="Arial" w:cs="Arial" w:eastAsia="Arial" w:hAnsi="Arial"/>
          <w:sz w:val="18"/>
          <w:szCs w:val="18"/>
          <w:color w:val="auto"/>
        </w:rPr>
      </w:pPr>
    </w:p>
    <w:p>
      <w:pPr>
        <w:ind w:left="446" w:right="160" w:hanging="446"/>
        <w:spacing w:after="0" w:line="306"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25" w:lineRule="exact"/>
        <w:rPr>
          <w:rFonts w:ascii="Arial" w:cs="Arial" w:eastAsia="Arial" w:hAnsi="Arial"/>
          <w:sz w:val="16"/>
          <w:szCs w:val="16"/>
          <w:color w:val="auto"/>
        </w:rPr>
      </w:pPr>
    </w:p>
    <w:p>
      <w:pPr>
        <w:ind w:left="446" w:right="260" w:hanging="446"/>
        <w:spacing w:after="0" w:line="259"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shall not limit or otherwise affect the meaning hereof.</w:t>
      </w:r>
    </w:p>
    <w:p>
      <w:pPr>
        <w:spacing w:after="0" w:line="90" w:lineRule="exact"/>
        <w:rPr>
          <w:rFonts w:ascii="Arial" w:cs="Arial" w:eastAsia="Arial" w:hAnsi="Arial"/>
          <w:sz w:val="18"/>
          <w:szCs w:val="18"/>
          <w:color w:val="auto"/>
        </w:rPr>
      </w:pPr>
    </w:p>
    <w:p>
      <w:pPr>
        <w:jc w:val="both"/>
        <w:ind w:left="446" w:right="100" w:hanging="446"/>
        <w:spacing w:after="0" w:line="259"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59" w:lineRule="exact"/>
        <w:rPr>
          <w:rFonts w:ascii="Arial" w:cs="Arial" w:eastAsia="Arial" w:hAnsi="Arial"/>
          <w:sz w:val="18"/>
          <w:szCs w:val="18"/>
          <w:color w:val="auto"/>
        </w:rPr>
      </w:pPr>
    </w:p>
    <w:p>
      <w:pPr>
        <w:jc w:val="both"/>
        <w:ind w:left="446" w:right="240" w:hanging="446"/>
        <w:spacing w:after="0" w:line="306"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party shall do and perform, or cause to be done and performed, all such further acts and things, and shall execute and deliver all such other agreements, certificates, instruments and documents, as another party may reasonably request in order to carry out the intent and accomplish the purposes of this Agreement and the consummation of the transactions contemplated hereby.</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1"/>
          <w:numId w:val="57"/>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806"/>
          </w:cols>
          <w:pgMar w:left="694" w:top="280" w:right="399" w:bottom="1440" w:gutter="0" w:footer="0" w:header="0"/>
          <w:type w:val="continuous"/>
        </w:sectPr>
      </w:pPr>
    </w:p>
    <w:bookmarkStart w:id="47" w:name="page48"/>
    <w:bookmarkEnd w:id="47"/>
    <w:p>
      <w:pPr>
        <w:ind w:left="900" w:right="3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language used in this Agreement will be deemed to be the language chosen by the parties to express their mutual intent and no rules of strict construction will be applied against any party.</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WITNESS WHEREOF, the parties have caused this amended and restated Registration Rights Agreement to be duly executed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Oren Shirazi</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89"/>
              </w:rPr>
              <w:t>Oren Shirazi</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Acting VP &amp; CFO</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Yoram Glatt</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89"/>
              </w:rPr>
              <w:t>Yoram Glatt</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jc w:val="center"/>
              <w:spacing w:after="0"/>
              <w:rPr>
                <w:sz w:val="20"/>
                <w:szCs w:val="20"/>
                <w:color w:val="auto"/>
              </w:rPr>
            </w:pPr>
            <w:r>
              <w:rPr>
                <w:rFonts w:ascii="Arial" w:cs="Arial" w:eastAsia="Arial" w:hAnsi="Arial"/>
                <w:sz w:val="18"/>
                <w:szCs w:val="18"/>
                <w:color w:val="auto"/>
                <w:w w:val="84"/>
              </w:rPr>
              <w:t>Treasurer</w:t>
            </w:r>
          </w:p>
        </w:tc>
      </w:tr>
      <w:tr>
        <w:trPr>
          <w:trHeight w:val="419"/>
        </w:trPr>
        <w:tc>
          <w:tcPr>
            <w:tcW w:w="4560" w:type="dxa"/>
            <w:vAlign w:val="bottom"/>
            <w:gridSpan w:val="2"/>
          </w:tcPr>
          <w:p>
            <w:pPr>
              <w:spacing w:after="0"/>
              <w:rPr>
                <w:sz w:val="20"/>
                <w:szCs w:val="20"/>
                <w:color w:val="auto"/>
              </w:rPr>
            </w:pPr>
            <w:r>
              <w:rPr>
                <w:rFonts w:ascii="Arial" w:cs="Arial" w:eastAsia="Arial" w:hAnsi="Arial"/>
                <w:sz w:val="18"/>
                <w:szCs w:val="18"/>
                <w:color w:val="auto"/>
              </w:rPr>
              <w:t>BANK HAPOALIM B.M.</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Erez Francis</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87"/>
              </w:rPr>
              <w:t>Erez Francis</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jc w:val="center"/>
              <w:spacing w:after="0"/>
              <w:rPr>
                <w:sz w:val="20"/>
                <w:szCs w:val="20"/>
                <w:color w:val="auto"/>
              </w:rPr>
            </w:pPr>
            <w:r>
              <w:rPr>
                <w:rFonts w:ascii="Arial" w:cs="Arial" w:eastAsia="Arial" w:hAnsi="Arial"/>
                <w:sz w:val="18"/>
                <w:szCs w:val="18"/>
                <w:color w:val="auto"/>
                <w:w w:val="87"/>
              </w:rPr>
              <w:t>Customer Relations Manager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Liat Konforty</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line="203" w:lineRule="exact"/>
              <w:rPr>
                <w:sz w:val="20"/>
                <w:szCs w:val="20"/>
                <w:color w:val="auto"/>
              </w:rPr>
            </w:pPr>
            <w:r>
              <w:rPr>
                <w:rFonts w:ascii="Arial" w:cs="Arial" w:eastAsia="Arial" w:hAnsi="Arial"/>
                <w:sz w:val="18"/>
                <w:szCs w:val="18"/>
                <w:color w:val="auto"/>
                <w:w w:val="96"/>
              </w:rPr>
              <w:t>Liat Konforty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AGREEMENT</w:t>
      </w:r>
    </w:p>
    <w:p>
      <w:pPr>
        <w:spacing w:after="0" w:line="171"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color w:val="auto"/>
        </w:rPr>
        <w:t>This Conversion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25 2008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a company organized under the laws of the State of Israel and BANK HAPOALIM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32"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74" w:lineRule="exact"/>
        <w:rPr>
          <w:sz w:val="20"/>
          <w:szCs w:val="20"/>
          <w:color w:val="auto"/>
        </w:rPr>
      </w:pPr>
    </w:p>
    <w:p>
      <w:pPr>
        <w:ind w:right="180" w:firstLine="456"/>
        <w:spacing w:after="0" w:line="378" w:lineRule="auto"/>
        <w:rPr>
          <w:sz w:val="20"/>
          <w:szCs w:val="20"/>
          <w:color w:val="auto"/>
        </w:rPr>
      </w:pPr>
      <w:r>
        <w:rPr>
          <w:rFonts w:ascii="Arial" w:cs="Arial" w:eastAsia="Arial" w:hAnsi="Arial"/>
          <w:sz w:val="15"/>
          <w:szCs w:val="15"/>
          <w:color w:val="auto"/>
        </w:rPr>
        <w:t>WHEREAS, the Bank and Bank Leumi Le-Israel B.M. (collectively, the “</w:t>
      </w:r>
      <w:r>
        <w:rPr>
          <w:rFonts w:ascii="Arial" w:cs="Arial" w:eastAsia="Arial" w:hAnsi="Arial"/>
          <w:sz w:val="15"/>
          <w:szCs w:val="15"/>
          <w:b w:val="1"/>
          <w:bCs w:val="1"/>
          <w:color w:val="auto"/>
        </w:rPr>
        <w:t>Banks</w:t>
      </w:r>
      <w:r>
        <w:rPr>
          <w:rFonts w:ascii="Arial" w:cs="Arial" w:eastAsia="Arial" w:hAnsi="Arial"/>
          <w:sz w:val="15"/>
          <w:szCs w:val="15"/>
          <w:color w:val="auto"/>
        </w:rPr>
        <w:t>”) and Tower are parties to a Facility Agreement dated January 18, 2001, as amended and restated on August 24, 2006 and as further amended by Amendment No. 1 thereto dated September 10, 2007 (the “</w:t>
      </w:r>
      <w:r>
        <w:rPr>
          <w:rFonts w:ascii="Arial" w:cs="Arial" w:eastAsia="Arial" w:hAnsi="Arial"/>
          <w:sz w:val="15"/>
          <w:szCs w:val="15"/>
          <w:b w:val="1"/>
          <w:bCs w:val="1"/>
          <w:color w:val="auto"/>
        </w:rPr>
        <w:t>Facility Agreement</w:t>
      </w:r>
      <w:r>
        <w:rPr>
          <w:rFonts w:ascii="Arial" w:cs="Arial" w:eastAsia="Arial" w:hAnsi="Arial"/>
          <w:sz w:val="15"/>
          <w:szCs w:val="15"/>
          <w:color w:val="auto"/>
        </w:rPr>
        <w:t>”); and</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WHEREAS, at the request of Tower, the Banks and Tower have entered into an Amending Agreement dated September 25, 2008 (the “</w:t>
      </w:r>
      <w:r>
        <w:rPr>
          <w:rFonts w:ascii="Arial" w:cs="Arial" w:eastAsia="Arial" w:hAnsi="Arial"/>
          <w:sz w:val="16"/>
          <w:szCs w:val="16"/>
          <w:b w:val="1"/>
          <w:bCs w:val="1"/>
          <w:color w:val="auto"/>
        </w:rPr>
        <w:t>Amending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conditions to the effectiveness of which include,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by each Bank of US $100,000,000 (one hundred million US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of its loans made to Tower pursuant to the Facility Agreement and pursuant to an Equipment Facility Agreement dated September 10, 2007 (the “</w:t>
      </w:r>
      <w:r>
        <w:rPr>
          <w:rFonts w:ascii="Arial" w:cs="Arial" w:eastAsia="Arial" w:hAnsi="Arial"/>
          <w:sz w:val="16"/>
          <w:szCs w:val="16"/>
          <w:b w:val="1"/>
          <w:bCs w:val="1"/>
          <w:color w:val="auto"/>
        </w:rPr>
        <w:t>Loans</w:t>
      </w:r>
      <w:r>
        <w:rPr>
          <w:rFonts w:ascii="Arial" w:cs="Arial" w:eastAsia="Arial" w:hAnsi="Arial"/>
          <w:sz w:val="16"/>
          <w:szCs w:val="16"/>
          <w:color w:val="auto"/>
        </w:rPr>
        <w:t>”) into a convertible capital note to be issued to the Bank (a “</w:t>
      </w:r>
      <w:r>
        <w:rPr>
          <w:rFonts w:ascii="Arial" w:cs="Arial" w:eastAsia="Arial" w:hAnsi="Arial"/>
          <w:sz w:val="16"/>
          <w:szCs w:val="16"/>
          <w:b w:val="1"/>
          <w:bCs w:val="1"/>
          <w:color w:val="auto"/>
        </w:rPr>
        <w:t>Capital Note</w:t>
      </w:r>
      <w:r>
        <w:rPr>
          <w:rFonts w:ascii="Arial" w:cs="Arial" w:eastAsia="Arial" w:hAnsi="Arial"/>
          <w:sz w:val="16"/>
          <w:szCs w:val="16"/>
          <w:color w:val="auto"/>
        </w:rPr>
        <w:t>”) in the amount of US $100,000,000 (one hundred million US dollars) which will in turn be convertible, in whole or in part, by the Bank at any time and from time to time into 70,422,535 (seventy million, four hundred and twenty-two thousand, five hundred and thirty-five) ordinary shares of Tower at a conversion price of US $1.42 (one US dollar and forty-two cents) per share (such number of shares and conversion price, in each case, subject to adjustment from time to time as provided in the Capital Note) and the entering into by the Bank and Tower of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and of this Agreement, in each case, on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prior to the date hereof, Jazz Technologies, Inc. and its subsidiaries have become subsidiaries (as defined below), of Tower,</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07"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1.1. As used in Sections 3.8 and 5.1 of this Agreement:</w:t>
      </w:r>
    </w:p>
    <w:p>
      <w:pPr>
        <w:spacing w:after="0" w:line="206" w:lineRule="exact"/>
        <w:rPr>
          <w:sz w:val="20"/>
          <w:szCs w:val="20"/>
          <w:color w:val="auto"/>
        </w:rPr>
      </w:pPr>
    </w:p>
    <w:p>
      <w:pPr>
        <w:ind w:left="900" w:right="60" w:hanging="445"/>
        <w:spacing w:after="0" w:line="258"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xml:space="preserve">” or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(i) direct or indirect ownership of, or power to vote, 25% (twenty-five percent) or more of a class of voting securities of a person; (ii) the power to elect a majority of the directors or trustees of a person; or (iii) the possession direct or indirect, of the power to direct or cause the direction of the management and policies of a person, whether through the ownership of voting securities, by contract or otherwise; and</w:t>
      </w:r>
    </w:p>
    <w:p>
      <w:pPr>
        <w:sectPr>
          <w:pgSz w:w="11900" w:h="16838" w:orient="portrait"/>
          <w:cols w:equalWidth="0" w:num="1">
            <w:col w:w="11420"/>
          </w:cols>
          <w:pgMar w:left="240" w:top="125" w:right="239" w:bottom="1440" w:gutter="0" w:footer="0" w:header="0"/>
        </w:sectPr>
      </w:pPr>
    </w:p>
    <w:bookmarkStart w:id="49" w:name="page50"/>
    <w:bookmarkEnd w:id="49"/>
    <w:p>
      <w:pPr>
        <w:ind w:left="900" w:right="400" w:hanging="445"/>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1.1.2. “</w:t>
      </w:r>
      <w:r>
        <w:rPr>
          <w:rFonts w:ascii="Arial" w:cs="Arial" w:eastAsia="Arial" w:hAnsi="Arial"/>
          <w:sz w:val="16"/>
          <w:szCs w:val="16"/>
          <w:b w:val="1"/>
          <w:bCs w:val="1"/>
          <w:color w:val="auto"/>
        </w:rPr>
        <w:t>subsidiary</w:t>
      </w:r>
      <w:r>
        <w:rPr>
          <w:rFonts w:ascii="Arial" w:cs="Arial" w:eastAsia="Arial" w:hAnsi="Arial"/>
          <w:sz w:val="16"/>
          <w:szCs w:val="16"/>
          <w:color w:val="auto"/>
        </w:rPr>
        <w:t>” of a person means any company which is otherwise directly or indirectly controlled by such person. For the avoidance of doubt, a subsidiary need not be consolidated for financial statement purposes with such person in order to be deemed a subsidiary in this Agreement.</w:t>
      </w:r>
    </w:p>
    <w:p>
      <w:pPr>
        <w:spacing w:after="0" w:line="80" w:lineRule="exact"/>
        <w:rPr>
          <w:sz w:val="20"/>
          <w:szCs w:val="20"/>
          <w:color w:val="auto"/>
        </w:rPr>
      </w:pPr>
    </w:p>
    <w:p>
      <w:pPr>
        <w:jc w:val="both"/>
        <w:ind w:right="680"/>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Except as otherwise defined herein, terms and expressions defined in the Facility Agreement as amended and restated by the Amended Agreement (the </w:t>
      </w:r>
      <w:r>
        <w:rPr>
          <w:rFonts w:ascii="Arial" w:cs="Arial" w:eastAsia="Arial" w:hAnsi="Arial"/>
          <w:sz w:val="16"/>
          <w:szCs w:val="16"/>
          <w:b w:val="1"/>
          <w:bCs w:val="1"/>
          <w:color w:val="auto"/>
        </w:rPr>
        <w:t>“Restated Facility Agreement”</w:t>
      </w:r>
      <w:r>
        <w:rPr>
          <w:rFonts w:ascii="Arial" w:cs="Arial" w:eastAsia="Arial" w:hAnsi="Arial"/>
          <w:sz w:val="16"/>
          <w:szCs w:val="16"/>
          <w:color w:val="auto"/>
        </w:rPr>
        <w:t>) shall have the same meanings when used in this Agreement and all provisions of the Restated Facility Agreement concerning matters of construction and interpretation shall apply to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Preamble</w:t>
      </w:r>
      <w:r>
        <w:rPr>
          <w:rFonts w:ascii="Arial" w:cs="Arial" w:eastAsia="Arial" w:hAnsi="Arial"/>
          <w:sz w:val="18"/>
          <w:szCs w:val="18"/>
          <w:color w:val="auto"/>
        </w:rPr>
        <w:t>. The preamble to this Agreement constitutes an integral part thereof.</w:t>
      </w:r>
    </w:p>
    <w:p>
      <w:pPr>
        <w:spacing w:after="0" w:line="246" w:lineRule="exact"/>
        <w:rPr>
          <w:sz w:val="20"/>
          <w:szCs w:val="20"/>
          <w:color w:val="auto"/>
        </w:rPr>
      </w:pPr>
    </w:p>
    <w:p>
      <w:pPr>
        <w:ind w:right="5260" w:firstLine="8"/>
        <w:spacing w:after="0" w:line="369" w:lineRule="auto"/>
        <w:tabs>
          <w:tab w:leader="none" w:pos="17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Conversion of Loan and Issue of Capital Note on the Amendment Closing Date. </w:t>
      </w:r>
      <w:r>
        <w:rPr>
          <w:rFonts w:ascii="Arial" w:cs="Arial" w:eastAsia="Arial" w:hAnsi="Arial"/>
          <w:sz w:val="18"/>
          <w:szCs w:val="18"/>
          <w:color w:val="auto"/>
        </w:rPr>
        <w:t>The Company hereby:</w:t>
      </w:r>
    </w:p>
    <w:p>
      <w:pPr>
        <w:spacing w:after="0" w:line="4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2.1. with effect as of the Amendment Closing Date, issues to the Bank, and the Bank hereby receives from the Company, in conversion of US $100,000,000 (one hundred million US dollars) of the Loans (being US $84,779,607 (eighty-four million, seven hundred and seventy-nine thousand, six hundred and seven US dollars) of Loans under the Facility Agreement and US $15,220,393 (fifteen million, two hundred and twenty thousand, three hundred and ninety-three</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US dollars) of Loans under the Equipment Facility Agreement), an executed Capital Note in the principal amount of US $100,000,000 (one hundred million US dollars) in the form attached as </w:t>
      </w:r>
      <w:r>
        <w:rPr>
          <w:rFonts w:ascii="Arial" w:cs="Arial" w:eastAsia="Arial" w:hAnsi="Arial"/>
          <w:sz w:val="18"/>
          <w:szCs w:val="18"/>
          <w:b w:val="1"/>
          <w:bCs w:val="1"/>
          <w:u w:val="single" w:color="auto"/>
          <w:color w:val="auto"/>
        </w:rPr>
        <w:t>Exhibit 1</w:t>
      </w:r>
      <w:r>
        <w:rPr>
          <w:rFonts w:ascii="Arial" w:cs="Arial" w:eastAsia="Arial" w:hAnsi="Arial"/>
          <w:sz w:val="18"/>
          <w:szCs w:val="18"/>
          <w:color w:val="auto"/>
        </w:rPr>
        <w:t xml:space="preserve"> hereto. For the avoidance of doubt (i) as of the Amendment Closing Date, the principal amount of Loans outstanding and owed by Tower to the Banks shall be as set forth in the second sentence of clause 2.1 of the Restated Facility Agreement and (ii) there shall be no further amounts (principal or interest) payable by the Company under the Equipment Facility Agreement referred to above and the Equipment Facility Agreement shall be terminated as at the Amendment Closing Date;</w:t>
      </w:r>
    </w:p>
    <w:p>
      <w:pPr>
        <w:spacing w:after="0" w:line="1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2.2. furnishes to the Bank a copy of the approval of the TASE for listing the 70,422,535 (seventy million, four hundred and twenty-two thousand, five hundred and thirty-five) shares issuable upon conversion of said Capital Note;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2.3. confirms that the Company has recorded such issuance of the Capital Note in the name of Bank on the records of the Company.</w:t>
      </w:r>
    </w:p>
    <w:p>
      <w:pPr>
        <w:spacing w:after="0" w:line="246"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represents and warrants to the Bank on the Amendment Closing Date as follows:</w:t>
      </w:r>
    </w:p>
    <w:p>
      <w:pPr>
        <w:spacing w:after="0" w:line="17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 Capital</w:t>
      </w:r>
      <w:r>
        <w:rPr>
          <w:rFonts w:ascii="Arial" w:cs="Arial" w:eastAsia="Arial" w:hAnsi="Arial"/>
          <w:sz w:val="18"/>
          <w:szCs w:val="18"/>
          <w:color w:val="auto"/>
        </w:rPr>
        <w:t>. All issued and outstanding share capital of the Company has been duly authorized and is validly issued. The shares to be issued upon conversion of any Capital Note issued pursuant to this Agreement (the “</w:t>
      </w:r>
      <w:r>
        <w:rPr>
          <w:rFonts w:ascii="Arial" w:cs="Arial" w:eastAsia="Arial" w:hAnsi="Arial"/>
          <w:sz w:val="18"/>
          <w:szCs w:val="18"/>
          <w:b w:val="1"/>
          <w:bCs w:val="1"/>
          <w:color w:val="auto"/>
        </w:rPr>
        <w:t>Conversion Shares</w:t>
      </w:r>
      <w:r>
        <w:rPr>
          <w:rFonts w:ascii="Arial" w:cs="Arial" w:eastAsia="Arial" w:hAnsi="Arial"/>
          <w:sz w:val="18"/>
          <w:szCs w:val="18"/>
          <w:color w:val="auto"/>
        </w:rPr>
        <w:t>”) are duly authorized and reserved for issuance by the Company and, when issued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4" w:right="279" w:bottom="1440" w:gutter="0" w:footer="0" w:header="0"/>
        </w:sectPr>
      </w:pPr>
    </w:p>
    <w:bookmarkStart w:id="50" w:name="page51"/>
    <w:bookmarkEnd w:id="5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the terms of such Capital Note will be validly issued, fully paid, nonassessable and not subject to any pledge, lien or restriction on transfer, except for restrictions on transfer imposed by applicable securities laws. The entering into and performance of this Agreement and the issuance of any shares, or Capital Notes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execution, delivery and performance of this Agreement and the issuance of any shares, Capital Notes,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or shares. This Agreement and all Capital Notes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Cross-Default</w:t>
      </w:r>
      <w:r>
        <w:rPr>
          <w:rFonts w:ascii="Arial" w:cs="Arial" w:eastAsia="Arial" w:hAnsi="Arial"/>
          <w:sz w:val="18"/>
          <w:szCs w:val="18"/>
          <w:color w:val="auto"/>
        </w:rPr>
        <w:t>. No Default or Event of Default exists under the Facility Agreement.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 matter of this Agreement.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Brokers</w:t>
      </w:r>
      <w:r>
        <w:rPr>
          <w:rFonts w:ascii="Arial" w:cs="Arial" w:eastAsia="Arial" w:hAnsi="Arial"/>
          <w:sz w:val="18"/>
          <w:szCs w:val="18"/>
          <w:color w:val="auto"/>
        </w:rPr>
        <w:t>. Tower has not engaged any broker or finder in connection with the transactions contemplated by this Agreement, and no broker or other person is entitled to any commission or finder’s fee in connection with such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8"/>
          <w:szCs w:val="18"/>
          <w:u w:val="single" w:color="auto"/>
          <w:color w:val="auto"/>
        </w:rPr>
        <w:t>Activities in the United States</w:t>
      </w:r>
      <w:r>
        <w:rPr>
          <w:rFonts w:ascii="Arial" w:cs="Arial" w:eastAsia="Arial" w:hAnsi="Arial"/>
          <w:sz w:val="18"/>
          <w:szCs w:val="18"/>
          <w:color w:val="auto"/>
        </w:rPr>
        <w:t>.</w:t>
      </w:r>
    </w:p>
    <w:p>
      <w:pPr>
        <w:spacing w:after="0" w:line="90" w:lineRule="exact"/>
        <w:rPr>
          <w:sz w:val="20"/>
          <w:szCs w:val="20"/>
          <w:color w:val="auto"/>
        </w:rPr>
      </w:pPr>
    </w:p>
    <w:p>
      <w:pPr>
        <w:ind w:left="900" w:right="80" w:hanging="445"/>
        <w:spacing w:after="0" w:line="357" w:lineRule="auto"/>
        <w:rPr>
          <w:sz w:val="20"/>
          <w:szCs w:val="20"/>
          <w:color w:val="auto"/>
        </w:rPr>
      </w:pPr>
      <w:r>
        <w:rPr>
          <w:rFonts w:ascii="Arial" w:cs="Arial" w:eastAsia="Arial" w:hAnsi="Arial"/>
          <w:sz w:val="15"/>
          <w:szCs w:val="15"/>
          <w:color w:val="auto"/>
        </w:rPr>
        <w:t>3.8.1. 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ind w:left="460"/>
        <w:spacing w:after="0"/>
        <w:rPr>
          <w:sz w:val="20"/>
          <w:szCs w:val="20"/>
          <w:color w:val="auto"/>
        </w:rPr>
      </w:pPr>
      <w:r>
        <w:rPr>
          <w:rFonts w:ascii="Arial" w:cs="Arial" w:eastAsia="Arial" w:hAnsi="Arial"/>
          <w:sz w:val="16"/>
          <w:szCs w:val="16"/>
          <w:color w:val="auto"/>
        </w:rPr>
        <w:t>3.8.2. More than 50% (fifty percent) of the consolidated revenues of the Company as shown or would be shown on its consolidated financial statements</w:t>
      </w:r>
    </w:p>
    <w:p>
      <w:pPr>
        <w:spacing w:after="0" w:line="38" w:lineRule="exact"/>
        <w:rPr>
          <w:sz w:val="20"/>
          <w:szCs w:val="20"/>
          <w:color w:val="auto"/>
        </w:rPr>
      </w:pPr>
    </w:p>
    <w:p>
      <w:pPr>
        <w:ind w:left="900" w:right="260" w:hanging="1"/>
        <w:spacing w:after="0" w:line="261" w:lineRule="auto"/>
        <w:tabs>
          <w:tab w:leader="none" w:pos="1139"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the immediately preceding calendar year; and (b) during the current calendar year to date, in each case, are derived from outside the United States.</w:t>
      </w:r>
    </w:p>
    <w:p>
      <w:pPr>
        <w:spacing w:after="0" w:line="57" w:lineRule="exact"/>
        <w:rPr>
          <w:sz w:val="20"/>
          <w:szCs w:val="20"/>
          <w:color w:val="auto"/>
        </w:rPr>
      </w:pPr>
    </w:p>
    <w:p>
      <w:pPr>
        <w:ind w:left="900" w:right="20" w:hanging="445"/>
        <w:spacing w:after="0" w:line="289" w:lineRule="auto"/>
        <w:rPr>
          <w:sz w:val="20"/>
          <w:szCs w:val="20"/>
          <w:color w:val="auto"/>
        </w:rPr>
      </w:pPr>
      <w:r>
        <w:rPr>
          <w:rFonts w:ascii="Arial" w:cs="Arial" w:eastAsia="Arial" w:hAnsi="Arial"/>
          <w:sz w:val="16"/>
          <w:szCs w:val="16"/>
          <w:color w:val="auto"/>
        </w:rPr>
        <w:t>3.8.3. For the purposes of Section 3.8.1, Section 3.8.2, Section 5.1.1, Section 5.1.2, Section 5.1.6, Section 5.1.7 and Section 6.6 herein, assets and revenues of the Company will be deemed to be located or derived from “outside the United States” if they are recorded on the books of the Company or of any subsidiaries of the Company incorporated outside the United States (“</w:t>
      </w:r>
      <w:r>
        <w:rPr>
          <w:rFonts w:ascii="Arial" w:cs="Arial" w:eastAsia="Arial" w:hAnsi="Arial"/>
          <w:sz w:val="16"/>
          <w:szCs w:val="16"/>
          <w:b w:val="1"/>
          <w:bCs w:val="1"/>
          <w:color w:val="auto"/>
        </w:rPr>
        <w:t>Non-U.S. Subsidiaries</w:t>
      </w:r>
      <w:r>
        <w:rPr>
          <w:rFonts w:ascii="Arial" w:cs="Arial" w:eastAsia="Arial" w:hAnsi="Arial"/>
          <w:sz w:val="16"/>
          <w:szCs w:val="16"/>
          <w:color w:val="auto"/>
        </w:rPr>
        <w:t>”) (provided that such revenues are not recorded on the books of any offices of the Company or of its Non-U.S. Subsidiaries located in the United States (“</w:t>
      </w:r>
      <w:r>
        <w:rPr>
          <w:rFonts w:ascii="Arial" w:cs="Arial" w:eastAsia="Arial" w:hAnsi="Arial"/>
          <w:sz w:val="16"/>
          <w:szCs w:val="16"/>
          <w:b w:val="1"/>
          <w:bCs w:val="1"/>
          <w:color w:val="auto"/>
        </w:rPr>
        <w:t>U.S. Offices</w:t>
      </w:r>
      <w:r>
        <w:rPr>
          <w:rFonts w:ascii="Arial" w:cs="Arial" w:eastAsia="Arial" w:hAnsi="Arial"/>
          <w:sz w:val="16"/>
          <w:szCs w:val="16"/>
          <w:color w:val="auto"/>
        </w:rPr>
        <w:t>”)) and will be deemed to be located in or derived from the United States if they are recorded on the books of any U.S. Offices or of any subsidiaries of the Company incorporated in the United States (“</w:t>
      </w:r>
      <w:r>
        <w:rPr>
          <w:rFonts w:ascii="Arial" w:cs="Arial" w:eastAsia="Arial" w:hAnsi="Arial"/>
          <w:sz w:val="16"/>
          <w:szCs w:val="16"/>
          <w:b w:val="1"/>
          <w:bCs w:val="1"/>
          <w:color w:val="auto"/>
        </w:rPr>
        <w:t>U.S. Subsidiaries</w:t>
      </w:r>
      <w:r>
        <w:rPr>
          <w:rFonts w:ascii="Arial" w:cs="Arial" w:eastAsia="Arial" w:hAnsi="Arial"/>
          <w:sz w:val="16"/>
          <w:szCs w:val="16"/>
          <w:color w:val="auto"/>
        </w:rPr>
        <w:t>”). By way of example, revenues recorded on the books of the Company itself (but not on the books of any U.S. Offices) will be considered revenues derived from outside the United States, even if the revenues derive from a sale of the Company’s products to a U.S. person and even if the Company’s U.S. Subsidiary was involved in marketing, sales or post-sales support efforts.</w:t>
      </w:r>
    </w:p>
    <w:p>
      <w:pPr>
        <w:spacing w:after="0" w:line="37" w:lineRule="exact"/>
        <w:rPr>
          <w:sz w:val="20"/>
          <w:szCs w:val="20"/>
          <w:color w:val="auto"/>
        </w:rPr>
      </w:pPr>
    </w:p>
    <w:p>
      <w:pPr>
        <w:ind w:left="900" w:right="180" w:hanging="445"/>
        <w:spacing w:after="0" w:line="286" w:lineRule="auto"/>
        <w:rPr>
          <w:sz w:val="20"/>
          <w:szCs w:val="20"/>
          <w:color w:val="auto"/>
        </w:rPr>
      </w:pPr>
      <w:r>
        <w:rPr>
          <w:rFonts w:ascii="Arial" w:cs="Arial" w:eastAsia="Arial" w:hAnsi="Arial"/>
          <w:sz w:val="16"/>
          <w:szCs w:val="16"/>
          <w:color w:val="auto"/>
        </w:rPr>
        <w:t>3.8.4. The activities, if any, of the Company and its Non-U.S. Subsidiaries within the United States and the activities of all U.S. Subsidiaries are the same kind as or support the Company’s or its Non-U.S. Subsidiaries’ activities outside of the United States. For purposes of this Section 3.8.4,</w:t>
      </w:r>
    </w:p>
    <w:p>
      <w:pPr>
        <w:ind w:left="900"/>
        <w:spacing w:after="0" w:line="302" w:lineRule="auto"/>
        <w:rPr>
          <w:sz w:val="20"/>
          <w:szCs w:val="20"/>
          <w:color w:val="auto"/>
        </w:rPr>
      </w:pPr>
      <w:r>
        <w:rPr>
          <w:rFonts w:ascii="Arial" w:cs="Arial" w:eastAsia="Arial" w:hAnsi="Arial"/>
          <w:sz w:val="16"/>
          <w:szCs w:val="16"/>
          <w:color w:val="auto"/>
        </w:rPr>
        <w:t>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28"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3.8.5. Neither the Company nor any of its subsidiaries conducts activities in the United States that consist of engaging in the business of banking, securities, insurance or real estate.</w:t>
      </w:r>
    </w:p>
    <w:p>
      <w:pPr>
        <w:spacing w:after="0" w:line="51"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3.8.6. Neither the Company nor any of its subsidiaries engages, nor do either own more than 5% (five percent) of a class of voting securities of a person that engages, in the business of securities underwriting or distribution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52" w:name="page53"/>
    <w:bookmarkEnd w:id="52"/>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 The Company acknowledges that the Bank is acquiring the Capital Notes on the Amendment Closing Date in full reliance upon the representations and warranties made by the Company in this Agreement, including in Section 3.8 above.</w:t>
      </w:r>
    </w:p>
    <w:p>
      <w:pPr>
        <w:spacing w:after="0" w:line="207"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Bank</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Bank hereby represents and warrants to the Company that it:</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4.1. is acquiring the securities issued and to be issued to the Bank pursuant to this Agreement for investment and not with a view to distribution without registration under the U.S.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4.3. understands that none of the Capital Notes issued and to be issued under this Agreement have been, or will be, registered under the Securities Act, or the laws of any jurisdiction;</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159" w:lineRule="exact"/>
        <w:rPr>
          <w:sz w:val="20"/>
          <w:szCs w:val="20"/>
          <w:color w:val="auto"/>
        </w:rPr>
      </w:pPr>
    </w:p>
    <w:p>
      <w:pPr>
        <w:ind w:right="160" w:firstLine="456"/>
        <w:spacing w:after="0" w:line="244"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avoidance of doubt, nothing in this Section 4 shall derogate from the Company’s obligations under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220" w:right="340" w:hanging="212"/>
        <w:spacing w:after="0" w:line="243" w:lineRule="auto"/>
        <w:tabs>
          <w:tab w:leader="none" w:pos="220" w:val="left"/>
        </w:tabs>
        <w:numPr>
          <w:ilvl w:val="0"/>
          <w:numId w:val="64"/>
        </w:numPr>
        <w:rPr>
          <w:rFonts w:ascii="Arial" w:cs="Arial" w:eastAsia="Arial" w:hAnsi="Arial"/>
          <w:sz w:val="11"/>
          <w:szCs w:val="11"/>
          <w:color w:val="auto"/>
        </w:rPr>
      </w:pPr>
      <w:r>
        <w:rPr>
          <w:rFonts w:ascii="Arial" w:cs="Arial" w:eastAsia="Arial" w:hAnsi="Arial"/>
          <w:sz w:val="18"/>
          <w:szCs w:val="18"/>
          <w:color w:val="auto"/>
        </w:rPr>
        <w:t>Following the effective date of any registration statement covering the Conversion Shares or any of them, if applicable, bracketed language to be removed from future Capital Notes relating to such Conversion Shares and, at the request of the holder, a substitute Capital Note or Notes omitting the bracketed language will promptly be delivered to the holder.</w:t>
      </w:r>
    </w:p>
    <w:p>
      <w:pPr>
        <w:spacing w:after="0" w:line="127" w:lineRule="exact"/>
        <w:rPr>
          <w:rFonts w:ascii="Arial" w:cs="Arial" w:eastAsia="Arial" w:hAnsi="Arial"/>
          <w:sz w:val="11"/>
          <w:szCs w:val="11"/>
          <w:color w:val="auto"/>
        </w:rPr>
      </w:pPr>
    </w:p>
    <w:p>
      <w:pPr>
        <w:ind w:left="5680" w:hanging="112"/>
        <w:spacing w:after="0"/>
        <w:tabs>
          <w:tab w:leader="none" w:pos="56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80" w:right="259" w:bottom="1440" w:gutter="0" w:footer="0" w:header="0"/>
        </w:sectPr>
      </w:pPr>
    </w:p>
    <w:bookmarkStart w:id="53" w:name="page54"/>
    <w:bookmarkEnd w:id="53"/>
    <w:p>
      <w:pPr>
        <w:ind w:left="180" w:hanging="172"/>
        <w:spacing w:after="0"/>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Undertakings by the Company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Regulations—12 C.F.R. Section 225.2(q)) of the Company are beneficially owned by the Bank and/or its subsidiaries (for the avoidance of doubt, as defined in Section 1.1.2 above), the Company shall use its best efforts in order:</w:t>
      </w:r>
    </w:p>
    <w:p>
      <w:pPr>
        <w:spacing w:after="0" w:line="17" w:lineRule="exact"/>
        <w:rPr>
          <w:sz w:val="20"/>
          <w:szCs w:val="20"/>
          <w:color w:val="auto"/>
        </w:rPr>
      </w:pPr>
    </w:p>
    <w:p>
      <w:pPr>
        <w:ind w:left="900" w:right="340" w:hanging="445"/>
        <w:spacing w:after="0" w:line="268" w:lineRule="auto"/>
        <w:rPr>
          <w:sz w:val="20"/>
          <w:szCs w:val="20"/>
          <w:color w:val="auto"/>
        </w:rPr>
      </w:pPr>
      <w:r>
        <w:rPr>
          <w:rFonts w:ascii="Arial" w:cs="Arial" w:eastAsia="Arial" w:hAnsi="Arial"/>
          <w:sz w:val="18"/>
          <w:szCs w:val="18"/>
          <w:color w:val="auto"/>
        </w:rPr>
        <w:t>5.1.1. that more than 50% (fifty percent) of the consolidated assets of the Company as of December 31 of each calendar year are located outside of the United States (the “</w:t>
      </w:r>
      <w:r>
        <w:rPr>
          <w:rFonts w:ascii="Arial" w:cs="Arial" w:eastAsia="Arial" w:hAnsi="Arial"/>
          <w:sz w:val="18"/>
          <w:szCs w:val="18"/>
          <w:b w:val="1"/>
          <w:bCs w:val="1"/>
          <w:color w:val="auto"/>
        </w:rPr>
        <w:t>Asset Test</w:t>
      </w:r>
      <w:r>
        <w:rPr>
          <w:rFonts w:ascii="Arial" w:cs="Arial" w:eastAsia="Arial" w:hAnsi="Arial"/>
          <w:sz w:val="18"/>
          <w:szCs w:val="18"/>
          <w:color w:val="auto"/>
        </w:rPr>
        <w:t>”);</w:t>
      </w:r>
    </w:p>
    <w:p>
      <w:pPr>
        <w:spacing w:after="0" w:line="51"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5.1.2. that more than 50% (fifty percent) of the consolidated revenues of the Company as of December 31 of each calendar year are derived from outside the United States (the “</w:t>
      </w:r>
      <w:r>
        <w:rPr>
          <w:rFonts w:ascii="Arial" w:cs="Arial" w:eastAsia="Arial" w:hAnsi="Arial"/>
          <w:sz w:val="18"/>
          <w:szCs w:val="18"/>
          <w:b w:val="1"/>
          <w:bCs w:val="1"/>
          <w:color w:val="auto"/>
        </w:rPr>
        <w:t>Revenue Test</w:t>
      </w:r>
      <w:r>
        <w:rPr>
          <w:rFonts w:ascii="Arial" w:cs="Arial" w:eastAsia="Arial" w:hAnsi="Arial"/>
          <w:sz w:val="18"/>
          <w:szCs w:val="18"/>
          <w:color w:val="auto"/>
        </w:rPr>
        <w:t>”);</w:t>
      </w:r>
    </w:p>
    <w:p>
      <w:pPr>
        <w:spacing w:after="0" w:line="51"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5.1.3. that the activities of the Company within the United States and the activities of the U.S. Subsidiaries are of the same kind as or support the activities of the Company or its Non-U.S. Subsidiaries outside the United States (the “</w:t>
      </w:r>
      <w:r>
        <w:rPr>
          <w:rFonts w:ascii="Arial" w:cs="Arial" w:eastAsia="Arial" w:hAnsi="Arial"/>
          <w:sz w:val="18"/>
          <w:szCs w:val="18"/>
          <w:b w:val="1"/>
          <w:bCs w:val="1"/>
          <w:color w:val="auto"/>
        </w:rPr>
        <w:t>Same Line of Business Test</w:t>
      </w:r>
      <w:r>
        <w:rPr>
          <w:rFonts w:ascii="Arial" w:cs="Arial" w:eastAsia="Arial" w:hAnsi="Arial"/>
          <w:sz w:val="18"/>
          <w:szCs w:val="18"/>
          <w:color w:val="auto"/>
        </w:rPr>
        <w:t>”);</w:t>
      </w:r>
    </w:p>
    <w:p>
      <w:pPr>
        <w:spacing w:after="0" w:line="51"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5.1.4. that neither the Company nor any of its subsidiaries will conduct activities in the United States that consist of engaging in the business of banking, securities, insurance or real estate (the “</w:t>
      </w:r>
      <w:r>
        <w:rPr>
          <w:rFonts w:ascii="Arial" w:cs="Arial" w:eastAsia="Arial" w:hAnsi="Arial"/>
          <w:sz w:val="18"/>
          <w:szCs w:val="18"/>
          <w:b w:val="1"/>
          <w:bCs w:val="1"/>
          <w:color w:val="auto"/>
        </w:rPr>
        <w:t>Financial Activities Test</w:t>
      </w:r>
      <w:r>
        <w:rPr>
          <w:rFonts w:ascii="Arial" w:cs="Arial" w:eastAsia="Arial" w:hAnsi="Arial"/>
          <w:sz w:val="18"/>
          <w:szCs w:val="18"/>
          <w:color w:val="auto"/>
        </w:rPr>
        <w:t>”) (for the avoidance of doubt, nothing in the aforesaid shall derogate from the obligations of the Company under the Restated Facility Agreement);</w:t>
      </w:r>
    </w:p>
    <w:p>
      <w:pPr>
        <w:spacing w:after="0" w:line="59" w:lineRule="exact"/>
        <w:rPr>
          <w:sz w:val="20"/>
          <w:szCs w:val="20"/>
          <w:color w:val="auto"/>
        </w:rPr>
      </w:pPr>
    </w:p>
    <w:p>
      <w:pPr>
        <w:ind w:left="900" w:right="20" w:hanging="445"/>
        <w:spacing w:after="0" w:line="256" w:lineRule="auto"/>
        <w:rPr>
          <w:sz w:val="20"/>
          <w:szCs w:val="20"/>
          <w:color w:val="auto"/>
        </w:rPr>
      </w:pPr>
      <w:r>
        <w:rPr>
          <w:rFonts w:ascii="Arial" w:cs="Arial" w:eastAsia="Arial" w:hAnsi="Arial"/>
          <w:sz w:val="18"/>
          <w:szCs w:val="18"/>
          <w:color w:val="auto"/>
        </w:rPr>
        <w:t>5.1.5. not to engage, or permit any of its subsidiaries to engage, or to own or permit any of its subsidiaries to own more than 5% (five percent) of a class of voting securities of a person that engages, in the business of securities’ underwriting or distribution in the United States (the “</w:t>
      </w:r>
      <w:r>
        <w:rPr>
          <w:rFonts w:ascii="Arial" w:cs="Arial" w:eastAsia="Arial" w:hAnsi="Arial"/>
          <w:sz w:val="18"/>
          <w:szCs w:val="18"/>
          <w:b w:val="1"/>
          <w:bCs w:val="1"/>
          <w:color w:val="auto"/>
        </w:rPr>
        <w:t>No 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Test</w:t>
      </w:r>
      <w:r>
        <w:rPr>
          <w:rFonts w:ascii="Arial" w:cs="Arial" w:eastAsia="Arial" w:hAnsi="Arial"/>
          <w:sz w:val="18"/>
          <w:szCs w:val="18"/>
          <w:color w:val="auto"/>
        </w:rPr>
        <w:t>”) (for the avoidance of doubt, nothing in the aforesaid shall derogate from the obligations of the Company under the Restated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2" w:lineRule="exact"/>
        <w:rPr>
          <w:sz w:val="20"/>
          <w:szCs w:val="20"/>
          <w:color w:val="auto"/>
        </w:rPr>
      </w:pPr>
    </w:p>
    <w:p>
      <w:pPr>
        <w:ind w:left="900" w:hanging="445"/>
        <w:spacing w:after="0" w:line="298" w:lineRule="auto"/>
        <w:rPr>
          <w:sz w:val="20"/>
          <w:szCs w:val="20"/>
          <w:color w:val="auto"/>
        </w:rPr>
      </w:pPr>
      <w:r>
        <w:rPr>
          <w:rFonts w:ascii="Arial" w:cs="Arial" w:eastAsia="Arial" w:hAnsi="Arial"/>
          <w:sz w:val="16"/>
          <w:szCs w:val="16"/>
          <w:color w:val="auto"/>
        </w:rPr>
        <w:t>5.1.6. Nothing in Sections 5.1, 5.1.1, 5.1.2, 5.1.3, 5.1.4 or 5.1.5 above shall require the Company to prejudice the business or financial interests of the Company and the Company may take such actions or refrain from taking actions that may cause it not to satisfy the Asset Test, the Revenue Test, the Same Line of Business Test, the Financial Activities Test and/or the No Underwriting Test, provided that the taking of such actions, or refraining from taking such actions, are in the business or financial interests of the Company as reasonably determined by the Company;</w:t>
      </w:r>
    </w:p>
    <w:p>
      <w:pPr>
        <w:spacing w:after="0" w:line="32"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5.1.7. furnish to the Bank, as soon as practicable (and, in any event, within thirty (30) days after the end of each calendar year), a certificate of the Chief Financial Officer of the Company, in a form reasonably satisfactory to the Bank (i) confirming whether the Company is in compliance with each of the Asset Test, the Revenue Test, the Same Line of Business Test, the Financial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274" w:right="299" w:bottom="1440" w:gutter="0" w:footer="0" w:header="0"/>
        </w:sectPr>
      </w:pPr>
    </w:p>
    <w:bookmarkStart w:id="54" w:name="page55"/>
    <w:bookmarkEnd w:id="54"/>
    <w:p>
      <w:pPr>
        <w:ind w:left="920"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w:t>
      </w:r>
    </w:p>
    <w:p>
      <w:pPr>
        <w:spacing w:after="0" w:line="3" w:lineRule="exact"/>
        <w:rPr>
          <w:sz w:val="20"/>
          <w:szCs w:val="20"/>
          <w:color w:val="auto"/>
        </w:rPr>
      </w:pPr>
    </w:p>
    <w:p>
      <w:pPr>
        <w:ind w:left="920" w:right="880" w:hanging="7"/>
        <w:spacing w:after="0" w:line="261" w:lineRule="auto"/>
        <w:tabs>
          <w:tab w:leader="none" w:pos="11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and percentage of the consolidated assets of the Company located outside of the United States as of December 31 of such immediately preceding calendar year; and</w:t>
      </w:r>
    </w:p>
    <w:p>
      <w:pPr>
        <w:spacing w:after="0" w:line="57" w:lineRule="exact"/>
        <w:rPr>
          <w:sz w:val="20"/>
          <w:szCs w:val="20"/>
          <w:color w:val="auto"/>
        </w:rPr>
      </w:pPr>
    </w:p>
    <w:p>
      <w:pPr>
        <w:ind w:left="900" w:right="20" w:hanging="445"/>
        <w:spacing w:after="0" w:line="332" w:lineRule="auto"/>
        <w:rPr>
          <w:sz w:val="20"/>
          <w:szCs w:val="20"/>
          <w:color w:val="auto"/>
        </w:rPr>
      </w:pPr>
      <w:r>
        <w:rPr>
          <w:rFonts w:ascii="Arial" w:cs="Arial" w:eastAsia="Arial" w:hAnsi="Arial"/>
          <w:sz w:val="16"/>
          <w:szCs w:val="16"/>
          <w:color w:val="auto"/>
        </w:rPr>
        <w:t>5.1.8. furnish promptly to the Bank,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5.2. The Company shall fulfil all of its obligations under the Equity Documents, including the Capital Notes issued pursuant hereto and the under any registration rights agreement.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5.5. The Company undertakes not to issue Shares or Securities (as defined in the Securities Law, 1968) of the Company, save on market terms and conditions.</w:t>
      </w:r>
    </w:p>
    <w:p>
      <w:pPr>
        <w:spacing w:after="0" w:line="269"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55" w:name="page56"/>
    <w:bookmarkEnd w:id="5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the Bank may assign this Agreement, in whole or in part, to any Affiliate of the Bank or add an Affiliate of the Bank as an additional party hereto, Nothing in this Agreement shall be deemed to restrict the (a) transferability of the shares,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bear the expenses and costs of all the parties to the transactions contemplated hereby (including the fees and expenses of counsel to the Bank).</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1360"/>
          </w:cols>
          <w:pgMar w:left="240" w:top="280" w:right="299" w:bottom="1440" w:gutter="0" w:footer="0" w:header="0"/>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Bank:</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Corporate Division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Migdal Levenstein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Menachem Begin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(03) 567 2995</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Head of Corporate Division</w:t>
      </w:r>
    </w:p>
    <w:p>
      <w:pPr>
        <w:spacing w:after="0" w:line="111" w:lineRule="exact"/>
        <w:rPr>
          <w:sz w:val="20"/>
          <w:szCs w:val="20"/>
          <w:color w:val="auto"/>
        </w:rPr>
      </w:pPr>
    </w:p>
    <w:p>
      <w:pPr>
        <w:sectPr>
          <w:pgSz w:w="11900" w:h="16838" w:orient="portrait"/>
          <w:cols w:equalWidth="0" w:num="2">
            <w:col w:w="2800" w:space="720"/>
            <w:col w:w="7840"/>
          </w:cols>
          <w:pgMar w:left="240" w:top="280" w:right="29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Ramat Gavriel Industrial Area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 23105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972-4-6047242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Oren Shirazi, Acting CFO</w:t>
      </w:r>
    </w:p>
    <w:p>
      <w:pPr>
        <w:spacing w:after="0" w:line="134" w:lineRule="exact"/>
        <w:rPr>
          <w:sz w:val="20"/>
          <w:szCs w:val="20"/>
          <w:color w:val="auto"/>
        </w:rPr>
      </w:pPr>
    </w:p>
    <w:p>
      <w:pPr>
        <w:sectPr>
          <w:pgSz w:w="11900" w:h="16838" w:orient="portrait"/>
          <w:cols w:equalWidth="0" w:num="2">
            <w:col w:w="2800" w:space="720"/>
            <w:col w:w="7840"/>
          </w:cols>
          <w:pgMar w:left="240" w:top="280" w:right="29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shall not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Yigal Arnon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 67021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972-3-6087714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David Schapiro, Adv.</w:t>
      </w:r>
    </w:p>
    <w:p>
      <w:pPr>
        <w:spacing w:after="0" w:line="188" w:lineRule="exact"/>
        <w:rPr>
          <w:sz w:val="20"/>
          <w:szCs w:val="20"/>
          <w:color w:val="auto"/>
        </w:rPr>
      </w:pPr>
    </w:p>
    <w:p>
      <w:pPr>
        <w:sectPr>
          <w:pgSz w:w="11900" w:h="16838" w:orient="portrait"/>
          <w:cols w:equalWidth="0" w:num="2">
            <w:col w:w="2800" w:space="720"/>
            <w:col w:w="7840"/>
          </w:cols>
          <w:pgMar w:left="240" w:top="280" w:right="299" w:bottom="1440" w:gutter="0" w:footer="0" w:header="0"/>
          <w:type w:val="continuous"/>
        </w:sectPr>
      </w:pPr>
    </w:p>
    <w:p>
      <w:pPr>
        <w:ind w:right="220" w:firstLine="456"/>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upon any breach or default under this Agreement, shall be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280" w:right="299" w:bottom="1440" w:gutter="0" w:footer="0" w:header="0"/>
          <w:type w:val="continuous"/>
        </w:sectPr>
      </w:pPr>
    </w:p>
    <w:bookmarkStart w:id="56" w:name="page57"/>
    <w:bookmarkEnd w:id="56"/>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TOWER SEMICONDUCTOR LTD.</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BANK HAPOALIM B.M.</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Oren Shirazi</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Erez Francis</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Oren Shirazi</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Erez Francis</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Acting VP &amp; CFO</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Customer Relations Manager</w:t>
            </w: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Yoram Glatt</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Liat Konforty</w:t>
            </w:r>
          </w:p>
        </w:tc>
      </w:tr>
      <w:tr>
        <w:trPr>
          <w:trHeight w:val="202"/>
        </w:trPr>
        <w:tc>
          <w:tcPr>
            <w:tcW w:w="500" w:type="dxa"/>
            <w:vAlign w:val="bottom"/>
          </w:tcPr>
          <w:p>
            <w:pPr>
              <w:spacing w:after="0" w:line="202"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Yoram Glatt</w:t>
            </w:r>
          </w:p>
        </w:tc>
        <w:tc>
          <w:tcPr>
            <w:tcW w:w="1140" w:type="dxa"/>
            <w:vAlign w:val="bottom"/>
          </w:tcPr>
          <w:p>
            <w:pPr>
              <w:ind w:left="660"/>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Liat Konforty</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Treasurer</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- 9 -</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7" w:name="page58"/>
    <w:bookmarkEnd w:id="57"/>
    <w:p>
      <w:pPr>
        <w:ind w:left="105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20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$100,000,000)</w:t>
      </w:r>
    </w:p>
    <w:p>
      <w:pPr>
        <w:spacing w:after="0" w:line="15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$100,000,000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Bank Hapoalim B.M.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303"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this Capital Note, the following terms have the meanings given to them in this clause 1:</w:t>
      </w:r>
    </w:p>
    <w:p>
      <w:pPr>
        <w:spacing w:after="0" w:line="8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ind w:left="460" w:right="80" w:hanging="452"/>
        <w:spacing w:after="0" w:line="243" w:lineRule="auto"/>
        <w:tabs>
          <w:tab w:leader="none" w:pos="460" w:val="left"/>
        </w:tabs>
        <w:numPr>
          <w:ilvl w:val="0"/>
          <w:numId w:val="69"/>
        </w:numPr>
        <w:rPr>
          <w:rFonts w:ascii="Arial" w:cs="Arial" w:eastAsia="Arial" w:hAnsi="Arial"/>
          <w:sz w:val="11"/>
          <w:szCs w:val="11"/>
          <w:color w:val="auto"/>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ectPr>
          <w:pgSz w:w="11900" w:h="16838" w:orient="portrait"/>
          <w:cols w:equalWidth="0" w:num="1">
            <w:col w:w="11420"/>
          </w:cols>
          <w:pgMar w:left="240" w:top="274" w:right="239" w:bottom="1440" w:gutter="0" w:footer="0" w:header="0"/>
        </w:sectPr>
      </w:pPr>
    </w:p>
    <w:bookmarkStart w:id="58" w:name="page59"/>
    <w:bookmarkEnd w:id="58"/>
    <w:p>
      <w:pPr>
        <w:ind w:left="452"/>
        <w:spacing w:after="0"/>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5"/>
          <w:szCs w:val="15"/>
          <w:b w:val="1"/>
          <w:bCs w:val="1"/>
          <w:color w:val="auto"/>
        </w:rPr>
        <w:t xml:space="preserve">“Holder” </w:t>
      </w:r>
      <w:r>
        <w:rPr>
          <w:rFonts w:ascii="Arial" w:cs="Arial" w:eastAsia="Arial" w:hAnsi="Arial"/>
          <w:sz w:val="15"/>
          <w:szCs w:val="15"/>
          <w:color w:val="auto"/>
        </w:rPr>
        <w:t>shall mean any person who at the time shall be the registered holder of this Capital Note or any part thereof.</w:t>
      </w:r>
    </w:p>
    <w:p>
      <w:pPr>
        <w:spacing w:after="0" w:line="90" w:lineRule="exact"/>
        <w:rPr>
          <w:sz w:val="20"/>
          <w:szCs w:val="20"/>
          <w:color w:val="auto"/>
        </w:rPr>
      </w:pPr>
    </w:p>
    <w:p>
      <w:pPr>
        <w:ind w:left="892" w:right="280" w:hanging="445"/>
        <w:spacing w:after="0" w:line="262" w:lineRule="auto"/>
        <w:tabs>
          <w:tab w:leader="none" w:pos="8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substituted for the ordinary shares as a result of any stock split, stock dividend, recapitalisation, rights offering, exchange, merger or similar event or otherwise, including as described in this Capital Note).</w:t>
      </w:r>
    </w:p>
    <w:p>
      <w:pPr>
        <w:spacing w:after="0" w:line="254" w:lineRule="exact"/>
        <w:rPr>
          <w:sz w:val="20"/>
          <w:szCs w:val="20"/>
          <w:color w:val="auto"/>
        </w:rPr>
      </w:pPr>
    </w:p>
    <w:p>
      <w:pPr>
        <w:ind w:left="452" w:hanging="452"/>
        <w:spacing w:after="0"/>
        <w:tabs>
          <w:tab w:leader="none" w:pos="4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w:t>
      </w:r>
    </w:p>
    <w:p>
      <w:pPr>
        <w:spacing w:after="0" w:line="96" w:lineRule="exact"/>
        <w:rPr>
          <w:rFonts w:ascii="Arial" w:cs="Arial" w:eastAsia="Arial" w:hAnsi="Arial"/>
          <w:sz w:val="18"/>
          <w:szCs w:val="18"/>
          <w:b w:val="1"/>
          <w:bCs w:val="1"/>
          <w:color w:val="auto"/>
        </w:rPr>
      </w:pPr>
    </w:p>
    <w:p>
      <w:pPr>
        <w:ind w:left="452"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50" w:lineRule="exact"/>
        <w:rPr>
          <w:rFonts w:ascii="Arial" w:cs="Arial" w:eastAsia="Arial" w:hAnsi="Arial"/>
          <w:sz w:val="18"/>
          <w:szCs w:val="18"/>
          <w:b w:val="1"/>
          <w:bCs w:val="1"/>
          <w:color w:val="auto"/>
        </w:rPr>
      </w:pPr>
    </w:p>
    <w:p>
      <w:pPr>
        <w:ind w:left="452"/>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34" w:lineRule="exact"/>
        <w:rPr>
          <w:rFonts w:ascii="Arial" w:cs="Arial" w:eastAsia="Arial" w:hAnsi="Arial"/>
          <w:sz w:val="18"/>
          <w:szCs w:val="18"/>
          <w:b w:val="1"/>
          <w:bCs w:val="1"/>
          <w:color w:val="auto"/>
        </w:rPr>
      </w:pPr>
    </w:p>
    <w:p>
      <w:pPr>
        <w:ind w:left="452" w:right="6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u w:val="single" w:color="auto"/>
          <w:color w:val="auto"/>
        </w:rPr>
        <w:t>Conversion Right</w:t>
      </w:r>
    </w:p>
    <w:p>
      <w:pPr>
        <w:spacing w:after="0" w:line="96" w:lineRule="exact"/>
        <w:rPr>
          <w:sz w:val="20"/>
          <w:szCs w:val="20"/>
          <w:color w:val="auto"/>
        </w:rPr>
      </w:pPr>
    </w:p>
    <w:p>
      <w:pPr>
        <w:ind w:left="912" w:right="20"/>
        <w:spacing w:after="0" w:line="298"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 Conversion Shares”</w:t>
      </w:r>
      <w:r>
        <w:rPr>
          <w:rFonts w:ascii="Arial" w:cs="Arial" w:eastAsia="Arial" w:hAnsi="Arial"/>
          <w:sz w:val="16"/>
          <w:szCs w:val="16"/>
          <w:color w:val="auto"/>
        </w:rPr>
        <w:t>) shall be determined by dividing the aggregate Principal Amount of this Capital Note by the conversion price in effect at the</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72"/>
          </w:cols>
          <w:pgMar w:left="248" w:top="274" w:right="279" w:bottom="1440" w:gutter="0" w:footer="0" w:header="0"/>
        </w:sectPr>
      </w:pPr>
    </w:p>
    <w:bookmarkStart w:id="59" w:name="page60"/>
    <w:bookmarkEnd w:id="59"/>
    <w:p>
      <w:pPr>
        <w:ind w:left="466" w:right="1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of such conversion (</w:t>
      </w:r>
      <w:r>
        <w:rPr>
          <w:rFonts w:ascii="Arial" w:cs="Arial" w:eastAsia="Arial" w:hAnsi="Arial"/>
          <w:sz w:val="18"/>
          <w:szCs w:val="18"/>
          <w:b w:val="1"/>
          <w:bCs w:val="1"/>
          <w:color w:val="auto"/>
        </w:rPr>
        <w:t>“the Conversion Price”</w:t>
      </w:r>
      <w:r>
        <w:rPr>
          <w:rFonts w:ascii="Arial" w:cs="Arial" w:eastAsia="Arial" w:hAnsi="Arial"/>
          <w:sz w:val="18"/>
          <w:szCs w:val="18"/>
          <w:color w:val="auto"/>
        </w:rPr>
        <w:t>). The Conversion Price initially shall be US $1.42, as adjusted at any time and from time to time in accordance with clause 7 below.</w:t>
      </w:r>
    </w:p>
    <w:p>
      <w:pPr>
        <w:spacing w:after="0" w:line="241"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96" w:lineRule="exact"/>
        <w:rPr>
          <w:sz w:val="20"/>
          <w:szCs w:val="20"/>
          <w:color w:val="auto"/>
        </w:rPr>
      </w:pPr>
    </w:p>
    <w:p>
      <w:pPr>
        <w:ind w:left="466"/>
        <w:spacing w:after="0" w:line="306" w:lineRule="auto"/>
        <w:rPr>
          <w:sz w:val="20"/>
          <w:szCs w:val="20"/>
          <w:color w:val="auto"/>
        </w:rPr>
      </w:pPr>
      <w:r>
        <w:rPr>
          <w:rFonts w:ascii="Arial" w:cs="Arial" w:eastAsia="Arial" w:hAnsi="Arial"/>
          <w:sz w:val="15"/>
          <w:szCs w:val="15"/>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1" w:lineRule="exact"/>
        <w:rPr>
          <w:sz w:val="20"/>
          <w:szCs w:val="20"/>
          <w:color w:val="auto"/>
        </w:rPr>
      </w:pPr>
    </w:p>
    <w:p>
      <w:pPr>
        <w:ind w:left="446" w:hanging="446"/>
        <w:spacing w:after="0"/>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96" w:lineRule="exact"/>
        <w:rPr>
          <w:sz w:val="20"/>
          <w:szCs w:val="20"/>
          <w:color w:val="auto"/>
        </w:rPr>
      </w:pPr>
    </w:p>
    <w:p>
      <w:pPr>
        <w:ind w:left="466" w:right="140"/>
        <w:spacing w:after="0" w:line="268" w:lineRule="auto"/>
        <w:rPr>
          <w:sz w:val="20"/>
          <w:szCs w:val="20"/>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6"/>
          </w:cols>
          <w:pgMar w:left="694" w:top="274" w:right="239" w:bottom="1440" w:gutter="0" w:footer="0" w:header="0"/>
        </w:sectPr>
      </w:pPr>
    </w:p>
    <w:bookmarkStart w:id="60" w:name="page61"/>
    <w:bookmarkEnd w:id="60"/>
    <w:p>
      <w:pPr>
        <w:ind w:left="452" w:hanging="452"/>
        <w:spacing w:after="0"/>
        <w:tabs>
          <w:tab w:leader="none" w:pos="4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NOTE CONFERS NO RIGHTS OF SHAREHOLDER</w:t>
      </w:r>
    </w:p>
    <w:p>
      <w:pPr>
        <w:spacing w:after="0" w:line="96" w:lineRule="exact"/>
        <w:rPr>
          <w:rFonts w:ascii="Arial" w:cs="Arial" w:eastAsia="Arial" w:hAnsi="Arial"/>
          <w:sz w:val="18"/>
          <w:szCs w:val="18"/>
          <w:color w:val="auto"/>
        </w:rPr>
      </w:pPr>
    </w:p>
    <w:p>
      <w:pPr>
        <w:ind w:left="452" w:right="1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117" w:lineRule="exact"/>
        <w:rPr>
          <w:rFonts w:ascii="Arial" w:cs="Arial" w:eastAsia="Arial" w:hAnsi="Arial"/>
          <w:sz w:val="18"/>
          <w:szCs w:val="18"/>
          <w:color w:val="auto"/>
        </w:rPr>
      </w:pPr>
    </w:p>
    <w:p>
      <w:pPr>
        <w:ind w:left="452"/>
        <w:spacing w:after="0" w:line="278" w:lineRule="auto"/>
        <w:rPr>
          <w:rFonts w:ascii="Arial" w:cs="Arial" w:eastAsia="Arial" w:hAnsi="Arial"/>
          <w:sz w:val="18"/>
          <w:szCs w:val="18"/>
          <w:color w:val="auto"/>
        </w:rPr>
      </w:pPr>
      <w:r>
        <w:rPr>
          <w:rFonts w:ascii="Arial" w:cs="Arial" w:eastAsia="Arial" w:hAnsi="Arial"/>
          <w:sz w:val="15"/>
          <w:szCs w:val="15"/>
          <w:color w:val="auto"/>
        </w:rPr>
        <w:t xml:space="preserve">This Capital Note </w:t>
      </w:r>
      <w:r>
        <w:rPr>
          <w:rFonts w:ascii="Arial" w:cs="Arial" w:eastAsia="Arial" w:hAnsi="Arial"/>
          <w:sz w:val="15"/>
          <w:szCs w:val="15"/>
          <w:b w:val="1"/>
          <w:bCs w:val="1"/>
          <w:color w:val="auto"/>
        </w:rPr>
        <w:t>[</w:t>
      </w:r>
      <w:r>
        <w:rPr>
          <w:rFonts w:ascii="Arial" w:cs="Arial" w:eastAsia="Arial" w:hAnsi="Arial"/>
          <w:sz w:val="15"/>
          <w:szCs w:val="15"/>
          <w:color w:val="auto"/>
        </w:rPr>
        <w:t>, including the Conversion Shares,</w:t>
      </w:r>
      <w:r>
        <w:rPr>
          <w:rFonts w:ascii="Arial" w:cs="Arial" w:eastAsia="Arial" w:hAnsi="Arial"/>
          <w:sz w:val="19"/>
          <w:szCs w:val="19"/>
          <w:color w:val="auto"/>
          <w:vertAlign w:val="superscript"/>
        </w:rPr>
        <w:t>2</w:t>
      </w:r>
      <w:r>
        <w:rPr>
          <w:rFonts w:ascii="Arial" w:cs="Arial" w:eastAsia="Arial" w:hAnsi="Arial"/>
          <w:sz w:val="15"/>
          <w:szCs w:val="15"/>
          <w:b w:val="1"/>
          <w:bCs w:val="1"/>
          <w:color w:val="auto"/>
        </w:rPr>
        <w:t>]</w:t>
      </w:r>
      <w:r>
        <w:rPr>
          <w:rFonts w:ascii="Arial" w:cs="Arial" w:eastAsia="Arial" w:hAnsi="Arial"/>
          <w:sz w:val="15"/>
          <w:szCs w:val="15"/>
          <w:color w:val="auto"/>
        </w:rPr>
        <w:t xml:space="preserve"> has not been registered under the Securities Act of 1933, as amended (</w:t>
      </w:r>
      <w:r>
        <w:rPr>
          <w:rFonts w:ascii="Arial" w:cs="Arial" w:eastAsia="Arial" w:hAnsi="Arial"/>
          <w:sz w:val="15"/>
          <w:szCs w:val="15"/>
          <w:b w:val="1"/>
          <w:bCs w:val="1"/>
          <w:color w:val="auto"/>
        </w:rPr>
        <w:t>“the Securities Act”</w:t>
      </w:r>
      <w:r>
        <w:rPr>
          <w:rFonts w:ascii="Arial" w:cs="Arial" w:eastAsia="Arial" w:hAnsi="Arial"/>
          <w:sz w:val="15"/>
          <w:szCs w:val="15"/>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5"/>
          <w:szCs w:val="15"/>
          <w:b w:val="1"/>
          <w:bCs w:val="1"/>
          <w:color w:val="auto"/>
        </w:rPr>
        <w:t>[</w:t>
      </w:r>
      <w:r>
        <w:rPr>
          <w:rFonts w:ascii="Arial" w:cs="Arial" w:eastAsia="Arial" w:hAnsi="Arial"/>
          <w:sz w:val="15"/>
          <w:szCs w:val="15"/>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19"/>
          <w:szCs w:val="19"/>
          <w:color w:val="auto"/>
          <w:vertAlign w:val="superscript"/>
        </w:rPr>
        <w:t>3</w:t>
      </w:r>
      <w:r>
        <w:rPr>
          <w:rFonts w:ascii="Arial" w:cs="Arial" w:eastAsia="Arial" w:hAnsi="Arial"/>
          <w:sz w:val="15"/>
          <w:szCs w:val="15"/>
          <w:b w:val="1"/>
          <w:bCs w:val="1"/>
          <w:color w:val="auto"/>
        </w:rPr>
        <w:t>]</w:t>
      </w:r>
      <w:r>
        <w:rPr>
          <w:rFonts w:ascii="Arial" w:cs="Arial" w:eastAsia="Arial" w:hAnsi="Arial"/>
          <w:sz w:val="15"/>
          <w:szCs w:val="15"/>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0" w:lineRule="exact"/>
        <w:rPr>
          <w:sz w:val="20"/>
          <w:szCs w:val="20"/>
          <w:color w:val="auto"/>
        </w:rPr>
      </w:pPr>
    </w:p>
    <w:p>
      <w:pPr>
        <w:ind w:left="452" w:right="100" w:hanging="452"/>
        <w:spacing w:after="0" w:line="243" w:lineRule="auto"/>
        <w:tabs>
          <w:tab w:leader="none" w:pos="452" w:val="left"/>
        </w:tabs>
        <w:numPr>
          <w:ilvl w:val="0"/>
          <w:numId w:val="73"/>
        </w:numPr>
        <w:rPr>
          <w:rFonts w:ascii="Arial" w:cs="Arial" w:eastAsia="Arial" w:hAnsi="Arial"/>
          <w:sz w:val="11"/>
          <w:szCs w:val="11"/>
          <w:color w:val="auto"/>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33" w:lineRule="exact"/>
        <w:rPr>
          <w:sz w:val="20"/>
          <w:szCs w:val="20"/>
          <w:color w:val="auto"/>
        </w:rPr>
      </w:pPr>
    </w:p>
    <w:p>
      <w:pPr>
        <w:ind w:left="452" w:right="340" w:hanging="452"/>
        <w:spacing w:after="0" w:line="280" w:lineRule="auto"/>
        <w:tabs>
          <w:tab w:leader="none" w:pos="452" w:val="left"/>
        </w:tabs>
        <w:numPr>
          <w:ilvl w:val="0"/>
          <w:numId w:val="74"/>
        </w:numPr>
        <w:rPr>
          <w:rFonts w:ascii="Arial" w:cs="Arial" w:eastAsia="Arial" w:hAnsi="Arial"/>
          <w:sz w:val="11"/>
          <w:szCs w:val="11"/>
          <w:color w:val="auto"/>
        </w:rPr>
      </w:pPr>
      <w:r>
        <w:rPr>
          <w:rFonts w:ascii="Arial" w:cs="Arial" w:eastAsia="Arial" w:hAnsi="Arial"/>
          <w:sz w:val="16"/>
          <w:szCs w:val="16"/>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insert relevant 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number</w:t>
      </w:r>
      <w:r>
        <w:rPr>
          <w:rFonts w:ascii="Arial" w:cs="Arial" w:eastAsia="Arial" w:hAnsi="Arial"/>
          <w:sz w:val="16"/>
          <w:szCs w:val="16"/>
          <w:b w:val="1"/>
          <w:bCs w:val="1"/>
          <w:color w:val="auto"/>
        </w:rPr>
        <w:t>]</w:t>
      </w:r>
      <w:r>
        <w:rPr>
          <w:rFonts w:ascii="Arial" w:cs="Arial" w:eastAsia="Arial" w:hAnsi="Arial"/>
          <w:sz w:val="16"/>
          <w:szCs w:val="16"/>
          <w:color w:val="auto"/>
        </w:rPr>
        <w:t>." on all future Capital Notes to be issued with respect to such Conversion Shares, and, at the request of the Holder, a substitute Capital Note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having such replacement language will promptly be delivered to the Holder.</w:t>
      </w:r>
    </w:p>
    <w:p>
      <w:pPr>
        <w:spacing w:after="0" w:line="100" w:lineRule="exact"/>
        <w:rPr>
          <w:rFonts w:ascii="Arial" w:cs="Arial" w:eastAsia="Arial" w:hAnsi="Arial"/>
          <w:sz w:val="11"/>
          <w:szCs w:val="11"/>
          <w:color w:val="auto"/>
        </w:rPr>
      </w:pPr>
    </w:p>
    <w:p>
      <w:pPr>
        <w:ind w:left="5672" w:hanging="112"/>
        <w:spacing w:after="0"/>
        <w:tabs>
          <w:tab w:leader="none" w:pos="5672" w:val="left"/>
        </w:tabs>
        <w:numPr>
          <w:ilvl w:val="1"/>
          <w:numId w:val="7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61" w:name="page62"/>
    <w:bookmarkEnd w:id="61"/>
    <w:p>
      <w:pPr>
        <w:ind w:left="452"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in this clause 6 shall derogate from any obligations of the Company under any Registration Rights Agreement to which the Company and the Holder are parties.</w:t>
      </w:r>
    </w:p>
    <w:p>
      <w:pPr>
        <w:spacing w:after="0" w:line="248" w:lineRule="exact"/>
        <w:rPr>
          <w:sz w:val="20"/>
          <w:szCs w:val="20"/>
          <w:color w:val="auto"/>
        </w:rPr>
      </w:pPr>
    </w:p>
    <w:p>
      <w:pPr>
        <w:ind w:left="452" w:right="7500" w:hanging="452"/>
        <w:spacing w:after="0" w:line="338" w:lineRule="auto"/>
        <w:tabs>
          <w:tab w:leader="none" w:pos="45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 OF CONVERSION PRICE AND NUMBER OF CONVERSION SHARES</w:t>
      </w:r>
    </w:p>
    <w:p>
      <w:pPr>
        <w:ind w:left="452" w:right="6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45"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96"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29"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96" w:lineRule="exact"/>
        <w:rPr>
          <w:sz w:val="20"/>
          <w:szCs w:val="20"/>
          <w:color w:val="auto"/>
        </w:rPr>
      </w:pPr>
    </w:p>
    <w:p>
      <w:pPr>
        <w:ind w:left="912" w:right="60"/>
        <w:spacing w:after="0" w:line="302"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w:t>
      </w:r>
    </w:p>
    <w:p>
      <w:pPr>
        <w:spacing w:after="0" w:line="3" w:lineRule="exact"/>
        <w:rPr>
          <w:sz w:val="20"/>
          <w:szCs w:val="20"/>
          <w:color w:val="auto"/>
        </w:rPr>
      </w:pPr>
    </w:p>
    <w:p>
      <w:pPr>
        <w:ind w:left="912" w:right="100" w:firstLine="1"/>
        <w:spacing w:after="0" w:line="300" w:lineRule="auto"/>
        <w:tabs>
          <w:tab w:leader="none" w:pos="1122"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w:t>
      </w:r>
    </w:p>
    <w:p>
      <w:pPr>
        <w:ind w:left="912" w:right="300" w:firstLine="1"/>
        <w:spacing w:after="0" w:line="323" w:lineRule="auto"/>
        <w:tabs>
          <w:tab w:leader="none" w:pos="117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denominator of which is the total number of Ordinary Shares issued and outstanding immediately prior to the time of such issuance or the close of business on such record date, as applicable; provided, however, that if such record date is fixed and</w:t>
      </w:r>
    </w:p>
    <w:p>
      <w:pPr>
        <w:spacing w:after="0" w:line="79" w:lineRule="exact"/>
        <w:rPr>
          <w:rFonts w:ascii="Arial" w:cs="Arial" w:eastAsia="Arial" w:hAnsi="Arial"/>
          <w:sz w:val="16"/>
          <w:szCs w:val="16"/>
          <w:color w:val="auto"/>
        </w:rPr>
      </w:pPr>
    </w:p>
    <w:p>
      <w:pPr>
        <w:ind w:left="5672" w:hanging="112"/>
        <w:spacing w:after="0"/>
        <w:tabs>
          <w:tab w:leader="none" w:pos="5672" w:val="left"/>
        </w:tabs>
        <w:numPr>
          <w:ilvl w:val="1"/>
          <w:numId w:val="7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12"/>
          </w:cols>
          <w:pgMar w:left="248" w:top="280" w:right="239" w:bottom="1440" w:gutter="0" w:footer="0" w:header="0"/>
        </w:sectPr>
      </w:pPr>
    </w:p>
    <w:bookmarkStart w:id="62" w:name="page63"/>
    <w:bookmarkEnd w:id="62"/>
    <w:p>
      <w:pPr>
        <w:ind w:left="460"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96"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3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9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40"/>
          </w:cols>
          <w:pgMar w:left="700" w:top="280" w:right="259" w:bottom="1440" w:gutter="0" w:footer="0" w:header="0"/>
        </w:sectPr>
      </w:pPr>
    </w:p>
    <w:bookmarkStart w:id="63" w:name="page64"/>
    <w:bookmarkEnd w:id="63"/>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9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96"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9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40"/>
          </w:cols>
          <w:pgMar w:left="700" w:top="274" w:right="259" w:bottom="1440" w:gutter="0" w:footer="0" w:header="0"/>
        </w:sectPr>
      </w:pPr>
    </w:p>
    <w:bookmarkStart w:id="64" w:name="page65"/>
    <w:bookmarkEnd w:id="64"/>
    <w:p>
      <w:pPr>
        <w:jc w:val="both"/>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9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w:t>
      </w:r>
    </w:p>
    <w:p>
      <w:pPr>
        <w:spacing w:after="0" w:line="3" w:lineRule="exact"/>
        <w:rPr>
          <w:sz w:val="20"/>
          <w:szCs w:val="20"/>
          <w:color w:val="auto"/>
        </w:rPr>
      </w:pPr>
    </w:p>
    <w:p>
      <w:pPr>
        <w:ind w:left="460" w:right="60" w:firstLine="1"/>
        <w:spacing w:after="0" w:line="255" w:lineRule="auto"/>
        <w:tabs>
          <w:tab w:leader="none" w:pos="6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numerator of which shall be the closing price per share of the Ordinary Shares on the TASE on the determining date (“</w:t>
      </w:r>
      <w:r>
        <w:rPr>
          <w:rFonts w:ascii="Arial" w:cs="Arial" w:eastAsia="Arial" w:hAnsi="Arial"/>
          <w:sz w:val="18"/>
          <w:szCs w:val="18"/>
          <w:i w:val="1"/>
          <w:iCs w:val="1"/>
          <w:color w:val="auto"/>
        </w:rPr>
        <w:t>Hayom Hakovaya</w:t>
      </w:r>
      <w:r>
        <w:rPr>
          <w:rFonts w:ascii="Arial" w:cs="Arial" w:eastAsia="Arial" w:hAnsi="Arial"/>
          <w:sz w:val="18"/>
          <w:szCs w:val="18"/>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0"/>
          </w:cols>
          <w:pgMar w:left="700" w:top="280" w:right="239" w:bottom="1440" w:gutter="0" w:footer="0" w:header="0"/>
        </w:sectPr>
      </w:pPr>
    </w:p>
    <w:bookmarkStart w:id="65" w:name="page66"/>
    <w:bookmarkEnd w:id="6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96"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4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96"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5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96" w:lineRule="exact"/>
        <w:rPr>
          <w:sz w:val="20"/>
          <w:szCs w:val="20"/>
          <w:color w:val="auto"/>
        </w:rPr>
      </w:pPr>
    </w:p>
    <w:p>
      <w:pPr>
        <w:ind w:left="340" w:right="18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0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760"/>
          </w:cols>
          <w:pgMar w:left="820" w:top="274" w:right="319" w:bottom="1440" w:gutter="0" w:footer="0" w:header="0"/>
        </w:sectPr>
      </w:pPr>
    </w:p>
    <w:bookmarkStart w:id="66" w:name="page67"/>
    <w:bookmarkEnd w:id="66"/>
    <w:p>
      <w:pPr>
        <w:ind w:left="452" w:hanging="452"/>
        <w:spacing w:after="0"/>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TRANSACTIONS</w:t>
      </w:r>
    </w:p>
    <w:p>
      <w:pPr>
        <w:spacing w:after="0" w:line="96" w:lineRule="exact"/>
        <w:rPr>
          <w:rFonts w:ascii="Arial" w:cs="Arial" w:eastAsia="Arial" w:hAnsi="Arial"/>
          <w:sz w:val="18"/>
          <w:szCs w:val="18"/>
          <w:color w:val="auto"/>
        </w:rPr>
      </w:pPr>
    </w:p>
    <w:p>
      <w:pPr>
        <w:ind w:left="452" w:right="24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96" w:lineRule="exact"/>
        <w:rPr>
          <w:rFonts w:ascii="Arial" w:cs="Arial" w:eastAsia="Arial" w:hAnsi="Arial"/>
          <w:sz w:val="18"/>
          <w:szCs w:val="18"/>
          <w:color w:val="auto"/>
        </w:rPr>
      </w:pPr>
    </w:p>
    <w:p>
      <w:pPr>
        <w:ind w:left="452"/>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114" w:lineRule="exact"/>
        <w:rPr>
          <w:rFonts w:ascii="Arial" w:cs="Arial" w:eastAsia="Arial" w:hAnsi="Arial"/>
          <w:sz w:val="18"/>
          <w:szCs w:val="18"/>
          <w:color w:val="auto"/>
        </w:rPr>
      </w:pPr>
    </w:p>
    <w:p>
      <w:pPr>
        <w:ind w:left="5612" w:hanging="96"/>
        <w:spacing w:after="0"/>
        <w:tabs>
          <w:tab w:leader="none" w:pos="56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92"/>
          </w:cols>
          <w:pgMar w:left="248" w:top="274" w:right="259" w:bottom="1440" w:gutter="0" w:footer="0" w:header="0"/>
        </w:sectPr>
      </w:pPr>
    </w:p>
    <w:bookmarkStart w:id="67" w:name="page68"/>
    <w:bookmarkEnd w:id="67"/>
    <w:p>
      <w:pPr>
        <w:ind w:left="452" w:hanging="452"/>
        <w:spacing w:after="0"/>
        <w:tabs>
          <w:tab w:leader="none" w:pos="45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WARRANTIES AND COVENANTS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90" w:lineRule="exact"/>
        <w:rPr>
          <w:rFonts w:ascii="Arial" w:cs="Arial" w:eastAsia="Arial" w:hAnsi="Arial"/>
          <w:sz w:val="18"/>
          <w:szCs w:val="18"/>
          <w:color w:val="auto"/>
        </w:rPr>
      </w:pPr>
    </w:p>
    <w:p>
      <w:pPr>
        <w:ind w:left="892" w:right="520" w:hanging="446"/>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50" w:lineRule="exact"/>
        <w:rPr>
          <w:rFonts w:ascii="Arial" w:cs="Arial" w:eastAsia="Arial" w:hAnsi="Arial"/>
          <w:sz w:val="18"/>
          <w:szCs w:val="18"/>
          <w:color w:val="auto"/>
        </w:rPr>
      </w:pPr>
    </w:p>
    <w:p>
      <w:pPr>
        <w:ind w:left="892" w:right="40" w:hanging="446"/>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59" w:lineRule="exact"/>
        <w:rPr>
          <w:rFonts w:ascii="Arial" w:cs="Arial" w:eastAsia="Arial" w:hAnsi="Arial"/>
          <w:sz w:val="18"/>
          <w:szCs w:val="18"/>
          <w:color w:val="auto"/>
        </w:rPr>
      </w:pPr>
    </w:p>
    <w:p>
      <w:pPr>
        <w:ind w:left="892" w:hanging="446"/>
        <w:spacing w:after="0" w:line="290"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3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10.4. the Conversion Shares have been approved for listing and trading on TASE.</w:t>
      </w:r>
    </w:p>
    <w:p>
      <w:pPr>
        <w:spacing w:after="0" w:line="286" w:lineRule="exact"/>
        <w:rPr>
          <w:rFonts w:ascii="Arial" w:cs="Arial" w:eastAsia="Arial" w:hAnsi="Arial"/>
          <w:sz w:val="18"/>
          <w:szCs w:val="18"/>
          <w:color w:val="auto"/>
        </w:rPr>
      </w:pPr>
    </w:p>
    <w:p>
      <w:pPr>
        <w:jc w:val="both"/>
        <w:ind w:left="452" w:right="8140" w:hanging="452"/>
        <w:spacing w:after="0" w:line="338" w:lineRule="auto"/>
        <w:tabs>
          <w:tab w:leader="none" w:pos="452"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THEFT, DESTRUCTION OR MUTILATION OF CAPITAL NOTE</w:t>
      </w:r>
    </w:p>
    <w:p>
      <w:pPr>
        <w:ind w:left="452"/>
        <w:spacing w:after="0" w:line="306" w:lineRule="auto"/>
        <w:rPr>
          <w:rFonts w:ascii="Arial" w:cs="Arial" w:eastAsia="Arial" w:hAnsi="Arial"/>
          <w:sz w:val="16"/>
          <w:szCs w:val="16"/>
          <w:color w:val="auto"/>
        </w:rPr>
      </w:pPr>
      <w:r>
        <w:rPr>
          <w:rFonts w:ascii="Arial" w:cs="Arial" w:eastAsia="Arial" w:hAnsi="Arial"/>
          <w:sz w:val="16"/>
          <w:szCs w:val="16"/>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w:t>
      </w:r>
    </w:p>
    <w:p>
      <w:pPr>
        <w:spacing w:after="0" w:line="93" w:lineRule="exact"/>
        <w:rPr>
          <w:rFonts w:ascii="Arial" w:cs="Arial" w:eastAsia="Arial" w:hAnsi="Arial"/>
          <w:sz w:val="16"/>
          <w:szCs w:val="16"/>
          <w:color w:val="auto"/>
        </w:rPr>
      </w:pPr>
    </w:p>
    <w:p>
      <w:pPr>
        <w:ind w:left="5612" w:hanging="93"/>
        <w:spacing w:after="0"/>
        <w:tabs>
          <w:tab w:leader="none" w:pos="5612" w:val="left"/>
        </w:tabs>
        <w:numPr>
          <w:ilvl w:val="1"/>
          <w:numId w:val="79"/>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92"/>
          </w:cols>
          <w:pgMar w:left="248" w:top="274" w:right="259" w:bottom="1440" w:gutter="0" w:footer="0" w:header="0"/>
        </w:sectPr>
      </w:pPr>
    </w:p>
    <w:bookmarkStart w:id="68" w:name="page69"/>
    <w:bookmarkEnd w:id="68"/>
    <w:p>
      <w:pPr>
        <w:ind w:left="452"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if mutilated, the Company will make and deliver a new Capital Note or Conversion Shares certificate of like tenor and dated as of such cancellation, in lieu of such Capital Note or Conversion Shares certificate.</w:t>
      </w:r>
    </w:p>
    <w:p>
      <w:pPr>
        <w:spacing w:after="0" w:line="248" w:lineRule="exact"/>
        <w:rPr>
          <w:sz w:val="20"/>
          <w:szCs w:val="20"/>
          <w:color w:val="auto"/>
        </w:rPr>
      </w:pPr>
    </w:p>
    <w:p>
      <w:pPr>
        <w:ind w:left="452" w:hanging="452"/>
        <w:spacing w:after="0"/>
        <w:tabs>
          <w:tab w:leader="none" w:pos="45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96" w:lineRule="exact"/>
        <w:rPr>
          <w:rFonts w:ascii="Arial" w:cs="Arial" w:eastAsia="Arial" w:hAnsi="Arial"/>
          <w:sz w:val="18"/>
          <w:szCs w:val="18"/>
          <w:color w:val="auto"/>
        </w:rPr>
      </w:pPr>
    </w:p>
    <w:p>
      <w:pPr>
        <w:ind w:left="452" w:right="120"/>
        <w:spacing w:after="0" w:line="259" w:lineRule="auto"/>
        <w:rPr>
          <w:rFonts w:ascii="Arial" w:cs="Arial" w:eastAsia="Arial" w:hAnsi="Arial"/>
          <w:sz w:val="18"/>
          <w:szCs w:val="18"/>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181" w:lineRule="exact"/>
        <w:rPr>
          <w:sz w:val="20"/>
          <w:szCs w:val="20"/>
          <w:color w:val="auto"/>
        </w:rPr>
      </w:pPr>
    </w:p>
    <w:tbl>
      <w:tblPr>
        <w:tblLayout w:type="fixed"/>
        <w:tblInd w:w="912"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If to the Holder:</w:t>
            </w: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Bank Hapoalim B.M.</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Corporate Division</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Migdal Levenstein</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23 Menachem Begin Road</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Tel Aviv, Israel</w:t>
            </w:r>
          </w:p>
        </w:tc>
      </w:tr>
      <w:tr>
        <w:trPr>
          <w:trHeight w:val="216"/>
        </w:trPr>
        <w:tc>
          <w:tcPr>
            <w:tcW w:w="1960" w:type="dxa"/>
            <w:vAlign w:val="bottom"/>
          </w:tcPr>
          <w:p>
            <w:pPr>
              <w:spacing w:after="0"/>
              <w:rPr>
                <w:sz w:val="18"/>
                <w:szCs w:val="18"/>
                <w:color w:val="auto"/>
              </w:rPr>
            </w:pPr>
          </w:p>
        </w:tc>
        <w:tc>
          <w:tcPr>
            <w:tcW w:w="1460" w:type="dxa"/>
            <w:vAlign w:val="bottom"/>
          </w:tcPr>
          <w:p>
            <w:pPr>
              <w:ind w:left="640"/>
              <w:spacing w:after="0"/>
              <w:rPr>
                <w:sz w:val="20"/>
                <w:szCs w:val="20"/>
                <w:color w:val="auto"/>
              </w:rPr>
            </w:pPr>
            <w:r>
              <w:rPr>
                <w:rFonts w:ascii="Arial" w:cs="Arial" w:eastAsia="Arial" w:hAnsi="Arial"/>
                <w:sz w:val="18"/>
                <w:szCs w:val="18"/>
                <w:i w:val="1"/>
                <w:iCs w:val="1"/>
                <w:color w:val="auto"/>
              </w:rPr>
              <w:t>Attention:</w:t>
            </w:r>
          </w:p>
        </w:tc>
        <w:tc>
          <w:tcPr>
            <w:tcW w:w="1780" w:type="dxa"/>
            <w:vAlign w:val="bottom"/>
          </w:tcPr>
          <w:p>
            <w:pPr>
              <w:ind w:left="60"/>
              <w:spacing w:after="0"/>
              <w:rPr>
                <w:sz w:val="20"/>
                <w:szCs w:val="20"/>
                <w:color w:val="auto"/>
              </w:rPr>
            </w:pPr>
            <w:r>
              <w:rPr>
                <w:rFonts w:ascii="Arial" w:cs="Arial" w:eastAsia="Arial" w:hAnsi="Arial"/>
                <w:sz w:val="18"/>
                <w:szCs w:val="18"/>
                <w:i w:val="1"/>
                <w:iCs w:val="1"/>
                <w:color w:val="auto"/>
              </w:rPr>
              <w:t>Head of</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i w:val="1"/>
                <w:iCs w:val="1"/>
                <w:color w:val="auto"/>
              </w:rPr>
              <w:t>Corporate Division</w:t>
            </w:r>
          </w:p>
        </w:tc>
      </w:tr>
      <w:tr>
        <w:trPr>
          <w:trHeight w:val="222"/>
        </w:trPr>
        <w:tc>
          <w:tcPr>
            <w:tcW w:w="1960" w:type="dxa"/>
            <w:vAlign w:val="bottom"/>
          </w:tcPr>
          <w:p>
            <w:pPr>
              <w:spacing w:after="0"/>
              <w:rPr>
                <w:sz w:val="19"/>
                <w:szCs w:val="19"/>
                <w:color w:val="auto"/>
              </w:rPr>
            </w:pPr>
          </w:p>
        </w:tc>
        <w:tc>
          <w:tcPr>
            <w:tcW w:w="1460" w:type="dxa"/>
            <w:vAlign w:val="bottom"/>
          </w:tcPr>
          <w:p>
            <w:pPr>
              <w:ind w:left="640"/>
              <w:spacing w:after="0"/>
              <w:rPr>
                <w:sz w:val="20"/>
                <w:szCs w:val="20"/>
                <w:color w:val="auto"/>
              </w:rPr>
            </w:pPr>
            <w:r>
              <w:rPr>
                <w:rFonts w:ascii="Arial" w:cs="Arial" w:eastAsia="Arial" w:hAnsi="Arial"/>
                <w:sz w:val="18"/>
                <w:szCs w:val="18"/>
                <w:i w:val="1"/>
                <w:iCs w:val="1"/>
                <w:color w:val="auto"/>
                <w:w w:val="98"/>
              </w:rPr>
              <w:t>Facsimile:</w:t>
            </w:r>
          </w:p>
        </w:tc>
        <w:tc>
          <w:tcPr>
            <w:tcW w:w="1780" w:type="dxa"/>
            <w:vAlign w:val="bottom"/>
          </w:tcPr>
          <w:p>
            <w:pPr>
              <w:jc w:val="right"/>
              <w:ind w:right="592"/>
              <w:spacing w:after="0"/>
              <w:rPr>
                <w:sz w:val="20"/>
                <w:szCs w:val="20"/>
                <w:color w:val="auto"/>
              </w:rPr>
            </w:pPr>
            <w:r>
              <w:rPr>
                <w:rFonts w:ascii="Arial" w:cs="Arial" w:eastAsia="Arial" w:hAnsi="Arial"/>
                <w:sz w:val="18"/>
                <w:szCs w:val="18"/>
                <w:i w:val="1"/>
                <w:iCs w:val="1"/>
                <w:color w:val="auto"/>
                <w:w w:val="96"/>
              </w:rPr>
              <w:t>(03) 567 2995</w:t>
            </w:r>
          </w:p>
        </w:tc>
      </w:tr>
      <w:tr>
        <w:trPr>
          <w:trHeight w:val="318"/>
        </w:trPr>
        <w:tc>
          <w:tcPr>
            <w:tcW w:w="1960" w:type="dxa"/>
            <w:vAlign w:val="bottom"/>
          </w:tcPr>
          <w:p>
            <w:pPr>
              <w:spacing w:after="0"/>
              <w:rPr>
                <w:sz w:val="20"/>
                <w:szCs w:val="20"/>
                <w:color w:val="auto"/>
              </w:rPr>
            </w:pPr>
            <w:r>
              <w:rPr>
                <w:rFonts w:ascii="Arial" w:cs="Arial" w:eastAsia="Arial" w:hAnsi="Arial"/>
                <w:sz w:val="18"/>
                <w:szCs w:val="18"/>
                <w:color w:val="auto"/>
              </w:rPr>
              <w:t>If to the Company:</w:t>
            </w: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Tower Semiconductor Ltd.</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P.O. Box 619</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Ramat Gabriel Industrial Zone</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Migdal Haemek 23105</w:t>
            </w:r>
          </w:p>
        </w:tc>
      </w:tr>
      <w:tr>
        <w:trPr>
          <w:trHeight w:val="216"/>
        </w:trPr>
        <w:tc>
          <w:tcPr>
            <w:tcW w:w="1960" w:type="dxa"/>
            <w:vAlign w:val="bottom"/>
          </w:tcPr>
          <w:p>
            <w:pPr>
              <w:spacing w:after="0"/>
              <w:rPr>
                <w:sz w:val="18"/>
                <w:szCs w:val="18"/>
                <w:color w:val="auto"/>
              </w:rPr>
            </w:pPr>
          </w:p>
        </w:tc>
        <w:tc>
          <w:tcPr>
            <w:tcW w:w="1460" w:type="dxa"/>
            <w:vAlign w:val="bottom"/>
          </w:tcPr>
          <w:p>
            <w:pPr>
              <w:ind w:left="640"/>
              <w:spacing w:after="0"/>
              <w:rPr>
                <w:sz w:val="20"/>
                <w:szCs w:val="20"/>
                <w:color w:val="auto"/>
              </w:rPr>
            </w:pPr>
            <w:r>
              <w:rPr>
                <w:rFonts w:ascii="Arial" w:cs="Arial" w:eastAsia="Arial" w:hAnsi="Arial"/>
                <w:sz w:val="18"/>
                <w:szCs w:val="18"/>
                <w:i w:val="1"/>
                <w:iCs w:val="1"/>
                <w:color w:val="auto"/>
              </w:rPr>
              <w:t>Attention:</w:t>
            </w:r>
          </w:p>
        </w:tc>
        <w:tc>
          <w:tcPr>
            <w:tcW w:w="1780" w:type="dxa"/>
            <w:vAlign w:val="bottom"/>
          </w:tcPr>
          <w:p>
            <w:pPr>
              <w:ind w:left="60"/>
              <w:spacing w:after="0"/>
              <w:rPr>
                <w:sz w:val="20"/>
                <w:szCs w:val="20"/>
                <w:color w:val="auto"/>
              </w:rPr>
            </w:pPr>
            <w:r>
              <w:rPr>
                <w:rFonts w:ascii="Arial" w:cs="Arial" w:eastAsia="Arial" w:hAnsi="Arial"/>
                <w:sz w:val="18"/>
                <w:szCs w:val="18"/>
                <w:i w:val="1"/>
                <w:iCs w:val="1"/>
                <w:color w:val="auto"/>
              </w:rPr>
              <w:t>Oren Shirazi, Acting</w:t>
            </w:r>
          </w:p>
        </w:tc>
      </w:tr>
      <w:tr>
        <w:trPr>
          <w:trHeight w:val="216"/>
        </w:trPr>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i w:val="1"/>
                <w:iCs w:val="1"/>
                <w:color w:val="auto"/>
                <w:w w:val="99"/>
              </w:rPr>
              <w:t>Chief Financial Officer</w:t>
            </w:r>
          </w:p>
        </w:tc>
      </w:tr>
      <w:tr>
        <w:trPr>
          <w:trHeight w:val="222"/>
        </w:trPr>
        <w:tc>
          <w:tcPr>
            <w:tcW w:w="1960" w:type="dxa"/>
            <w:vAlign w:val="bottom"/>
          </w:tcPr>
          <w:p>
            <w:pPr>
              <w:spacing w:after="0"/>
              <w:rPr>
                <w:sz w:val="19"/>
                <w:szCs w:val="19"/>
                <w:color w:val="auto"/>
              </w:rPr>
            </w:pPr>
          </w:p>
        </w:tc>
        <w:tc>
          <w:tcPr>
            <w:tcW w:w="1460" w:type="dxa"/>
            <w:vAlign w:val="bottom"/>
          </w:tcPr>
          <w:p>
            <w:pPr>
              <w:ind w:left="640"/>
              <w:spacing w:after="0"/>
              <w:rPr>
                <w:sz w:val="20"/>
                <w:szCs w:val="20"/>
                <w:color w:val="auto"/>
              </w:rPr>
            </w:pPr>
            <w:r>
              <w:rPr>
                <w:rFonts w:ascii="Arial" w:cs="Arial" w:eastAsia="Arial" w:hAnsi="Arial"/>
                <w:sz w:val="18"/>
                <w:szCs w:val="18"/>
                <w:i w:val="1"/>
                <w:iCs w:val="1"/>
                <w:color w:val="auto"/>
                <w:w w:val="98"/>
              </w:rPr>
              <w:t>Facsimile:</w:t>
            </w:r>
          </w:p>
        </w:tc>
        <w:tc>
          <w:tcPr>
            <w:tcW w:w="1780" w:type="dxa"/>
            <w:vAlign w:val="bottom"/>
          </w:tcPr>
          <w:p>
            <w:pPr>
              <w:jc w:val="right"/>
              <w:ind w:right="592"/>
              <w:spacing w:after="0"/>
              <w:rPr>
                <w:sz w:val="20"/>
                <w:szCs w:val="20"/>
                <w:color w:val="auto"/>
              </w:rPr>
            </w:pPr>
            <w:r>
              <w:rPr>
                <w:rFonts w:ascii="Arial" w:cs="Arial" w:eastAsia="Arial" w:hAnsi="Arial"/>
                <w:sz w:val="18"/>
                <w:szCs w:val="18"/>
                <w:i w:val="1"/>
                <w:iCs w:val="1"/>
                <w:color w:val="auto"/>
                <w:w w:val="96"/>
              </w:rPr>
              <w:t>(04) 604 7242</w:t>
            </w:r>
          </w:p>
        </w:tc>
      </w:tr>
      <w:tr>
        <w:trPr>
          <w:trHeight w:val="318"/>
        </w:trPr>
        <w:tc>
          <w:tcPr>
            <w:tcW w:w="196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Yigal Arnon &amp; Co.</w:t>
            </w: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color w:val="auto"/>
              </w:rPr>
              <w:t>1 Azrieli Center</w:t>
            </w:r>
          </w:p>
        </w:tc>
      </w:tr>
      <w:tr>
        <w:trPr>
          <w:trHeight w:val="216"/>
        </w:trPr>
        <w:tc>
          <w:tcPr>
            <w:tcW w:w="1960" w:type="dxa"/>
            <w:vAlign w:val="bottom"/>
          </w:tcPr>
          <w:p>
            <w:pPr>
              <w:spacing w:after="0"/>
              <w:rPr>
                <w:sz w:val="18"/>
                <w:szCs w:val="18"/>
                <w:color w:val="auto"/>
              </w:rPr>
            </w:pPr>
          </w:p>
        </w:tc>
        <w:tc>
          <w:tcPr>
            <w:tcW w:w="1460" w:type="dxa"/>
            <w:vAlign w:val="bottom"/>
          </w:tcPr>
          <w:p>
            <w:pPr>
              <w:ind w:left="640"/>
              <w:spacing w:after="0"/>
              <w:rPr>
                <w:sz w:val="20"/>
                <w:szCs w:val="20"/>
                <w:color w:val="auto"/>
              </w:rPr>
            </w:pPr>
            <w:r>
              <w:rPr>
                <w:rFonts w:ascii="Arial" w:cs="Arial" w:eastAsia="Arial" w:hAnsi="Arial"/>
                <w:sz w:val="18"/>
                <w:szCs w:val="18"/>
                <w:color w:val="auto"/>
              </w:rPr>
              <w:t>Tel Aviv</w:t>
            </w:r>
          </w:p>
        </w:tc>
        <w:tc>
          <w:tcPr>
            <w:tcW w:w="178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460" w:type="dxa"/>
            <w:vAlign w:val="bottom"/>
          </w:tcPr>
          <w:p>
            <w:pPr>
              <w:ind w:left="640"/>
              <w:spacing w:after="0"/>
              <w:rPr>
                <w:sz w:val="20"/>
                <w:szCs w:val="20"/>
                <w:color w:val="auto"/>
              </w:rPr>
            </w:pPr>
            <w:r>
              <w:rPr>
                <w:rFonts w:ascii="Arial" w:cs="Arial" w:eastAsia="Arial" w:hAnsi="Arial"/>
                <w:sz w:val="18"/>
                <w:szCs w:val="18"/>
                <w:color w:val="auto"/>
              </w:rPr>
              <w:t>Israel</w:t>
            </w:r>
          </w:p>
        </w:tc>
        <w:tc>
          <w:tcPr>
            <w:tcW w:w="178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240" w:type="dxa"/>
            <w:vAlign w:val="bottom"/>
            <w:gridSpan w:val="2"/>
          </w:tcPr>
          <w:p>
            <w:pPr>
              <w:ind w:left="640"/>
              <w:spacing w:after="0"/>
              <w:rPr>
                <w:sz w:val="20"/>
                <w:szCs w:val="20"/>
                <w:color w:val="auto"/>
              </w:rPr>
            </w:pPr>
            <w:r>
              <w:rPr>
                <w:rFonts w:ascii="Arial" w:cs="Arial" w:eastAsia="Arial" w:hAnsi="Arial"/>
                <w:sz w:val="18"/>
                <w:szCs w:val="18"/>
                <w:i w:val="1"/>
                <w:iCs w:val="1"/>
                <w:color w:val="auto"/>
                <w:w w:val="93"/>
              </w:rPr>
              <w:t>Attention:  David H. Schapiro, Adv.</w:t>
            </w:r>
          </w:p>
        </w:tc>
      </w:tr>
      <w:tr>
        <w:trPr>
          <w:trHeight w:val="222"/>
        </w:trPr>
        <w:tc>
          <w:tcPr>
            <w:tcW w:w="1960" w:type="dxa"/>
            <w:vAlign w:val="bottom"/>
          </w:tcPr>
          <w:p>
            <w:pPr>
              <w:spacing w:after="0"/>
              <w:rPr>
                <w:sz w:val="19"/>
                <w:szCs w:val="19"/>
                <w:color w:val="auto"/>
              </w:rPr>
            </w:pPr>
          </w:p>
        </w:tc>
        <w:tc>
          <w:tcPr>
            <w:tcW w:w="1460" w:type="dxa"/>
            <w:vAlign w:val="bottom"/>
          </w:tcPr>
          <w:p>
            <w:pPr>
              <w:ind w:left="640"/>
              <w:spacing w:after="0"/>
              <w:rPr>
                <w:sz w:val="20"/>
                <w:szCs w:val="20"/>
                <w:color w:val="auto"/>
              </w:rPr>
            </w:pPr>
            <w:r>
              <w:rPr>
                <w:rFonts w:ascii="Arial" w:cs="Arial" w:eastAsia="Arial" w:hAnsi="Arial"/>
                <w:sz w:val="18"/>
                <w:szCs w:val="18"/>
                <w:i w:val="1"/>
                <w:iCs w:val="1"/>
                <w:color w:val="auto"/>
                <w:w w:val="98"/>
              </w:rPr>
              <w:t>Facsimile:</w:t>
            </w:r>
          </w:p>
        </w:tc>
        <w:tc>
          <w:tcPr>
            <w:tcW w:w="1780" w:type="dxa"/>
            <w:vAlign w:val="bottom"/>
          </w:tcPr>
          <w:p>
            <w:pPr>
              <w:jc w:val="right"/>
              <w:ind w:right="592"/>
              <w:spacing w:after="0"/>
              <w:rPr>
                <w:sz w:val="20"/>
                <w:szCs w:val="20"/>
                <w:color w:val="auto"/>
              </w:rPr>
            </w:pPr>
            <w:r>
              <w:rPr>
                <w:rFonts w:ascii="Arial" w:cs="Arial" w:eastAsia="Arial" w:hAnsi="Arial"/>
                <w:sz w:val="18"/>
                <w:szCs w:val="18"/>
                <w:i w:val="1"/>
                <w:iCs w:val="1"/>
                <w:color w:val="auto"/>
                <w:w w:val="96"/>
              </w:rPr>
              <w:t>(03) 608 7714</w:t>
            </w:r>
          </w:p>
        </w:tc>
      </w:tr>
    </w:tbl>
    <w:p>
      <w:pPr>
        <w:spacing w:after="0" w:line="156"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127"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92"/>
          </w:cols>
          <w:pgMar w:left="248" w:top="280" w:right="459" w:bottom="1440" w:gutter="0" w:footer="0" w:header="0"/>
        </w:sectPr>
      </w:pPr>
    </w:p>
    <w:bookmarkStart w:id="69" w:name="page70"/>
    <w:bookmarkEnd w:id="69"/>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 JURISDICTION</w:t>
      </w:r>
    </w:p>
    <w:p>
      <w:pPr>
        <w:spacing w:after="0" w:line="96" w:lineRule="exact"/>
        <w:rPr>
          <w:rFonts w:ascii="Arial" w:cs="Arial" w:eastAsia="Arial" w:hAnsi="Arial"/>
          <w:sz w:val="18"/>
          <w:szCs w:val="18"/>
          <w:color w:val="auto"/>
        </w:rPr>
      </w:pPr>
    </w:p>
    <w:p>
      <w:pPr>
        <w:ind w:left="460"/>
        <w:spacing w:after="0" w:line="335" w:lineRule="auto"/>
        <w:rPr>
          <w:rFonts w:ascii="Arial" w:cs="Arial" w:eastAsia="Arial" w:hAnsi="Arial"/>
          <w:sz w:val="18"/>
          <w:szCs w:val="18"/>
          <w:color w:val="auto"/>
        </w:rPr>
      </w:pPr>
      <w:r>
        <w:rPr>
          <w:rFonts w:ascii="Arial" w:cs="Arial" w:eastAsia="Arial" w:hAnsi="Arial"/>
          <w:sz w:val="15"/>
          <w:szCs w:val="15"/>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29,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TOWER SEMICONDUCTOR LTD.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26073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26073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00"/>
          </w:cols>
          <w:pgMar w:left="240" w:top="274"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CONVERSION AGREEMENT</w:t>
      </w:r>
    </w:p>
    <w:p>
      <w:pPr>
        <w:spacing w:after="0" w:line="159"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This Conversion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September 25, 2008 by and between TOWER SEMICONDUCTOR LTD.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Tower</w:t>
      </w:r>
      <w:r>
        <w:rPr>
          <w:rFonts w:ascii="Arial" w:cs="Arial" w:eastAsia="Arial" w:hAnsi="Arial"/>
          <w:sz w:val="18"/>
          <w:szCs w:val="18"/>
          <w:color w:val="auto"/>
        </w:rPr>
        <w:t>”), a company organized under the laws of the State of Israel and BANK LEUMI LE-ISRAEL B.M., a banking corporation organized under the laws of the State of Israel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132"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WHEREAS, Tower is an independent manufacturer of wafers whose Ordinary Shares are traded on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under the symbol TSEM and whose Ordinary Shares and certain other securities are traded on the Tel-Aviv Stock Exchange (“</w:t>
      </w:r>
      <w:r>
        <w:rPr>
          <w:rFonts w:ascii="Arial" w:cs="Arial" w:eastAsia="Arial" w:hAnsi="Arial"/>
          <w:sz w:val="16"/>
          <w:szCs w:val="16"/>
          <w:b w:val="1"/>
          <w:bCs w:val="1"/>
          <w:color w:val="auto"/>
        </w:rPr>
        <w:t>TASE</w:t>
      </w:r>
      <w:r>
        <w:rPr>
          <w:rFonts w:ascii="Arial" w:cs="Arial" w:eastAsia="Arial" w:hAnsi="Arial"/>
          <w:sz w:val="16"/>
          <w:szCs w:val="16"/>
          <w:color w:val="auto"/>
        </w:rPr>
        <w:t>”) under the symbol TSEM;</w:t>
      </w:r>
    </w:p>
    <w:p>
      <w:pPr>
        <w:spacing w:after="0" w:line="74" w:lineRule="exact"/>
        <w:rPr>
          <w:sz w:val="20"/>
          <w:szCs w:val="20"/>
          <w:color w:val="auto"/>
        </w:rPr>
      </w:pPr>
    </w:p>
    <w:p>
      <w:pPr>
        <w:ind w:right="440" w:firstLine="456"/>
        <w:spacing w:after="0" w:line="378" w:lineRule="auto"/>
        <w:rPr>
          <w:sz w:val="20"/>
          <w:szCs w:val="20"/>
          <w:color w:val="auto"/>
        </w:rPr>
      </w:pPr>
      <w:r>
        <w:rPr>
          <w:rFonts w:ascii="Arial" w:cs="Arial" w:eastAsia="Arial" w:hAnsi="Arial"/>
          <w:sz w:val="15"/>
          <w:szCs w:val="15"/>
          <w:color w:val="auto"/>
        </w:rPr>
        <w:t>WHEREAS, the Bank and Bank Hapoalim B.M. (collectively, the “</w:t>
      </w:r>
      <w:r>
        <w:rPr>
          <w:rFonts w:ascii="Arial" w:cs="Arial" w:eastAsia="Arial" w:hAnsi="Arial"/>
          <w:sz w:val="15"/>
          <w:szCs w:val="15"/>
          <w:b w:val="1"/>
          <w:bCs w:val="1"/>
          <w:color w:val="auto"/>
        </w:rPr>
        <w:t>Banks</w:t>
      </w:r>
      <w:r>
        <w:rPr>
          <w:rFonts w:ascii="Arial" w:cs="Arial" w:eastAsia="Arial" w:hAnsi="Arial"/>
          <w:sz w:val="15"/>
          <w:szCs w:val="15"/>
          <w:color w:val="auto"/>
        </w:rPr>
        <w:t>”) and Tower are parties to a Facility Agreement dated January 18, 2001, as amended and restated on August 24, 2006 and as further amended by Amendment No. 1 thereto dated September 10, 2007 (the “</w:t>
      </w:r>
      <w:r>
        <w:rPr>
          <w:rFonts w:ascii="Arial" w:cs="Arial" w:eastAsia="Arial" w:hAnsi="Arial"/>
          <w:sz w:val="15"/>
          <w:szCs w:val="15"/>
          <w:b w:val="1"/>
          <w:bCs w:val="1"/>
          <w:color w:val="auto"/>
        </w:rPr>
        <w:t>Facility Agreement</w:t>
      </w:r>
      <w:r>
        <w:rPr>
          <w:rFonts w:ascii="Arial" w:cs="Arial" w:eastAsia="Arial" w:hAnsi="Arial"/>
          <w:sz w:val="15"/>
          <w:szCs w:val="15"/>
          <w:color w:val="auto"/>
        </w:rPr>
        <w:t>”); and</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WHEREAS, at the request of Tower, the Banks and Tower have entered into an Amending Agreement dated September 25, 2008 (the “</w:t>
      </w:r>
      <w:r>
        <w:rPr>
          <w:rFonts w:ascii="Arial" w:cs="Arial" w:eastAsia="Arial" w:hAnsi="Arial"/>
          <w:sz w:val="16"/>
          <w:szCs w:val="16"/>
          <w:b w:val="1"/>
          <w:bCs w:val="1"/>
          <w:color w:val="auto"/>
        </w:rPr>
        <w:t>Amending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conditions to the effectiveness of which include,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by each Bank of US $100,000,000 (one hundred million US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of its loans made to Tower pursuant to the Facility Agreement and pursuant to an Equipment Facility Agreement dated September 10, 2007 (the “</w:t>
      </w:r>
      <w:r>
        <w:rPr>
          <w:rFonts w:ascii="Arial" w:cs="Arial" w:eastAsia="Arial" w:hAnsi="Arial"/>
          <w:sz w:val="16"/>
          <w:szCs w:val="16"/>
          <w:b w:val="1"/>
          <w:bCs w:val="1"/>
          <w:color w:val="auto"/>
        </w:rPr>
        <w:t>Loans</w:t>
      </w:r>
      <w:r>
        <w:rPr>
          <w:rFonts w:ascii="Arial" w:cs="Arial" w:eastAsia="Arial" w:hAnsi="Arial"/>
          <w:sz w:val="16"/>
          <w:szCs w:val="16"/>
          <w:color w:val="auto"/>
        </w:rPr>
        <w:t>”) into a convertible capital note to be issued to the Bank (a “</w:t>
      </w:r>
      <w:r>
        <w:rPr>
          <w:rFonts w:ascii="Arial" w:cs="Arial" w:eastAsia="Arial" w:hAnsi="Arial"/>
          <w:sz w:val="16"/>
          <w:szCs w:val="16"/>
          <w:b w:val="1"/>
          <w:bCs w:val="1"/>
          <w:color w:val="auto"/>
        </w:rPr>
        <w:t>Capital Note</w:t>
      </w:r>
      <w:r>
        <w:rPr>
          <w:rFonts w:ascii="Arial" w:cs="Arial" w:eastAsia="Arial" w:hAnsi="Arial"/>
          <w:sz w:val="16"/>
          <w:szCs w:val="16"/>
          <w:color w:val="auto"/>
        </w:rPr>
        <w:t>”) in the amount of US $100,000,000 (one hundred million US dollars) which will in turn be convertible, in whole or in part, by the Bank at any time and from time to time into 70,422,535 (seventy million, four hundred and twenty-two thousand, five hundred and thirty-five) ordinary shares of Tower at a conversion price of US $1.42 (one US dollar and forty-two cents) per share (such number of shares and conversion price, in each case, subject to adjustment from time to time as provided in the Capital Note) and the entering into by the Bank and Tower of a Registration Rights Agreement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and of this Agreement, in each case, on the date of the effectiveness of the Amending Agreement (the “</w:t>
      </w:r>
      <w:r>
        <w:rPr>
          <w:rFonts w:ascii="Arial" w:cs="Arial" w:eastAsia="Arial" w:hAnsi="Arial"/>
          <w:sz w:val="16"/>
          <w:szCs w:val="16"/>
          <w:b w:val="1"/>
          <w:bCs w:val="1"/>
          <w:color w:val="auto"/>
        </w:rPr>
        <w:t>Amendment Closing Date</w:t>
      </w:r>
      <w:r>
        <w:rPr>
          <w:rFonts w:ascii="Arial" w:cs="Arial" w:eastAsia="Arial" w:hAnsi="Arial"/>
          <w:sz w:val="16"/>
          <w:szCs w:val="16"/>
          <w:color w:val="auto"/>
        </w:rPr>
        <w:t>”); and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prior to the date hereof, Jazz Technologies, Inc. and its subsidiaries have become subsidiaries (as defined below), of Tower,</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07"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1.1. As used in Sections 3.8 and 5.1 of this Agreement:</w:t>
      </w:r>
    </w:p>
    <w:p>
      <w:pPr>
        <w:spacing w:after="0" w:line="84" w:lineRule="exact"/>
        <w:rPr>
          <w:sz w:val="20"/>
          <w:szCs w:val="20"/>
          <w:color w:val="auto"/>
        </w:rPr>
      </w:pPr>
    </w:p>
    <w:p>
      <w:pPr>
        <w:ind w:left="900" w:right="60" w:hanging="445"/>
        <w:spacing w:after="0" w:line="258"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xml:space="preserve">” or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(i) direct or indirect ownership of, or power to vote, 25% (twenty-five percent) or more of a class of voting securities of a person; (ii) the power to elect a majority of the directors or trustees of a person; or (iii) the possession direct or indirect, of the power to direct or cause the direction of the management and policies of a person, whether through the ownership of voting securities, by contract or otherwise; and</w:t>
      </w:r>
    </w:p>
    <w:p>
      <w:pPr>
        <w:sectPr>
          <w:pgSz w:w="11900" w:h="16838" w:orient="portrait"/>
          <w:cols w:equalWidth="0" w:num="1">
            <w:col w:w="11420"/>
          </w:cols>
          <w:pgMar w:left="240" w:top="125" w:right="239" w:bottom="1440" w:gutter="0" w:footer="0" w:header="0"/>
        </w:sectPr>
      </w:pPr>
    </w:p>
    <w:bookmarkStart w:id="71" w:name="page72"/>
    <w:bookmarkEnd w:id="71"/>
    <w:p>
      <w:pPr>
        <w:ind w:left="900" w:right="400" w:hanging="445"/>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1.1.2. “</w:t>
      </w:r>
      <w:r>
        <w:rPr>
          <w:rFonts w:ascii="Arial" w:cs="Arial" w:eastAsia="Arial" w:hAnsi="Arial"/>
          <w:sz w:val="16"/>
          <w:szCs w:val="16"/>
          <w:b w:val="1"/>
          <w:bCs w:val="1"/>
          <w:color w:val="auto"/>
        </w:rPr>
        <w:t>subsidiary</w:t>
      </w:r>
      <w:r>
        <w:rPr>
          <w:rFonts w:ascii="Arial" w:cs="Arial" w:eastAsia="Arial" w:hAnsi="Arial"/>
          <w:sz w:val="16"/>
          <w:szCs w:val="16"/>
          <w:color w:val="auto"/>
        </w:rPr>
        <w:t>” of a person means any company which is otherwise directly or indirectly controlled by such person. For the avoidance of doubt, a subsidiary need not be consolidated for financial statement purposes with such person in order to be deemed a subsidiary in this Agreement.</w:t>
      </w:r>
    </w:p>
    <w:p>
      <w:pPr>
        <w:spacing w:after="0" w:line="80" w:lineRule="exact"/>
        <w:rPr>
          <w:sz w:val="20"/>
          <w:szCs w:val="20"/>
          <w:color w:val="auto"/>
        </w:rPr>
      </w:pPr>
    </w:p>
    <w:p>
      <w:pPr>
        <w:jc w:val="both"/>
        <w:ind w:right="680"/>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Except as otherwise defined herein, terms and expressions defined in the Facility Agreement as amended and restated by the Amended Agreement (the </w:t>
      </w:r>
      <w:r>
        <w:rPr>
          <w:rFonts w:ascii="Arial" w:cs="Arial" w:eastAsia="Arial" w:hAnsi="Arial"/>
          <w:sz w:val="16"/>
          <w:szCs w:val="16"/>
          <w:b w:val="1"/>
          <w:bCs w:val="1"/>
          <w:color w:val="auto"/>
        </w:rPr>
        <w:t>“Restated Facility Agreement”</w:t>
      </w:r>
      <w:r>
        <w:rPr>
          <w:rFonts w:ascii="Arial" w:cs="Arial" w:eastAsia="Arial" w:hAnsi="Arial"/>
          <w:sz w:val="16"/>
          <w:szCs w:val="16"/>
          <w:color w:val="auto"/>
        </w:rPr>
        <w:t>) shall have the same meanings when used in this Agreement and all provisions of the Restated Facility Agreement concerning matters of construction and interpretation shall apply to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Preamble</w:t>
      </w:r>
      <w:r>
        <w:rPr>
          <w:rFonts w:ascii="Arial" w:cs="Arial" w:eastAsia="Arial" w:hAnsi="Arial"/>
          <w:sz w:val="18"/>
          <w:szCs w:val="18"/>
          <w:color w:val="auto"/>
        </w:rPr>
        <w:t>. The preamble to this Agreement constitutes an integral part thereof.</w:t>
      </w:r>
    </w:p>
    <w:p>
      <w:pPr>
        <w:spacing w:after="0" w:line="246" w:lineRule="exact"/>
        <w:rPr>
          <w:sz w:val="20"/>
          <w:szCs w:val="20"/>
          <w:color w:val="auto"/>
        </w:rPr>
      </w:pPr>
    </w:p>
    <w:p>
      <w:pPr>
        <w:ind w:left="460" w:right="5260" w:hanging="452"/>
        <w:spacing w:after="0" w:line="369" w:lineRule="auto"/>
        <w:tabs>
          <w:tab w:leader="none" w:pos="179"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of Loan and Issue of Capital Note on the Amendment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w:t>
      </w:r>
    </w:p>
    <w:p>
      <w:pPr>
        <w:spacing w:after="0" w:line="4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2.1. with effect as of the Amendment Closing Date, issues to the Bank, and the Bank hereby receives from the Company, in conversion of US $100,000,000 (one hundred million US dollars) of the Loans (being US $84,779,607 (eighty-four million, seven hundred and seventy-nine thousand, six hundred and seven US dollars) of Loans under the Facility Agreement and US $15,220,393 (fifteen million, two hundred and twenty thousand, three hundred and ninety-three</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US dollars) of Loans under the Equipment Facility Agreement), an executed Capital Note in the principal amount of US $100,000,000 (one hundred million US dollars) in the form attached as </w:t>
      </w:r>
      <w:r>
        <w:rPr>
          <w:rFonts w:ascii="Arial" w:cs="Arial" w:eastAsia="Arial" w:hAnsi="Arial"/>
          <w:sz w:val="18"/>
          <w:szCs w:val="18"/>
          <w:b w:val="1"/>
          <w:bCs w:val="1"/>
          <w:u w:val="single" w:color="auto"/>
          <w:color w:val="auto"/>
        </w:rPr>
        <w:t>Exhibit 1</w:t>
      </w:r>
      <w:r>
        <w:rPr>
          <w:rFonts w:ascii="Arial" w:cs="Arial" w:eastAsia="Arial" w:hAnsi="Arial"/>
          <w:sz w:val="18"/>
          <w:szCs w:val="18"/>
          <w:color w:val="auto"/>
        </w:rPr>
        <w:t xml:space="preserve"> hereto. For the avoidance of doubt (i) as of the Amendment Closing Date, the principal amount of Loans outstanding and owed by Tower to the Banks shall be as set forth in the second sentence of clause 2.1 of the Restated Facility Agreement and (ii) there shall be no further amounts (principal or interest) payable by the Company under the Equipment Facility Agreement referred to above and the Equipment Facility Agreement shall be terminated as at the Amendment Closing Date;</w:t>
      </w:r>
    </w:p>
    <w:p>
      <w:pPr>
        <w:spacing w:after="0" w:line="1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2.2. furnishes to the Bank a copy of the approval of the TASE for listing the 70,422,535 (seventy million, four hundred and twenty-two thousand, five hundred and thirty-five) shares issuable upon conversion of said Capital Note;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2.3. confirms that the Company has recorded such issuance of the Capital Note in the name of Bank on the records of the Company.</w:t>
      </w:r>
    </w:p>
    <w:p>
      <w:pPr>
        <w:spacing w:after="0" w:line="246"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represents and warrants to the Bank on the Amendment Closing Date as follows:</w:t>
      </w:r>
    </w:p>
    <w:p>
      <w:pPr>
        <w:spacing w:after="0" w:line="17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duly organized and validly existing under the laws of its jurisdiction of incorporation and has full corporate power and authority to own, lease and operate its properties and assets and to conduct its business as now being conducted and to perform all its obligations under this Agreement.</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 Capital</w:t>
      </w:r>
      <w:r>
        <w:rPr>
          <w:rFonts w:ascii="Arial" w:cs="Arial" w:eastAsia="Arial" w:hAnsi="Arial"/>
          <w:sz w:val="18"/>
          <w:szCs w:val="18"/>
          <w:color w:val="auto"/>
        </w:rPr>
        <w:t>. All issued and outstanding share capital of the Company has been duly authorized and is validly issued. The shares to be issued upon conversion of any Capital Note issued pursuant to this Agreement (the “</w:t>
      </w:r>
      <w:r>
        <w:rPr>
          <w:rFonts w:ascii="Arial" w:cs="Arial" w:eastAsia="Arial" w:hAnsi="Arial"/>
          <w:sz w:val="18"/>
          <w:szCs w:val="18"/>
          <w:b w:val="1"/>
          <w:bCs w:val="1"/>
          <w:color w:val="auto"/>
        </w:rPr>
        <w:t>Conversion Shares</w:t>
      </w:r>
      <w:r>
        <w:rPr>
          <w:rFonts w:ascii="Arial" w:cs="Arial" w:eastAsia="Arial" w:hAnsi="Arial"/>
          <w:sz w:val="18"/>
          <w:szCs w:val="18"/>
          <w:color w:val="auto"/>
        </w:rPr>
        <w:t>”) are duly authorized and reserved for issuance by the Company and, when issued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4" w:right="279" w:bottom="1440" w:gutter="0" w:footer="0" w:header="0"/>
        </w:sectPr>
      </w:pPr>
    </w:p>
    <w:bookmarkStart w:id="72" w:name="page73"/>
    <w:bookmarkEnd w:id="7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the terms of such Capital Note will be validly issued, fully paid, nonassessable and not subject to any pledge, lien or restriction on transfer, except for restrictions on transfer imposed by applicable securities laws. The entering into and performance of this Agreement and the issuance of any shares, or Capital Notes hereunder do not, and the issuance of any Conversion Shares will not, conflict with the Memorandum of Association or the Articles of Association of the Company nor with any outstanding convertible security, warrant, option, call, preemptive right or commitment of any type relating to the Company’s capital stock (collectively, “</w:t>
      </w:r>
      <w:r>
        <w:rPr>
          <w:rFonts w:ascii="Arial" w:cs="Arial" w:eastAsia="Arial" w:hAnsi="Arial"/>
          <w:sz w:val="16"/>
          <w:szCs w:val="16"/>
          <w:b w:val="1"/>
          <w:bCs w:val="1"/>
          <w:color w:val="auto"/>
        </w:rPr>
        <w:t>Equity Rights</w:t>
      </w:r>
      <w:r>
        <w:rPr>
          <w:rFonts w:ascii="Arial" w:cs="Arial" w:eastAsia="Arial" w:hAnsi="Arial"/>
          <w:sz w:val="16"/>
          <w:szCs w:val="16"/>
          <w:color w:val="auto"/>
        </w:rPr>
        <w:t>”). The entering into and performance of this Agreement, the issuance of any shares or Capital Notes hereunder and the issuance of the Conversion Shares do not require, or give any holder of Equity Rights the right to have made, any adjustments to be made in the conversion or exercise price, the number of shares issuable upon conversion or exercise or any other provision of the aforegoing Equity Rights.</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Approvals</w:t>
      </w:r>
      <w:r>
        <w:rPr>
          <w:rFonts w:ascii="Arial" w:cs="Arial" w:eastAsia="Arial" w:hAnsi="Arial"/>
          <w:sz w:val="16"/>
          <w:szCs w:val="16"/>
          <w:color w:val="auto"/>
        </w:rPr>
        <w:t>. All corporate action on the part of the Company necessary for the execution, delivery and performance of this Agreement and the issuance of any shares, Capital Notes, and Conversion Shares has been taken. Except as set forth in Schedule 3.3 hereto, save for any consents, approvals, authorisations or exemptions already obtained, and filings already made, no consent, approval or authorization of, exemption by, or filing with, any governmental or regulatory authority, including any approval of, or filings with, the Israeli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the TASE or any third party is required in connection with the execution, delivery and performance by the Company of this Agreement and the consummation by the Company of the transactions contemplated hereby, including the issuance by way of private placement pursuant to this Agreement of any Capital Notes, or shares. This Agreement and all Capital Notes issued hereunder on the date which this representation is given have been executed and delivered by the Company, and each constitutes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Cross-Default</w:t>
      </w:r>
      <w:r>
        <w:rPr>
          <w:rFonts w:ascii="Arial" w:cs="Arial" w:eastAsia="Arial" w:hAnsi="Arial"/>
          <w:sz w:val="18"/>
          <w:szCs w:val="18"/>
          <w:color w:val="auto"/>
        </w:rPr>
        <w:t>. No Default or Event of Default exists under the Facility Agreement.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by Tower, nor the compliance with the terms and provisions of this Agreement on the part of Tower, including the issuance of shares, Capital Notes, or Conversion Shares, will: (i) violate any statute or regulation of any governmental authority, domestic or foreign, affecting Tower; (ii) require the issuance of any authorization, license, consent or approval of any governmental agency, or any other person which has not been obtained, save as set forth in Schedule 3.5 hereto;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actions, suits, proceedings, or injunctive orders, pending or threatened against or affecting Tower relating to the subject matter of this Agreement.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Brokers</w:t>
      </w:r>
      <w:r>
        <w:rPr>
          <w:rFonts w:ascii="Arial" w:cs="Arial" w:eastAsia="Arial" w:hAnsi="Arial"/>
          <w:sz w:val="18"/>
          <w:szCs w:val="18"/>
          <w:color w:val="auto"/>
        </w:rPr>
        <w:t>. Tower has not engaged any broker or finder in connection with the transactions contemplated by this Agreement, and no broker or other person is entitled to any commission or finder’s fee in connection with such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8"/>
          <w:szCs w:val="18"/>
          <w:u w:val="single" w:color="auto"/>
          <w:color w:val="auto"/>
        </w:rPr>
        <w:t>Activities in the United States</w:t>
      </w:r>
      <w:r>
        <w:rPr>
          <w:rFonts w:ascii="Arial" w:cs="Arial" w:eastAsia="Arial" w:hAnsi="Arial"/>
          <w:sz w:val="18"/>
          <w:szCs w:val="18"/>
          <w:color w:val="auto"/>
        </w:rPr>
        <w:t>.</w:t>
      </w:r>
    </w:p>
    <w:p>
      <w:pPr>
        <w:spacing w:after="0" w:line="90" w:lineRule="exact"/>
        <w:rPr>
          <w:sz w:val="20"/>
          <w:szCs w:val="20"/>
          <w:color w:val="auto"/>
        </w:rPr>
      </w:pPr>
    </w:p>
    <w:p>
      <w:pPr>
        <w:ind w:left="900" w:right="80" w:hanging="445"/>
        <w:spacing w:after="0" w:line="357" w:lineRule="auto"/>
        <w:rPr>
          <w:sz w:val="20"/>
          <w:szCs w:val="20"/>
          <w:color w:val="auto"/>
        </w:rPr>
      </w:pPr>
      <w:r>
        <w:rPr>
          <w:rFonts w:ascii="Arial" w:cs="Arial" w:eastAsia="Arial" w:hAnsi="Arial"/>
          <w:sz w:val="15"/>
          <w:szCs w:val="15"/>
          <w:color w:val="auto"/>
        </w:rPr>
        <w:t>3.8.1. More than 50% (fifty percent) of the consolidated assets of the Company as shown or would be shown on its consolidated financial statements (a) as of the last day of the immediately preceding calendar year and (b) as of the date hereof are, in each case, are located outside of the United States.</w:t>
      </w:r>
    </w:p>
    <w:p>
      <w:pPr>
        <w:ind w:left="460"/>
        <w:spacing w:after="0"/>
        <w:rPr>
          <w:sz w:val="20"/>
          <w:szCs w:val="20"/>
          <w:color w:val="auto"/>
        </w:rPr>
      </w:pPr>
      <w:r>
        <w:rPr>
          <w:rFonts w:ascii="Arial" w:cs="Arial" w:eastAsia="Arial" w:hAnsi="Arial"/>
          <w:sz w:val="16"/>
          <w:szCs w:val="16"/>
          <w:color w:val="auto"/>
        </w:rPr>
        <w:t>3.8.2. More than 50% (fifty percent) of the consolidated revenues of the Company as shown or would be shown on its consolidated financial statements</w:t>
      </w:r>
    </w:p>
    <w:p>
      <w:pPr>
        <w:spacing w:after="0" w:line="38" w:lineRule="exact"/>
        <w:rPr>
          <w:sz w:val="20"/>
          <w:szCs w:val="20"/>
          <w:color w:val="auto"/>
        </w:rPr>
      </w:pPr>
    </w:p>
    <w:p>
      <w:pPr>
        <w:ind w:left="900" w:right="260" w:hanging="1"/>
        <w:spacing w:after="0" w:line="261" w:lineRule="auto"/>
        <w:tabs>
          <w:tab w:leader="none" w:pos="1139"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immediately preceding calendar year; and (b) during the current calendar year to date, in each case, are derived from outside the United States.</w:t>
      </w:r>
    </w:p>
    <w:p>
      <w:pPr>
        <w:spacing w:after="0" w:line="57" w:lineRule="exact"/>
        <w:rPr>
          <w:sz w:val="20"/>
          <w:szCs w:val="20"/>
          <w:color w:val="auto"/>
        </w:rPr>
      </w:pPr>
    </w:p>
    <w:p>
      <w:pPr>
        <w:ind w:left="900" w:right="20" w:hanging="445"/>
        <w:spacing w:after="0" w:line="289" w:lineRule="auto"/>
        <w:rPr>
          <w:sz w:val="20"/>
          <w:szCs w:val="20"/>
          <w:color w:val="auto"/>
        </w:rPr>
      </w:pPr>
      <w:r>
        <w:rPr>
          <w:rFonts w:ascii="Arial" w:cs="Arial" w:eastAsia="Arial" w:hAnsi="Arial"/>
          <w:sz w:val="16"/>
          <w:szCs w:val="16"/>
          <w:color w:val="auto"/>
        </w:rPr>
        <w:t>3.8.3. For the purposes of Section 3.8.1, Section 3.8.2, Section 5.1.1, Section 5.1.2, Section 5.1.6, Section 5.1.7 and Section 6.6 herein, assets and revenues of the Company will be deemed to be located or derived from “outside the United States” if they are recorded on the books of the Company or of any subsidiaries of the Company incorporated outside the United States (“</w:t>
      </w:r>
      <w:r>
        <w:rPr>
          <w:rFonts w:ascii="Arial" w:cs="Arial" w:eastAsia="Arial" w:hAnsi="Arial"/>
          <w:sz w:val="16"/>
          <w:szCs w:val="16"/>
          <w:b w:val="1"/>
          <w:bCs w:val="1"/>
          <w:color w:val="auto"/>
        </w:rPr>
        <w:t>Non-U.S. Subsidiaries</w:t>
      </w:r>
      <w:r>
        <w:rPr>
          <w:rFonts w:ascii="Arial" w:cs="Arial" w:eastAsia="Arial" w:hAnsi="Arial"/>
          <w:sz w:val="16"/>
          <w:szCs w:val="16"/>
          <w:color w:val="auto"/>
        </w:rPr>
        <w:t>”) (provided that such revenues are not recorded on the books of any offices of the Company or of its Non-U.S. Subsidiaries located in the United States (“</w:t>
      </w:r>
      <w:r>
        <w:rPr>
          <w:rFonts w:ascii="Arial" w:cs="Arial" w:eastAsia="Arial" w:hAnsi="Arial"/>
          <w:sz w:val="16"/>
          <w:szCs w:val="16"/>
          <w:b w:val="1"/>
          <w:bCs w:val="1"/>
          <w:color w:val="auto"/>
        </w:rPr>
        <w:t>U.S. Offices</w:t>
      </w:r>
      <w:r>
        <w:rPr>
          <w:rFonts w:ascii="Arial" w:cs="Arial" w:eastAsia="Arial" w:hAnsi="Arial"/>
          <w:sz w:val="16"/>
          <w:szCs w:val="16"/>
          <w:color w:val="auto"/>
        </w:rPr>
        <w:t>”)) and will be deemed to be located in or derived from the United States if they are recorded on the books of any U.S. Offices or of any subsidiaries of the Company incorporated in the United States (“</w:t>
      </w:r>
      <w:r>
        <w:rPr>
          <w:rFonts w:ascii="Arial" w:cs="Arial" w:eastAsia="Arial" w:hAnsi="Arial"/>
          <w:sz w:val="16"/>
          <w:szCs w:val="16"/>
          <w:b w:val="1"/>
          <w:bCs w:val="1"/>
          <w:color w:val="auto"/>
        </w:rPr>
        <w:t>U.S. Subsidiaries</w:t>
      </w:r>
      <w:r>
        <w:rPr>
          <w:rFonts w:ascii="Arial" w:cs="Arial" w:eastAsia="Arial" w:hAnsi="Arial"/>
          <w:sz w:val="16"/>
          <w:szCs w:val="16"/>
          <w:color w:val="auto"/>
        </w:rPr>
        <w:t>”). By way of example, revenues recorded on the books of the Company itself (but not on the books of any U.S. Offices) will be considered revenues derived from outside the United States, even if the revenues derive from a sale of the Company’s products to a U.S. person and even if the Company’s U.S. Subsidiary was involved in marketing, sales or post-sales support efforts.</w:t>
      </w:r>
    </w:p>
    <w:p>
      <w:pPr>
        <w:spacing w:after="0" w:line="37" w:lineRule="exact"/>
        <w:rPr>
          <w:sz w:val="20"/>
          <w:szCs w:val="20"/>
          <w:color w:val="auto"/>
        </w:rPr>
      </w:pPr>
    </w:p>
    <w:p>
      <w:pPr>
        <w:ind w:left="900" w:right="180" w:hanging="445"/>
        <w:spacing w:after="0" w:line="286" w:lineRule="auto"/>
        <w:rPr>
          <w:sz w:val="20"/>
          <w:szCs w:val="20"/>
          <w:color w:val="auto"/>
        </w:rPr>
      </w:pPr>
      <w:r>
        <w:rPr>
          <w:rFonts w:ascii="Arial" w:cs="Arial" w:eastAsia="Arial" w:hAnsi="Arial"/>
          <w:sz w:val="16"/>
          <w:szCs w:val="16"/>
          <w:color w:val="auto"/>
        </w:rPr>
        <w:t>3.8.4. The activities, if any, of the Company and its Non-U.S. Subsidiaries within the United States and the activities of all U.S. Subsidiaries are the same kind as or support the Company’s or its Non-U.S. Subsidiaries’ activities outside of the United States. For purposes of this Section 3.8.4,</w:t>
      </w:r>
    </w:p>
    <w:p>
      <w:pPr>
        <w:ind w:left="900"/>
        <w:spacing w:after="0" w:line="302" w:lineRule="auto"/>
        <w:rPr>
          <w:sz w:val="20"/>
          <w:szCs w:val="20"/>
          <w:color w:val="auto"/>
        </w:rPr>
      </w:pPr>
      <w:r>
        <w:rPr>
          <w:rFonts w:ascii="Arial" w:cs="Arial" w:eastAsia="Arial" w:hAnsi="Arial"/>
          <w:sz w:val="16"/>
          <w:szCs w:val="16"/>
          <w:color w:val="auto"/>
        </w:rPr>
        <w:t>Section 5.1.3, Section 5.1.6, Section 5.1.7 and Section 6.6 below (a) “the same kind as” shall mean activities that are within the same “establishment” categories of the North American Classification System published by the United States Census Bureau, and (b) “support” shall mean supply, distribution, sales, marketing, servicing, research and development, licensing, design, customer relations and/or similar activities.</w:t>
      </w:r>
    </w:p>
    <w:p>
      <w:pPr>
        <w:spacing w:after="0" w:line="28" w:lineRule="exact"/>
        <w:rPr>
          <w:sz w:val="20"/>
          <w:szCs w:val="20"/>
          <w:color w:val="auto"/>
        </w:rPr>
      </w:pPr>
    </w:p>
    <w:p>
      <w:pPr>
        <w:ind w:left="900" w:hanging="445"/>
        <w:spacing w:after="0" w:line="268" w:lineRule="auto"/>
        <w:rPr>
          <w:sz w:val="20"/>
          <w:szCs w:val="20"/>
          <w:color w:val="auto"/>
        </w:rPr>
      </w:pPr>
      <w:r>
        <w:rPr>
          <w:rFonts w:ascii="Arial" w:cs="Arial" w:eastAsia="Arial" w:hAnsi="Arial"/>
          <w:sz w:val="18"/>
          <w:szCs w:val="18"/>
          <w:color w:val="auto"/>
        </w:rPr>
        <w:t>3.8.5. Neither the Company nor any of its subsidiaries conducts activities in the United States that consist of engaging in the business of banking, securities, insurance or real estate.</w:t>
      </w:r>
    </w:p>
    <w:p>
      <w:pPr>
        <w:spacing w:after="0" w:line="51"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3.8.6. Neither the Company nor any of its subsidiaries engages, nor do either own more than 5% (five percent) of a class of voting securities of a person that engages, in the business of securities underwriting or distribution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74" w:name="page75"/>
    <w:bookmarkEnd w:id="74"/>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 The Company acknowledges that the Bank is acquiring the Capital Notes on the Amendment Closing Date in full reliance upon the representations and warranties made by the Company in this Agreement, including in Section 3.8 above.</w:t>
      </w:r>
    </w:p>
    <w:p>
      <w:pPr>
        <w:spacing w:after="0" w:line="207"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Bank</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hereby represents and warrants to the Company that it:</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4.1. is acquiring the securities issued and to be issued to the Bank pursuant to this Agreement for investment and not with a view to distribution without registration under the U.S.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4.2. has requisite knowledge and experience in financial and business matters to be capable of evaluating the merits and risks of an investment in the Company and is an accredited investor as defined in Rule 501(a) under the Securities Act;</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4.3. understands that none of the Capital Notes issued and to be issued under this Agreement have been, or will be, registered under the Securities Act, or the laws of any jurisdiction;</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4.4. agrees that none of the securities issued and to be issued to the Bank pursuant to this Agreement may be sold, offered for sale, transferred, pledged, hypothecated or otherwise disposed of except by registration under the Securities Act or otherwise in compliance with the Securities Act, the Israeli Securities Law or any applicable securities laws of any jurisdiction (including pursuant to an exemption therefrom); and</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4.5. acknowledges that the securities, upon issuance, will, unless in the reasonable opinion of counsel for the Company such legend is not required in order to ensure compliance under the Securities Act, bear the following legend:</w:t>
      </w:r>
    </w:p>
    <w:p>
      <w:pPr>
        <w:spacing w:after="0" w:line="159" w:lineRule="exact"/>
        <w:rPr>
          <w:sz w:val="20"/>
          <w:szCs w:val="20"/>
          <w:color w:val="auto"/>
        </w:rPr>
      </w:pPr>
    </w:p>
    <w:p>
      <w:pPr>
        <w:ind w:right="160" w:firstLine="456"/>
        <w:spacing w:after="0" w:line="244" w:lineRule="auto"/>
        <w:rPr>
          <w:sz w:val="20"/>
          <w:szCs w:val="20"/>
          <w:color w:val="auto"/>
        </w:rPr>
      </w:pPr>
      <w:r>
        <w:rPr>
          <w:rFonts w:ascii="Arial" w:cs="Arial" w:eastAsia="Arial" w:hAnsi="Arial"/>
          <w:sz w:val="17"/>
          <w:szCs w:val="17"/>
          <w:color w:val="auto"/>
        </w:rPr>
        <w:t>THESE SECURITIES [(INCLUDING THE SECURITIES ISSUABLE PURSUANT HERETO)]</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HAVE NOT BEEN REGISTERED OR QUALIFIED UNDER THE U.S. SECURITIES ACT OF 1933, AS AMENDED, OR ANY U.S. STATE OR OTHER JURISDICTION’S SECURITIES LAWS. THESE SECURITIES (INCLUDING THE SECURITIES ISSUABLE PURSUANT HERETO) MAY NOT BE SOLD, OFFERED FOR SALE OR PLEDGED, HYPOTHECATED OR OTHERWISE TRANSFERRED IN THE ABSENCE OF A REGISTRATION STATEMENT IN EFFECT UNDER THE U.S.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avoidance of doubt, nothing in this Section 4 shall derogate from the Company’s obligations under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43" w:lineRule="auto"/>
        <w:tabs>
          <w:tab w:leader="none" w:pos="460" w:val="left"/>
        </w:tabs>
        <w:numPr>
          <w:ilvl w:val="0"/>
          <w:numId w:val="87"/>
        </w:numPr>
        <w:rPr>
          <w:rFonts w:ascii="Arial" w:cs="Arial" w:eastAsia="Arial" w:hAnsi="Arial"/>
          <w:sz w:val="11"/>
          <w:szCs w:val="11"/>
          <w:color w:val="auto"/>
        </w:rPr>
      </w:pPr>
      <w:r>
        <w:rPr>
          <w:rFonts w:ascii="Arial" w:cs="Arial" w:eastAsia="Arial" w:hAnsi="Arial"/>
          <w:sz w:val="18"/>
          <w:szCs w:val="18"/>
          <w:color w:val="auto"/>
        </w:rPr>
        <w:t>Following the effective date of any registration statement covering the Conversion Shares or any of them, if applicable, bracketed language to be removed from future Capital Notes relating to such Conversion Shares and, at the request of the holder, a substitute Capital Note or Notes omitting the bracketed language will promptly be delivered to the holder.</w:t>
      </w:r>
    </w:p>
    <w:p>
      <w:pPr>
        <w:spacing w:after="0" w:line="127" w:lineRule="exact"/>
        <w:rPr>
          <w:rFonts w:ascii="Arial" w:cs="Arial" w:eastAsia="Arial" w:hAnsi="Arial"/>
          <w:sz w:val="11"/>
          <w:szCs w:val="11"/>
          <w:color w:val="auto"/>
        </w:rPr>
      </w:pPr>
    </w:p>
    <w:p>
      <w:pPr>
        <w:ind w:left="5680" w:hanging="112"/>
        <w:spacing w:after="0"/>
        <w:tabs>
          <w:tab w:leader="none" w:pos="56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80" w:right="259" w:bottom="1440" w:gutter="0" w:footer="0" w:header="0"/>
        </w:sectPr>
      </w:pPr>
    </w:p>
    <w:bookmarkStart w:id="75" w:name="page76"/>
    <w:bookmarkEnd w:id="75"/>
    <w:p>
      <w:pPr>
        <w:ind w:left="180" w:hanging="172"/>
        <w:spacing w:after="0"/>
        <w:tabs>
          <w:tab w:leader="none" w:pos="1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Undertakings by the Company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5.1. For so long as (a) any shares or Capital Notes are issuable to the Bank and/or its subsidiaries (for the avoidance of doubt, as defined in Section 1.1.2 above) pursuant to this Agreement and (b) any securities of the Company (including Capital Notes, Warrants and shares), constituting or convertible into 5% or more of any class of voting securities (as defined in the United States Code of Federal Regulations - 12 C.F.R. Section 225.2(q)) of the Company are beneficially owned by the Bank and/or its subsidiaries (for the avoidance of doubt, as defined in Section 1.1.2 above), the Company shall use its best efforts in order:</w:t>
      </w:r>
    </w:p>
    <w:p>
      <w:pPr>
        <w:spacing w:after="0" w:line="17" w:lineRule="exact"/>
        <w:rPr>
          <w:sz w:val="20"/>
          <w:szCs w:val="20"/>
          <w:color w:val="auto"/>
        </w:rPr>
      </w:pPr>
    </w:p>
    <w:p>
      <w:pPr>
        <w:ind w:left="900" w:right="340" w:hanging="445"/>
        <w:spacing w:after="0" w:line="268" w:lineRule="auto"/>
        <w:rPr>
          <w:sz w:val="20"/>
          <w:szCs w:val="20"/>
          <w:color w:val="auto"/>
        </w:rPr>
      </w:pPr>
      <w:r>
        <w:rPr>
          <w:rFonts w:ascii="Arial" w:cs="Arial" w:eastAsia="Arial" w:hAnsi="Arial"/>
          <w:sz w:val="18"/>
          <w:szCs w:val="18"/>
          <w:color w:val="auto"/>
        </w:rPr>
        <w:t>5.1.1. that more than 50% (fifty percent) of the consolidated assets of the Company as of December 31 of each calendar year are located outside of the United States (the “</w:t>
      </w:r>
      <w:r>
        <w:rPr>
          <w:rFonts w:ascii="Arial" w:cs="Arial" w:eastAsia="Arial" w:hAnsi="Arial"/>
          <w:sz w:val="18"/>
          <w:szCs w:val="18"/>
          <w:b w:val="1"/>
          <w:bCs w:val="1"/>
          <w:color w:val="auto"/>
        </w:rPr>
        <w:t>Asset Test</w:t>
      </w:r>
      <w:r>
        <w:rPr>
          <w:rFonts w:ascii="Arial" w:cs="Arial" w:eastAsia="Arial" w:hAnsi="Arial"/>
          <w:sz w:val="18"/>
          <w:szCs w:val="18"/>
          <w:color w:val="auto"/>
        </w:rPr>
        <w:t>”);</w:t>
      </w:r>
    </w:p>
    <w:p>
      <w:pPr>
        <w:spacing w:after="0" w:line="51"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5.1.2. that more than 50% (fifty percent) of the consolidated revenues of the Company as of December 31 of each calendar year are derived from outside the United States (the “</w:t>
      </w:r>
      <w:r>
        <w:rPr>
          <w:rFonts w:ascii="Arial" w:cs="Arial" w:eastAsia="Arial" w:hAnsi="Arial"/>
          <w:sz w:val="18"/>
          <w:szCs w:val="18"/>
          <w:b w:val="1"/>
          <w:bCs w:val="1"/>
          <w:color w:val="auto"/>
        </w:rPr>
        <w:t>Revenue Test</w:t>
      </w:r>
      <w:r>
        <w:rPr>
          <w:rFonts w:ascii="Arial" w:cs="Arial" w:eastAsia="Arial" w:hAnsi="Arial"/>
          <w:sz w:val="18"/>
          <w:szCs w:val="18"/>
          <w:color w:val="auto"/>
        </w:rPr>
        <w:t>”);</w:t>
      </w:r>
    </w:p>
    <w:p>
      <w:pPr>
        <w:spacing w:after="0" w:line="51"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5.1.3. that the activities of the Company within the United States and the activities of the U.S. Subsidiaries are of the same kind as or support the activities of the Company or its Non-U.S. Subsidiaries outside the United States (the “</w:t>
      </w:r>
      <w:r>
        <w:rPr>
          <w:rFonts w:ascii="Arial" w:cs="Arial" w:eastAsia="Arial" w:hAnsi="Arial"/>
          <w:sz w:val="18"/>
          <w:szCs w:val="18"/>
          <w:b w:val="1"/>
          <w:bCs w:val="1"/>
          <w:color w:val="auto"/>
        </w:rPr>
        <w:t>Same Line of Business Test</w:t>
      </w:r>
      <w:r>
        <w:rPr>
          <w:rFonts w:ascii="Arial" w:cs="Arial" w:eastAsia="Arial" w:hAnsi="Arial"/>
          <w:sz w:val="18"/>
          <w:szCs w:val="18"/>
          <w:color w:val="auto"/>
        </w:rPr>
        <w:t>”);</w:t>
      </w:r>
    </w:p>
    <w:p>
      <w:pPr>
        <w:spacing w:after="0" w:line="51" w:lineRule="exact"/>
        <w:rPr>
          <w:sz w:val="20"/>
          <w:szCs w:val="20"/>
          <w:color w:val="auto"/>
        </w:rPr>
      </w:pPr>
    </w:p>
    <w:p>
      <w:pPr>
        <w:ind w:left="900" w:right="180" w:hanging="445"/>
        <w:spacing w:after="0" w:line="259" w:lineRule="auto"/>
        <w:rPr>
          <w:sz w:val="20"/>
          <w:szCs w:val="20"/>
          <w:color w:val="auto"/>
        </w:rPr>
      </w:pPr>
      <w:r>
        <w:rPr>
          <w:rFonts w:ascii="Arial" w:cs="Arial" w:eastAsia="Arial" w:hAnsi="Arial"/>
          <w:sz w:val="18"/>
          <w:szCs w:val="18"/>
          <w:color w:val="auto"/>
        </w:rPr>
        <w:t>5.1.4. that neither the Company nor any of its subsidiaries will conduct activities in the United States that consist of engaging in the business of banking, securities, insurance or real estate (the “</w:t>
      </w:r>
      <w:r>
        <w:rPr>
          <w:rFonts w:ascii="Arial" w:cs="Arial" w:eastAsia="Arial" w:hAnsi="Arial"/>
          <w:sz w:val="18"/>
          <w:szCs w:val="18"/>
          <w:b w:val="1"/>
          <w:bCs w:val="1"/>
          <w:color w:val="auto"/>
        </w:rPr>
        <w:t>Financial Activities Test</w:t>
      </w:r>
      <w:r>
        <w:rPr>
          <w:rFonts w:ascii="Arial" w:cs="Arial" w:eastAsia="Arial" w:hAnsi="Arial"/>
          <w:sz w:val="18"/>
          <w:szCs w:val="18"/>
          <w:color w:val="auto"/>
        </w:rPr>
        <w:t>”) (for the avoidance of doubt, nothing in the aforesaid shall derogate from the obligations of the Company under the Restated Facility Agreement);</w:t>
      </w:r>
    </w:p>
    <w:p>
      <w:pPr>
        <w:spacing w:after="0" w:line="59" w:lineRule="exact"/>
        <w:rPr>
          <w:sz w:val="20"/>
          <w:szCs w:val="20"/>
          <w:color w:val="auto"/>
        </w:rPr>
      </w:pPr>
    </w:p>
    <w:p>
      <w:pPr>
        <w:ind w:left="900" w:right="20" w:hanging="445"/>
        <w:spacing w:after="0" w:line="256" w:lineRule="auto"/>
        <w:rPr>
          <w:sz w:val="20"/>
          <w:szCs w:val="20"/>
          <w:color w:val="auto"/>
        </w:rPr>
      </w:pPr>
      <w:r>
        <w:rPr>
          <w:rFonts w:ascii="Arial" w:cs="Arial" w:eastAsia="Arial" w:hAnsi="Arial"/>
          <w:sz w:val="18"/>
          <w:szCs w:val="18"/>
          <w:color w:val="auto"/>
        </w:rPr>
        <w:t>5.1.5. not to engage, or permit any of its subsidiaries to engage, or to own or permit any of its subsidiaries to own more than 5% (five percent) of a class of voting securities of a person that engages, in the business of securities’ underwriting or distribution in the United States (the “</w:t>
      </w:r>
      <w:r>
        <w:rPr>
          <w:rFonts w:ascii="Arial" w:cs="Arial" w:eastAsia="Arial" w:hAnsi="Arial"/>
          <w:sz w:val="18"/>
          <w:szCs w:val="18"/>
          <w:b w:val="1"/>
          <w:bCs w:val="1"/>
          <w:color w:val="auto"/>
        </w:rPr>
        <w:t>No 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Test</w:t>
      </w:r>
      <w:r>
        <w:rPr>
          <w:rFonts w:ascii="Arial" w:cs="Arial" w:eastAsia="Arial" w:hAnsi="Arial"/>
          <w:sz w:val="18"/>
          <w:szCs w:val="18"/>
          <w:color w:val="auto"/>
        </w:rPr>
        <w:t>”) (for the avoidance of doubt, nothing in the aforesaid shall derogate from the obligations of the Company under the Restated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2" w:lineRule="exact"/>
        <w:rPr>
          <w:sz w:val="20"/>
          <w:szCs w:val="20"/>
          <w:color w:val="auto"/>
        </w:rPr>
      </w:pPr>
    </w:p>
    <w:p>
      <w:pPr>
        <w:ind w:left="900" w:hanging="445"/>
        <w:spacing w:after="0" w:line="298" w:lineRule="auto"/>
        <w:rPr>
          <w:sz w:val="20"/>
          <w:szCs w:val="20"/>
          <w:color w:val="auto"/>
        </w:rPr>
      </w:pPr>
      <w:r>
        <w:rPr>
          <w:rFonts w:ascii="Arial" w:cs="Arial" w:eastAsia="Arial" w:hAnsi="Arial"/>
          <w:sz w:val="16"/>
          <w:szCs w:val="16"/>
          <w:color w:val="auto"/>
        </w:rPr>
        <w:t>5.1.6. Nothing in Sections 5.1, 5.1.1, 5.1.2, 5.1.3, 5.1.4 or 5.1.5 above shall require the Company to prejudice the business or financial interests of the Company and the Company may take such actions or refrain from taking actions that may cause it not to satisfy the Asset Test, the Revenue Test, the Same Line of Business Test, the Financial Activities Test and/or the No Underwriting Test, provided that the taking of such actions, or refraining from taking such actions, are in the business or financial interests of the Company as reasonably determined by the Company;</w:t>
      </w:r>
    </w:p>
    <w:p>
      <w:pPr>
        <w:spacing w:after="0" w:line="32" w:lineRule="exact"/>
        <w:rPr>
          <w:sz w:val="20"/>
          <w:szCs w:val="20"/>
          <w:color w:val="auto"/>
        </w:rPr>
      </w:pPr>
    </w:p>
    <w:p>
      <w:pPr>
        <w:ind w:left="900" w:right="120" w:hanging="445"/>
        <w:spacing w:after="0" w:line="259" w:lineRule="auto"/>
        <w:rPr>
          <w:sz w:val="20"/>
          <w:szCs w:val="20"/>
          <w:color w:val="auto"/>
        </w:rPr>
      </w:pPr>
      <w:r>
        <w:rPr>
          <w:rFonts w:ascii="Arial" w:cs="Arial" w:eastAsia="Arial" w:hAnsi="Arial"/>
          <w:sz w:val="18"/>
          <w:szCs w:val="18"/>
          <w:color w:val="auto"/>
        </w:rPr>
        <w:t>5.1.7. furnish to the Bank, as soon as practicable (and, in any event, within thirty (30) days after the end of each calendar year), a certificate of the Chief Financial Officer of the Company, in a form reasonably satisfactory to the Bank (i) confirming whether the Company is in compliance with each of the Asset Test, the Revenue Test, the Same Line of Business Test, the Financial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274" w:right="299" w:bottom="1440" w:gutter="0" w:footer="0" w:header="0"/>
        </w:sectPr>
      </w:pPr>
    </w:p>
    <w:bookmarkStart w:id="76" w:name="page77"/>
    <w:bookmarkEnd w:id="76"/>
    <w:p>
      <w:pPr>
        <w:ind w:left="920"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Activities Test and the No Underwriting Test, provided that if the Company is not in compliance with the Asset Test or the Revenue Test in a particular calendar year, the Chief Financial Officer shall describe the steps, if any, being taken by the Company to ensure compliance in the immediately following calendar year (for the removal of doubt, without derogating from Section 5.1.6 above); and (ii) setting out (a) the amount and percentage of the consolidated revenues of the Company derived from outside the United States during the immediately preceding calendar year, and</w:t>
      </w:r>
    </w:p>
    <w:p>
      <w:pPr>
        <w:spacing w:after="0" w:line="3" w:lineRule="exact"/>
        <w:rPr>
          <w:sz w:val="20"/>
          <w:szCs w:val="20"/>
          <w:color w:val="auto"/>
        </w:rPr>
      </w:pPr>
    </w:p>
    <w:p>
      <w:pPr>
        <w:ind w:left="920" w:right="880" w:hanging="7"/>
        <w:spacing w:after="0" w:line="261" w:lineRule="auto"/>
        <w:tabs>
          <w:tab w:leader="none" w:pos="116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and percentage of the consolidated assets of the Company located outside of the United States as of December 31 of such immediately preceding calendar year; and</w:t>
      </w:r>
    </w:p>
    <w:p>
      <w:pPr>
        <w:spacing w:after="0" w:line="57" w:lineRule="exact"/>
        <w:rPr>
          <w:sz w:val="20"/>
          <w:szCs w:val="20"/>
          <w:color w:val="auto"/>
        </w:rPr>
      </w:pPr>
    </w:p>
    <w:p>
      <w:pPr>
        <w:ind w:left="900" w:right="20" w:hanging="445"/>
        <w:spacing w:after="0" w:line="332" w:lineRule="auto"/>
        <w:rPr>
          <w:sz w:val="20"/>
          <w:szCs w:val="20"/>
          <w:color w:val="auto"/>
        </w:rPr>
      </w:pPr>
      <w:r>
        <w:rPr>
          <w:rFonts w:ascii="Arial" w:cs="Arial" w:eastAsia="Arial" w:hAnsi="Arial"/>
          <w:sz w:val="16"/>
          <w:szCs w:val="16"/>
          <w:color w:val="auto"/>
        </w:rPr>
        <w:t>5.1.8. furnish promptly to the Bank, such other information as such person may reasonably request in order to satisfy their obligations to file certain reports or assess its compliance with applicable legal or regulatory requirements relating to the transactions contemplated herein.</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5.2. The Company shall fulfil all of its obligations under the Equity Documents, including the Capital Notes issued pursuant hereto and the under any registration rights agreement.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5.3. In the event that the adjustment provisions of any Capital Notes issued pursuant hereto result in additional Conversion Shares to be issued upon conversion of the Capital Notes, the Company shall promptly furnish the Bank with a copy of the approval of the TASE for listing such additional Conversion Shares (if the Company’s shares are then traded on the TASE).</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5.4. To the extent that ordinary shares (or other shares of capital stock substituted therefor) of the Company are listed on one or more securities exchanges, including the NASDAQ and the TASE, the Company shall maintain, at its expense, the listing of the shares of the Company issued pursuant to this Agreement (including upon conversion of Capital Notes issued pursuant to this Agreement) on such exchanges or, in the event such shares of the Company are listed on only one securities exchange, such exchange. Nothing in this Section 5.4 shall constitute an obligation of the Company to list or maintain the listing of its ordinary shares (or other shares of capital stock substituted therefor) on any securities exchanges, including the NASDAQ and the TASE.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5.5. The Company undertakes not to issue Shares or Securities (as defined in the Securities Law, 1968) of the Company, save on market terms and conditions.</w:t>
      </w:r>
    </w:p>
    <w:p>
      <w:pPr>
        <w:spacing w:after="0" w:line="269"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Tower in any jurisdiction in which it has an office or holds assets.</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77" w:name="page78"/>
    <w:bookmarkEnd w:id="7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the Bank may assign this Agreement, in whole or in part, to any Affiliate of the Bank or add an Affiliate of the Bank as an additional party hereto, Nothing in this Agreement shall be deemed to restrict the (a) transferability of the shares, and Capital Notes to be issued pursuant to this Agreement or the Conversion Shares, in each case, in whole or in part at any time and from time to time, except for restrictions on transfer imposed by applicable securities laws or (b) the assignability of the registration rights in accordance with the Registration Rights Agreement.</w:t>
      </w:r>
    </w:p>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bear the expenses and costs of all the parties to the transactions contemplated hereby (including the fees and expenses of counsel to the Bank).</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Entire Agreement; Amendment and Waiver</w:t>
      </w:r>
      <w:r>
        <w:rPr>
          <w:rFonts w:ascii="Arial" w:cs="Arial" w:eastAsia="Arial" w:hAnsi="Arial"/>
          <w:sz w:val="16"/>
          <w:szCs w:val="16"/>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59"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If to the Bank:</w:t>
            </w: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Corporate Division</w:t>
            </w:r>
          </w:p>
        </w:tc>
      </w:tr>
      <w:tr>
        <w:trPr>
          <w:trHeight w:val="230"/>
        </w:trPr>
        <w:tc>
          <w:tcPr>
            <w:tcW w:w="1720" w:type="dxa"/>
            <w:vAlign w:val="bottom"/>
          </w:tcPr>
          <w:p>
            <w:pPr>
              <w:spacing w:after="0"/>
              <w:rPr>
                <w:sz w:val="19"/>
                <w:szCs w:val="19"/>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34 Yehuda Halevi Street</w:t>
            </w:r>
          </w:p>
        </w:tc>
      </w:tr>
      <w:tr>
        <w:trPr>
          <w:trHeight w:val="230"/>
        </w:trPr>
        <w:tc>
          <w:tcPr>
            <w:tcW w:w="1720" w:type="dxa"/>
            <w:vAlign w:val="bottom"/>
          </w:tcPr>
          <w:p>
            <w:pPr>
              <w:spacing w:after="0"/>
              <w:rPr>
                <w:sz w:val="19"/>
                <w:szCs w:val="19"/>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Tel-Aviv</w:t>
            </w:r>
          </w:p>
        </w:tc>
      </w:tr>
      <w:tr>
        <w:trPr>
          <w:trHeight w:val="230"/>
        </w:trPr>
        <w:tc>
          <w:tcPr>
            <w:tcW w:w="172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w w:val="99"/>
              </w:rPr>
              <w:t>Israel</w:t>
            </w:r>
          </w:p>
        </w:tc>
        <w:tc>
          <w:tcPr>
            <w:tcW w:w="20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Fax.:  972-3-5149278</w:t>
            </w:r>
          </w:p>
        </w:tc>
      </w:tr>
      <w:tr>
        <w:trPr>
          <w:trHeight w:val="222"/>
        </w:trPr>
        <w:tc>
          <w:tcPr>
            <w:tcW w:w="1720" w:type="dxa"/>
            <w:vAlign w:val="bottom"/>
          </w:tcPr>
          <w:p>
            <w:pPr>
              <w:spacing w:after="0"/>
              <w:rPr>
                <w:sz w:val="19"/>
                <w:szCs w:val="19"/>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w w:val="94"/>
              </w:rPr>
              <w:t>Attn:  Head of Corporate Division</w:t>
            </w:r>
          </w:p>
        </w:tc>
      </w:tr>
      <w:tr>
        <w:trPr>
          <w:trHeight w:val="318"/>
        </w:trPr>
        <w:tc>
          <w:tcPr>
            <w:tcW w:w="1720" w:type="dxa"/>
            <w:vAlign w:val="bottom"/>
          </w:tcPr>
          <w:p>
            <w:pPr>
              <w:spacing w:after="0"/>
              <w:rPr>
                <w:sz w:val="20"/>
                <w:szCs w:val="20"/>
                <w:color w:val="auto"/>
              </w:rPr>
            </w:pPr>
            <w:r>
              <w:rPr>
                <w:rFonts w:ascii="Arial" w:cs="Arial" w:eastAsia="Arial" w:hAnsi="Arial"/>
                <w:sz w:val="18"/>
                <w:szCs w:val="18"/>
                <w:color w:val="auto"/>
              </w:rPr>
              <w:t>If to the Company:</w:t>
            </w: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Tower Semiconductor Ltd.</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Ramat Gavriel Industrial Area</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P.O. Box 619</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Migdal Haemek</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Israel 23105</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Fax.:  972-4-6047242</w:t>
            </w:r>
          </w:p>
        </w:tc>
      </w:tr>
      <w:tr>
        <w:trPr>
          <w:trHeight w:val="222"/>
        </w:trPr>
        <w:tc>
          <w:tcPr>
            <w:tcW w:w="172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Attn:</w:t>
            </w:r>
          </w:p>
        </w:tc>
        <w:tc>
          <w:tcPr>
            <w:tcW w:w="2040" w:type="dxa"/>
            <w:vAlign w:val="bottom"/>
          </w:tcPr>
          <w:p>
            <w:pPr>
              <w:ind w:left="80"/>
              <w:spacing w:after="0"/>
              <w:rPr>
                <w:sz w:val="20"/>
                <w:szCs w:val="20"/>
                <w:color w:val="auto"/>
              </w:rPr>
            </w:pPr>
            <w:r>
              <w:rPr>
                <w:rFonts w:ascii="Arial" w:cs="Arial" w:eastAsia="Arial" w:hAnsi="Arial"/>
                <w:sz w:val="18"/>
                <w:szCs w:val="18"/>
                <w:color w:val="auto"/>
                <w:w w:val="95"/>
              </w:rPr>
              <w:t>Oren Shirazi, Acting CFO</w:t>
            </w:r>
          </w:p>
        </w:tc>
      </w:tr>
      <w:tr>
        <w:trPr>
          <w:trHeight w:val="318"/>
        </w:trPr>
        <w:tc>
          <w:tcPr>
            <w:tcW w:w="1720" w:type="dxa"/>
            <w:vAlign w:val="bottom"/>
          </w:tcPr>
          <w:p>
            <w:pPr>
              <w:spacing w:after="0"/>
              <w:rPr>
                <w:sz w:val="20"/>
                <w:szCs w:val="20"/>
                <w:color w:val="auto"/>
              </w:rPr>
            </w:pPr>
            <w:r>
              <w:rPr>
                <w:rFonts w:ascii="Arial" w:cs="Arial" w:eastAsia="Arial" w:hAnsi="Arial"/>
                <w:sz w:val="18"/>
                <w:szCs w:val="18"/>
                <w:color w:val="auto"/>
              </w:rPr>
              <w:t>with a copy to</w:t>
            </w: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(which shall not</w:t>
            </w:r>
          </w:p>
        </w:tc>
        <w:tc>
          <w:tcPr>
            <w:tcW w:w="8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constitute notice):</w:t>
            </w: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Yigal Arnon &amp; Co.</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1 Azrieli Center</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line="217" w:lineRule="exact"/>
              <w:rPr>
                <w:sz w:val="20"/>
                <w:szCs w:val="20"/>
                <w:color w:val="auto"/>
              </w:rPr>
            </w:pPr>
            <w:r>
              <w:rPr>
                <w:rFonts w:ascii="Arial" w:cs="Arial" w:eastAsia="Arial" w:hAnsi="Arial"/>
                <w:sz w:val="18"/>
                <w:szCs w:val="18"/>
                <w:color w:val="auto"/>
              </w:rPr>
              <w:t>46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Tel-Aviv, Israel, 67021</w:t>
            </w:r>
          </w:p>
        </w:tc>
      </w:tr>
      <w:tr>
        <w:trPr>
          <w:trHeight w:val="216"/>
        </w:trPr>
        <w:tc>
          <w:tcPr>
            <w:tcW w:w="1720" w:type="dxa"/>
            <w:vAlign w:val="bottom"/>
          </w:tcPr>
          <w:p>
            <w:pPr>
              <w:spacing w:after="0"/>
              <w:rPr>
                <w:sz w:val="18"/>
                <w:szCs w:val="18"/>
                <w:color w:val="auto"/>
              </w:rPr>
            </w:pPr>
          </w:p>
        </w:tc>
        <w:tc>
          <w:tcPr>
            <w:tcW w:w="2880" w:type="dxa"/>
            <w:vAlign w:val="bottom"/>
            <w:gridSpan w:val="2"/>
          </w:tcPr>
          <w:p>
            <w:pPr>
              <w:ind w:left="380"/>
              <w:spacing w:after="0"/>
              <w:rPr>
                <w:sz w:val="20"/>
                <w:szCs w:val="20"/>
                <w:color w:val="auto"/>
              </w:rPr>
            </w:pPr>
            <w:r>
              <w:rPr>
                <w:rFonts w:ascii="Arial" w:cs="Arial" w:eastAsia="Arial" w:hAnsi="Arial"/>
                <w:sz w:val="18"/>
                <w:szCs w:val="18"/>
                <w:color w:val="auto"/>
              </w:rPr>
              <w:t>Fax:  972-3-6087714</w:t>
            </w:r>
          </w:p>
        </w:tc>
      </w:tr>
      <w:tr>
        <w:trPr>
          <w:trHeight w:val="222"/>
        </w:trPr>
        <w:tc>
          <w:tcPr>
            <w:tcW w:w="172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Attn:</w:t>
            </w:r>
          </w:p>
        </w:tc>
        <w:tc>
          <w:tcPr>
            <w:tcW w:w="2040" w:type="dxa"/>
            <w:vAlign w:val="bottom"/>
          </w:tcPr>
          <w:p>
            <w:pPr>
              <w:ind w:left="80"/>
              <w:spacing w:after="0"/>
              <w:rPr>
                <w:sz w:val="20"/>
                <w:szCs w:val="20"/>
                <w:color w:val="auto"/>
              </w:rPr>
            </w:pPr>
            <w:r>
              <w:rPr>
                <w:rFonts w:ascii="Arial" w:cs="Arial" w:eastAsia="Arial" w:hAnsi="Arial"/>
                <w:sz w:val="18"/>
                <w:szCs w:val="18"/>
                <w:color w:val="auto"/>
              </w:rPr>
              <w:t>David Schapiro, Adv.</w:t>
            </w:r>
          </w:p>
        </w:tc>
      </w:tr>
    </w:tbl>
    <w:p>
      <w:pPr>
        <w:spacing w:after="0" w:line="15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Section 8.5 shall be effective (i) if mailed, five (5) business days after mailing, (ii) if sent by messenger, upon delivery, and (iii) if sent via facsimile, one (1) business day following transmission and electronic confirmation of receipt.</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upon any breach or default under this Agreement, shall be deemed a waiver of any other breach or default theretofore or thereafter occurring. Any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280" w:right="299" w:bottom="1440" w:gutter="0" w:footer="0" w:header="0"/>
        </w:sectPr>
      </w:pPr>
    </w:p>
    <w:bookmarkStart w:id="78" w:name="page79"/>
    <w:bookmarkEnd w:id="78"/>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of the parties has signed this Agreement as of the date first hereinabove set forth.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TOWER SEMICONDUCTOR LTD.</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BANK LEUMI LE–ISRAEL B.M.</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8"/>
              </w:rPr>
              <w:t>/s/ Oren Shirazi</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/s/ Anat Golan</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jc w:val="center"/>
              <w:ind w:left="32"/>
              <w:spacing w:after="0" w:line="203" w:lineRule="exact"/>
              <w:rPr>
                <w:sz w:val="20"/>
                <w:szCs w:val="20"/>
                <w:color w:val="auto"/>
              </w:rPr>
            </w:pPr>
            <w:r>
              <w:rPr>
                <w:rFonts w:ascii="Arial" w:cs="Arial" w:eastAsia="Arial" w:hAnsi="Arial"/>
                <w:sz w:val="18"/>
                <w:szCs w:val="18"/>
                <w:color w:val="auto"/>
                <w:w w:val="89"/>
              </w:rPr>
              <w:t>Oren Shirazi</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1"/>
              </w:rPr>
              <w:t>Anat Golan</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ind w:left="32"/>
              <w:spacing w:after="0"/>
              <w:rPr>
                <w:sz w:val="20"/>
                <w:szCs w:val="20"/>
                <w:color w:val="auto"/>
              </w:rPr>
            </w:pPr>
            <w:r>
              <w:rPr>
                <w:rFonts w:ascii="Arial" w:cs="Arial" w:eastAsia="Arial" w:hAnsi="Arial"/>
                <w:sz w:val="18"/>
                <w:szCs w:val="18"/>
                <w:color w:val="auto"/>
                <w:w w:val="93"/>
              </w:rPr>
              <w:t>Acting VP &amp; CFO</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jc w:val="center"/>
              <w:ind w:left="12"/>
              <w:spacing w:after="0"/>
              <w:rPr>
                <w:sz w:val="20"/>
                <w:szCs w:val="20"/>
                <w:color w:val="auto"/>
              </w:rPr>
            </w:pPr>
            <w:r>
              <w:rPr>
                <w:rFonts w:ascii="Arial" w:cs="Arial" w:eastAsia="Arial" w:hAnsi="Arial"/>
                <w:sz w:val="18"/>
                <w:szCs w:val="18"/>
                <w:color w:val="auto"/>
                <w:w w:val="88"/>
              </w:rPr>
              <w:t>Senior Relationship Manager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/s/ Yoram Glatt</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5"/>
              </w:rPr>
              <w:t>/s/ Rina Vahaba</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jc w:val="center"/>
              <w:ind w:left="32"/>
              <w:spacing w:after="0" w:line="203" w:lineRule="exact"/>
              <w:rPr>
                <w:sz w:val="20"/>
                <w:szCs w:val="20"/>
                <w:color w:val="auto"/>
              </w:rPr>
            </w:pPr>
            <w:r>
              <w:rPr>
                <w:rFonts w:ascii="Arial" w:cs="Arial" w:eastAsia="Arial" w:hAnsi="Arial"/>
                <w:sz w:val="18"/>
                <w:szCs w:val="18"/>
                <w:color w:val="auto"/>
                <w:w w:val="89"/>
              </w:rPr>
              <w:t>Yoram Glatt</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jc w:val="center"/>
              <w:ind w:left="12"/>
              <w:spacing w:after="0" w:line="203" w:lineRule="exact"/>
              <w:rPr>
                <w:sz w:val="20"/>
                <w:szCs w:val="20"/>
                <w:color w:val="auto"/>
              </w:rPr>
            </w:pPr>
            <w:r>
              <w:rPr>
                <w:rFonts w:ascii="Arial" w:cs="Arial" w:eastAsia="Arial" w:hAnsi="Arial"/>
                <w:sz w:val="18"/>
                <w:szCs w:val="18"/>
                <w:color w:val="auto"/>
                <w:w w:val="86"/>
              </w:rPr>
              <w:t>Rina Vahaba</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jc w:val="center"/>
              <w:ind w:left="32"/>
              <w:spacing w:after="0"/>
              <w:rPr>
                <w:sz w:val="20"/>
                <w:szCs w:val="20"/>
                <w:color w:val="auto"/>
              </w:rPr>
            </w:pPr>
            <w:r>
              <w:rPr>
                <w:rFonts w:ascii="Arial" w:cs="Arial" w:eastAsia="Arial" w:hAnsi="Arial"/>
                <w:sz w:val="18"/>
                <w:szCs w:val="18"/>
                <w:color w:val="auto"/>
                <w:w w:val="84"/>
              </w:rPr>
              <w:t>Treasurer</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jc w:val="center"/>
              <w:ind w:left="12"/>
              <w:spacing w:after="0"/>
              <w:rPr>
                <w:sz w:val="20"/>
                <w:szCs w:val="20"/>
                <w:color w:val="auto"/>
              </w:rPr>
            </w:pPr>
            <w:r>
              <w:rPr>
                <w:rFonts w:ascii="Arial" w:cs="Arial" w:eastAsia="Arial" w:hAnsi="Arial"/>
                <w:sz w:val="18"/>
                <w:szCs w:val="18"/>
                <w:color w:val="auto"/>
                <w:w w:val="88"/>
              </w:rPr>
              <w:t>Head of Technology Sector</w:t>
            </w:r>
          </w:p>
        </w:tc>
      </w:tr>
      <w:tr>
        <w:trPr>
          <w:trHeight w:val="365"/>
        </w:trPr>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- 9 -</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9" w:name="page80"/>
    <w:bookmarkEnd w:id="79"/>
    <w:p>
      <w:pPr>
        <w:ind w:left="105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xml:space="preserve">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EQUIVALENT CONVERTIBLE CAPITAL NOTE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of US $100,000,000)</w:t>
      </w:r>
    </w:p>
    <w:p>
      <w:pPr>
        <w:spacing w:after="0" w:line="15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auto"/>
        </w:rPr>
        <w:t xml:space="preserve">THIS EQUITY EQUIVALENT CONVERTIBLE CAPITAL NOTE </w:t>
      </w:r>
      <w:r>
        <w:rPr>
          <w:rFonts w:ascii="Arial" w:cs="Arial" w:eastAsia="Arial" w:hAnsi="Arial"/>
          <w:sz w:val="18"/>
          <w:szCs w:val="18"/>
          <w:color w:val="auto"/>
        </w:rPr>
        <w:t>(</w:t>
      </w:r>
      <w:r>
        <w:rPr>
          <w:rFonts w:ascii="Arial" w:cs="Arial" w:eastAsia="Arial" w:hAnsi="Arial"/>
          <w:sz w:val="18"/>
          <w:szCs w:val="18"/>
          <w:b w:val="1"/>
          <w:bCs w:val="1"/>
          <w:color w:val="auto"/>
        </w:rPr>
        <w:t>“this Capital Note”</w:t>
      </w:r>
      <w:r>
        <w:rPr>
          <w:rFonts w:ascii="Arial" w:cs="Arial" w:eastAsia="Arial" w:hAnsi="Arial"/>
          <w:sz w:val="18"/>
          <w:szCs w:val="18"/>
          <w:color w:val="auto"/>
        </w:rPr>
        <w:t>) in the principal amount of US $100,000,000 (</w:t>
      </w:r>
      <w:r>
        <w:rPr>
          <w:rFonts w:ascii="Arial" w:cs="Arial" w:eastAsia="Arial" w:hAnsi="Arial"/>
          <w:sz w:val="18"/>
          <w:szCs w:val="18"/>
          <w:b w:val="1"/>
          <w:bCs w:val="1"/>
          <w:color w:val="auto"/>
        </w:rPr>
        <w:t>“the Principal Amount”</w:t>
      </w:r>
      <w:r>
        <w:rPr>
          <w:rFonts w:ascii="Arial" w:cs="Arial" w:eastAsia="Arial" w:hAnsi="Arial"/>
          <w:sz w:val="18"/>
          <w:szCs w:val="18"/>
          <w:color w:val="auto"/>
        </w:rPr>
        <w:t>) has been issued by 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The Nasdaq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t>
      </w:r>
      <w:r>
        <w:rPr>
          <w:rFonts w:ascii="Arial" w:cs="Arial" w:eastAsia="Arial" w:hAnsi="Arial"/>
          <w:sz w:val="18"/>
          <w:szCs w:val="18"/>
          <w:b w:val="1"/>
          <w:bCs w:val="1"/>
          <w:color w:val="auto"/>
        </w:rPr>
        <w:t>“NASDAQ”</w:t>
      </w:r>
      <w:r>
        <w:rPr>
          <w:rFonts w:ascii="Arial" w:cs="Arial" w:eastAsia="Arial" w:hAnsi="Arial"/>
          <w:sz w:val="18"/>
          <w:szCs w:val="18"/>
          <w:color w:val="auto"/>
        </w:rPr>
        <w:t>)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to Bank Leumi Le-Israel B.M. (</w:t>
      </w:r>
      <w:r>
        <w:rPr>
          <w:rFonts w:ascii="Arial" w:cs="Arial" w:eastAsia="Arial" w:hAnsi="Arial"/>
          <w:sz w:val="18"/>
          <w:szCs w:val="18"/>
          <w:b w:val="1"/>
          <w:bCs w:val="1"/>
          <w:color w:val="auto"/>
        </w:rPr>
        <w:t>“the Holder”</w:t>
      </w:r>
      <w:r>
        <w:rPr>
          <w:rFonts w:ascii="Arial" w:cs="Arial" w:eastAsia="Arial" w:hAnsi="Arial"/>
          <w:sz w:val="18"/>
          <w:szCs w:val="18"/>
          <w:color w:val="auto"/>
        </w:rPr>
        <w:t>). This Capital Note was originally issued by the Company in exchange for the conversion by the original Holder of this Capital Note of loans to the Company in a principal amount (including certain accrued and unpaid interest) equal to the Principal Amount and represents the obligation of the Company to pay the Principal Amount to the Holder in accordance with and subject to the terms set forth in this Capital Note.</w:t>
      </w:r>
    </w:p>
    <w:p>
      <w:pPr>
        <w:spacing w:after="0" w:line="303"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this Capital Note, the following terms have the meanings given to them in this clause 1:</w:t>
      </w:r>
    </w:p>
    <w:p>
      <w:pPr>
        <w:spacing w:after="0" w:line="8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includes any person that shall succeed to or assume the obligations of the Company under this Capital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ind w:left="460" w:right="80" w:hanging="452"/>
        <w:spacing w:after="0" w:line="243" w:lineRule="auto"/>
        <w:tabs>
          <w:tab w:leader="none" w:pos="460" w:val="left"/>
        </w:tabs>
        <w:numPr>
          <w:ilvl w:val="0"/>
          <w:numId w:val="92"/>
        </w:numPr>
        <w:rPr>
          <w:rFonts w:ascii="Arial" w:cs="Arial" w:eastAsia="Arial" w:hAnsi="Arial"/>
          <w:sz w:val="11"/>
          <w:szCs w:val="11"/>
          <w:color w:val="auto"/>
        </w:rPr>
      </w:pPr>
      <w:r>
        <w:rPr>
          <w:rFonts w:ascii="Arial" w:cs="Arial" w:eastAsia="Arial" w:hAnsi="Arial"/>
          <w:sz w:val="18"/>
          <w:szCs w:val="18"/>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ectPr>
          <w:pgSz w:w="11900" w:h="16838" w:orient="portrait"/>
          <w:cols w:equalWidth="0" w:num="1">
            <w:col w:w="11420"/>
          </w:cols>
          <w:pgMar w:left="240" w:top="274" w:right="239" w:bottom="1440" w:gutter="0" w:footer="0" w:header="0"/>
        </w:sectPr>
      </w:pPr>
    </w:p>
    <w:bookmarkStart w:id="80" w:name="page81"/>
    <w:bookmarkEnd w:id="80"/>
    <w:p>
      <w:pPr>
        <w:ind w:left="452"/>
        <w:spacing w:after="0"/>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5"/>
          <w:szCs w:val="15"/>
          <w:b w:val="1"/>
          <w:bCs w:val="1"/>
          <w:color w:val="auto"/>
        </w:rPr>
        <w:t xml:space="preserve">“Holder” </w:t>
      </w:r>
      <w:r>
        <w:rPr>
          <w:rFonts w:ascii="Arial" w:cs="Arial" w:eastAsia="Arial" w:hAnsi="Arial"/>
          <w:sz w:val="15"/>
          <w:szCs w:val="15"/>
          <w:color w:val="auto"/>
        </w:rPr>
        <w:t>shall mean any person who at the time shall be the registered holder of this Capital Note or any part thereof.</w:t>
      </w:r>
    </w:p>
    <w:p>
      <w:pPr>
        <w:spacing w:after="0" w:line="90" w:lineRule="exact"/>
        <w:rPr>
          <w:sz w:val="20"/>
          <w:szCs w:val="20"/>
          <w:color w:val="auto"/>
        </w:rPr>
      </w:pPr>
    </w:p>
    <w:p>
      <w:pPr>
        <w:ind w:left="892" w:right="280" w:hanging="445"/>
        <w:spacing w:after="0" w:line="262" w:lineRule="auto"/>
        <w:tabs>
          <w:tab w:leader="none" w:pos="8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ordinary shares, nominal value NIS 1.00 (one New Israel Sheqel) per share, of the Company (and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substituted for the ordinary shares as a result of any stock split, stock dividend, recapitalisation, rights offering, exchange, merger or similar event or otherwise, including as described in this Capital Note).</w:t>
      </w:r>
    </w:p>
    <w:p>
      <w:pPr>
        <w:spacing w:after="0" w:line="254" w:lineRule="exact"/>
        <w:rPr>
          <w:sz w:val="20"/>
          <w:szCs w:val="20"/>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p>
    <w:p>
      <w:pPr>
        <w:spacing w:after="0" w:line="96"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The Principal Amount shall neither bear interest nor be linked to any index and shall be subordinated to all liabilities of the Company having priority over the Ordinary Shares.</w:t>
      </w:r>
    </w:p>
    <w:p>
      <w:pPr>
        <w:spacing w:after="0" w:line="50" w:lineRule="exact"/>
        <w:rPr>
          <w:rFonts w:ascii="Arial" w:cs="Arial" w:eastAsia="Arial" w:hAnsi="Arial"/>
          <w:sz w:val="18"/>
          <w:szCs w:val="18"/>
          <w:color w:val="auto"/>
        </w:rPr>
      </w:pPr>
    </w:p>
    <w:p>
      <w:pPr>
        <w:ind w:left="452"/>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34" w:lineRule="exact"/>
        <w:rPr>
          <w:rFonts w:ascii="Arial" w:cs="Arial" w:eastAsia="Arial" w:hAnsi="Arial"/>
          <w:sz w:val="18"/>
          <w:szCs w:val="18"/>
          <w:color w:val="auto"/>
        </w:rPr>
      </w:pPr>
    </w:p>
    <w:p>
      <w:pPr>
        <w:ind w:left="452" w:right="620"/>
        <w:spacing w:after="0" w:line="268" w:lineRule="auto"/>
        <w:rPr>
          <w:rFonts w:ascii="Arial" w:cs="Arial" w:eastAsia="Arial" w:hAnsi="Arial"/>
          <w:sz w:val="18"/>
          <w:szCs w:val="18"/>
          <w:color w:val="auto"/>
        </w:rPr>
      </w:pPr>
      <w:r>
        <w:rPr>
          <w:rFonts w:ascii="Arial" w:cs="Arial" w:eastAsia="Arial" w:hAnsi="Arial"/>
          <w:sz w:val="18"/>
          <w:szCs w:val="18"/>
          <w:color w:val="auto"/>
        </w:rPr>
        <w:t>This Capital Note shall be convertible into Ordinary Shares as set forth below and, for the removal of doubt, no such conversion shall be deemed a redemption or prepayment of this Capital Note.</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Conversion Right</w:t>
      </w:r>
    </w:p>
    <w:p>
      <w:pPr>
        <w:spacing w:after="0" w:line="96" w:lineRule="exact"/>
        <w:rPr>
          <w:sz w:val="20"/>
          <w:szCs w:val="20"/>
          <w:color w:val="auto"/>
        </w:rPr>
      </w:pPr>
    </w:p>
    <w:p>
      <w:pPr>
        <w:ind w:left="912" w:right="20"/>
        <w:spacing w:after="0" w:line="294"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 Conversion Shares”</w:t>
      </w:r>
      <w:r>
        <w:rPr>
          <w:rFonts w:ascii="Arial" w:cs="Arial" w:eastAsia="Arial" w:hAnsi="Arial"/>
          <w:sz w:val="16"/>
          <w:szCs w:val="16"/>
          <w:color w:val="auto"/>
        </w:rPr>
        <w:t>) shall be determined by dividing the aggregate Principal Amount of this Capital Note by the conversion price in effect at the time of such conversion (</w:t>
      </w:r>
      <w:r>
        <w:rPr>
          <w:rFonts w:ascii="Arial" w:cs="Arial" w:eastAsia="Arial" w:hAnsi="Arial"/>
          <w:sz w:val="16"/>
          <w:szCs w:val="16"/>
          <w:b w:val="1"/>
          <w:bCs w:val="1"/>
          <w:color w:val="auto"/>
        </w:rPr>
        <w:t>“the 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The Conversion Price initially shall be US $1.42, as adjusted at any time and from time to time in accordance with clause 7 below.</w:t>
      </w:r>
    </w:p>
    <w:p>
      <w:pPr>
        <w:spacing w:after="0" w:line="1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72"/>
          </w:cols>
          <w:pgMar w:left="248" w:top="274" w:right="279" w:bottom="1440" w:gutter="0" w:footer="0" w:header="0"/>
        </w:sectPr>
      </w:pPr>
    </w:p>
    <w:bookmarkStart w:id="81" w:name="page82"/>
    <w:bookmarkEnd w:id="81"/>
    <w:p>
      <w:pPr>
        <w:ind w:left="452"/>
        <w:spacing w:after="0"/>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96" w:lineRule="exact"/>
        <w:rPr>
          <w:sz w:val="20"/>
          <w:szCs w:val="20"/>
          <w:color w:val="auto"/>
        </w:rPr>
      </w:pPr>
    </w:p>
    <w:p>
      <w:pPr>
        <w:ind w:left="912"/>
        <w:spacing w:after="0" w:line="306" w:lineRule="auto"/>
        <w:rPr>
          <w:sz w:val="20"/>
          <w:szCs w:val="20"/>
          <w:color w:val="auto"/>
        </w:rPr>
      </w:pPr>
      <w:r>
        <w:rPr>
          <w:rFonts w:ascii="Arial" w:cs="Arial" w:eastAsia="Arial" w:hAnsi="Arial"/>
          <w:sz w:val="15"/>
          <w:szCs w:val="15"/>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24" w:lineRule="exact"/>
        <w:rPr>
          <w:sz w:val="20"/>
          <w:szCs w:val="20"/>
          <w:color w:val="auto"/>
        </w:rPr>
      </w:pPr>
    </w:p>
    <w:p>
      <w:pPr>
        <w:ind w:left="452" w:hanging="452"/>
        <w:spacing w:after="0"/>
        <w:tabs>
          <w:tab w:leader="none" w:pos="452"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96" w:lineRule="exact"/>
        <w:rPr>
          <w:rFonts w:ascii="Arial" w:cs="Arial" w:eastAsia="Arial" w:hAnsi="Arial"/>
          <w:sz w:val="18"/>
          <w:szCs w:val="18"/>
          <w:color w:val="auto"/>
        </w:rPr>
      </w:pPr>
    </w:p>
    <w:p>
      <w:pPr>
        <w:ind w:left="452" w:right="20"/>
        <w:spacing w:after="0" w:line="268" w:lineRule="auto"/>
        <w:rPr>
          <w:rFonts w:ascii="Arial" w:cs="Arial" w:eastAsia="Arial" w:hAnsi="Arial"/>
          <w:sz w:val="18"/>
          <w:szCs w:val="18"/>
          <w:color w:val="auto"/>
        </w:rPr>
      </w:pPr>
      <w:r>
        <w:rPr>
          <w:rFonts w:ascii="Arial" w:cs="Arial" w:eastAsia="Arial" w:hAnsi="Arial"/>
          <w:sz w:val="18"/>
          <w:szCs w:val="18"/>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118" w:lineRule="exact"/>
        <w:rPr>
          <w:rFonts w:ascii="Arial" w:cs="Arial" w:eastAsia="Arial" w:hAnsi="Arial"/>
          <w:sz w:val="18"/>
          <w:szCs w:val="18"/>
          <w:color w:val="auto"/>
        </w:rPr>
      </w:pPr>
    </w:p>
    <w:p>
      <w:pPr>
        <w:ind w:left="5672" w:hanging="112"/>
        <w:spacing w:after="0"/>
        <w:tabs>
          <w:tab w:leader="none" w:pos="5672" w:val="left"/>
        </w:tabs>
        <w:numPr>
          <w:ilvl w:val="1"/>
          <w:numId w:val="9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12"/>
          </w:cols>
          <w:pgMar w:left="248" w:top="274" w:right="239" w:bottom="1440" w:gutter="0" w:footer="0" w:header="0"/>
        </w:sectPr>
      </w:pPr>
    </w:p>
    <w:bookmarkStart w:id="82" w:name="page83"/>
    <w:bookmarkEnd w:id="82"/>
    <w:p>
      <w:pPr>
        <w:ind w:left="452" w:hanging="452"/>
        <w:spacing w:after="0"/>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NOTE CONFERS NO RIGHTS OF SHAREHOLDER</w:t>
      </w:r>
    </w:p>
    <w:p>
      <w:pPr>
        <w:spacing w:after="0" w:line="96" w:lineRule="exact"/>
        <w:rPr>
          <w:rFonts w:ascii="Arial" w:cs="Arial" w:eastAsia="Arial" w:hAnsi="Arial"/>
          <w:sz w:val="18"/>
          <w:szCs w:val="18"/>
          <w:color w:val="auto"/>
        </w:rPr>
      </w:pPr>
    </w:p>
    <w:p>
      <w:pPr>
        <w:ind w:left="452" w:right="120"/>
        <w:spacing w:after="0" w:line="268" w:lineRule="auto"/>
        <w:rPr>
          <w:rFonts w:ascii="Arial" w:cs="Arial" w:eastAsia="Arial" w:hAnsi="Arial"/>
          <w:sz w:val="18"/>
          <w:szCs w:val="18"/>
          <w:color w:val="auto"/>
        </w:rPr>
      </w:pPr>
      <w:r>
        <w:rPr>
          <w:rFonts w:ascii="Arial" w:cs="Arial" w:eastAsia="Arial" w:hAnsi="Arial"/>
          <w:sz w:val="18"/>
          <w:szCs w:val="18"/>
          <w:color w:val="auto"/>
        </w:rPr>
        <w:t>The Holder shall not, by virtue of this Capital Note, have any rights as a shareholder of the Company prior to actual conversion into Conversion Shares in accordance with clause 3.2 above.</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ACQUISITION FOR INVESTMENT</w:t>
      </w:r>
    </w:p>
    <w:p>
      <w:pPr>
        <w:spacing w:after="0" w:line="117" w:lineRule="exact"/>
        <w:rPr>
          <w:rFonts w:ascii="Arial" w:cs="Arial" w:eastAsia="Arial" w:hAnsi="Arial"/>
          <w:sz w:val="18"/>
          <w:szCs w:val="18"/>
          <w:color w:val="auto"/>
        </w:rPr>
      </w:pPr>
    </w:p>
    <w:p>
      <w:pPr>
        <w:ind w:left="452"/>
        <w:spacing w:after="0" w:line="278" w:lineRule="auto"/>
        <w:rPr>
          <w:rFonts w:ascii="Arial" w:cs="Arial" w:eastAsia="Arial" w:hAnsi="Arial"/>
          <w:sz w:val="18"/>
          <w:szCs w:val="18"/>
          <w:color w:val="auto"/>
        </w:rPr>
      </w:pPr>
      <w:r>
        <w:rPr>
          <w:rFonts w:ascii="Arial" w:cs="Arial" w:eastAsia="Arial" w:hAnsi="Arial"/>
          <w:sz w:val="15"/>
          <w:szCs w:val="15"/>
          <w:color w:val="auto"/>
        </w:rPr>
        <w:t xml:space="preserve">This Capital Note </w:t>
      </w:r>
      <w:r>
        <w:rPr>
          <w:rFonts w:ascii="Arial" w:cs="Arial" w:eastAsia="Arial" w:hAnsi="Arial"/>
          <w:sz w:val="15"/>
          <w:szCs w:val="15"/>
          <w:b w:val="1"/>
          <w:bCs w:val="1"/>
          <w:color w:val="auto"/>
        </w:rPr>
        <w:t>[</w:t>
      </w:r>
      <w:r>
        <w:rPr>
          <w:rFonts w:ascii="Arial" w:cs="Arial" w:eastAsia="Arial" w:hAnsi="Arial"/>
          <w:sz w:val="15"/>
          <w:szCs w:val="15"/>
          <w:color w:val="auto"/>
        </w:rPr>
        <w:t>, including the Conversion Shares,</w:t>
      </w:r>
      <w:r>
        <w:rPr>
          <w:rFonts w:ascii="Arial" w:cs="Arial" w:eastAsia="Arial" w:hAnsi="Arial"/>
          <w:sz w:val="19"/>
          <w:szCs w:val="19"/>
          <w:color w:val="auto"/>
          <w:vertAlign w:val="superscript"/>
        </w:rPr>
        <w:t>2</w:t>
      </w:r>
      <w:r>
        <w:rPr>
          <w:rFonts w:ascii="Arial" w:cs="Arial" w:eastAsia="Arial" w:hAnsi="Arial"/>
          <w:sz w:val="15"/>
          <w:szCs w:val="15"/>
          <w:b w:val="1"/>
          <w:bCs w:val="1"/>
          <w:color w:val="auto"/>
        </w:rPr>
        <w:t>]</w:t>
      </w:r>
      <w:r>
        <w:rPr>
          <w:rFonts w:ascii="Arial" w:cs="Arial" w:eastAsia="Arial" w:hAnsi="Arial"/>
          <w:sz w:val="15"/>
          <w:szCs w:val="15"/>
          <w:color w:val="auto"/>
        </w:rPr>
        <w:t xml:space="preserve"> has not been registered under the Securities Act of 1933, as amended (</w:t>
      </w:r>
      <w:r>
        <w:rPr>
          <w:rFonts w:ascii="Arial" w:cs="Arial" w:eastAsia="Arial" w:hAnsi="Arial"/>
          <w:sz w:val="15"/>
          <w:szCs w:val="15"/>
          <w:b w:val="1"/>
          <w:bCs w:val="1"/>
          <w:color w:val="auto"/>
        </w:rPr>
        <w:t>“the Securities Act”</w:t>
      </w:r>
      <w:r>
        <w:rPr>
          <w:rFonts w:ascii="Arial" w:cs="Arial" w:eastAsia="Arial" w:hAnsi="Arial"/>
          <w:sz w:val="15"/>
          <w:szCs w:val="15"/>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5"/>
          <w:szCs w:val="15"/>
          <w:b w:val="1"/>
          <w:bCs w:val="1"/>
          <w:color w:val="auto"/>
        </w:rPr>
        <w:t>[</w:t>
      </w:r>
      <w:r>
        <w:rPr>
          <w:rFonts w:ascii="Arial" w:cs="Arial" w:eastAsia="Arial" w:hAnsi="Arial"/>
          <w:sz w:val="15"/>
          <w:szCs w:val="15"/>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19"/>
          <w:szCs w:val="19"/>
          <w:color w:val="auto"/>
          <w:vertAlign w:val="superscript"/>
        </w:rPr>
        <w:t>3</w:t>
      </w:r>
      <w:r>
        <w:rPr>
          <w:rFonts w:ascii="Arial" w:cs="Arial" w:eastAsia="Arial" w:hAnsi="Arial"/>
          <w:sz w:val="15"/>
          <w:szCs w:val="15"/>
          <w:b w:val="1"/>
          <w:bCs w:val="1"/>
          <w:color w:val="auto"/>
        </w:rPr>
        <w:t>]</w:t>
      </w:r>
      <w:r>
        <w:rPr>
          <w:rFonts w:ascii="Arial" w:cs="Arial" w:eastAsia="Arial" w:hAnsi="Arial"/>
          <w:sz w:val="15"/>
          <w:szCs w:val="15"/>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0" w:lineRule="exact"/>
        <w:rPr>
          <w:sz w:val="20"/>
          <w:szCs w:val="20"/>
          <w:color w:val="auto"/>
        </w:rPr>
      </w:pPr>
    </w:p>
    <w:p>
      <w:pPr>
        <w:ind w:left="452" w:right="100" w:hanging="452"/>
        <w:spacing w:after="0" w:line="243" w:lineRule="auto"/>
        <w:tabs>
          <w:tab w:leader="none" w:pos="452" w:val="left"/>
        </w:tabs>
        <w:numPr>
          <w:ilvl w:val="0"/>
          <w:numId w:val="96"/>
        </w:numPr>
        <w:rPr>
          <w:rFonts w:ascii="Arial" w:cs="Arial" w:eastAsia="Arial" w:hAnsi="Arial"/>
          <w:sz w:val="11"/>
          <w:szCs w:val="11"/>
          <w:color w:val="auto"/>
        </w:rPr>
      </w:pPr>
      <w:r>
        <w:rPr>
          <w:rFonts w:ascii="Arial" w:cs="Arial" w:eastAsia="Arial" w:hAnsi="Arial"/>
          <w:sz w:val="18"/>
          <w:szCs w:val="18"/>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33" w:lineRule="exact"/>
        <w:rPr>
          <w:sz w:val="20"/>
          <w:szCs w:val="20"/>
          <w:color w:val="auto"/>
        </w:rPr>
      </w:pPr>
    </w:p>
    <w:p>
      <w:pPr>
        <w:ind w:left="452" w:right="320" w:hanging="452"/>
        <w:spacing w:after="0" w:line="280" w:lineRule="auto"/>
        <w:tabs>
          <w:tab w:leader="none" w:pos="452" w:val="left"/>
        </w:tabs>
        <w:numPr>
          <w:ilvl w:val="0"/>
          <w:numId w:val="97"/>
        </w:numPr>
        <w:rPr>
          <w:rFonts w:ascii="Arial" w:cs="Arial" w:eastAsia="Arial" w:hAnsi="Arial"/>
          <w:sz w:val="11"/>
          <w:szCs w:val="11"/>
          <w:color w:val="auto"/>
        </w:rPr>
      </w:pPr>
      <w:r>
        <w:rPr>
          <w:rFonts w:ascii="Arial" w:cs="Arial" w:eastAsia="Arial" w:hAnsi="Arial"/>
          <w:sz w:val="16"/>
          <w:szCs w:val="16"/>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insert relevant 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number</w:t>
      </w:r>
      <w:r>
        <w:rPr>
          <w:rFonts w:ascii="Arial" w:cs="Arial" w:eastAsia="Arial" w:hAnsi="Arial"/>
          <w:sz w:val="16"/>
          <w:szCs w:val="16"/>
          <w:b w:val="1"/>
          <w:bCs w:val="1"/>
          <w:color w:val="auto"/>
        </w:rPr>
        <w:t>]</w:t>
      </w:r>
      <w:r>
        <w:rPr>
          <w:rFonts w:ascii="Arial" w:cs="Arial" w:eastAsia="Arial" w:hAnsi="Arial"/>
          <w:sz w:val="16"/>
          <w:szCs w:val="16"/>
          <w:color w:val="auto"/>
        </w:rPr>
        <w:t>.” on all future Capital Notes to be issued with respect to such Conversion Shares, and, at the request of the Holder, a substitute Capital Note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having such replacement language will promptly be delivered to the Holder.</w:t>
      </w:r>
    </w:p>
    <w:p>
      <w:pPr>
        <w:spacing w:after="0" w:line="100" w:lineRule="exact"/>
        <w:rPr>
          <w:rFonts w:ascii="Arial" w:cs="Arial" w:eastAsia="Arial" w:hAnsi="Arial"/>
          <w:sz w:val="11"/>
          <w:szCs w:val="11"/>
          <w:color w:val="auto"/>
        </w:rPr>
      </w:pPr>
    </w:p>
    <w:p>
      <w:pPr>
        <w:ind w:left="5672" w:hanging="112"/>
        <w:spacing w:after="0"/>
        <w:tabs>
          <w:tab w:leader="none" w:pos="56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83" w:name="page84"/>
    <w:bookmarkEnd w:id="83"/>
    <w:p>
      <w:pPr>
        <w:ind w:left="452"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in this clause 6 shall derogate from any obligations of the Company under any Registration Rights Agreement to which the Company and the Holder are parties.</w:t>
      </w:r>
    </w:p>
    <w:p>
      <w:pPr>
        <w:spacing w:after="0" w:line="248" w:lineRule="exact"/>
        <w:rPr>
          <w:sz w:val="20"/>
          <w:szCs w:val="20"/>
          <w:color w:val="auto"/>
        </w:rPr>
      </w:pPr>
    </w:p>
    <w:p>
      <w:pPr>
        <w:ind w:left="452" w:hanging="452"/>
        <w:spacing w:after="0"/>
        <w:tabs>
          <w:tab w:leader="none" w:pos="452"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CONVERSION PRICE AND NUMBER OF CONVERSION SHARES</w:t>
      </w:r>
    </w:p>
    <w:p>
      <w:pPr>
        <w:spacing w:after="0" w:line="96"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4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Adjustment for Shares Splits and Combinations</w:t>
      </w:r>
    </w:p>
    <w:p>
      <w:pPr>
        <w:spacing w:after="0" w:line="96"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29"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Adjustment for Certain Dividends and Distributions</w:t>
      </w:r>
    </w:p>
    <w:p>
      <w:pPr>
        <w:spacing w:after="0" w:line="96" w:lineRule="exact"/>
        <w:rPr>
          <w:sz w:val="20"/>
          <w:szCs w:val="20"/>
          <w:color w:val="auto"/>
        </w:rPr>
      </w:pPr>
    </w:p>
    <w:p>
      <w:pPr>
        <w:ind w:left="912" w:right="60"/>
        <w:spacing w:after="0" w:line="302"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w:t>
      </w:r>
    </w:p>
    <w:p>
      <w:pPr>
        <w:spacing w:after="0" w:line="3" w:lineRule="exact"/>
        <w:rPr>
          <w:sz w:val="20"/>
          <w:szCs w:val="20"/>
          <w:color w:val="auto"/>
        </w:rPr>
      </w:pPr>
    </w:p>
    <w:p>
      <w:pPr>
        <w:ind w:left="912" w:right="100" w:firstLine="1"/>
        <w:spacing w:after="0" w:line="300" w:lineRule="auto"/>
        <w:tabs>
          <w:tab w:leader="none" w:pos="1122"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w:t>
      </w:r>
    </w:p>
    <w:p>
      <w:pPr>
        <w:ind w:left="912" w:right="300" w:firstLine="1"/>
        <w:spacing w:after="0" w:line="323" w:lineRule="auto"/>
        <w:tabs>
          <w:tab w:leader="none" w:pos="117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denominator of which is the total number of Ordinary Shares issued and outstanding immediately prior to the time of such issuance or the close of business on such record date, as applicable; provided, however, that if such record date is fixed and</w:t>
      </w:r>
    </w:p>
    <w:p>
      <w:pPr>
        <w:spacing w:after="0" w:line="79" w:lineRule="exact"/>
        <w:rPr>
          <w:rFonts w:ascii="Arial" w:cs="Arial" w:eastAsia="Arial" w:hAnsi="Arial"/>
          <w:sz w:val="16"/>
          <w:szCs w:val="16"/>
          <w:color w:val="auto"/>
        </w:rPr>
      </w:pPr>
    </w:p>
    <w:p>
      <w:pPr>
        <w:ind w:left="5672" w:hanging="112"/>
        <w:spacing w:after="0"/>
        <w:tabs>
          <w:tab w:leader="none" w:pos="5672" w:val="left"/>
        </w:tabs>
        <w:numPr>
          <w:ilvl w:val="1"/>
          <w:numId w:val="9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12"/>
          </w:cols>
          <w:pgMar w:left="248" w:top="280" w:right="239" w:bottom="1440" w:gutter="0" w:footer="0" w:header="0"/>
        </w:sectPr>
      </w:pPr>
    </w:p>
    <w:bookmarkStart w:id="84" w:name="page85"/>
    <w:bookmarkEnd w:id="84"/>
    <w:p>
      <w:pPr>
        <w:ind w:left="460"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96"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3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9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40"/>
          </w:cols>
          <w:pgMar w:left="700" w:top="280" w:right="259" w:bottom="1440" w:gutter="0" w:footer="0" w:header="0"/>
        </w:sectPr>
      </w:pPr>
    </w:p>
    <w:bookmarkStart w:id="85" w:name="page86"/>
    <w:bookmarkEnd w:id="85"/>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9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96"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9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 as applicable. Nothing in this clause 7.7 shall require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40"/>
          </w:cols>
          <w:pgMar w:left="700" w:top="274" w:right="259" w:bottom="1440" w:gutter="0" w:footer="0" w:header="0"/>
        </w:sectPr>
      </w:pPr>
    </w:p>
    <w:bookmarkStart w:id="86" w:name="page87"/>
    <w:bookmarkEnd w:id="86"/>
    <w:p>
      <w:pPr>
        <w:jc w:val="both"/>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9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w:t>
      </w:r>
    </w:p>
    <w:p>
      <w:pPr>
        <w:spacing w:after="0" w:line="3" w:lineRule="exact"/>
        <w:rPr>
          <w:sz w:val="20"/>
          <w:szCs w:val="20"/>
          <w:color w:val="auto"/>
        </w:rPr>
      </w:pPr>
    </w:p>
    <w:p>
      <w:pPr>
        <w:ind w:left="460" w:right="60" w:firstLine="1"/>
        <w:spacing w:after="0" w:line="255" w:lineRule="auto"/>
        <w:tabs>
          <w:tab w:leader="none" w:pos="6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numerator of which shall be the closing price per share of the Ordinary Shares on the TASE on the determining date (“</w:t>
      </w:r>
      <w:r>
        <w:rPr>
          <w:rFonts w:ascii="Arial" w:cs="Arial" w:eastAsia="Arial" w:hAnsi="Arial"/>
          <w:sz w:val="18"/>
          <w:szCs w:val="18"/>
          <w:i w:val="1"/>
          <w:iCs w:val="1"/>
          <w:color w:val="auto"/>
        </w:rPr>
        <w:t>Hayom Hakovaya</w:t>
      </w:r>
      <w:r>
        <w:rPr>
          <w:rFonts w:ascii="Arial" w:cs="Arial" w:eastAsia="Arial" w:hAnsi="Arial"/>
          <w:sz w:val="18"/>
          <w:szCs w:val="18"/>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0"/>
          </w:cols>
          <w:pgMar w:left="700" w:top="2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7.10. </w:t>
      </w:r>
      <w:r>
        <w:rPr>
          <w:rFonts w:ascii="Arial" w:cs="Arial" w:eastAsia="Arial" w:hAnsi="Arial"/>
          <w:sz w:val="18"/>
          <w:szCs w:val="18"/>
          <w:b w:val="1"/>
          <w:bCs w:val="1"/>
          <w:u w:val="single" w:color="auto"/>
          <w:color w:val="auto"/>
        </w:rPr>
        <w:t>Notice of Capital Changes</w:t>
      </w:r>
    </w:p>
    <w:p>
      <w:pPr>
        <w:spacing w:after="0" w:line="9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Adjustment of Conversion Price</w:t>
      </w:r>
    </w:p>
    <w:p>
      <w:pPr>
        <w:spacing w:after="0" w:line="9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Notice of Adjustments</w:t>
      </w:r>
    </w:p>
    <w:p>
      <w:pPr>
        <w:spacing w:after="0" w:line="96"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10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880"/>
          </w:cols>
          <w:pgMar w:left="700" w:top="274" w:right="319" w:bottom="1440" w:gutter="0" w:footer="0" w:header="0"/>
        </w:sectPr>
      </w:pPr>
    </w:p>
    <w:bookmarkStart w:id="88" w:name="page89"/>
    <w:bookmarkEnd w:id="88"/>
    <w:p>
      <w:pPr>
        <w:ind w:left="452" w:hanging="452"/>
        <w:spacing w:after="0"/>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TRANSACTIONS</w:t>
      </w:r>
    </w:p>
    <w:p>
      <w:pPr>
        <w:spacing w:after="0" w:line="96" w:lineRule="exact"/>
        <w:rPr>
          <w:rFonts w:ascii="Arial" w:cs="Arial" w:eastAsia="Arial" w:hAnsi="Arial"/>
          <w:sz w:val="18"/>
          <w:szCs w:val="18"/>
          <w:color w:val="auto"/>
        </w:rPr>
      </w:pPr>
    </w:p>
    <w:p>
      <w:pPr>
        <w:ind w:left="452" w:right="240"/>
        <w:spacing w:after="0" w:line="332" w:lineRule="auto"/>
        <w:rPr>
          <w:rFonts w:ascii="Arial" w:cs="Arial" w:eastAsia="Arial" w:hAnsi="Arial"/>
          <w:sz w:val="18"/>
          <w:szCs w:val="18"/>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THIS CAPITAL NOTE BY THE HOLDER</w:t>
      </w:r>
    </w:p>
    <w:p>
      <w:pPr>
        <w:spacing w:after="0" w:line="96" w:lineRule="exact"/>
        <w:rPr>
          <w:rFonts w:ascii="Arial" w:cs="Arial" w:eastAsia="Arial" w:hAnsi="Arial"/>
          <w:sz w:val="18"/>
          <w:szCs w:val="18"/>
          <w:color w:val="auto"/>
        </w:rPr>
      </w:pPr>
    </w:p>
    <w:p>
      <w:pPr>
        <w:ind w:left="452"/>
        <w:spacing w:after="0" w:line="285" w:lineRule="auto"/>
        <w:rPr>
          <w:rFonts w:ascii="Arial" w:cs="Arial" w:eastAsia="Arial" w:hAnsi="Arial"/>
          <w:sz w:val="18"/>
          <w:szCs w:val="18"/>
          <w:color w:val="auto"/>
        </w:rPr>
      </w:pPr>
      <w:r>
        <w:rPr>
          <w:rFonts w:ascii="Arial" w:cs="Arial" w:eastAsia="Arial" w:hAnsi="Arial"/>
          <w:sz w:val="16"/>
          <w:szCs w:val="16"/>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114" w:lineRule="exact"/>
        <w:rPr>
          <w:rFonts w:ascii="Arial" w:cs="Arial" w:eastAsia="Arial" w:hAnsi="Arial"/>
          <w:sz w:val="18"/>
          <w:szCs w:val="18"/>
          <w:color w:val="auto"/>
        </w:rPr>
      </w:pPr>
    </w:p>
    <w:p>
      <w:pPr>
        <w:ind w:left="5612" w:hanging="96"/>
        <w:spacing w:after="0"/>
        <w:tabs>
          <w:tab w:leader="none" w:pos="561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92"/>
          </w:cols>
          <w:pgMar w:left="248" w:top="274" w:right="259" w:bottom="1440" w:gutter="0" w:footer="0" w:header="0"/>
        </w:sectPr>
      </w:pPr>
    </w:p>
    <w:bookmarkStart w:id="89" w:name="page90"/>
    <w:bookmarkEnd w:id="89"/>
    <w:p>
      <w:pPr>
        <w:ind w:left="452" w:hanging="452"/>
        <w:spacing w:after="0"/>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WARRANTIES AND COVENANTS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90" w:lineRule="exact"/>
        <w:rPr>
          <w:rFonts w:ascii="Arial" w:cs="Arial" w:eastAsia="Arial" w:hAnsi="Arial"/>
          <w:sz w:val="18"/>
          <w:szCs w:val="18"/>
          <w:color w:val="auto"/>
        </w:rPr>
      </w:pPr>
    </w:p>
    <w:p>
      <w:pPr>
        <w:ind w:left="892" w:right="520" w:hanging="446"/>
        <w:spacing w:after="0" w:line="268" w:lineRule="auto"/>
        <w:rPr>
          <w:rFonts w:ascii="Arial" w:cs="Arial" w:eastAsia="Arial" w:hAnsi="Arial"/>
          <w:sz w:val="18"/>
          <w:szCs w:val="18"/>
          <w:color w:val="auto"/>
        </w:rPr>
      </w:pPr>
      <w:r>
        <w:rPr>
          <w:rFonts w:ascii="Arial" w:cs="Arial" w:eastAsia="Arial" w:hAnsi="Arial"/>
          <w:sz w:val="18"/>
          <w:szCs w:val="18"/>
          <w:color w:val="auto"/>
        </w:rPr>
        <w:t>10.1. this Capital Note has been duly authorized and executed by the Company and is a valid and binding obligation of the Company enforceable in accordance with its terms;</w:t>
      </w:r>
    </w:p>
    <w:p>
      <w:pPr>
        <w:spacing w:after="0" w:line="50" w:lineRule="exact"/>
        <w:rPr>
          <w:rFonts w:ascii="Arial" w:cs="Arial" w:eastAsia="Arial" w:hAnsi="Arial"/>
          <w:sz w:val="18"/>
          <w:szCs w:val="18"/>
          <w:color w:val="auto"/>
        </w:rPr>
      </w:pPr>
    </w:p>
    <w:p>
      <w:pPr>
        <w:ind w:left="892" w:right="40" w:hanging="446"/>
        <w:spacing w:after="0" w:line="259" w:lineRule="auto"/>
        <w:rPr>
          <w:rFonts w:ascii="Arial" w:cs="Arial" w:eastAsia="Arial" w:hAnsi="Arial"/>
          <w:sz w:val="18"/>
          <w:szCs w:val="18"/>
          <w:color w:val="auto"/>
        </w:rPr>
      </w:pPr>
      <w:r>
        <w:rPr>
          <w:rFonts w:ascii="Arial" w:cs="Arial" w:eastAsia="Arial" w:hAnsi="Arial"/>
          <w:sz w:val="18"/>
          <w:szCs w:val="18"/>
          <w:color w:val="auto"/>
        </w:rPr>
        <w:t>10.2. 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59" w:lineRule="exact"/>
        <w:rPr>
          <w:rFonts w:ascii="Arial" w:cs="Arial" w:eastAsia="Arial" w:hAnsi="Arial"/>
          <w:sz w:val="18"/>
          <w:szCs w:val="18"/>
          <w:color w:val="auto"/>
        </w:rPr>
      </w:pPr>
    </w:p>
    <w:p>
      <w:pPr>
        <w:ind w:left="892" w:hanging="446"/>
        <w:spacing w:after="0" w:line="290" w:lineRule="auto"/>
        <w:rPr>
          <w:rFonts w:ascii="Arial" w:cs="Arial" w:eastAsia="Arial" w:hAnsi="Arial"/>
          <w:sz w:val="18"/>
          <w:szCs w:val="18"/>
          <w:color w:val="auto"/>
        </w:rPr>
      </w:pPr>
      <w:r>
        <w:rPr>
          <w:rFonts w:ascii="Arial" w:cs="Arial" w:eastAsia="Arial" w:hAnsi="Arial"/>
          <w:sz w:val="16"/>
          <w:szCs w:val="16"/>
          <w:color w:val="auto"/>
        </w:rPr>
        <w:t>10.3. 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3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10.4. the Conversion Shares have been approved for listing and trading on TASE.</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LOSS, THEFT, DESTRUCTION OR MUTILATION OF CAPITAL NOTE</w:t>
      </w:r>
    </w:p>
    <w:p>
      <w:pPr>
        <w:spacing w:after="0" w:line="96" w:lineRule="exact"/>
        <w:rPr>
          <w:rFonts w:ascii="Arial" w:cs="Arial" w:eastAsia="Arial" w:hAnsi="Arial"/>
          <w:sz w:val="18"/>
          <w:szCs w:val="18"/>
          <w:color w:val="auto"/>
        </w:rPr>
      </w:pPr>
    </w:p>
    <w:p>
      <w:pPr>
        <w:ind w:left="452"/>
        <w:spacing w:after="0" w:line="255" w:lineRule="auto"/>
        <w:rPr>
          <w:rFonts w:ascii="Arial" w:cs="Arial" w:eastAsia="Arial" w:hAnsi="Arial"/>
          <w:sz w:val="18"/>
          <w:szCs w:val="18"/>
          <w:color w:val="auto"/>
        </w:rPr>
      </w:pPr>
      <w:r>
        <w:rPr>
          <w:rFonts w:ascii="Arial" w:cs="Arial" w:eastAsia="Arial" w:hAnsi="Arial"/>
          <w:sz w:val="18"/>
          <w:szCs w:val="18"/>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129" w:lineRule="exact"/>
        <w:rPr>
          <w:rFonts w:ascii="Arial" w:cs="Arial" w:eastAsia="Arial" w:hAnsi="Arial"/>
          <w:sz w:val="18"/>
          <w:szCs w:val="18"/>
          <w:color w:val="auto"/>
        </w:rPr>
      </w:pPr>
    </w:p>
    <w:p>
      <w:pPr>
        <w:ind w:left="5612" w:hanging="93"/>
        <w:spacing w:after="0"/>
        <w:tabs>
          <w:tab w:leader="none" w:pos="561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92"/>
          </w:cols>
          <w:pgMar w:left="248" w:top="274" w:right="259" w:bottom="1440" w:gutter="0" w:footer="0" w:header="0"/>
        </w:sectPr>
      </w:pPr>
    </w:p>
    <w:bookmarkStart w:id="90" w:name="page91"/>
    <w:bookmarkEnd w:id="90"/>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6" w:lineRule="exact"/>
        <w:rPr>
          <w:rFonts w:ascii="Arial" w:cs="Arial" w:eastAsia="Arial" w:hAnsi="Arial"/>
          <w:sz w:val="18"/>
          <w:szCs w:val="18"/>
          <w:color w:val="auto"/>
        </w:rPr>
      </w:pPr>
    </w:p>
    <w:p>
      <w:pPr>
        <w:ind w:left="452" w:right="120"/>
        <w:spacing w:after="0" w:line="259" w:lineRule="auto"/>
        <w:rPr>
          <w:rFonts w:ascii="Arial" w:cs="Arial" w:eastAsia="Arial" w:hAnsi="Arial"/>
          <w:sz w:val="18"/>
          <w:szCs w:val="18"/>
          <w:color w:val="auto"/>
        </w:rPr>
      </w:pPr>
      <w:r>
        <w:rPr>
          <w:rFonts w:ascii="Arial" w:cs="Arial" w:eastAsia="Arial" w:hAnsi="Arial"/>
          <w:sz w:val="18"/>
          <w:szCs w:val="18"/>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pacing w:after="0" w:line="181" w:lineRule="exact"/>
        <w:rPr>
          <w:sz w:val="20"/>
          <w:szCs w:val="20"/>
          <w:color w:val="auto"/>
        </w:rPr>
      </w:pPr>
    </w:p>
    <w:tbl>
      <w:tblPr>
        <w:tblLayout w:type="fixed"/>
        <w:tblInd w:w="912" w:type="dxa"/>
        <w:tblCellMar>
          <w:top w:w="0" w:type="dxa"/>
          <w:left w:w="0" w:type="dxa"/>
          <w:bottom w:w="0" w:type="dxa"/>
          <w:right w:w="0" w:type="dxa"/>
        </w:tblCellMar>
      </w:tblP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If to the Holder:</w:t>
            </w: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Bank Leumi Le-Israel B.M.</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Corporate Division</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32 Yehuda Halevi Street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Tel Aviv, Israel</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Attention:  Manager of Hi-Tech</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60" w:type="dxa"/>
            <w:vAlign w:val="bottom"/>
          </w:tcPr>
          <w:p>
            <w:pPr>
              <w:ind w:left="140"/>
              <w:spacing w:after="0"/>
              <w:rPr>
                <w:sz w:val="20"/>
                <w:szCs w:val="20"/>
                <w:color w:val="auto"/>
              </w:rPr>
            </w:pPr>
            <w:r>
              <w:rPr>
                <w:rFonts w:ascii="Arial" w:cs="Arial" w:eastAsia="Arial" w:hAnsi="Arial"/>
                <w:sz w:val="18"/>
                <w:szCs w:val="18"/>
                <w:color w:val="auto"/>
              </w:rPr>
              <w:t>Industries Section</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1040" w:type="dxa"/>
            <w:vAlign w:val="bottom"/>
          </w:tcPr>
          <w:p>
            <w:pPr>
              <w:ind w:left="220"/>
              <w:spacing w:after="0"/>
              <w:rPr>
                <w:sz w:val="20"/>
                <w:szCs w:val="20"/>
                <w:color w:val="auto"/>
              </w:rPr>
            </w:pPr>
            <w:r>
              <w:rPr>
                <w:rFonts w:ascii="Arial" w:cs="Arial" w:eastAsia="Arial" w:hAnsi="Arial"/>
                <w:sz w:val="18"/>
                <w:szCs w:val="18"/>
                <w:i w:val="1"/>
                <w:iCs w:val="1"/>
                <w:color w:val="auto"/>
                <w:w w:val="98"/>
              </w:rPr>
              <w:t>Facsimile:</w:t>
            </w:r>
          </w:p>
        </w:tc>
        <w:tc>
          <w:tcPr>
            <w:tcW w:w="2060" w:type="dxa"/>
            <w:vAlign w:val="bottom"/>
          </w:tcPr>
          <w:p>
            <w:pPr>
              <w:jc w:val="right"/>
              <w:ind w:right="872"/>
              <w:spacing w:after="0"/>
              <w:rPr>
                <w:sz w:val="20"/>
                <w:szCs w:val="20"/>
                <w:color w:val="auto"/>
              </w:rPr>
            </w:pPr>
            <w:r>
              <w:rPr>
                <w:rFonts w:ascii="Arial" w:cs="Arial" w:eastAsia="Arial" w:hAnsi="Arial"/>
                <w:sz w:val="18"/>
                <w:szCs w:val="18"/>
                <w:i w:val="1"/>
                <w:iCs w:val="1"/>
                <w:color w:val="auto"/>
                <w:w w:val="96"/>
              </w:rPr>
              <w:t>(03) 514 9017</w:t>
            </w:r>
          </w:p>
        </w:tc>
        <w:tc>
          <w:tcPr>
            <w:tcW w:w="0" w:type="dxa"/>
            <w:vAlign w:val="bottom"/>
          </w:tcPr>
          <w:p>
            <w:pPr>
              <w:spacing w:after="0"/>
              <w:rPr>
                <w:sz w:val="1"/>
                <w:szCs w:val="1"/>
                <w:color w:val="auto"/>
              </w:rPr>
            </w:pP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with a copy to</w:t>
            </w:r>
          </w:p>
        </w:tc>
        <w:tc>
          <w:tcPr>
            <w:tcW w:w="1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(which shall</w:t>
            </w:r>
          </w:p>
        </w:tc>
        <w:tc>
          <w:tcPr>
            <w:tcW w:w="31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88"/>
              </w:rPr>
              <w:t>Leumi and Co. Investment House Ltd.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not constitute notice):</w:t>
            </w: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25 Kalisher Street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Tel-Aviv 65165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Israel</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i w:val="1"/>
                <w:iCs w:val="1"/>
                <w:color w:val="auto"/>
              </w:rPr>
              <w:t>Attention:</w:t>
            </w:r>
          </w:p>
        </w:tc>
        <w:tc>
          <w:tcPr>
            <w:tcW w:w="2060" w:type="dxa"/>
            <w:vAlign w:val="bottom"/>
          </w:tcPr>
          <w:p>
            <w:pPr>
              <w:ind w:left="60"/>
              <w:spacing w:after="0"/>
              <w:rPr>
                <w:sz w:val="20"/>
                <w:szCs w:val="20"/>
                <w:color w:val="auto"/>
              </w:rPr>
            </w:pPr>
            <w:r>
              <w:rPr>
                <w:rFonts w:ascii="Arial" w:cs="Arial" w:eastAsia="Arial" w:hAnsi="Arial"/>
                <w:sz w:val="18"/>
                <w:szCs w:val="18"/>
                <w:i w:val="1"/>
                <w:iCs w:val="1"/>
                <w:color w:val="auto"/>
              </w:rPr>
              <w:t>Head of Investment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60" w:type="dxa"/>
            <w:vAlign w:val="bottom"/>
          </w:tcPr>
          <w:p>
            <w:pPr>
              <w:ind w:left="140"/>
              <w:spacing w:after="0"/>
              <w:rPr>
                <w:sz w:val="20"/>
                <w:szCs w:val="20"/>
                <w:color w:val="auto"/>
              </w:rPr>
            </w:pPr>
            <w:r>
              <w:rPr>
                <w:rFonts w:ascii="Arial" w:cs="Arial" w:eastAsia="Arial" w:hAnsi="Arial"/>
                <w:sz w:val="18"/>
                <w:szCs w:val="18"/>
                <w:i w:val="1"/>
                <w:iCs w:val="1"/>
                <w:color w:val="auto"/>
              </w:rPr>
              <w:t>Sector</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1040" w:type="dxa"/>
            <w:vAlign w:val="bottom"/>
          </w:tcPr>
          <w:p>
            <w:pPr>
              <w:ind w:left="220"/>
              <w:spacing w:after="0"/>
              <w:rPr>
                <w:sz w:val="20"/>
                <w:szCs w:val="20"/>
                <w:color w:val="auto"/>
              </w:rPr>
            </w:pPr>
            <w:r>
              <w:rPr>
                <w:rFonts w:ascii="Arial" w:cs="Arial" w:eastAsia="Arial" w:hAnsi="Arial"/>
                <w:sz w:val="18"/>
                <w:szCs w:val="18"/>
                <w:i w:val="1"/>
                <w:iCs w:val="1"/>
                <w:color w:val="auto"/>
                <w:w w:val="98"/>
              </w:rPr>
              <w:t>Facsimile:</w:t>
            </w:r>
          </w:p>
        </w:tc>
        <w:tc>
          <w:tcPr>
            <w:tcW w:w="2060" w:type="dxa"/>
            <w:vAlign w:val="bottom"/>
          </w:tcPr>
          <w:p>
            <w:pPr>
              <w:jc w:val="right"/>
              <w:ind w:right="872"/>
              <w:spacing w:after="0"/>
              <w:rPr>
                <w:sz w:val="20"/>
                <w:szCs w:val="20"/>
                <w:color w:val="auto"/>
              </w:rPr>
            </w:pPr>
            <w:r>
              <w:rPr>
                <w:rFonts w:ascii="Arial" w:cs="Arial" w:eastAsia="Arial" w:hAnsi="Arial"/>
                <w:sz w:val="18"/>
                <w:szCs w:val="18"/>
                <w:i w:val="1"/>
                <w:iCs w:val="1"/>
                <w:color w:val="auto"/>
                <w:w w:val="96"/>
              </w:rPr>
              <w:t>(03) 5141 215</w:t>
            </w:r>
          </w:p>
        </w:tc>
        <w:tc>
          <w:tcPr>
            <w:tcW w:w="0" w:type="dxa"/>
            <w:vAlign w:val="bottom"/>
          </w:tcPr>
          <w:p>
            <w:pPr>
              <w:spacing w:after="0"/>
              <w:rPr>
                <w:sz w:val="1"/>
                <w:szCs w:val="1"/>
                <w:color w:val="auto"/>
              </w:rPr>
            </w:pPr>
          </w:p>
        </w:tc>
      </w:tr>
      <w:tr>
        <w:trPr>
          <w:trHeight w:val="426"/>
        </w:trPr>
        <w:tc>
          <w:tcPr>
            <w:tcW w:w="1780" w:type="dxa"/>
            <w:vAlign w:val="bottom"/>
          </w:tcPr>
          <w:p>
            <w:pPr>
              <w:spacing w:after="0"/>
              <w:rPr>
                <w:sz w:val="20"/>
                <w:szCs w:val="20"/>
                <w:color w:val="auto"/>
              </w:rPr>
            </w:pPr>
            <w:r>
              <w:rPr>
                <w:rFonts w:ascii="Arial" w:cs="Arial" w:eastAsia="Arial" w:hAnsi="Arial"/>
                <w:sz w:val="18"/>
                <w:szCs w:val="18"/>
                <w:color w:val="auto"/>
              </w:rPr>
              <w:t>If to the Company:</w:t>
            </w: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Tower Semiconductor Ltd.</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P.O. Box 619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Ramat Gabriel Industrial Zone</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Migdal Haemek 23105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i w:val="1"/>
                <w:iCs w:val="1"/>
                <w:color w:val="auto"/>
              </w:rPr>
              <w:t>Attention:</w:t>
            </w:r>
          </w:p>
        </w:tc>
        <w:tc>
          <w:tcPr>
            <w:tcW w:w="2060" w:type="dxa"/>
            <w:vAlign w:val="bottom"/>
          </w:tcPr>
          <w:p>
            <w:pPr>
              <w:ind w:left="60"/>
              <w:spacing w:after="0"/>
              <w:rPr>
                <w:sz w:val="20"/>
                <w:szCs w:val="20"/>
                <w:color w:val="auto"/>
              </w:rPr>
            </w:pPr>
            <w:r>
              <w:rPr>
                <w:rFonts w:ascii="Arial" w:cs="Arial" w:eastAsia="Arial" w:hAnsi="Arial"/>
                <w:sz w:val="18"/>
                <w:szCs w:val="18"/>
                <w:i w:val="1"/>
                <w:iCs w:val="1"/>
                <w:color w:val="auto"/>
              </w:rPr>
              <w:t>Oren Shirazi, Acting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6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1040" w:type="dxa"/>
            <w:vAlign w:val="bottom"/>
          </w:tcPr>
          <w:p>
            <w:pPr>
              <w:ind w:left="220"/>
              <w:spacing w:after="0"/>
              <w:rPr>
                <w:sz w:val="20"/>
                <w:szCs w:val="20"/>
                <w:color w:val="auto"/>
              </w:rPr>
            </w:pPr>
            <w:r>
              <w:rPr>
                <w:rFonts w:ascii="Arial" w:cs="Arial" w:eastAsia="Arial" w:hAnsi="Arial"/>
                <w:sz w:val="18"/>
                <w:szCs w:val="18"/>
                <w:i w:val="1"/>
                <w:iCs w:val="1"/>
                <w:color w:val="auto"/>
                <w:w w:val="98"/>
              </w:rPr>
              <w:t>Facsimile:</w:t>
            </w:r>
          </w:p>
        </w:tc>
        <w:tc>
          <w:tcPr>
            <w:tcW w:w="2060" w:type="dxa"/>
            <w:vAlign w:val="bottom"/>
          </w:tcPr>
          <w:p>
            <w:pPr>
              <w:jc w:val="right"/>
              <w:ind w:right="872"/>
              <w:spacing w:after="0"/>
              <w:rPr>
                <w:sz w:val="20"/>
                <w:szCs w:val="20"/>
                <w:color w:val="auto"/>
              </w:rPr>
            </w:pPr>
            <w:r>
              <w:rPr>
                <w:rFonts w:ascii="Arial" w:cs="Arial" w:eastAsia="Arial" w:hAnsi="Arial"/>
                <w:sz w:val="18"/>
                <w:szCs w:val="18"/>
                <w:i w:val="1"/>
                <w:iCs w:val="1"/>
                <w:color w:val="auto"/>
                <w:w w:val="96"/>
              </w:rPr>
              <w:t>(04) 604 7242</w:t>
            </w:r>
          </w:p>
        </w:tc>
        <w:tc>
          <w:tcPr>
            <w:tcW w:w="0" w:type="dxa"/>
            <w:vAlign w:val="bottom"/>
          </w:tcPr>
          <w:p>
            <w:pPr>
              <w:spacing w:after="0"/>
              <w:rPr>
                <w:sz w:val="1"/>
                <w:szCs w:val="1"/>
                <w:color w:val="auto"/>
              </w:rPr>
            </w:pPr>
          </w:p>
        </w:tc>
      </w:tr>
      <w:tr>
        <w:trPr>
          <w:trHeight w:val="426"/>
        </w:trPr>
        <w:tc>
          <w:tcPr>
            <w:tcW w:w="1780" w:type="dxa"/>
            <w:vAlign w:val="bottom"/>
          </w:tcPr>
          <w:p>
            <w:pPr>
              <w:spacing w:after="0"/>
              <w:rPr>
                <w:sz w:val="20"/>
                <w:szCs w:val="20"/>
                <w:color w:val="auto"/>
              </w:rPr>
            </w:pPr>
            <w:r>
              <w:rPr>
                <w:rFonts w:ascii="Arial" w:cs="Arial" w:eastAsia="Arial" w:hAnsi="Arial"/>
                <w:sz w:val="18"/>
                <w:szCs w:val="18"/>
                <w:i w:val="1"/>
                <w:iCs w:val="1"/>
                <w:color w:val="auto"/>
              </w:rPr>
              <w:t>with a copy to:</w:t>
            </w: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Yigal Arnon &amp; Co.</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color w:val="auto"/>
              </w:rPr>
              <w:t>1 Azrieli Center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Tel Aviv</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Israel</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100" w:type="dxa"/>
            <w:vAlign w:val="bottom"/>
            <w:gridSpan w:val="2"/>
          </w:tcPr>
          <w:p>
            <w:pPr>
              <w:ind w:left="220"/>
              <w:spacing w:after="0"/>
              <w:rPr>
                <w:sz w:val="20"/>
                <w:szCs w:val="20"/>
                <w:color w:val="auto"/>
              </w:rPr>
            </w:pPr>
            <w:r>
              <w:rPr>
                <w:rFonts w:ascii="Arial" w:cs="Arial" w:eastAsia="Arial" w:hAnsi="Arial"/>
                <w:sz w:val="18"/>
                <w:szCs w:val="18"/>
                <w:i w:val="1"/>
                <w:iCs w:val="1"/>
                <w:color w:val="auto"/>
              </w:rPr>
              <w:t>Attention:  David H. Schapiro, Adv.</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1040" w:type="dxa"/>
            <w:vAlign w:val="bottom"/>
          </w:tcPr>
          <w:p>
            <w:pPr>
              <w:ind w:left="220"/>
              <w:spacing w:after="0"/>
              <w:rPr>
                <w:sz w:val="20"/>
                <w:szCs w:val="20"/>
                <w:color w:val="auto"/>
              </w:rPr>
            </w:pPr>
            <w:r>
              <w:rPr>
                <w:rFonts w:ascii="Arial" w:cs="Arial" w:eastAsia="Arial" w:hAnsi="Arial"/>
                <w:sz w:val="18"/>
                <w:szCs w:val="18"/>
                <w:i w:val="1"/>
                <w:iCs w:val="1"/>
                <w:color w:val="auto"/>
                <w:w w:val="98"/>
              </w:rPr>
              <w:t>Facsimile:</w:t>
            </w:r>
          </w:p>
        </w:tc>
        <w:tc>
          <w:tcPr>
            <w:tcW w:w="2060" w:type="dxa"/>
            <w:vAlign w:val="bottom"/>
          </w:tcPr>
          <w:p>
            <w:pPr>
              <w:jc w:val="right"/>
              <w:ind w:right="872"/>
              <w:spacing w:after="0"/>
              <w:rPr>
                <w:sz w:val="20"/>
                <w:szCs w:val="20"/>
                <w:color w:val="auto"/>
              </w:rPr>
            </w:pPr>
            <w:r>
              <w:rPr>
                <w:rFonts w:ascii="Arial" w:cs="Arial" w:eastAsia="Arial" w:hAnsi="Arial"/>
                <w:sz w:val="18"/>
                <w:szCs w:val="18"/>
                <w:i w:val="1"/>
                <w:iCs w:val="1"/>
                <w:color w:val="auto"/>
                <w:w w:val="96"/>
              </w:rPr>
              <w:t>(03) 608 7714</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127"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92"/>
          </w:cols>
          <w:pgMar w:left="248" w:top="274" w:right="459" w:bottom="1440" w:gutter="0" w:footer="0" w:header="0"/>
        </w:sectPr>
      </w:pPr>
    </w:p>
    <w:bookmarkStart w:id="91" w:name="page92"/>
    <w:bookmarkEnd w:id="91"/>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 JURISDICTION</w:t>
      </w:r>
    </w:p>
    <w:p>
      <w:pPr>
        <w:spacing w:after="0" w:line="96" w:lineRule="exact"/>
        <w:rPr>
          <w:rFonts w:ascii="Arial" w:cs="Arial" w:eastAsia="Arial" w:hAnsi="Arial"/>
          <w:sz w:val="18"/>
          <w:szCs w:val="18"/>
          <w:color w:val="auto"/>
        </w:rPr>
      </w:pPr>
    </w:p>
    <w:p>
      <w:pPr>
        <w:ind w:left="460"/>
        <w:spacing w:after="0" w:line="335" w:lineRule="auto"/>
        <w:rPr>
          <w:rFonts w:ascii="Arial" w:cs="Arial" w:eastAsia="Arial" w:hAnsi="Arial"/>
          <w:sz w:val="18"/>
          <w:szCs w:val="18"/>
          <w:color w:val="auto"/>
        </w:rPr>
      </w:pPr>
      <w:r>
        <w:rPr>
          <w:rFonts w:ascii="Arial" w:cs="Arial" w:eastAsia="Arial" w:hAnsi="Arial"/>
          <w:sz w:val="15"/>
          <w:szCs w:val="15"/>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29, 2008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TOWER SEMICONDUCTOR LTD.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26073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26073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00"/>
          </w:cols>
          <w:pgMar w:left="240" w:top="274"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Exhibit 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TAG ALONG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and entered into on this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September, 2008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Amendment No. 1”</w:t>
      </w:r>
      <w:r>
        <w:rPr>
          <w:rFonts w:ascii="Arial" w:cs="Arial" w:eastAsia="Arial" w:hAnsi="Arial"/>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ISRAEL CORPORATION LTD.</w:t>
      </w:r>
    </w:p>
    <w:p>
      <w:pPr>
        <w:spacing w:after="0" w:line="17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 company duly organised under the laws of the State of Israel</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b w:val="1"/>
          <w:bCs w:val="1"/>
          <w:color w:val="auto"/>
        </w:rPr>
        <w:t>“TIC”</w:t>
      </w:r>
      <w:r>
        <w:rPr>
          <w:rFonts w:ascii="Arial" w:cs="Arial" w:eastAsia="Arial" w:hAnsi="Arial"/>
          <w:sz w:val="18"/>
          <w:szCs w:val="18"/>
          <w:color w:val="auto"/>
        </w:rPr>
        <w:t>)</w:t>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18"/>
          <w:szCs w:val="18"/>
          <w:b w:val="1"/>
          <w:bCs w:val="1"/>
          <w:u w:val="single" w:color="auto"/>
          <w:color w:val="auto"/>
        </w:rPr>
        <w:t>BANK HAPOALIM B.M.</w:t>
      </w:r>
    </w:p>
    <w:p>
      <w:pPr>
        <w:spacing w:after="0" w:line="17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 banking corporation organised under the laws of the State of Israel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b w:val="1"/>
          <w:bCs w:val="1"/>
          <w:color w:val="auto"/>
        </w:rPr>
        <w:t>“the Bank”</w:t>
      </w:r>
      <w:r>
        <w:rPr>
          <w:rFonts w:ascii="Arial" w:cs="Arial" w:eastAsia="Arial" w:hAnsi="Arial"/>
          <w:sz w:val="18"/>
          <w:szCs w:val="18"/>
          <w:color w:val="auto"/>
        </w:rPr>
        <w:t>)</w:t>
      </w:r>
    </w:p>
    <w:p>
      <w:pPr>
        <w:spacing w:after="0" w:line="199" w:lineRule="exact"/>
        <w:rPr>
          <w:sz w:val="20"/>
          <w:szCs w:val="20"/>
          <w:color w:val="auto"/>
        </w:rPr>
      </w:pPr>
    </w:p>
    <w:p>
      <w:pPr>
        <w:ind w:left="1040" w:hanging="1079"/>
        <w:spacing w:after="0" w:line="275" w:lineRule="auto"/>
        <w:tabs>
          <w:tab w:leader="none" w:pos="1020" w:val="left"/>
        </w:tabs>
        <w:rPr>
          <w:sz w:val="20"/>
          <w:szCs w:val="20"/>
          <w:color w:val="auto"/>
        </w:rPr>
      </w:pPr>
      <w:r>
        <w:rPr>
          <w:rFonts w:ascii="Arial" w:cs="Arial" w:eastAsia="Arial" w:hAnsi="Arial"/>
          <w:sz w:val="18"/>
          <w:szCs w:val="18"/>
          <w:color w:val="auto"/>
        </w:rPr>
        <w:t>WHEREAS:</w:t>
        <w:tab/>
        <w:t>TIC and the Bank are parties to a Tag Along Agreement dated September 28, 2006 (</w:t>
      </w:r>
      <w:r>
        <w:rPr>
          <w:rFonts w:ascii="Arial" w:cs="Arial" w:eastAsia="Arial" w:hAnsi="Arial"/>
          <w:sz w:val="18"/>
          <w:szCs w:val="18"/>
          <w:b w:val="1"/>
          <w:bCs w:val="1"/>
          <w:color w:val="auto"/>
        </w:rPr>
        <w:t>“the Tag Along Agreement”</w:t>
      </w:r>
      <w:r>
        <w:rPr>
          <w:rFonts w:ascii="Arial" w:cs="Arial" w:eastAsia="Arial" w:hAnsi="Arial"/>
          <w:sz w:val="18"/>
          <w:szCs w:val="18"/>
          <w:color w:val="auto"/>
        </w:rPr>
        <w:t>) with respect to the securities of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and</w:t>
      </w:r>
    </w:p>
    <w:p>
      <w:pPr>
        <w:spacing w:after="0" w:line="160" w:lineRule="exact"/>
        <w:rPr>
          <w:sz w:val="20"/>
          <w:szCs w:val="20"/>
          <w:color w:val="auto"/>
        </w:rPr>
      </w:pPr>
    </w:p>
    <w:p>
      <w:pPr>
        <w:ind w:left="1040" w:right="280" w:hanging="1079"/>
        <w:spacing w:after="0" w:line="262" w:lineRule="auto"/>
        <w:tabs>
          <w:tab w:leader="none" w:pos="1020" w:val="left"/>
        </w:tabs>
        <w:rPr>
          <w:sz w:val="20"/>
          <w:szCs w:val="20"/>
          <w:color w:val="auto"/>
        </w:rPr>
      </w:pPr>
      <w:r>
        <w:rPr>
          <w:rFonts w:ascii="Arial" w:cs="Arial" w:eastAsia="Arial" w:hAnsi="Arial"/>
          <w:sz w:val="18"/>
          <w:szCs w:val="18"/>
          <w:color w:val="auto"/>
        </w:rPr>
        <w:t>WHEREAS:</w:t>
        <w:tab/>
        <w:t xml:space="preserve">the Bank and Bank Leumi le-Israel B.M. (collectively, </w:t>
      </w:r>
      <w:r>
        <w:rPr>
          <w:rFonts w:ascii="Arial" w:cs="Arial" w:eastAsia="Arial" w:hAnsi="Arial"/>
          <w:sz w:val="18"/>
          <w:szCs w:val="18"/>
          <w:b w:val="1"/>
          <w:bCs w:val="1"/>
          <w:color w:val="auto"/>
        </w:rPr>
        <w:t>“the Banks”</w:t>
      </w:r>
      <w:r>
        <w:rPr>
          <w:rFonts w:ascii="Arial" w:cs="Arial" w:eastAsia="Arial" w:hAnsi="Arial"/>
          <w:sz w:val="18"/>
          <w:szCs w:val="18"/>
          <w:color w:val="auto"/>
        </w:rPr>
        <w:t>) and Tower are parties to a Facility Agreement dated January 18, 2001, as amended and restated on August 24, 2006 and as further amended by Amendment No. 1 thereto, dated September 10, 2007 (</w:t>
      </w:r>
      <w:r>
        <w:rPr>
          <w:rFonts w:ascii="Arial" w:cs="Arial" w:eastAsia="Arial" w:hAnsi="Arial"/>
          <w:sz w:val="18"/>
          <w:szCs w:val="18"/>
          <w:b w:val="1"/>
          <w:bCs w:val="1"/>
          <w:color w:val="auto"/>
        </w:rPr>
        <w:t>“the 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73" w:lineRule="exact"/>
        <w:rPr>
          <w:sz w:val="20"/>
          <w:szCs w:val="20"/>
          <w:color w:val="auto"/>
        </w:rPr>
      </w:pPr>
    </w:p>
    <w:p>
      <w:pPr>
        <w:ind w:left="1040" w:right="80" w:hanging="1079"/>
        <w:spacing w:after="0" w:line="262" w:lineRule="auto"/>
        <w:tabs>
          <w:tab w:leader="none" w:pos="1020" w:val="left"/>
        </w:tabs>
        <w:rPr>
          <w:sz w:val="20"/>
          <w:szCs w:val="20"/>
          <w:color w:val="auto"/>
        </w:rPr>
      </w:pPr>
      <w:r>
        <w:rPr>
          <w:rFonts w:ascii="Arial" w:cs="Arial" w:eastAsia="Arial" w:hAnsi="Arial"/>
          <w:sz w:val="18"/>
          <w:szCs w:val="18"/>
          <w:color w:val="auto"/>
        </w:rPr>
        <w:t>WHEREAS:</w:t>
        <w:tab/>
        <w:t>at the request of Tower, the Banks and Tower have entered into a further Amending Agreement dated September 25, 2008 (</w:t>
      </w:r>
      <w:r>
        <w:rPr>
          <w:rFonts w:ascii="Arial" w:cs="Arial" w:eastAsia="Arial" w:hAnsi="Arial"/>
          <w:sz w:val="18"/>
          <w:szCs w:val="18"/>
          <w:b w:val="1"/>
          <w:bCs w:val="1"/>
          <w:color w:val="auto"/>
        </w:rPr>
        <w:t>“the 2008 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conditions to the effectiveness of which include,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the conversion by each Bank of approximately US $85,000,000</w:t>
      </w:r>
      <w:r>
        <w:rPr>
          <w:rFonts w:ascii="Arial" w:cs="Arial" w:eastAsia="Arial" w:hAnsi="Arial"/>
          <w:sz w:val="18"/>
          <w:szCs w:val="18"/>
          <w:b w:val="1"/>
          <w:bCs w:val="1"/>
          <w:color w:val="auto"/>
        </w:rPr>
        <w:t xml:space="preserve"> </w:t>
      </w:r>
      <w:r>
        <w:rPr>
          <w:rFonts w:ascii="Arial" w:cs="Arial" w:eastAsia="Arial" w:hAnsi="Arial"/>
          <w:sz w:val="18"/>
          <w:szCs w:val="18"/>
          <w:color w:val="auto"/>
        </w:rPr>
        <w:t>(eighty-five million</w:t>
      </w:r>
    </w:p>
    <w:p>
      <w:pPr>
        <w:sectPr>
          <w:pgSz w:w="11900" w:h="16838" w:orient="portrait"/>
          <w:cols w:equalWidth="0" w:num="1">
            <w:col w:w="11340"/>
          </w:cols>
          <w:pgMar w:left="280" w:top="125" w:right="279" w:bottom="1440" w:gutter="0" w:footer="0" w:header="0"/>
        </w:sectPr>
      </w:pPr>
    </w:p>
    <w:bookmarkStart w:id="93" w:name="page94"/>
    <w:bookmarkEnd w:id="93"/>
    <w:p>
      <w:pPr>
        <w:ind w:left="9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Dollars) of its loans made to Tower pursuant to the Facility Agreement and all US $15,000,000 (fifteen million United States Dollars) of loans made by each Bank to Tower pursuant to each Bank’s Equipment Facility Agreement dated September 10, 2007 with Tower, into an equity-equivalent convertible capital note (</w:t>
      </w:r>
      <w:r>
        <w:rPr>
          <w:rFonts w:ascii="Arial" w:cs="Arial" w:eastAsia="Arial" w:hAnsi="Arial"/>
          <w:sz w:val="16"/>
          <w:szCs w:val="16"/>
          <w:b w:val="1"/>
          <w:bCs w:val="1"/>
          <w:color w:val="auto"/>
        </w:rPr>
        <w:t>“the New Capital Notes”</w:t>
      </w:r>
      <w:r>
        <w:rPr>
          <w:rFonts w:ascii="Arial" w:cs="Arial" w:eastAsia="Arial" w:hAnsi="Arial"/>
          <w:sz w:val="16"/>
          <w:szCs w:val="16"/>
          <w:color w:val="auto"/>
        </w:rPr>
        <w:t>) to be issued to the Bank or its nominee in the amount of US $100,000,000 (one hundred million United States Dollars) which will in turn be convertible, in whole or in part, at any time and from time to time into 70,422,535 (seventy million four hundred and twenty-two thousand five hundred and thirty-five) shares of Tower (</w:t>
      </w:r>
      <w:r>
        <w:rPr>
          <w:rFonts w:ascii="Arial" w:cs="Arial" w:eastAsia="Arial" w:hAnsi="Arial"/>
          <w:sz w:val="16"/>
          <w:szCs w:val="16"/>
          <w:b w:val="1"/>
          <w:bCs w:val="1"/>
          <w:color w:val="auto"/>
        </w:rPr>
        <w:t>“the New Shares”</w:t>
      </w:r>
      <w:r>
        <w:rPr>
          <w:rFonts w:ascii="Arial" w:cs="Arial" w:eastAsia="Arial" w:hAnsi="Arial"/>
          <w:sz w:val="16"/>
          <w:szCs w:val="16"/>
          <w:color w:val="auto"/>
        </w:rPr>
        <w:t>) and the entering into by the Bank and TIC of this Amendment No. 1, so as to include the New Capital Notes and the New Shares issuable upon conversion thereof within the tag along rights granted to the Bank by TIC pursuant to the Tag Along Agreement; and</w:t>
      </w:r>
    </w:p>
    <w:p>
      <w:pPr>
        <w:spacing w:after="0" w:line="15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WHEREAS:</w:t>
      </w:r>
      <w:r>
        <w:rPr>
          <w:sz w:val="20"/>
          <w:szCs w:val="20"/>
          <w:color w:val="auto"/>
        </w:rPr>
        <w:tab/>
      </w:r>
      <w:r>
        <w:rPr>
          <w:rFonts w:ascii="Arial" w:cs="Arial" w:eastAsia="Arial" w:hAnsi="Arial"/>
          <w:sz w:val="18"/>
          <w:szCs w:val="18"/>
          <w:color w:val="auto"/>
        </w:rPr>
        <w:t>the parties wish to amend the Tag Along Agreement as set out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96" w:lineRule="exact"/>
        <w:rPr>
          <w:sz w:val="20"/>
          <w:szCs w:val="20"/>
          <w:color w:val="auto"/>
        </w:rPr>
      </w:pPr>
    </w:p>
    <w:p>
      <w:pPr>
        <w:ind w:left="460" w:right="58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Capitalised terms in this Amendment No. 1 shall bear the meaning ascribed to such terms in the Tag Along Agreement unless the context otherwise requires.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recitals to the Tag Along are hereby amended to add the following as the penultimate “WHEREAS” clause:</w:t>
      </w:r>
    </w:p>
    <w:p>
      <w:pPr>
        <w:spacing w:after="0" w:line="205" w:lineRule="exact"/>
        <w:rPr>
          <w:rFonts w:ascii="Arial" w:cs="Arial" w:eastAsia="Arial" w:hAnsi="Arial"/>
          <w:sz w:val="18"/>
          <w:szCs w:val="18"/>
          <w:color w:val="auto"/>
        </w:rPr>
      </w:pPr>
    </w:p>
    <w:p>
      <w:pPr>
        <w:ind w:left="1580" w:right="240" w:hanging="1134"/>
        <w:spacing w:after="0" w:line="287" w:lineRule="auto"/>
        <w:rPr>
          <w:rFonts w:ascii="Arial" w:cs="Arial" w:eastAsia="Arial" w:hAnsi="Arial"/>
          <w:sz w:val="18"/>
          <w:szCs w:val="18"/>
          <w:color w:val="auto"/>
        </w:rPr>
      </w:pPr>
      <w:r>
        <w:rPr>
          <w:rFonts w:ascii="Arial" w:cs="Arial" w:eastAsia="Arial" w:hAnsi="Arial"/>
          <w:sz w:val="16"/>
          <w:szCs w:val="16"/>
          <w:color w:val="auto"/>
        </w:rPr>
        <w:t>“WHEREAS: at the request of Tower, the Banks and Tower have entered into a further Amending Agreement dated September 25, 2008 (</w:t>
      </w:r>
      <w:r>
        <w:rPr>
          <w:rFonts w:ascii="Arial" w:cs="Arial" w:eastAsia="Arial" w:hAnsi="Arial"/>
          <w:sz w:val="16"/>
          <w:szCs w:val="16"/>
          <w:b w:val="1"/>
          <w:bCs w:val="1"/>
          <w:color w:val="auto"/>
        </w:rPr>
        <w:t>‘the 2008</w:t>
      </w:r>
      <w:r>
        <w:rPr>
          <w:rFonts w:ascii="Arial" w:cs="Arial" w:eastAsia="Arial" w:hAnsi="Arial"/>
          <w:sz w:val="16"/>
          <w:szCs w:val="16"/>
          <w:color w:val="auto"/>
        </w:rPr>
        <w:t xml:space="preserve"> </w:t>
      </w:r>
      <w:r>
        <w:rPr>
          <w:rFonts w:ascii="Arial" w:cs="Arial" w:eastAsia="Arial" w:hAnsi="Arial"/>
          <w:sz w:val="16"/>
          <w:szCs w:val="16"/>
          <w:b w:val="1"/>
          <w:bCs w:val="1"/>
          <w:color w:val="auto"/>
        </w:rPr>
        <w:t>Amending Agreement’</w:t>
      </w:r>
      <w:r>
        <w:rPr>
          <w:rFonts w:ascii="Arial" w:cs="Arial" w:eastAsia="Arial" w:hAnsi="Arial"/>
          <w:sz w:val="16"/>
          <w:szCs w:val="16"/>
          <w:color w:val="auto"/>
        </w:rPr>
        <w:t>), the conditions to the effectiveness of which include,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the conversion by each Bank of approximately</w:t>
      </w:r>
      <w:r>
        <w:rPr>
          <w:rFonts w:ascii="Arial" w:cs="Arial" w:eastAsia="Arial" w:hAnsi="Arial"/>
          <w:sz w:val="16"/>
          <w:szCs w:val="16"/>
          <w:b w:val="1"/>
          <w:bCs w:val="1"/>
          <w:color w:val="auto"/>
        </w:rPr>
        <w:t xml:space="preserve"> </w:t>
      </w:r>
      <w:r>
        <w:rPr>
          <w:rFonts w:ascii="Arial" w:cs="Arial" w:eastAsia="Arial" w:hAnsi="Arial"/>
          <w:sz w:val="16"/>
          <w:szCs w:val="16"/>
          <w:color w:val="auto"/>
        </w:rPr>
        <w:t>US $85,000,000 (eighty-five million United States Dollars) of its loans made to Tower pursuant to the Facility Agreement and all</w:t>
      </w:r>
    </w:p>
    <w:p>
      <w:pPr>
        <w:ind w:left="15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US $15,000,000 (fifteen million United States Dollars) of loans made by each Bank to Tower pursuant to each Bank’s Equipment Facility Agreement dated September 10, 2007 with Tower, into an equity-equivalent convertible capital note </w:t>
      </w:r>
      <w:r>
        <w:rPr>
          <w:rFonts w:ascii="Arial" w:cs="Arial" w:eastAsia="Arial" w:hAnsi="Arial"/>
          <w:sz w:val="18"/>
          <w:szCs w:val="18"/>
          <w:b w:val="1"/>
          <w:bCs w:val="1"/>
          <w:color w:val="auto"/>
        </w:rPr>
        <w:t>‘the New Capital Notes’</w:t>
      </w:r>
      <w:r>
        <w:rPr>
          <w:rFonts w:ascii="Arial" w:cs="Arial" w:eastAsia="Arial" w:hAnsi="Arial"/>
          <w:sz w:val="18"/>
          <w:szCs w:val="18"/>
          <w:color w:val="auto"/>
        </w:rPr>
        <w:t>) to be issued to the Bank or its nominee in the amount of US $100,000,000 (one hundred million</w:t>
      </w:r>
    </w:p>
    <w:p>
      <w:pPr>
        <w:spacing w:after="0" w:line="130" w:lineRule="exact"/>
        <w:rPr>
          <w:rFonts w:ascii="Arial" w:cs="Arial" w:eastAsia="Arial" w:hAnsi="Arial"/>
          <w:sz w:val="18"/>
          <w:szCs w:val="18"/>
          <w:color w:val="auto"/>
        </w:rPr>
      </w:pPr>
    </w:p>
    <w:p>
      <w:pPr>
        <w:ind w:left="5680" w:hanging="112"/>
        <w:spacing w:after="0"/>
        <w:tabs>
          <w:tab w:leader="none" w:pos="56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80"/>
          </w:cols>
          <w:pgMar w:left="240" w:top="280" w:right="279" w:bottom="1440" w:gutter="0" w:footer="0" w:header="0"/>
        </w:sectPr>
      </w:pPr>
    </w:p>
    <w:bookmarkStart w:id="94" w:name="page95"/>
    <w:bookmarkEnd w:id="94"/>
    <w:p>
      <w:pPr>
        <w:ind w:left="912"/>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Dollars) which will in turn be convertible, in whole or in part, at any time and from time to time into 70,422,535 (seventy million four hundred and twenty-two thousand five hundred and thirty-five) shares of Tower (</w:t>
      </w:r>
      <w:r>
        <w:rPr>
          <w:rFonts w:ascii="Arial" w:cs="Arial" w:eastAsia="Arial" w:hAnsi="Arial"/>
          <w:sz w:val="16"/>
          <w:szCs w:val="16"/>
          <w:b w:val="1"/>
          <w:bCs w:val="1"/>
          <w:color w:val="auto"/>
        </w:rPr>
        <w:t>‘the New Shares’</w:t>
      </w:r>
      <w:r>
        <w:rPr>
          <w:rFonts w:ascii="Arial" w:cs="Arial" w:eastAsia="Arial" w:hAnsi="Arial"/>
          <w:sz w:val="16"/>
          <w:szCs w:val="16"/>
          <w:color w:val="auto"/>
        </w:rPr>
        <w:t>) and the entering into by the Bank and TIC of Amendment No. 1 to this Agreement, so as to include the New Capital Notes and the New Shares issuable upon conversion thereof within the tag along rights granted to the Bank by TIC pursuant to the this Agreement; and”</w:t>
      </w:r>
    </w:p>
    <w:p>
      <w:pPr>
        <w:spacing w:after="0" w:line="32" w:lineRule="exact"/>
        <w:rPr>
          <w:sz w:val="20"/>
          <w:szCs w:val="20"/>
          <w:color w:val="auto"/>
        </w:rPr>
      </w:pPr>
    </w:p>
    <w:p>
      <w:pPr>
        <w:ind w:left="452" w:hanging="452"/>
        <w:spacing w:after="0"/>
        <w:tabs>
          <w:tab w:leader="none" w:pos="4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Clause 2.3(i) of the Tag Along Agreement is hereby amended to read in its entirety as follows:</w:t>
      </w:r>
    </w:p>
    <w:p>
      <w:pPr>
        <w:spacing w:after="0" w:line="90" w:lineRule="exact"/>
        <w:rPr>
          <w:rFonts w:ascii="Arial" w:cs="Arial" w:eastAsia="Arial" w:hAnsi="Arial"/>
          <w:sz w:val="18"/>
          <w:szCs w:val="18"/>
          <w:color w:val="auto"/>
        </w:rPr>
      </w:pPr>
    </w:p>
    <w:p>
      <w:pPr>
        <w:ind w:left="452" w:right="220"/>
        <w:spacing w:after="0" w:line="357" w:lineRule="auto"/>
        <w:rPr>
          <w:rFonts w:ascii="Arial" w:cs="Arial" w:eastAsia="Arial" w:hAnsi="Arial"/>
          <w:sz w:val="18"/>
          <w:szCs w:val="18"/>
          <w:color w:val="auto"/>
        </w:rPr>
      </w:pPr>
      <w:r>
        <w:rPr>
          <w:rFonts w:ascii="Arial" w:cs="Arial" w:eastAsia="Arial" w:hAnsi="Arial"/>
          <w:sz w:val="15"/>
          <w:szCs w:val="15"/>
          <w:color w:val="auto"/>
        </w:rPr>
        <w:t xml:space="preserve">“(i) Capital Notes issued pursuant to clause 5.4 of the Amending Agreement and pursuant to clause 5.4 of the 2008 Amending Agreement (collectively, </w:t>
      </w:r>
      <w:r>
        <w:rPr>
          <w:rFonts w:ascii="Arial" w:cs="Arial" w:eastAsia="Arial" w:hAnsi="Arial"/>
          <w:sz w:val="15"/>
          <w:szCs w:val="15"/>
          <w:b w:val="1"/>
          <w:bCs w:val="1"/>
          <w:color w:val="auto"/>
        </w:rPr>
        <w:t>‘the Amending Agreements’</w:t>
      </w:r>
      <w:r>
        <w:rPr>
          <w:rFonts w:ascii="Arial" w:cs="Arial" w:eastAsia="Arial" w:hAnsi="Arial"/>
          <w:sz w:val="15"/>
          <w:szCs w:val="15"/>
          <w:color w:val="auto"/>
        </w:rPr>
        <w:t>), or Shares received from the conversion of any such Capital Notes issued pursuant to the Amending Agreements;”</w:t>
      </w:r>
    </w:p>
    <w:p>
      <w:pPr>
        <w:ind w:left="452" w:right="80" w:hanging="452"/>
        <w:spacing w:after="0" w:line="332" w:lineRule="auto"/>
        <w:tabs>
          <w:tab w:leader="none" w:pos="45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TIC refers to the representations and warranties made by it in the Tag Along Agreement and hereby confirms that such representations and warranties are true and correct on the date hereof as if all references therein to “this Agreement” were references to “this Amendment No. 1”.</w:t>
      </w:r>
    </w:p>
    <w:p>
      <w:pPr>
        <w:spacing w:after="0" w:line="4" w:lineRule="exact"/>
        <w:rPr>
          <w:rFonts w:ascii="Arial" w:cs="Arial" w:eastAsia="Arial" w:hAnsi="Arial"/>
          <w:sz w:val="16"/>
          <w:szCs w:val="16"/>
          <w:color w:val="auto"/>
        </w:rPr>
      </w:pPr>
    </w:p>
    <w:p>
      <w:pPr>
        <w:ind w:left="452" w:right="380" w:hanging="452"/>
        <w:spacing w:after="0" w:line="268" w:lineRule="auto"/>
        <w:tabs>
          <w:tab w:leader="none" w:pos="4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Amendment No. 1 shall be read together with the Tag Along Agreement, and save for the changes contained herein, all the terms and conditions contained in the Tag Along Agreement remain unchanged, and in full force and effect.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recitals hereto shall form an integral part of this Amendment No. 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Amendment No. 1 may be amended only by a written document signed by both parties hereto.</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12"/>
          </w:cols>
          <w:pgMar w:left="248" w:top="280" w:right="339" w:bottom="1440" w:gutter="0" w:footer="0" w:header="0"/>
        </w:sectPr>
      </w:pPr>
    </w:p>
    <w:bookmarkStart w:id="95" w:name="page96"/>
    <w:bookmarkEnd w:id="95"/>
    <w:p>
      <w:pPr>
        <w:ind w:left="28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Amendment No. 1 to Bank Hapoalim Tag Along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 the parties have duly executed this Amendment No. 1 to the Tag Along Agreement as of the date hereinbefore mentioned.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ISRAEL CORPORATION LTD</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HAPOALIM B.M.</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3"/>
              </w:rPr>
              <w:t>/s/ Nir Gilad</w:t>
            </w: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7"/>
              </w:rPr>
              <w:t>/s/ Erez Francis</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91"/>
              </w:rPr>
              <w:t>Name</w:t>
            </w:r>
          </w:p>
        </w:tc>
        <w:tc>
          <w:tcPr>
            <w:tcW w:w="4920" w:type="dxa"/>
            <w:vAlign w:val="bottom"/>
          </w:tcPr>
          <w:p>
            <w:pPr>
              <w:jc w:val="center"/>
              <w:ind w:left="52"/>
              <w:spacing w:after="0" w:line="203" w:lineRule="exact"/>
              <w:rPr>
                <w:sz w:val="20"/>
                <w:szCs w:val="20"/>
                <w:color w:val="auto"/>
              </w:rPr>
            </w:pPr>
            <w:r>
              <w:rPr>
                <w:rFonts w:ascii="Arial" w:cs="Arial" w:eastAsia="Arial" w:hAnsi="Arial"/>
                <w:sz w:val="18"/>
                <w:szCs w:val="18"/>
                <w:color w:val="auto"/>
                <w:w w:val="94"/>
              </w:rPr>
              <w:t>Nir Gilad</w:t>
            </w:r>
          </w:p>
        </w:tc>
        <w:tc>
          <w:tcPr>
            <w:tcW w:w="1160" w:type="dxa"/>
            <w:vAlign w:val="bottom"/>
          </w:tcPr>
          <w:p>
            <w:pPr>
              <w:ind w:left="68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jc w:val="center"/>
              <w:ind w:left="12"/>
              <w:spacing w:after="0" w:line="203" w:lineRule="exact"/>
              <w:rPr>
                <w:sz w:val="20"/>
                <w:szCs w:val="20"/>
                <w:color w:val="auto"/>
              </w:rPr>
            </w:pPr>
            <w:r>
              <w:rPr>
                <w:rFonts w:ascii="Arial" w:cs="Arial" w:eastAsia="Arial" w:hAnsi="Arial"/>
                <w:sz w:val="18"/>
                <w:szCs w:val="18"/>
                <w:color w:val="auto"/>
                <w:w w:val="89"/>
              </w:rPr>
              <w:t>Erez Francis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52"/>
              <w:spacing w:after="0"/>
              <w:rPr>
                <w:sz w:val="20"/>
                <w:szCs w:val="20"/>
                <w:color w:val="auto"/>
              </w:rPr>
            </w:pPr>
            <w:r>
              <w:rPr>
                <w:rFonts w:ascii="Arial" w:cs="Arial" w:eastAsia="Arial" w:hAnsi="Arial"/>
                <w:sz w:val="18"/>
                <w:szCs w:val="18"/>
                <w:color w:val="auto"/>
                <w:w w:val="87"/>
              </w:rPr>
              <w:t>CEO</w:t>
            </w: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880" w:type="dxa"/>
            <w:vAlign w:val="bottom"/>
          </w:tcPr>
          <w:p>
            <w:pPr>
              <w:jc w:val="center"/>
              <w:ind w:left="12"/>
              <w:spacing w:after="0"/>
              <w:rPr>
                <w:sz w:val="20"/>
                <w:szCs w:val="20"/>
                <w:color w:val="auto"/>
              </w:rPr>
            </w:pPr>
            <w:r>
              <w:rPr>
                <w:rFonts w:ascii="Arial" w:cs="Arial" w:eastAsia="Arial" w:hAnsi="Arial"/>
                <w:sz w:val="18"/>
                <w:szCs w:val="18"/>
                <w:color w:val="auto"/>
                <w:w w:val="87"/>
              </w:rPr>
              <w:t>Customer Relations Manager</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6"/>
              </w:rPr>
              <w:t>/S/ Avisar Paz</w:t>
            </w: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5"/>
              </w:rPr>
              <w:t>/S/ Liat Konforty</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91"/>
              </w:rPr>
              <w:t>Name</w:t>
            </w:r>
          </w:p>
        </w:tc>
        <w:tc>
          <w:tcPr>
            <w:tcW w:w="4920" w:type="dxa"/>
            <w:vAlign w:val="bottom"/>
          </w:tcPr>
          <w:p>
            <w:pPr>
              <w:jc w:val="center"/>
              <w:ind w:left="32"/>
              <w:spacing w:after="0" w:line="203" w:lineRule="exact"/>
              <w:rPr>
                <w:sz w:val="20"/>
                <w:szCs w:val="20"/>
                <w:color w:val="auto"/>
              </w:rPr>
            </w:pPr>
            <w:r>
              <w:rPr>
                <w:rFonts w:ascii="Arial" w:cs="Arial" w:eastAsia="Arial" w:hAnsi="Arial"/>
                <w:sz w:val="18"/>
                <w:szCs w:val="18"/>
                <w:color w:val="auto"/>
                <w:w w:val="88"/>
              </w:rPr>
              <w:t>Avisar Paz</w:t>
            </w:r>
          </w:p>
        </w:tc>
        <w:tc>
          <w:tcPr>
            <w:tcW w:w="1160" w:type="dxa"/>
            <w:vAlign w:val="bottom"/>
          </w:tcPr>
          <w:p>
            <w:pPr>
              <w:ind w:left="680"/>
              <w:spacing w:after="0" w:line="203" w:lineRule="exact"/>
              <w:rPr>
                <w:sz w:val="20"/>
                <w:szCs w:val="20"/>
                <w:color w:val="auto"/>
              </w:rPr>
            </w:pPr>
            <w:r>
              <w:rPr>
                <w:rFonts w:ascii="Arial" w:cs="Arial" w:eastAsia="Arial" w:hAnsi="Arial"/>
                <w:sz w:val="18"/>
                <w:szCs w:val="18"/>
                <w:color w:val="auto"/>
                <w:w w:val="95"/>
              </w:rPr>
              <w:t>Name</w:t>
            </w:r>
          </w:p>
        </w:tc>
        <w:tc>
          <w:tcPr>
            <w:tcW w:w="488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6"/>
              </w:rPr>
              <w:t>Liat Konforty</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52"/>
              <w:spacing w:after="0"/>
              <w:rPr>
                <w:sz w:val="20"/>
                <w:szCs w:val="20"/>
                <w:color w:val="auto"/>
              </w:rPr>
            </w:pPr>
            <w:r>
              <w:rPr>
                <w:rFonts w:ascii="Arial" w:cs="Arial" w:eastAsia="Arial" w:hAnsi="Arial"/>
                <w:sz w:val="18"/>
                <w:szCs w:val="18"/>
                <w:color w:val="auto"/>
                <w:w w:val="89"/>
              </w:rPr>
              <w:t>CFO</w:t>
            </w: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19"/>
                <w:szCs w:val="19"/>
                <w:color w:val="auto"/>
              </w:rPr>
            </w:pPr>
          </w:p>
        </w:tc>
      </w:tr>
      <w:tr>
        <w:trPr>
          <w:trHeight w:val="365"/>
        </w:trPr>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- 4 -</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TAG ALONG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and entered into on this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September, 2008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Amendment No. 1”</w:t>
      </w:r>
      <w:r>
        <w:rPr>
          <w:rFonts w:ascii="Arial" w:cs="Arial" w:eastAsia="Arial" w:hAnsi="Arial"/>
          <w:sz w:val="18"/>
          <w:szCs w:val="18"/>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84"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ISRAEL CORPORATION LTD.</w:t>
      </w:r>
    </w:p>
    <w:p>
      <w:pPr>
        <w:spacing w:after="0" w:line="17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 company duly organised under the laws of the State of Israel</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b w:val="1"/>
          <w:bCs w:val="1"/>
          <w:color w:val="auto"/>
        </w:rPr>
        <w:t>“TIC”</w:t>
      </w:r>
      <w:r>
        <w:rPr>
          <w:rFonts w:ascii="Arial" w:cs="Arial" w:eastAsia="Arial" w:hAnsi="Arial"/>
          <w:sz w:val="18"/>
          <w:szCs w:val="18"/>
          <w:color w:val="auto"/>
        </w:rPr>
        <w:t>)</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BANK LEUMI LE-ISRAELB.M.</w:t>
      </w:r>
    </w:p>
    <w:p>
      <w:pPr>
        <w:spacing w:after="0" w:line="177"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 banking corporation organised under the laws of the State of Israel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b w:val="1"/>
          <w:bCs w:val="1"/>
          <w:color w:val="auto"/>
        </w:rPr>
        <w:t>“the Bank”</w:t>
      </w:r>
      <w:r>
        <w:rPr>
          <w:rFonts w:ascii="Arial" w:cs="Arial" w:eastAsia="Arial" w:hAnsi="Arial"/>
          <w:sz w:val="18"/>
          <w:szCs w:val="18"/>
          <w:color w:val="auto"/>
        </w:rPr>
        <w:t>)</w:t>
      </w:r>
    </w:p>
    <w:p>
      <w:pPr>
        <w:spacing w:after="0" w:line="199" w:lineRule="exact"/>
        <w:rPr>
          <w:sz w:val="20"/>
          <w:szCs w:val="20"/>
          <w:color w:val="auto"/>
        </w:rPr>
      </w:pPr>
    </w:p>
    <w:p>
      <w:pPr>
        <w:ind w:left="980" w:right="40" w:hanging="1039"/>
        <w:spacing w:after="0" w:line="275" w:lineRule="auto"/>
        <w:tabs>
          <w:tab w:leader="none" w:pos="960" w:val="left"/>
        </w:tabs>
        <w:rPr>
          <w:sz w:val="20"/>
          <w:szCs w:val="20"/>
          <w:color w:val="auto"/>
        </w:rPr>
      </w:pPr>
      <w:r>
        <w:rPr>
          <w:rFonts w:ascii="Arial" w:cs="Arial" w:eastAsia="Arial" w:hAnsi="Arial"/>
          <w:sz w:val="18"/>
          <w:szCs w:val="18"/>
          <w:color w:val="auto"/>
        </w:rPr>
        <w:t>WHEREAS:</w:t>
        <w:tab/>
        <w:t>TIC and the Bank are parties to a Tag Along Agreement dated September 28, 2006 (</w:t>
      </w:r>
      <w:r>
        <w:rPr>
          <w:rFonts w:ascii="Arial" w:cs="Arial" w:eastAsia="Arial" w:hAnsi="Arial"/>
          <w:sz w:val="18"/>
          <w:szCs w:val="18"/>
          <w:b w:val="1"/>
          <w:bCs w:val="1"/>
          <w:color w:val="auto"/>
        </w:rPr>
        <w:t>“the Tag Along Agreement”</w:t>
      </w:r>
      <w:r>
        <w:rPr>
          <w:rFonts w:ascii="Arial" w:cs="Arial" w:eastAsia="Arial" w:hAnsi="Arial"/>
          <w:sz w:val="18"/>
          <w:szCs w:val="18"/>
          <w:color w:val="auto"/>
        </w:rPr>
        <w:t>) with respect to the securities of Tower Semiconductor Ltd. (</w:t>
      </w:r>
      <w:r>
        <w:rPr>
          <w:rFonts w:ascii="Arial" w:cs="Arial" w:eastAsia="Arial" w:hAnsi="Arial"/>
          <w:sz w:val="18"/>
          <w:szCs w:val="18"/>
          <w:b w:val="1"/>
          <w:bCs w:val="1"/>
          <w:color w:val="auto"/>
        </w:rPr>
        <w:t>“Tower”</w:t>
      </w:r>
      <w:r>
        <w:rPr>
          <w:rFonts w:ascii="Arial" w:cs="Arial" w:eastAsia="Arial" w:hAnsi="Arial"/>
          <w:sz w:val="18"/>
          <w:szCs w:val="18"/>
          <w:color w:val="auto"/>
        </w:rPr>
        <w:t>); and</w:t>
      </w:r>
    </w:p>
    <w:p>
      <w:pPr>
        <w:spacing w:after="0" w:line="160" w:lineRule="exact"/>
        <w:rPr>
          <w:sz w:val="20"/>
          <w:szCs w:val="20"/>
          <w:color w:val="auto"/>
        </w:rPr>
      </w:pPr>
    </w:p>
    <w:p>
      <w:pPr>
        <w:jc w:val="both"/>
        <w:ind w:left="980" w:hanging="1039"/>
        <w:spacing w:after="0" w:line="378" w:lineRule="auto"/>
        <w:tabs>
          <w:tab w:leader="none" w:pos="960" w:val="left"/>
        </w:tabs>
        <w:rPr>
          <w:sz w:val="20"/>
          <w:szCs w:val="20"/>
          <w:color w:val="auto"/>
        </w:rPr>
      </w:pPr>
      <w:r>
        <w:rPr>
          <w:rFonts w:ascii="Arial" w:cs="Arial" w:eastAsia="Arial" w:hAnsi="Arial"/>
          <w:sz w:val="15"/>
          <w:szCs w:val="15"/>
          <w:color w:val="auto"/>
        </w:rPr>
        <w:t>WHEREAS:</w:t>
        <w:tab/>
        <w:t>the Bank and Bank Hapoalim B.M. (collectively, “</w:t>
      </w:r>
      <w:r>
        <w:rPr>
          <w:rFonts w:ascii="Arial" w:cs="Arial" w:eastAsia="Arial" w:hAnsi="Arial"/>
          <w:sz w:val="15"/>
          <w:szCs w:val="15"/>
          <w:b w:val="1"/>
          <w:bCs w:val="1"/>
          <w:color w:val="auto"/>
        </w:rPr>
        <w:t>the Banks</w:t>
      </w:r>
      <w:r>
        <w:rPr>
          <w:rFonts w:ascii="Arial" w:cs="Arial" w:eastAsia="Arial" w:hAnsi="Arial"/>
          <w:sz w:val="15"/>
          <w:szCs w:val="15"/>
          <w:color w:val="auto"/>
        </w:rPr>
        <w:t>”) and Tower are parties to a Facility Agreement dated January 18, 2001, as amended and restated on August 24, 2006 and as further amended by Amendment No. 1 thereto, dated September 10, 2007 (“</w:t>
      </w:r>
      <w:r>
        <w:rPr>
          <w:rFonts w:ascii="Arial" w:cs="Arial" w:eastAsia="Arial" w:hAnsi="Arial"/>
          <w:sz w:val="15"/>
          <w:szCs w:val="15"/>
          <w:b w:val="1"/>
          <w:bCs w:val="1"/>
          <w:color w:val="auto"/>
        </w:rPr>
        <w:t>the Facility Agreement</w:t>
      </w:r>
      <w:r>
        <w:rPr>
          <w:rFonts w:ascii="Arial" w:cs="Arial" w:eastAsia="Arial" w:hAnsi="Arial"/>
          <w:sz w:val="15"/>
          <w:szCs w:val="15"/>
          <w:color w:val="auto"/>
        </w:rPr>
        <w:t>”); and</w:t>
      </w:r>
    </w:p>
    <w:p>
      <w:pPr>
        <w:spacing w:after="0" w:line="91" w:lineRule="exact"/>
        <w:rPr>
          <w:sz w:val="20"/>
          <w:szCs w:val="20"/>
          <w:color w:val="auto"/>
        </w:rPr>
      </w:pPr>
    </w:p>
    <w:p>
      <w:pPr>
        <w:ind w:left="980" w:right="140" w:hanging="1039"/>
        <w:spacing w:after="0" w:line="262" w:lineRule="auto"/>
        <w:tabs>
          <w:tab w:leader="none" w:pos="960" w:val="left"/>
        </w:tabs>
        <w:rPr>
          <w:sz w:val="20"/>
          <w:szCs w:val="20"/>
          <w:color w:val="auto"/>
        </w:rPr>
      </w:pPr>
      <w:r>
        <w:rPr>
          <w:rFonts w:ascii="Arial" w:cs="Arial" w:eastAsia="Arial" w:hAnsi="Arial"/>
          <w:sz w:val="18"/>
          <w:szCs w:val="18"/>
          <w:color w:val="auto"/>
        </w:rPr>
        <w:t>WHEREAS:</w:t>
        <w:tab/>
        <w:t>at the request of Tower, the Banks and Tower have entered into a further Amending Agreement dated September 25, 2008 (“</w:t>
      </w:r>
      <w:r>
        <w:rPr>
          <w:rFonts w:ascii="Arial" w:cs="Arial" w:eastAsia="Arial" w:hAnsi="Arial"/>
          <w:sz w:val="18"/>
          <w:szCs w:val="18"/>
          <w:b w:val="1"/>
          <w:bCs w:val="1"/>
          <w:color w:val="auto"/>
        </w:rPr>
        <w:t>the 2008 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conditions to the effectiveness of which include, inter alia, the conversion by each Bank of approximately US $85,000,000</w:t>
      </w:r>
      <w:r>
        <w:rPr>
          <w:rFonts w:ascii="Arial" w:cs="Arial" w:eastAsia="Arial" w:hAnsi="Arial"/>
          <w:sz w:val="18"/>
          <w:szCs w:val="18"/>
          <w:b w:val="1"/>
          <w:bCs w:val="1"/>
          <w:color w:val="auto"/>
        </w:rPr>
        <w:t xml:space="preserve"> </w:t>
      </w:r>
      <w:r>
        <w:rPr>
          <w:rFonts w:ascii="Arial" w:cs="Arial" w:eastAsia="Arial" w:hAnsi="Arial"/>
          <w:sz w:val="18"/>
          <w:szCs w:val="18"/>
          <w:color w:val="auto"/>
        </w:rPr>
        <w:t>(eighty-five million</w:t>
      </w:r>
    </w:p>
    <w:p>
      <w:pPr>
        <w:sectPr>
          <w:pgSz w:w="11900" w:h="16838" w:orient="portrait"/>
          <w:cols w:equalWidth="0" w:num="1">
            <w:col w:w="11320"/>
          </w:cols>
          <w:pgMar w:left="300" w:top="125" w:right="279" w:bottom="1440" w:gutter="0" w:footer="0" w:header="0"/>
        </w:sectPr>
      </w:pPr>
    </w:p>
    <w:bookmarkStart w:id="97" w:name="page98"/>
    <w:bookmarkEnd w:id="97"/>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Dollars) of its loans made to Tower pursuant to the Facility Agreement and all US $15,000,000 (fifteen million United States Dollars) of loans made by each Bank to Tower pursuant to each Bank’s Equipment Facility Agreement dated September 10, 2007 with Tower, into an equity-equivalent convertible capital note (“</w:t>
      </w:r>
      <w:r>
        <w:rPr>
          <w:rFonts w:ascii="Arial" w:cs="Arial" w:eastAsia="Arial" w:hAnsi="Arial"/>
          <w:sz w:val="16"/>
          <w:szCs w:val="16"/>
          <w:b w:val="1"/>
          <w:bCs w:val="1"/>
          <w:color w:val="auto"/>
        </w:rPr>
        <w:t>the New Capital Notes</w:t>
      </w:r>
      <w:r>
        <w:rPr>
          <w:rFonts w:ascii="Arial" w:cs="Arial" w:eastAsia="Arial" w:hAnsi="Arial"/>
          <w:sz w:val="16"/>
          <w:szCs w:val="16"/>
          <w:color w:val="auto"/>
        </w:rPr>
        <w:t>”) to be issued to the Bank or its nominee in the amount of US $100,000,000 (one hundred million United States Dollars) which will in turn be convertible, in whole or in part, at any time and from time to time into 70,422,535 (seventy million four hundred and twenty-two thousand five hundred and thirty-five) shares of Tower (“</w:t>
      </w:r>
      <w:r>
        <w:rPr>
          <w:rFonts w:ascii="Arial" w:cs="Arial" w:eastAsia="Arial" w:hAnsi="Arial"/>
          <w:sz w:val="16"/>
          <w:szCs w:val="16"/>
          <w:b w:val="1"/>
          <w:bCs w:val="1"/>
          <w:color w:val="auto"/>
        </w:rPr>
        <w:t>the New Shares</w:t>
      </w:r>
      <w:r>
        <w:rPr>
          <w:rFonts w:ascii="Arial" w:cs="Arial" w:eastAsia="Arial" w:hAnsi="Arial"/>
          <w:sz w:val="16"/>
          <w:szCs w:val="16"/>
          <w:color w:val="auto"/>
        </w:rPr>
        <w:t>”) and the entering into by the Bank and TIC of this Amendment No. 1, so as to include the New Capital Notes and the New Shares issuable upon conversion thereof within the tag along rights granted to the Bank by TIC pursuant to the Tag Along Agreement; and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amend the Tag Along Agreement as set out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96" w:lineRule="exact"/>
        <w:rPr>
          <w:sz w:val="20"/>
          <w:szCs w:val="20"/>
          <w:color w:val="auto"/>
        </w:rPr>
      </w:pPr>
    </w:p>
    <w:p>
      <w:pPr>
        <w:ind w:left="460" w:right="580" w:hanging="452"/>
        <w:spacing w:after="0" w:line="268"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Capitalised terms in this Amendment No. 1 shall bear the meaning ascribed to such terms in the Tag Along Agreement unless the context otherwise requires.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recitals to the Tag Along are hereby amended to add the following as the penultimate “WHEREAS” clause:</w:t>
      </w:r>
    </w:p>
    <w:p>
      <w:pPr>
        <w:spacing w:after="0" w:line="206" w:lineRule="exact"/>
        <w:rPr>
          <w:sz w:val="20"/>
          <w:szCs w:val="20"/>
          <w:color w:val="auto"/>
        </w:rPr>
      </w:pPr>
    </w:p>
    <w:p>
      <w:pPr>
        <w:ind w:left="1040" w:right="140" w:hanging="1025"/>
        <w:spacing w:after="0" w:line="255" w:lineRule="auto"/>
        <w:rPr>
          <w:sz w:val="20"/>
          <w:szCs w:val="20"/>
          <w:color w:val="auto"/>
        </w:rPr>
      </w:pPr>
      <w:r>
        <w:rPr>
          <w:rFonts w:ascii="Arial" w:cs="Arial" w:eastAsia="Arial" w:hAnsi="Arial"/>
          <w:sz w:val="18"/>
          <w:szCs w:val="18"/>
          <w:color w:val="auto"/>
        </w:rPr>
        <w:t>“WHEREAS: at the request of Tower, the Banks and Tower have entered into a further Amending Agreement dated September 25, 2008 (‘</w:t>
      </w:r>
      <w:r>
        <w:rPr>
          <w:rFonts w:ascii="Arial" w:cs="Arial" w:eastAsia="Arial" w:hAnsi="Arial"/>
          <w:sz w:val="18"/>
          <w:szCs w:val="18"/>
          <w:b w:val="1"/>
          <w:bCs w:val="1"/>
          <w:color w:val="auto"/>
        </w:rPr>
        <w:t>the 2008 Amending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conditions to the effectiveness of which include, inter alia, the conversion by each Bank of approximately US $85,000,000</w:t>
      </w:r>
      <w:r>
        <w:rPr>
          <w:rFonts w:ascii="Arial" w:cs="Arial" w:eastAsia="Arial" w:hAnsi="Arial"/>
          <w:sz w:val="18"/>
          <w:szCs w:val="18"/>
          <w:b w:val="1"/>
          <w:bCs w:val="1"/>
          <w:color w:val="auto"/>
        </w:rPr>
        <w:t xml:space="preserve"> </w:t>
      </w:r>
      <w:r>
        <w:rPr>
          <w:rFonts w:ascii="Arial" w:cs="Arial" w:eastAsia="Arial" w:hAnsi="Arial"/>
          <w:sz w:val="18"/>
          <w:szCs w:val="18"/>
          <w:color w:val="auto"/>
        </w:rPr>
        <w:t>(eighty-five million United States Dollars) of its loans made to Tower pursuant to the Facility Agreement and all US $15,000,000 (fifteen million United States Dollars) of loans made by each Bank to Tower pursuant to each Bank’s Equipment Facility Agreement dated September 10, 2007 with Tower, into an equity-equivalent convertible capital note ‘</w:t>
      </w:r>
      <w:r>
        <w:rPr>
          <w:rFonts w:ascii="Arial" w:cs="Arial" w:eastAsia="Arial" w:hAnsi="Arial"/>
          <w:sz w:val="18"/>
          <w:szCs w:val="18"/>
          <w:b w:val="1"/>
          <w:bCs w:val="1"/>
          <w:color w:val="auto"/>
        </w:rPr>
        <w:t>the New Capital Notes</w:t>
      </w:r>
      <w:r>
        <w:rPr>
          <w:rFonts w:ascii="Arial" w:cs="Arial" w:eastAsia="Arial" w:hAnsi="Arial"/>
          <w:sz w:val="18"/>
          <w:szCs w:val="18"/>
          <w:color w:val="auto"/>
        </w:rPr>
        <w:t>’) to be issued to the Bank or its nominee in the amount of US $100,000,000 (one hundred million</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80" w:right="279" w:bottom="1440" w:gutter="0" w:footer="0" w:header="0"/>
        </w:sectPr>
      </w:pPr>
    </w:p>
    <w:bookmarkStart w:id="98" w:name="page99"/>
    <w:bookmarkEnd w:id="98"/>
    <w:p>
      <w:pPr>
        <w:ind w:left="452"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Dollars) which will in turn be convertible, in whole or in part, at any time and from time to time into 70,422,535 (seventy million four hundred and twenty-two thousand five hundred and thirty-five) shares of Tower (‘the New Shares’) and the entering into by the Bank and TIC of Amendment No. 1 to this Agreement, so as to include the New Capital Notes and the New Shares issuable upon conversion thereof within the tag along rights granted to the Bank by TIC pursuant to the this Agreement; and”</w:t>
      </w:r>
    </w:p>
    <w:p>
      <w:pPr>
        <w:spacing w:after="0" w:line="62" w:lineRule="exact"/>
        <w:rPr>
          <w:sz w:val="20"/>
          <w:szCs w:val="20"/>
          <w:color w:val="auto"/>
        </w:rPr>
      </w:pPr>
    </w:p>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Clause 2.3(i) of the Tag Along Agreement is hereby amended to read in its entirety as follows:</w:t>
      </w:r>
    </w:p>
    <w:p>
      <w:pPr>
        <w:spacing w:after="0" w:line="90" w:lineRule="exact"/>
        <w:rPr>
          <w:rFonts w:ascii="Arial" w:cs="Arial" w:eastAsia="Arial" w:hAnsi="Arial"/>
          <w:sz w:val="18"/>
          <w:szCs w:val="18"/>
          <w:color w:val="auto"/>
        </w:rPr>
      </w:pPr>
    </w:p>
    <w:p>
      <w:pPr>
        <w:ind w:left="452" w:right="140"/>
        <w:spacing w:after="0" w:line="357" w:lineRule="auto"/>
        <w:rPr>
          <w:rFonts w:ascii="Arial" w:cs="Arial" w:eastAsia="Arial" w:hAnsi="Arial"/>
          <w:sz w:val="18"/>
          <w:szCs w:val="18"/>
          <w:color w:val="auto"/>
        </w:rPr>
      </w:pPr>
      <w:r>
        <w:rPr>
          <w:rFonts w:ascii="Arial" w:cs="Arial" w:eastAsia="Arial" w:hAnsi="Arial"/>
          <w:sz w:val="15"/>
          <w:szCs w:val="15"/>
          <w:color w:val="auto"/>
        </w:rPr>
        <w:t xml:space="preserve">“(i) Capital Notes issued pursuant to clause 5.4 of the Amending Agreement and pursuant to clause 5.4 of the 2008 Amending Agreement (collectively, </w:t>
      </w:r>
      <w:r>
        <w:rPr>
          <w:rFonts w:ascii="Arial" w:cs="Arial" w:eastAsia="Arial" w:hAnsi="Arial"/>
          <w:sz w:val="15"/>
          <w:szCs w:val="15"/>
          <w:b w:val="1"/>
          <w:bCs w:val="1"/>
          <w:color w:val="auto"/>
        </w:rPr>
        <w:t>‘the Amending Agreements’</w:t>
      </w:r>
      <w:r>
        <w:rPr>
          <w:rFonts w:ascii="Arial" w:cs="Arial" w:eastAsia="Arial" w:hAnsi="Arial"/>
          <w:sz w:val="15"/>
          <w:szCs w:val="15"/>
          <w:color w:val="auto"/>
        </w:rPr>
        <w:t>), or Shares received from the conversion of any such Capital Notes issued pursuant to the Amending Agreements;”</w:t>
      </w:r>
    </w:p>
    <w:p>
      <w:pPr>
        <w:ind w:left="452" w:hanging="452"/>
        <w:spacing w:after="0" w:line="332" w:lineRule="auto"/>
        <w:tabs>
          <w:tab w:leader="none" w:pos="45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TIC refers to the representations and warranties made by it in the Tag Along Agreement and hereby confirms that such representations and warranties are true and correct on the date hereof as if all references therein to “this Agreement” were references to “this Amendment No. 1”.</w:t>
      </w:r>
    </w:p>
    <w:p>
      <w:pPr>
        <w:spacing w:after="0" w:line="4" w:lineRule="exact"/>
        <w:rPr>
          <w:rFonts w:ascii="Arial" w:cs="Arial" w:eastAsia="Arial" w:hAnsi="Arial"/>
          <w:sz w:val="16"/>
          <w:szCs w:val="16"/>
          <w:color w:val="auto"/>
        </w:rPr>
      </w:pPr>
    </w:p>
    <w:p>
      <w:pPr>
        <w:ind w:left="452" w:right="300" w:hanging="452"/>
        <w:spacing w:after="0" w:line="268" w:lineRule="auto"/>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Amendment No. 1 shall be read together with the Tag Along Agreement, and save for the changes contained herein, all the terms and conditions contained in the Tag Along Agreement remain unchanged, and in full force and effect.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recitals hereto shall form an integral part of this Amendment No. 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Amendment No. 1 may be amended only by a written document signed by both parties hereto.</w:t>
      </w:r>
    </w:p>
    <w:p>
      <w:pPr>
        <w:spacing w:after="0" w:line="17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32"/>
          </w:cols>
          <w:pgMar w:left="248" w:top="280" w:right="419" w:bottom="1440" w:gutter="0" w:footer="0" w:header="0"/>
        </w:sectPr>
      </w:pPr>
    </w:p>
    <w:bookmarkStart w:id="99" w:name="page100"/>
    <w:bookmarkEnd w:id="99"/>
    <w:p>
      <w:pPr>
        <w:ind w:left="29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Amendment No. 1 to Bank Leumi Tag Along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 the parties have duly executed this Amendment No. 1 to the Tag Along Agreement as of the date hereinbefore mentioned.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ISRAEL CORPORATION LTD</w:t>
            </w:r>
          </w:p>
        </w:tc>
        <w:tc>
          <w:tcPr>
            <w:tcW w:w="6040" w:type="dxa"/>
            <w:vAlign w:val="bottom"/>
            <w:gridSpan w:val="2"/>
          </w:tcPr>
          <w:p>
            <w:pPr>
              <w:ind w:left="68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LEUMI LE–ISRAEL B.M.</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3"/>
              </w:rPr>
              <w:t>/s/ Nir Gilad</w:t>
            </w: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/s/ Anat Golan</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91"/>
              </w:rPr>
              <w:t>Name</w:t>
            </w:r>
          </w:p>
        </w:tc>
        <w:tc>
          <w:tcPr>
            <w:tcW w:w="4920" w:type="dxa"/>
            <w:vAlign w:val="bottom"/>
          </w:tcPr>
          <w:p>
            <w:pPr>
              <w:jc w:val="center"/>
              <w:ind w:left="52"/>
              <w:spacing w:after="0" w:line="203" w:lineRule="exact"/>
              <w:rPr>
                <w:sz w:val="20"/>
                <w:szCs w:val="20"/>
                <w:color w:val="auto"/>
              </w:rPr>
            </w:pPr>
            <w:r>
              <w:rPr>
                <w:rFonts w:ascii="Arial" w:cs="Arial" w:eastAsia="Arial" w:hAnsi="Arial"/>
                <w:sz w:val="18"/>
                <w:szCs w:val="18"/>
                <w:color w:val="auto"/>
                <w:w w:val="94"/>
              </w:rPr>
              <w:t>Nir Gilad</w:t>
            </w:r>
          </w:p>
        </w:tc>
        <w:tc>
          <w:tcPr>
            <w:tcW w:w="1160" w:type="dxa"/>
            <w:vAlign w:val="bottom"/>
          </w:tcPr>
          <w:p>
            <w:pPr>
              <w:ind w:left="68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1"/>
              </w:rPr>
              <w:t>Anat Golan</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52"/>
              <w:spacing w:after="0"/>
              <w:rPr>
                <w:sz w:val="20"/>
                <w:szCs w:val="20"/>
                <w:color w:val="auto"/>
              </w:rPr>
            </w:pPr>
            <w:r>
              <w:rPr>
                <w:rFonts w:ascii="Arial" w:cs="Arial" w:eastAsia="Arial" w:hAnsi="Arial"/>
                <w:sz w:val="18"/>
                <w:szCs w:val="18"/>
                <w:color w:val="auto"/>
                <w:w w:val="87"/>
              </w:rPr>
              <w:t>CEO</w:t>
            </w: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880" w:type="dxa"/>
            <w:vAlign w:val="bottom"/>
          </w:tcPr>
          <w:p>
            <w:pPr>
              <w:jc w:val="center"/>
              <w:ind w:left="12"/>
              <w:spacing w:after="0"/>
              <w:rPr>
                <w:sz w:val="20"/>
                <w:szCs w:val="20"/>
                <w:color w:val="auto"/>
              </w:rPr>
            </w:pPr>
            <w:r>
              <w:rPr>
                <w:rFonts w:ascii="Arial" w:cs="Arial" w:eastAsia="Arial" w:hAnsi="Arial"/>
                <w:sz w:val="18"/>
                <w:szCs w:val="18"/>
                <w:color w:val="auto"/>
                <w:w w:val="88"/>
              </w:rPr>
              <w:t>Senior Relationship Manager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7"/>
              </w:rPr>
              <w:t>/s/ Avisar Paz</w:t>
            </w: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5"/>
              </w:rPr>
              <w:t>/s/ Rina Vahaba</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91"/>
              </w:rPr>
              <w:t>Name</w:t>
            </w:r>
          </w:p>
        </w:tc>
        <w:tc>
          <w:tcPr>
            <w:tcW w:w="4920" w:type="dxa"/>
            <w:vAlign w:val="bottom"/>
          </w:tcPr>
          <w:p>
            <w:pPr>
              <w:jc w:val="center"/>
              <w:ind w:left="32"/>
              <w:spacing w:after="0" w:line="203" w:lineRule="exact"/>
              <w:rPr>
                <w:sz w:val="20"/>
                <w:szCs w:val="20"/>
                <w:color w:val="auto"/>
              </w:rPr>
            </w:pPr>
            <w:r>
              <w:rPr>
                <w:rFonts w:ascii="Arial" w:cs="Arial" w:eastAsia="Arial" w:hAnsi="Arial"/>
                <w:sz w:val="18"/>
                <w:szCs w:val="18"/>
                <w:color w:val="auto"/>
                <w:w w:val="88"/>
              </w:rPr>
              <w:t>Avisar Paz</w:t>
            </w:r>
          </w:p>
        </w:tc>
        <w:tc>
          <w:tcPr>
            <w:tcW w:w="1160" w:type="dxa"/>
            <w:vAlign w:val="bottom"/>
          </w:tcPr>
          <w:p>
            <w:pPr>
              <w:ind w:left="680"/>
              <w:spacing w:after="0" w:line="203" w:lineRule="exact"/>
              <w:rPr>
                <w:sz w:val="20"/>
                <w:szCs w:val="20"/>
                <w:color w:val="auto"/>
              </w:rPr>
            </w:pPr>
            <w:r>
              <w:rPr>
                <w:rFonts w:ascii="Arial" w:cs="Arial" w:eastAsia="Arial" w:hAnsi="Arial"/>
                <w:sz w:val="18"/>
                <w:szCs w:val="18"/>
                <w:color w:val="auto"/>
                <w:w w:val="95"/>
              </w:rPr>
              <w:t>Name</w:t>
            </w:r>
          </w:p>
        </w:tc>
        <w:tc>
          <w:tcPr>
            <w:tcW w:w="4880" w:type="dxa"/>
            <w:vAlign w:val="bottom"/>
          </w:tcPr>
          <w:p>
            <w:pPr>
              <w:jc w:val="center"/>
              <w:ind w:left="12"/>
              <w:spacing w:after="0" w:line="203" w:lineRule="exact"/>
              <w:rPr>
                <w:sz w:val="20"/>
                <w:szCs w:val="20"/>
                <w:color w:val="auto"/>
              </w:rPr>
            </w:pPr>
            <w:r>
              <w:rPr>
                <w:rFonts w:ascii="Arial" w:cs="Arial" w:eastAsia="Arial" w:hAnsi="Arial"/>
                <w:sz w:val="18"/>
                <w:szCs w:val="18"/>
                <w:color w:val="auto"/>
                <w:w w:val="86"/>
              </w:rPr>
              <w:t>Rina Vahaba</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jc w:val="center"/>
              <w:ind w:left="52"/>
              <w:spacing w:after="0"/>
              <w:rPr>
                <w:sz w:val="20"/>
                <w:szCs w:val="20"/>
                <w:color w:val="auto"/>
              </w:rPr>
            </w:pPr>
            <w:r>
              <w:rPr>
                <w:rFonts w:ascii="Arial" w:cs="Arial" w:eastAsia="Arial" w:hAnsi="Arial"/>
                <w:sz w:val="18"/>
                <w:szCs w:val="18"/>
                <w:color w:val="auto"/>
                <w:w w:val="89"/>
              </w:rPr>
              <w:t>CFO</w:t>
            </w: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880" w:type="dxa"/>
            <w:vAlign w:val="bottom"/>
          </w:tcPr>
          <w:p>
            <w:pPr>
              <w:jc w:val="center"/>
              <w:ind w:left="12"/>
              <w:spacing w:after="0"/>
              <w:rPr>
                <w:sz w:val="20"/>
                <w:szCs w:val="20"/>
                <w:color w:val="auto"/>
              </w:rPr>
            </w:pPr>
            <w:r>
              <w:rPr>
                <w:rFonts w:ascii="Arial" w:cs="Arial" w:eastAsia="Arial" w:hAnsi="Arial"/>
                <w:sz w:val="18"/>
                <w:szCs w:val="18"/>
                <w:color w:val="auto"/>
                <w:w w:val="88"/>
              </w:rPr>
              <w:t>Head of Technology Sector</w:t>
            </w:r>
          </w:p>
        </w:tc>
      </w:tr>
      <w:tr>
        <w:trPr>
          <w:trHeight w:val="365"/>
        </w:trPr>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- 4 -</w:t>
            </w:r>
          </w:p>
        </w:tc>
        <w:tc>
          <w:tcPr>
            <w:tcW w:w="4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1."/>
      <w:numFmt w:val="decimal"/>
      <w:start w:val="2"/>
    </w:lvl>
    <w:lvl w:ilvl="1">
      <w:lvlJc w:val="left"/>
      <w:lvlText w:val="(%2)"/>
      <w:numFmt w:val="lowerLetter"/>
      <w:start w:val="1"/>
    </w:lvl>
  </w:abstractNum>
  <w:abstractNum w:abstractNumId="2">
    <w:nsid w:val="649BB77C"/>
    <w:multiLevelType w:val="hybridMultilevel"/>
    <w:lvl w:ilvl="0">
      <w:lvlJc w:val="left"/>
      <w:lvlText w:val="%1."/>
      <w:numFmt w:val="decimal"/>
      <w:start w:val="13"/>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1."/>
      <w:numFmt w:val="decimal"/>
      <w:start w:val="2"/>
    </w:lvl>
    <w:lvl w:ilvl="1">
      <w:lvlJc w:val="left"/>
      <w:lvlText w:val="(%2)"/>
      <w:numFmt w:val="lowerLetter"/>
      <w:start w:val="1"/>
    </w:lvl>
  </w:abstractNum>
  <w:abstractNum w:abstractNumId="5">
    <w:nsid w:val="1CF10FD8"/>
    <w:multiLevelType w:val="hybridMultilevel"/>
    <w:lvl w:ilvl="0">
      <w:lvlJc w:val="left"/>
      <w:lvlText w:val="%1."/>
      <w:numFmt w:val="decimal"/>
      <w:start w:val="13"/>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1."/>
      <w:numFmt w:val="decimal"/>
      <w:start w:val="2"/>
    </w:lvl>
    <w:lvl w:ilvl="1">
      <w:lvlJc w:val="left"/>
      <w:lvlText w:val="(%2)"/>
      <w:numFmt w:val="lowerLetter"/>
      <w:start w:val="1"/>
    </w:lvl>
  </w:abstractNum>
  <w:abstractNum w:abstractNumId="8">
    <w:nsid w:val="47398C89"/>
    <w:multiLevelType w:val="hybridMultilevel"/>
    <w:lvl w:ilvl="0">
      <w:lvlJc w:val="left"/>
      <w:lvlText w:val="%1."/>
      <w:numFmt w:val="decimal"/>
      <w:start w:val="13"/>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1)"/>
      <w:numFmt w:val="lowerLetter"/>
      <w:start w:val="1"/>
    </w:lvl>
    <w:lvl w:ilvl="1">
      <w:lvlJc w:val="left"/>
      <w:lvlText w:val="(%2)"/>
      <w:numFmt w:val="decimal"/>
      <w:start w:val="2"/>
    </w:lvl>
  </w:abstractNum>
  <w:abstractNum w:abstractNumId="11">
    <w:nsid w:val="741226BB"/>
    <w:multiLevelType w:val="hybridMultilevel"/>
    <w:lvl w:ilvl="0">
      <w:lvlJc w:val="left"/>
      <w:lvlText w:val="(%1)"/>
      <w:numFmt w:val="lowerLetter"/>
      <w:start w:val="2"/>
    </w:lvl>
    <w:lvl w:ilvl="1">
      <w:lvlJc w:val="left"/>
      <w:lvlText w:val="(%2)"/>
      <w:numFmt w:val="decimal"/>
      <w:start w:val="2"/>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1."/>
      <w:numFmt w:val="decimal"/>
      <w:start w:val="14"/>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1."/>
      <w:numFmt w:val="upperLetter"/>
      <w:start w:val="9"/>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upperLetter"/>
      <w:start w:val="35"/>
    </w:lvl>
  </w:abstractNum>
  <w:abstractNum w:abstractNumId="21">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2">
    <w:nsid w:val="25A70BF7"/>
    <w:multiLevelType w:val="hybridMultilevel"/>
    <w:lvl w:ilvl="0">
      <w:lvlJc w:val="left"/>
      <w:lvlText w:val="(%1)"/>
      <w:numFmt w:val="lowerLetter"/>
      <w:start w:val="10"/>
    </w:lvl>
  </w:abstractNum>
  <w:abstractNum w:abstractNumId="23">
    <w:nsid w:val="1DBABF0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4">
    <w:nsid w:val="4AD084E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5">
    <w:nsid w:val="1F48EAA1"/>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6">
    <w:nsid w:val="1381823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7">
    <w:nsid w:val="5DB70AE5"/>
    <w:multiLevelType w:val="hybridMultilevel"/>
    <w:lvl w:ilvl="0">
      <w:lvlJc w:val="left"/>
      <w:lvlText w:val="(%1)"/>
      <w:numFmt w:val="lowerLetter"/>
      <w:start w:val="3"/>
    </w:lvl>
    <w:lvl w:ilvl="1">
      <w:lvlJc w:val="left"/>
      <w:lvlText w:val="-"/>
      <w:numFmt w:val="bullet"/>
      <w:start w:val="1"/>
    </w:lvl>
  </w:abstractNum>
  <w:abstractNum w:abstractNumId="28">
    <w:nsid w:val="100F8FCA"/>
    <w:multiLevelType w:val="hybridMultilevel"/>
    <w:lvl w:ilvl="0">
      <w:lvlJc w:val="left"/>
      <w:lvlText w:val="(%1)"/>
      <w:numFmt w:val="lowerLetter"/>
      <w:start w:val="5"/>
    </w:lvl>
    <w:lvl w:ilvl="1">
      <w:lvlJc w:val="left"/>
      <w:lvlText w:val="-"/>
      <w:numFmt w:val="bullet"/>
      <w:start w:val="1"/>
    </w:lvl>
  </w:abstractNum>
  <w:abstractNum w:abstractNumId="29">
    <w:nsid w:val="6590700B"/>
    <w:multiLevelType w:val="hybridMultilevel"/>
    <w:lvl w:ilvl="0">
      <w:lvlJc w:val="left"/>
      <w:lvlText w:val="(%1)"/>
      <w:numFmt w:val="lowerLetter"/>
      <w:start w:val="9"/>
    </w:lvl>
    <w:lvl w:ilvl="1">
      <w:lvlJc w:val="left"/>
      <w:lvlText w:val="-"/>
      <w:numFmt w:val="bullet"/>
      <w:start w:val="1"/>
    </w:lvl>
  </w:abstractNum>
  <w:abstractNum w:abstractNumId="30">
    <w:nsid w:val="15014AC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1">
    <w:nsid w:val="5F5E7FD0"/>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32">
    <w:nsid w:val="98A314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3">
    <w:nsid w:val="799D0247"/>
    <w:multiLevelType w:val="hybridMultilevel"/>
    <w:lvl w:ilvl="0">
      <w:lvlJc w:val="left"/>
      <w:lvlText w:val="(%1)"/>
      <w:numFmt w:val="lowerLetter"/>
      <w:start w:val="3"/>
    </w:lvl>
    <w:lvl w:ilvl="1">
      <w:lvlJc w:val="left"/>
      <w:lvlText w:val="-"/>
      <w:numFmt w:val="bullet"/>
      <w:start w:val="1"/>
    </w:lvl>
  </w:abstractNum>
  <w:abstractNum w:abstractNumId="34">
    <w:nsid w:val="6B94764"/>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5">
    <w:nsid w:val="42C296BD"/>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6">
    <w:nsid w:val="168E121F"/>
    <w:multiLevelType w:val="hybridMultilevel"/>
    <w:lvl w:ilvl="0">
      <w:lvlJc w:val="left"/>
      <w:lvlText w:val="%1"/>
      <w:numFmt w:val="decimal"/>
      <w:start w:val="1"/>
    </w:lvl>
    <w:lvl w:ilvl="1">
      <w:lvlJc w:val="left"/>
      <w:lvlText w:val="(%2)"/>
      <w:numFmt w:val="lowerLetter"/>
      <w:start w:val="2"/>
    </w:lvl>
  </w:abstractNum>
  <w:abstractNum w:abstractNumId="37">
    <w:nsid w:val="1EBA5D23"/>
    <w:multiLevelType w:val="hybridMultilevel"/>
    <w:lvl w:ilvl="0">
      <w:lvlJc w:val="left"/>
      <w:lvlText w:val="%1."/>
      <w:numFmt w:val="decimal"/>
      <w:start w:val="12"/>
    </w:lvl>
    <w:lvl w:ilvl="1">
      <w:lvlJc w:val="left"/>
      <w:lvlText w:val="(%2)"/>
      <w:numFmt w:val="lowerLetter"/>
      <w:start w:val="1"/>
    </w:lvl>
  </w:abstractNum>
  <w:abstractNum w:abstractNumId="38">
    <w:nsid w:val="661E3F1E"/>
    <w:multiLevelType w:val="hybridMultilevel"/>
    <w:lvl w:ilvl="0">
      <w:lvlJc w:val="left"/>
      <w:lvlText w:val="(%1)"/>
      <w:numFmt w:val="lowerLetter"/>
      <w:start w:val="2"/>
    </w:lvl>
    <w:lvl w:ilvl="1">
      <w:lvlJc w:val="left"/>
      <w:lvlText w:val="-"/>
      <w:numFmt w:val="bullet"/>
      <w:start w:val="1"/>
    </w:lvl>
  </w:abstractNum>
  <w:abstractNum w:abstractNumId="39">
    <w:nsid w:val="5DC79EA8"/>
    <w:multiLevelType w:val="hybridMultilevel"/>
    <w:lvl w:ilvl="0">
      <w:lvlJc w:val="left"/>
      <w:lvlText w:val="(%1)"/>
      <w:numFmt w:val="lowerLetter"/>
      <w:start w:val="9"/>
    </w:lvl>
  </w:abstractNum>
  <w:abstractNum w:abstractNumId="40">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41">
    <w:nsid w:val="7BD3EE7B"/>
    <w:multiLevelType w:val="hybridMultilevel"/>
    <w:lvl w:ilvl="0">
      <w:lvlJc w:val="left"/>
      <w:lvlText w:val="(%1)"/>
      <w:numFmt w:val="lowerLetter"/>
      <w:start w:val="10"/>
    </w:lvl>
  </w:abstractNum>
  <w:abstractNum w:abstractNumId="42">
    <w:nsid w:val="51D9C564"/>
    <w:multiLevelType w:val="hybridMultilevel"/>
    <w:lvl w:ilvl="0">
      <w:lvlJc w:val="left"/>
      <w:lvlText w:val="(%1)"/>
      <w:numFmt w:val="lowerLetter"/>
      <w:start w:val="1"/>
    </w:lvl>
    <w:lvl w:ilvl="1">
      <w:lvlJc w:val="left"/>
      <w:lvlText w:val="-"/>
      <w:numFmt w:val="bullet"/>
      <w:start w:val="1"/>
    </w:lvl>
  </w:abstractNum>
  <w:abstractNum w:abstractNumId="43">
    <w:nsid w:val="613EFDC5"/>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4">
    <w:nsid w:val="BF72B14"/>
    <w:multiLevelType w:val="hybridMultilevel"/>
    <w:lvl w:ilvl="0">
      <w:lvlJc w:val="left"/>
      <w:lvlText w:val="(%1)"/>
      <w:numFmt w:val="lowerLetter"/>
      <w:start w:val="3"/>
    </w:lvl>
    <w:lvl w:ilvl="1">
      <w:lvlJc w:val="left"/>
      <w:lvlText w:val="-"/>
      <w:numFmt w:val="bullet"/>
      <w:start w:val="1"/>
    </w:lvl>
  </w:abstractNum>
  <w:abstractNum w:abstractNumId="45">
    <w:nsid w:val="11447B73"/>
    <w:multiLevelType w:val="hybridMultilevel"/>
    <w:lvl w:ilvl="0">
      <w:lvlJc w:val="left"/>
      <w:lvlText w:val="(%1)"/>
      <w:numFmt w:val="lowerLetter"/>
      <w:start w:val="5"/>
    </w:lvl>
    <w:lvl w:ilvl="1">
      <w:lvlJc w:val="left"/>
      <w:lvlText w:val="-"/>
      <w:numFmt w:val="bullet"/>
      <w:start w:val="1"/>
    </w:lvl>
  </w:abstractNum>
  <w:abstractNum w:abstractNumId="46">
    <w:nsid w:val="42963E5A"/>
    <w:multiLevelType w:val="hybridMultilevel"/>
    <w:lvl w:ilvl="0">
      <w:lvlJc w:val="left"/>
      <w:lvlText w:val="(%1)"/>
      <w:numFmt w:val="lowerLetter"/>
      <w:start w:val="9"/>
    </w:lvl>
    <w:lvl w:ilvl="1">
      <w:lvlJc w:val="left"/>
      <w:lvlText w:val="-"/>
      <w:numFmt w:val="bullet"/>
      <w:start w:val="1"/>
    </w:lvl>
  </w:abstractNum>
  <w:abstractNum w:abstractNumId="47">
    <w:nsid w:val="A0382C5"/>
    <w:multiLevelType w:val="hybridMultilevel"/>
    <w:lvl w:ilvl="0">
      <w:lvlJc w:val="left"/>
      <w:lvlText w:val="%1"/>
      <w:numFmt w:val="decimal"/>
      <w:start w:val="1"/>
    </w:lvl>
    <w:lvl w:ilvl="1">
      <w:lvlJc w:val="left"/>
      <w:lvlText w:val="(%2)"/>
      <w:numFmt w:val="lowerLetter"/>
      <w:start w:val="14"/>
    </w:lvl>
    <w:lvl w:ilvl="2">
      <w:lvlJc w:val="left"/>
      <w:lvlText w:val="-"/>
      <w:numFmt w:val="bullet"/>
      <w:start w:val="1"/>
    </w:lvl>
  </w:abstractNum>
  <w:abstractNum w:abstractNumId="48">
    <w:nsid w:val="8F2B15E"/>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9">
    <w:nsid w:val="1A32234B"/>
    <w:multiLevelType w:val="hybridMultilevel"/>
    <w:lvl w:ilvl="0">
      <w:lvlJc w:val="left"/>
      <w:lvlText w:val="(%1)"/>
      <w:numFmt w:val="lowerLetter"/>
      <w:start w:val="2"/>
    </w:lvl>
    <w:lvl w:ilvl="1">
      <w:lvlJc w:val="left"/>
      <w:lvlText w:val="-"/>
      <w:numFmt w:val="bullet"/>
      <w:start w:val="1"/>
    </w:lvl>
  </w:abstractNum>
  <w:abstractNum w:abstractNumId="50">
    <w:nsid w:val="3B0FD379"/>
    <w:multiLevelType w:val="hybridMultilevel"/>
    <w:lvl w:ilvl="0">
      <w:lvlJc w:val="left"/>
      <w:lvlText w:val="(%1)"/>
      <w:numFmt w:val="lowerLetter"/>
      <w:start w:val="3"/>
    </w:lvl>
    <w:lvl w:ilvl="1">
      <w:lvlJc w:val="left"/>
      <w:lvlText w:val="-"/>
      <w:numFmt w:val="bullet"/>
      <w:start w:val="1"/>
    </w:lvl>
  </w:abstractNum>
  <w:abstractNum w:abstractNumId="51">
    <w:nsid w:val="68EB2F63"/>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52">
    <w:nsid w:val="4962813B"/>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3">
    <w:nsid w:val="60B6DF70"/>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4">
    <w:nsid w:val="6A5EE64"/>
    <w:multiLevelType w:val="hybridMultilevel"/>
    <w:lvl w:ilvl="0">
      <w:lvlJc w:val="left"/>
      <w:lvlText w:val="%1"/>
      <w:numFmt w:val="decimal"/>
      <w:start w:val="1"/>
    </w:lvl>
    <w:lvl w:ilvl="1">
      <w:lvlJc w:val="left"/>
      <w:lvlText w:val="(%2)"/>
      <w:numFmt w:val="lowerLetter"/>
      <w:start w:val="2"/>
    </w:lvl>
  </w:abstractNum>
  <w:abstractNum w:abstractNumId="55">
    <w:nsid w:val="14330624"/>
    <w:multiLevelType w:val="hybridMultilevel"/>
    <w:lvl w:ilvl="0">
      <w:lvlJc w:val="left"/>
      <w:lvlText w:val="%1."/>
      <w:numFmt w:val="decimal"/>
      <w:start w:val="12"/>
    </w:lvl>
    <w:lvl w:ilvl="1">
      <w:lvlJc w:val="left"/>
      <w:lvlText w:val="(%2)"/>
      <w:numFmt w:val="lowerLetter"/>
      <w:start w:val="1"/>
    </w:lvl>
  </w:abstractNum>
  <w:abstractNum w:abstractNumId="56">
    <w:nsid w:val="7FFFCA11"/>
    <w:multiLevelType w:val="hybridMultilevel"/>
    <w:lvl w:ilvl="0">
      <w:lvlJc w:val="left"/>
      <w:lvlText w:val="(%1)"/>
      <w:numFmt w:val="lowerLetter"/>
      <w:start w:val="2"/>
    </w:lvl>
    <w:lvl w:ilvl="1">
      <w:lvlJc w:val="left"/>
      <w:lvlText w:val="-"/>
      <w:numFmt w:val="bullet"/>
      <w:start w:val="1"/>
    </w:lvl>
  </w:abstractNum>
  <w:abstractNum w:abstractNumId="57">
    <w:nsid w:val="1A27709E"/>
    <w:multiLevelType w:val="hybridMultilevel"/>
    <w:lvl w:ilvl="0">
      <w:lvlJc w:val="left"/>
      <w:lvlText w:val="(%1)"/>
      <w:numFmt w:val="lowerLetter"/>
      <w:start w:val="9"/>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1."/>
      <w:numFmt w:val="decimal"/>
      <w:start w:val="2"/>
    </w:lvl>
  </w:abstractNum>
  <w:abstractNum w:abstractNumId="60">
    <w:nsid w:val="7FB7E0AA"/>
    <w:multiLevelType w:val="hybridMultilevel"/>
    <w:lvl w:ilvl="0">
      <w:lvlJc w:val="left"/>
      <w:lvlText w:val="%1."/>
      <w:numFmt w:val="decimal"/>
      <w:start w:val="3"/>
    </w:lvl>
  </w:abstractNum>
  <w:abstractNum w:abstractNumId="61">
    <w:nsid w:val="6EB5BD4"/>
    <w:multiLevelType w:val="hybridMultilevel"/>
    <w:lvl w:ilvl="0">
      <w:lvlJc w:val="left"/>
      <w:lvlText w:val="(%1)"/>
      <w:numFmt w:val="lowerLetter"/>
      <w:start w:val="1"/>
    </w:lvl>
  </w:abstractNum>
  <w:abstractNum w:abstractNumId="62">
    <w:nsid w:val="6F6DD9AC"/>
    <w:multiLevelType w:val="hybridMultilevel"/>
    <w:lvl w:ilvl="0">
      <w:lvlJc w:val="left"/>
      <w:lvlText w:val="%1."/>
      <w:numFmt w:val="decimal"/>
      <w:start w:val="4"/>
    </w:lvl>
  </w:abstractNum>
  <w:abstractNum w:abstractNumId="63">
    <w:nsid w:val="94211F2"/>
    <w:multiLevelType w:val="hybridMultilevel"/>
    <w:lvl w:ilvl="0">
      <w:lvlJc w:val="left"/>
      <w:lvlText w:val="1"/>
      <w:numFmt w:val="bullet"/>
      <w:start w:val="1"/>
    </w:lvl>
    <w:lvl w:ilvl="1">
      <w:lvlJc w:val="left"/>
      <w:lvlText w:val="-"/>
      <w:numFmt w:val="bullet"/>
      <w:start w:val="1"/>
    </w:lvl>
  </w:abstractNum>
  <w:abstractNum w:abstractNumId="64">
    <w:nsid w:val="885E1B"/>
    <w:multiLevelType w:val="hybridMultilevel"/>
    <w:lvl w:ilvl="0">
      <w:lvlJc w:val="left"/>
      <w:lvlText w:val="%1."/>
      <w:numFmt w:val="decimal"/>
      <w:start w:val="5"/>
    </w:lvl>
  </w:abstractNum>
  <w:abstractNum w:abstractNumId="65">
    <w:nsid w:val="76272110"/>
    <w:multiLevelType w:val="hybridMultilevel"/>
    <w:lvl w:ilvl="0">
      <w:lvlJc w:val="left"/>
      <w:lvlText w:val="(%1)"/>
      <w:numFmt w:val="lowerLetter"/>
      <w:start w:val="2"/>
    </w:lvl>
  </w:abstractNum>
  <w:abstractNum w:abstractNumId="66">
    <w:nsid w:val="4C04A8AF"/>
    <w:multiLevelType w:val="hybridMultilevel"/>
    <w:lvl w:ilvl="0">
      <w:lvlJc w:val="left"/>
      <w:lvlText w:val="%1."/>
      <w:numFmt w:val="decimal"/>
      <w:start w:val="6"/>
    </w:lvl>
  </w:abstractNum>
  <w:abstractNum w:abstractNumId="67">
    <w:nsid w:val="1716703B"/>
    <w:multiLevelType w:val="hybridMultilevel"/>
    <w:lvl w:ilvl="0">
      <w:lvlJc w:val="left"/>
      <w:lvlText w:val="%1."/>
      <w:numFmt w:val="decimal"/>
      <w:start w:val="1"/>
    </w:lvl>
  </w:abstractNum>
  <w:abstractNum w:abstractNumId="68">
    <w:nsid w:val="14E17E33"/>
    <w:multiLevelType w:val="hybridMultilevel"/>
    <w:lvl w:ilvl="0">
      <w:lvlJc w:val="left"/>
      <w:lvlText w:val="1"/>
      <w:numFmt w:val="bullet"/>
      <w:start w:val="1"/>
    </w:lvl>
  </w:abstractNum>
  <w:abstractNum w:abstractNumId="69">
    <w:nsid w:val="3222E7CD"/>
    <w:multiLevelType w:val="hybridMultilevel"/>
    <w:lvl w:ilvl="0">
      <w:lvlJc w:val="left"/>
      <w:lvlText w:val="%1."/>
      <w:numFmt w:val="decimal"/>
      <w:start w:val="2"/>
    </w:lvl>
  </w:abstractNum>
  <w:abstractNum w:abstractNumId="70">
    <w:nsid w:val="74DE0EE3"/>
    <w:multiLevelType w:val="hybridMultilevel"/>
    <w:lvl w:ilvl="0">
      <w:lvlJc w:val="left"/>
      <w:lvlText w:val="%1."/>
      <w:numFmt w:val="decimal"/>
      <w:start w:val="4"/>
    </w:lvl>
  </w:abstractNum>
  <w:abstractNum w:abstractNumId="71">
    <w:nsid w:val="68EBC550"/>
    <w:multiLevelType w:val="hybridMultilevel"/>
    <w:lvl w:ilvl="0">
      <w:lvlJc w:val="left"/>
      <w:lvlText w:val="%1."/>
      <w:numFmt w:val="decimal"/>
      <w:start w:val="5"/>
    </w:lvl>
  </w:abstractNum>
  <w:abstractNum w:abstractNumId="72">
    <w:nsid w:val="2DF6D648"/>
    <w:multiLevelType w:val="hybridMultilevel"/>
    <w:lvl w:ilvl="0">
      <w:lvlJc w:val="left"/>
      <w:lvlText w:val="2"/>
      <w:numFmt w:val="bullet"/>
      <w:start w:val="1"/>
    </w:lvl>
  </w:abstractNum>
  <w:abstractNum w:abstractNumId="73">
    <w:nsid w:val="46B7D447"/>
    <w:multiLevelType w:val="hybridMultilevel"/>
    <w:lvl w:ilvl="0">
      <w:lvlJc w:val="left"/>
      <w:lvlText w:val="3"/>
      <w:numFmt w:val="bullet"/>
      <w:start w:val="1"/>
    </w:lvl>
    <w:lvl w:ilvl="1">
      <w:lvlJc w:val="left"/>
      <w:lvlText w:val="-"/>
      <w:numFmt w:val="bullet"/>
      <w:start w:val="1"/>
    </w:lvl>
  </w:abstractNum>
  <w:abstractNum w:abstractNumId="74">
    <w:nsid w:val="4A2AC315"/>
    <w:multiLevelType w:val="hybridMultilevel"/>
    <w:lvl w:ilvl="0">
      <w:lvlJc w:val="left"/>
      <w:lvlText w:val="%1."/>
      <w:numFmt w:val="decimal"/>
      <w:start w:val="7"/>
    </w:lvl>
  </w:abstractNum>
  <w:abstractNum w:abstractNumId="75">
    <w:nsid w:val="39EE015C"/>
    <w:multiLevelType w:val="hybridMultilevel"/>
    <w:lvl w:ilvl="0">
      <w:lvlJc w:val="left"/>
      <w:lvlText w:val="(%1)"/>
      <w:numFmt w:val="lowerRoman"/>
      <w:start w:val="1"/>
    </w:lvl>
    <w:lvl w:ilvl="1">
      <w:lvlJc w:val="left"/>
      <w:lvlText w:val="-"/>
      <w:numFmt w:val="bullet"/>
      <w:start w:val="1"/>
    </w:lvl>
  </w:abstractNum>
  <w:abstractNum w:abstractNumId="76">
    <w:nsid w:val="57FC4FBB"/>
    <w:multiLevelType w:val="hybridMultilevel"/>
    <w:lvl w:ilvl="0">
      <w:lvlJc w:val="left"/>
      <w:lvlText w:val="(%1)"/>
      <w:numFmt w:val="lowerRoman"/>
      <w:start w:val="1"/>
    </w:lvl>
  </w:abstractNum>
  <w:abstractNum w:abstractNumId="77">
    <w:nsid w:val="CC1016F"/>
    <w:multiLevelType w:val="hybridMultilevel"/>
    <w:lvl w:ilvl="0">
      <w:lvlJc w:val="left"/>
      <w:lvlText w:val="%1."/>
      <w:numFmt w:val="decimal"/>
      <w:start w:val="8"/>
    </w:lvl>
    <w:lvl w:ilvl="1">
      <w:lvlJc w:val="left"/>
      <w:lvlText w:val="-"/>
      <w:numFmt w:val="bullet"/>
      <w:start w:val="1"/>
    </w:lvl>
  </w:abstractNum>
  <w:abstractNum w:abstractNumId="78">
    <w:nsid w:val="43F18422"/>
    <w:multiLevelType w:val="hybridMultilevel"/>
    <w:lvl w:ilvl="0">
      <w:lvlJc w:val="left"/>
      <w:lvlText w:val="%1."/>
      <w:numFmt w:val="decimal"/>
      <w:start w:val="10"/>
    </w:lvl>
    <w:lvl w:ilvl="1">
      <w:lvlJc w:val="left"/>
      <w:lvlText w:val="-"/>
      <w:numFmt w:val="bullet"/>
      <w:start w:val="1"/>
    </w:lvl>
  </w:abstractNum>
  <w:abstractNum w:abstractNumId="79">
    <w:nsid w:val="60EF0119"/>
    <w:multiLevelType w:val="hybridMultilevel"/>
    <w:lvl w:ilvl="0">
      <w:lvlJc w:val="left"/>
      <w:lvlText w:val="%1."/>
      <w:numFmt w:val="decimal"/>
      <w:start w:val="12"/>
    </w:lvl>
  </w:abstractNum>
  <w:abstractNum w:abstractNumId="80">
    <w:nsid w:val="26F324BA"/>
    <w:multiLevelType w:val="hybridMultilevel"/>
    <w:lvl w:ilvl="0">
      <w:lvlJc w:val="left"/>
      <w:lvlText w:val="%1."/>
      <w:numFmt w:val="decimal"/>
      <w:start w:val="13"/>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2"/>
    </w:lvl>
  </w:abstractNum>
  <w:abstractNum w:abstractNumId="83">
    <w:nsid w:val="7055A5F5"/>
    <w:multiLevelType w:val="hybridMultilevel"/>
    <w:lvl w:ilvl="0">
      <w:lvlJc w:val="left"/>
      <w:lvlText w:val="%1."/>
      <w:numFmt w:val="decimal"/>
      <w:start w:val="3"/>
    </w:lvl>
  </w:abstractNum>
  <w:abstractNum w:abstractNumId="84">
    <w:nsid w:val="5FB8370B"/>
    <w:multiLevelType w:val="hybridMultilevel"/>
    <w:lvl w:ilvl="0">
      <w:lvlJc w:val="left"/>
      <w:lvlText w:val="(%1)"/>
      <w:numFmt w:val="lowerLetter"/>
      <w:start w:val="1"/>
    </w:lvl>
  </w:abstractNum>
  <w:abstractNum w:abstractNumId="85">
    <w:nsid w:val="50801EE1"/>
    <w:multiLevelType w:val="hybridMultilevel"/>
    <w:lvl w:ilvl="0">
      <w:lvlJc w:val="left"/>
      <w:lvlText w:val="%1."/>
      <w:numFmt w:val="decimal"/>
      <w:start w:val="4"/>
    </w:lvl>
  </w:abstractNum>
  <w:abstractNum w:abstractNumId="86">
    <w:nsid w:val="488AC1A"/>
    <w:multiLevelType w:val="hybridMultilevel"/>
    <w:lvl w:ilvl="0">
      <w:lvlJc w:val="left"/>
      <w:lvlText w:val="1"/>
      <w:numFmt w:val="bullet"/>
      <w:start w:val="1"/>
    </w:lvl>
    <w:lvl w:ilvl="1">
      <w:lvlJc w:val="left"/>
      <w:lvlText w:val="-"/>
      <w:numFmt w:val="bullet"/>
      <w:start w:val="1"/>
    </w:lvl>
  </w:abstractNum>
  <w:abstractNum w:abstractNumId="87">
    <w:nsid w:val="5FB8011C"/>
    <w:multiLevelType w:val="hybridMultilevel"/>
    <w:lvl w:ilvl="0">
      <w:lvlJc w:val="left"/>
      <w:lvlText w:val="%1."/>
      <w:numFmt w:val="decimal"/>
      <w:start w:val="5"/>
    </w:lvl>
  </w:abstractNum>
  <w:abstractNum w:abstractNumId="88">
    <w:nsid w:val="6AA78F7F"/>
    <w:multiLevelType w:val="hybridMultilevel"/>
    <w:lvl w:ilvl="0">
      <w:lvlJc w:val="left"/>
      <w:lvlText w:val="(%1)"/>
      <w:numFmt w:val="lowerLetter"/>
      <w:start w:val="2"/>
    </w:lvl>
  </w:abstractNum>
  <w:abstractNum w:abstractNumId="89">
    <w:nsid w:val="7672BD23"/>
    <w:multiLevelType w:val="hybridMultilevel"/>
    <w:lvl w:ilvl="0">
      <w:lvlJc w:val="left"/>
      <w:lvlText w:val="%1."/>
      <w:numFmt w:val="decimal"/>
      <w:start w:val="6"/>
    </w:lvl>
  </w:abstractNum>
  <w:abstractNum w:abstractNumId="90">
    <w:nsid w:val="6FC75AF8"/>
    <w:multiLevelType w:val="hybridMultilevel"/>
    <w:lvl w:ilvl="0">
      <w:lvlJc w:val="left"/>
      <w:lvlText w:val="%1."/>
      <w:numFmt w:val="decimal"/>
      <w:start w:val="1"/>
    </w:lvl>
  </w:abstractNum>
  <w:abstractNum w:abstractNumId="91">
    <w:nsid w:val="6A5F7029"/>
    <w:multiLevelType w:val="hybridMultilevel"/>
    <w:lvl w:ilvl="0">
      <w:lvlJc w:val="left"/>
      <w:lvlText w:val="1"/>
      <w:numFmt w:val="bullet"/>
      <w:start w:val="1"/>
    </w:lvl>
  </w:abstractNum>
  <w:abstractNum w:abstractNumId="92">
    <w:nsid w:val="7D5E18F8"/>
    <w:multiLevelType w:val="hybridMultilevel"/>
    <w:lvl w:ilvl="0">
      <w:lvlJc w:val="left"/>
      <w:lvlText w:val="%1."/>
      <w:numFmt w:val="decimal"/>
      <w:start w:val="2"/>
    </w:lvl>
  </w:abstractNum>
  <w:abstractNum w:abstractNumId="93">
    <w:nsid w:val="5F3534A4"/>
    <w:multiLevelType w:val="hybridMultilevel"/>
    <w:lvl w:ilvl="0">
      <w:lvlJc w:val="left"/>
      <w:lvlText w:val="%1."/>
      <w:numFmt w:val="decimal"/>
      <w:start w:val="4"/>
    </w:lvl>
    <w:lvl w:ilvl="1">
      <w:lvlJc w:val="left"/>
      <w:lvlText w:val="-"/>
      <w:numFmt w:val="bullet"/>
      <w:start w:val="1"/>
    </w:lvl>
  </w:abstractNum>
  <w:abstractNum w:abstractNumId="94">
    <w:nsid w:val="73A1821B"/>
    <w:multiLevelType w:val="hybridMultilevel"/>
    <w:lvl w:ilvl="0">
      <w:lvlJc w:val="left"/>
      <w:lvlText w:val="%1."/>
      <w:numFmt w:val="decimal"/>
      <w:start w:val="5"/>
    </w:lvl>
  </w:abstractNum>
  <w:abstractNum w:abstractNumId="95">
    <w:nsid w:val="7DE67713"/>
    <w:multiLevelType w:val="hybridMultilevel"/>
    <w:lvl w:ilvl="0">
      <w:lvlJc w:val="left"/>
      <w:lvlText w:val="2"/>
      <w:numFmt w:val="bullet"/>
      <w:start w:val="1"/>
    </w:lvl>
  </w:abstractNum>
  <w:abstractNum w:abstractNumId="96">
    <w:nsid w:val="555C55B5"/>
    <w:multiLevelType w:val="hybridMultilevel"/>
    <w:lvl w:ilvl="0">
      <w:lvlJc w:val="left"/>
      <w:lvlText w:val="3"/>
      <w:numFmt w:val="bullet"/>
      <w:start w:val="1"/>
    </w:lvl>
    <w:lvl w:ilvl="1">
      <w:lvlJc w:val="left"/>
      <w:lvlText w:val="-"/>
      <w:numFmt w:val="bullet"/>
      <w:start w:val="1"/>
    </w:lvl>
  </w:abstractNum>
  <w:abstractNum w:abstractNumId="97">
    <w:nsid w:val="3FA62ACA"/>
    <w:multiLevelType w:val="hybridMultilevel"/>
    <w:lvl w:ilvl="0">
      <w:lvlJc w:val="left"/>
      <w:lvlText w:val="%1."/>
      <w:numFmt w:val="decimal"/>
      <w:start w:val="7"/>
    </w:lvl>
  </w:abstractNum>
  <w:abstractNum w:abstractNumId="98">
    <w:nsid w:val="14FCE74E"/>
    <w:multiLevelType w:val="hybridMultilevel"/>
    <w:lvl w:ilvl="0">
      <w:lvlJc w:val="left"/>
      <w:lvlText w:val="(%1)"/>
      <w:numFmt w:val="lowerRoman"/>
      <w:start w:val="1"/>
    </w:lvl>
    <w:lvl w:ilvl="1">
      <w:lvlJc w:val="left"/>
      <w:lvlText w:val="-"/>
      <w:numFmt w:val="bullet"/>
      <w:start w:val="1"/>
    </w:lvl>
  </w:abstractNum>
  <w:abstractNum w:abstractNumId="99">
    <w:nsid w:val="6A3DD3E8"/>
    <w:multiLevelType w:val="hybridMultilevel"/>
    <w:lvl w:ilvl="0">
      <w:lvlJc w:val="left"/>
      <w:lvlText w:val="(%1)"/>
      <w:numFmt w:val="lowerRoman"/>
      <w:start w:val="1"/>
    </w:lvl>
  </w:abstractNum>
  <w:abstractNum w:abstractNumId="100">
    <w:nsid w:val="71C91298"/>
    <w:multiLevelType w:val="hybridMultilevel"/>
    <w:lvl w:ilvl="0">
      <w:lvlJc w:val="left"/>
      <w:lvlText w:val="%1."/>
      <w:numFmt w:val="decimal"/>
      <w:start w:val="8"/>
    </w:lvl>
    <w:lvl w:ilvl="1">
      <w:lvlJc w:val="left"/>
      <w:lvlText w:val="-"/>
      <w:numFmt w:val="bullet"/>
      <w:start w:val="1"/>
    </w:lvl>
  </w:abstractNum>
  <w:abstractNum w:abstractNumId="101">
    <w:nsid w:val="9DAF632"/>
    <w:multiLevelType w:val="hybridMultilevel"/>
    <w:lvl w:ilvl="0">
      <w:lvlJc w:val="left"/>
      <w:lvlText w:val="%1."/>
      <w:numFmt w:val="decimal"/>
      <w:start w:val="10"/>
    </w:lvl>
    <w:lvl w:ilvl="1">
      <w:lvlJc w:val="left"/>
      <w:lvlText w:val="-"/>
      <w:numFmt w:val="bullet"/>
      <w:start w:val="1"/>
    </w:lvl>
  </w:abstractNum>
  <w:abstractNum w:abstractNumId="102">
    <w:nsid w:val="53299938"/>
    <w:multiLevelType w:val="hybridMultilevel"/>
    <w:lvl w:ilvl="0">
      <w:lvlJc w:val="left"/>
      <w:lvlText w:val="%1."/>
      <w:numFmt w:val="decimal"/>
      <w:start w:val="12"/>
    </w:lvl>
  </w:abstractNum>
  <w:abstractNum w:abstractNumId="103">
    <w:nsid w:val="1FBFE8E0"/>
    <w:multiLevelType w:val="hybridMultilevel"/>
    <w:lvl w:ilvl="0">
      <w:lvlJc w:val="left"/>
      <w:lvlText w:val="%1."/>
      <w:numFmt w:val="decimal"/>
      <w:start w:val="13"/>
    </w:lvl>
  </w:abstractNum>
  <w:abstractNum w:abstractNumId="104">
    <w:nsid w:val="5092CA79"/>
    <w:multiLevelType w:val="hybridMultilevel"/>
    <w:lvl w:ilvl="0">
      <w:lvlJc w:val="left"/>
      <w:lvlText w:val="%1."/>
      <w:numFmt w:val="decimal"/>
      <w:start w:val="1"/>
    </w:lvl>
    <w:lvl w:ilvl="1">
      <w:lvlJc w:val="left"/>
      <w:lvlText w:val="-"/>
      <w:numFmt w:val="bullet"/>
      <w:start w:val="1"/>
    </w:lvl>
  </w:abstractNum>
  <w:abstractNum w:abstractNumId="105">
    <w:nsid w:val="1D545C4D"/>
    <w:multiLevelType w:val="hybridMultilevel"/>
    <w:lvl w:ilvl="0">
      <w:lvlJc w:val="left"/>
      <w:lvlText w:val="%1."/>
      <w:numFmt w:val="decimal"/>
      <w:start w:val="3"/>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2019-12-14T04:06:21Z</dcterms:created>
  <dcterms:modified xsi:type="dcterms:W3CDTF">2019-12-14T04:06:21Z</dcterms:modified>
</cp:coreProperties>
</file>