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INFORMATION TO BE INCLUDED IN STATEMENTS FILED PURSUANT TO RULES 13d-1(b), (c) AND</w:t>
      </w:r>
    </w:p>
    <w:p>
      <w:pPr>
        <w:spacing w:after="0" w:line="14" w:lineRule="exact"/>
        <w:rPr>
          <w:sz w:val="24"/>
          <w:szCs w:val="24"/>
          <w:color w:val="auto"/>
        </w:rPr>
      </w:pPr>
    </w:p>
    <w:p>
      <w:pPr>
        <w:ind w:left="2420" w:hanging="302"/>
        <w:spacing w:after="0"/>
        <w:tabs>
          <w:tab w:leader="none" w:pos="24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AMENDMENTS THERETO FILED PURSUANT TO RULE 13d-2(b)</w:t>
      </w:r>
    </w:p>
    <w:p>
      <w:pPr>
        <w:spacing w:after="0" w:line="209" w:lineRule="exact"/>
        <w:rPr>
          <w:rFonts w:ascii="Times New Roman" w:cs="Times New Roman" w:eastAsia="Times New Roman" w:hAnsi="Times New Roman"/>
          <w:sz w:val="22"/>
          <w:szCs w:val="22"/>
          <w:color w:val="auto"/>
        </w:rPr>
      </w:pPr>
    </w:p>
    <w:p>
      <w:pPr>
        <w:ind w:left="3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SECURITIES EXCHANGE ACT OF 1934</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19685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following box to designate the rule pursuant to which the Schedule is filed:</w:t>
      </w:r>
    </w:p>
    <w:p>
      <w:pPr>
        <w:spacing w:after="0" w:line="24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47"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47" w:lineRule="exact"/>
        <w:rPr>
          <w:sz w:val="24"/>
          <w:szCs w:val="24"/>
          <w:color w:val="auto"/>
        </w:rPr>
      </w:pPr>
    </w:p>
    <w:p>
      <w:pPr>
        <w:ind w:left="900" w:hanging="244"/>
        <w:spacing w:after="0"/>
        <w:tabs>
          <w:tab w:leader="none" w:pos="900" w:val="left"/>
        </w:tabs>
        <w:numPr>
          <w:ilvl w:val="1"/>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42" w:lineRule="exact"/>
        <w:rPr>
          <w:rFonts w:ascii="MS PGothic" w:cs="MS PGothic" w:eastAsia="MS PGothic" w:hAnsi="MS PGothic"/>
          <w:sz w:val="22"/>
          <w:szCs w:val="22"/>
          <w:color w:val="auto"/>
        </w:rPr>
      </w:pPr>
    </w:p>
    <w:p>
      <w:pPr>
        <w:ind w:left="340" w:hanging="324"/>
        <w:spacing w:after="0" w:line="282" w:lineRule="auto"/>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9" w:lineRule="exact"/>
        <w:rPr>
          <w:sz w:val="24"/>
          <w:szCs w:val="24"/>
          <w:color w:val="auto"/>
        </w:rPr>
      </w:pPr>
    </w:p>
    <w:p>
      <w:pPr>
        <w:jc w:val="both"/>
        <w:ind w:left="340" w:right="20"/>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 xml:space="preserve">CUSIP NO. </w:t>
      </w:r>
      <w:r>
        <w:rPr>
          <w:rFonts w:ascii="Times New Roman" w:cs="Times New Roman" w:eastAsia="Times New Roman" w:hAnsi="Times New Roman"/>
          <w:sz w:val="22"/>
          <w:szCs w:val="22"/>
          <w:b w:val="1"/>
          <w:bCs w:val="1"/>
          <w:u w:val="single" w:color="auto"/>
          <w:color w:val="auto"/>
        </w:rPr>
        <w:t>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6103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03620"/>
                    </a:xfrm>
                    <a:prstGeom prst="rect">
                      <a:avLst/>
                    </a:prstGeom>
                    <a:noFill/>
                  </pic:spPr>
                </pic:pic>
              </a:graphicData>
            </a:graphic>
          </wp:anchor>
        </w:drawing>
      </w:r>
    </w:p>
    <w:p>
      <w:pPr>
        <w:spacing w:after="0" w:line="222" w:lineRule="exact"/>
        <w:rPr>
          <w:sz w:val="20"/>
          <w:szCs w:val="20"/>
          <w:color w:val="auto"/>
        </w:rPr>
      </w:pPr>
    </w:p>
    <w:p>
      <w:pPr>
        <w:ind w:left="1080" w:hanging="620"/>
        <w:spacing w:after="0"/>
        <w:tabs>
          <w:tab w:leader="none" w:pos="10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Name of Reporting Persons</w:t>
      </w:r>
    </w:p>
    <w:p>
      <w:pPr>
        <w:spacing w:after="0" w:line="197" w:lineRule="exact"/>
        <w:rPr>
          <w:rFonts w:ascii="Times New Roman" w:cs="Times New Roman" w:eastAsia="Times New Roman" w:hAnsi="Times New Roman"/>
          <w:sz w:val="29"/>
          <w:szCs w:val="29"/>
          <w:color w:val="auto"/>
          <w:vertAlign w:val="superscript"/>
        </w:rPr>
      </w:pPr>
    </w:p>
    <w:p>
      <w:pPr>
        <w:ind w:left="108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Harel Insurance Investments &amp; Financial Services Ltd.</w:t>
      </w:r>
    </w:p>
    <w:p>
      <w:pPr>
        <w:spacing w:after="0" w:line="71" w:lineRule="exact"/>
        <w:rPr>
          <w:rFonts w:ascii="Times New Roman" w:cs="Times New Roman" w:eastAsia="Times New Roman" w:hAnsi="Times New Roman"/>
          <w:sz w:val="29"/>
          <w:szCs w:val="29"/>
          <w:color w:val="auto"/>
          <w:vertAlign w:val="superscript"/>
        </w:rPr>
      </w:pPr>
    </w:p>
    <w:p>
      <w:pPr>
        <w:ind w:left="1080" w:hanging="620"/>
        <w:spacing w:after="0"/>
        <w:tabs>
          <w:tab w:leader="none" w:pos="10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Check the Appropriate Box if a Member of a Group</w:t>
      </w:r>
    </w:p>
    <w:p>
      <w:pPr>
        <w:spacing w:after="0" w:line="1" w:lineRule="exact"/>
        <w:rPr>
          <w:rFonts w:ascii="Times New Roman" w:cs="Times New Roman" w:eastAsia="Times New Roman" w:hAnsi="Times New Roman"/>
          <w:sz w:val="29"/>
          <w:szCs w:val="29"/>
          <w:color w:val="auto"/>
          <w:vertAlign w:val="superscript"/>
        </w:rPr>
      </w:pPr>
    </w:p>
    <w:p>
      <w:pPr>
        <w:ind w:left="1380" w:hanging="292"/>
        <w:spacing w:after="0" w:line="207" w:lineRule="exact"/>
        <w:tabs>
          <w:tab w:leader="none" w:pos="13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 w:lineRule="exact"/>
        <w:rPr>
          <w:rFonts w:ascii="Times New Roman" w:cs="Times New Roman" w:eastAsia="Times New Roman" w:hAnsi="Times New Roman"/>
          <w:sz w:val="18"/>
          <w:szCs w:val="18"/>
          <w:color w:val="auto"/>
        </w:rPr>
      </w:pPr>
    </w:p>
    <w:p>
      <w:pPr>
        <w:ind w:left="1380" w:hanging="292"/>
        <w:spacing w:after="0" w:line="207" w:lineRule="exact"/>
        <w:tabs>
          <w:tab w:leader="none" w:pos="13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6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4"/>
              </w:rPr>
              <w:t>3.</w:t>
            </w:r>
          </w:p>
        </w:tc>
        <w:tc>
          <w:tcPr>
            <w:tcW w:w="13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8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60" w:type="dxa"/>
            <w:vAlign w:val="bottom"/>
            <w:tcBorders>
              <w:bottom w:val="single" w:sz="8" w:color="auto"/>
              <w:right w:val="single" w:sz="8" w:color="CCEEFF"/>
            </w:tcBorders>
          </w:tcPr>
          <w:p>
            <w:pPr>
              <w:spacing w:after="0"/>
              <w:rPr>
                <w:sz w:val="24"/>
                <w:szCs w:val="24"/>
                <w:color w:val="auto"/>
              </w:rPr>
            </w:pPr>
          </w:p>
        </w:tc>
        <w:tc>
          <w:tcPr>
            <w:tcW w:w="560" w:type="dxa"/>
            <w:vAlign w:val="bottom"/>
            <w:tcBorders>
              <w:bottom w:val="single" w:sz="8" w:color="auto"/>
              <w:right w:val="single" w:sz="8" w:color="CCEEFF"/>
            </w:tcBorders>
            <w:shd w:val="clear" w:color="auto" w:fill="CCEEFF"/>
          </w:tcPr>
          <w:p>
            <w:pPr>
              <w:spacing w:after="0"/>
              <w:rPr>
                <w:sz w:val="24"/>
                <w:szCs w:val="24"/>
                <w:color w:val="auto"/>
              </w:rPr>
            </w:pPr>
          </w:p>
        </w:tc>
        <w:tc>
          <w:tcPr>
            <w:tcW w:w="760" w:type="dxa"/>
            <w:vAlign w:val="bottom"/>
            <w:tcBorders>
              <w:bottom w:val="single" w:sz="8" w:color="auto"/>
              <w:right w:val="single" w:sz="8" w:color="CCEEFF"/>
            </w:tcBorders>
            <w:shd w:val="clear" w:color="auto" w:fill="CCEEFF"/>
          </w:tcPr>
          <w:p>
            <w:pPr>
              <w:spacing w:after="0"/>
              <w:rPr>
                <w:sz w:val="24"/>
                <w:szCs w:val="24"/>
                <w:color w:val="auto"/>
              </w:rPr>
            </w:pPr>
          </w:p>
        </w:tc>
        <w:tc>
          <w:tcPr>
            <w:tcW w:w="88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4.</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Place of Organization</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5.</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4"/>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060" w:type="dxa"/>
            <w:vAlign w:val="bottom"/>
            <w:vMerge w:val="continue"/>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6.</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5,767,657 Ordinary Shares*</w:t>
            </w:r>
          </w:p>
        </w:tc>
        <w:tc>
          <w:tcPr>
            <w:tcW w:w="0" w:type="dxa"/>
            <w:vAlign w:val="bottom"/>
          </w:tcPr>
          <w:p>
            <w:pPr>
              <w:spacing w:after="0"/>
              <w:rPr>
                <w:sz w:val="1"/>
                <w:szCs w:val="1"/>
                <w:color w:val="auto"/>
              </w:rPr>
            </w:pPr>
          </w:p>
        </w:tc>
      </w:tr>
      <w:tr>
        <w:trPr>
          <w:trHeight w:val="120"/>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60" w:type="dxa"/>
            <w:vAlign w:val="bottom"/>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7.</w:t>
            </w:r>
          </w:p>
        </w:tc>
        <w:tc>
          <w:tcPr>
            <w:tcW w:w="8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8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Person With:</w:t>
            </w:r>
          </w:p>
        </w:tc>
        <w:tc>
          <w:tcPr>
            <w:tcW w:w="5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8.</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5,767,657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9.</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5,767,657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018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060" w:type="dxa"/>
            <w:vAlign w:val="bottom"/>
            <w:tcBorders>
              <w:bottom w:val="single" w:sz="8" w:color="auto"/>
              <w:right w:val="single" w:sz="8" w:color="auto"/>
            </w:tcBorders>
          </w:tcPr>
          <w:p>
            <w:pPr>
              <w:spacing w:after="0"/>
              <w:rPr>
                <w:sz w:val="4"/>
                <w:szCs w:val="4"/>
                <w:color w:val="auto"/>
              </w:rPr>
            </w:pPr>
          </w:p>
        </w:tc>
        <w:tc>
          <w:tcPr>
            <w:tcW w:w="101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right w:val="single" w:sz="8" w:color="auto"/>
            </w:tcBorders>
          </w:tcPr>
          <w:p>
            <w:pPr>
              <w:spacing w:after="0"/>
              <w:rPr>
                <w:sz w:val="6"/>
                <w:szCs w:val="6"/>
                <w:color w:val="auto"/>
              </w:rPr>
            </w:pPr>
          </w:p>
        </w:tc>
        <w:tc>
          <w:tcPr>
            <w:tcW w:w="1018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w:t>
      </w:r>
    </w:p>
    <w:p>
      <w:pPr>
        <w:spacing w:after="0" w:line="28" w:lineRule="exact"/>
        <w:rPr>
          <w:sz w:val="20"/>
          <w:szCs w:val="20"/>
          <w:color w:val="auto"/>
        </w:rPr>
      </w:pPr>
    </w:p>
    <w:p>
      <w:pPr>
        <w:ind w:right="160" w:firstLine="8"/>
        <w:spacing w:after="0" w:line="261" w:lineRule="auto"/>
        <w:tabs>
          <w:tab w:leader="none" w:pos="27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107,262,420 Ordinary Shares issued and outstanding as of July 1, 2020 (as reported by the Issuer in Exhibit 99.1 to its Report on Form 6-K filed with the Securities and Exchange Commission on August 3, 2020).</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5580" w:hanging="76"/>
        <w:spacing w:after="0"/>
        <w:tabs>
          <w:tab w:leader="none" w:pos="55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47"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 Semiconductor Ltd. (the “Issuer”).</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Ramat Gavriel Industrial Park, P.O. Box 619, Migdal Haemek, 23105 Israel.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7"/>
          <w:szCs w:val="17"/>
          <w:color w:val="auto"/>
        </w:rPr>
        <w:t>Name of Person Filing, address and citizenship:</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entity is referred to as the “Reporting Person” in this Statement:</w:t>
      </w:r>
    </w:p>
    <w:p>
      <w:pPr>
        <w:spacing w:after="0" w:line="242"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Harel Insurance Investments &amp; Financial Services Ltd., an Israeli public company, with a principal business address at Harel House; 3 Aba Hillel Street; Ramat Gan 52118, Israel.</w:t>
      </w:r>
    </w:p>
    <w:p>
      <w:pPr>
        <w:spacing w:after="0" w:line="18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Ordinary Shares, par value NIS 15.00 per share (the “Ordinary Shares”).</w:t>
      </w:r>
    </w:p>
    <w:p>
      <w:pPr>
        <w:spacing w:after="0" w:line="242"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M87915274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60" w:lineRule="exact"/>
        <w:rPr>
          <w:sz w:val="20"/>
          <w:szCs w:val="20"/>
          <w:color w:val="auto"/>
        </w:rPr>
      </w:pPr>
    </w:p>
    <w:p>
      <w:pPr>
        <w:jc w:val="both"/>
        <w:ind w:firstLine="638"/>
        <w:spacing w:after="0" w:line="276" w:lineRule="auto"/>
        <w:rPr>
          <w:sz w:val="20"/>
          <w:szCs w:val="20"/>
          <w:color w:val="auto"/>
        </w:rPr>
      </w:pPr>
      <w:r>
        <w:rPr>
          <w:rFonts w:ascii="Times New Roman" w:cs="Times New Roman" w:eastAsia="Times New Roman" w:hAnsi="Times New Roman"/>
          <w:sz w:val="21"/>
          <w:szCs w:val="21"/>
          <w:color w:val="auto"/>
        </w:rPr>
        <w:t>Of the 5,767,657 Ordinary Shares reported in this Statement as beneficially owned by the Reporting Person (i) 5,764,610 Ordinary Shares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and (ii) 3,047 Ordinary Shares are beneficially held for its own account. Consequently, this Statement shall not be construed as an admission by the Reporting Person that it is the beneficial owner of more than 3,047 Ordinary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Except as set forth above, see items 5-11 of the cover pages hereto for beneficial ownership, percentage of class and dispositive power of the Reporting Person, which are incorporated 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60" w:lineRule="exact"/>
        <w:rPr>
          <w:sz w:val="20"/>
          <w:szCs w:val="20"/>
          <w:color w:val="auto"/>
        </w:rPr>
      </w:pPr>
    </w:p>
    <w:p>
      <w:pPr>
        <w:ind w:left="660" w:right="780"/>
        <w:spacing w:after="0" w:line="287" w:lineRule="exact"/>
        <w:rPr>
          <w:sz w:val="20"/>
          <w:szCs w:val="20"/>
          <w:color w:val="auto"/>
        </w:rPr>
      </w:pPr>
      <w:r>
        <w:rPr>
          <w:rFonts w:ascii="Times New Roman" w:cs="Times New Roman" w:eastAsia="Times New Roman" w:hAnsi="Times New Roman"/>
          <w:sz w:val="22"/>
          <w:szCs w:val="22"/>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2021</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INSURANCE INVESTMENTS AND FINANCIAL SERVICES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LTD.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Uri Rabinovitz</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Title: Uri Rabinovitz, Vice President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2021-01-27T13:00:13Z</dcterms:created>
  <dcterms:modified xsi:type="dcterms:W3CDTF">2021-01-27T13:00:13Z</dcterms:modified>
</cp:coreProperties>
</file>