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2010 No. 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May 06, 2010, the registrant announces Global Symposium in Korea.</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900" w:top="490" w:right="1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May 06,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18783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Announces Global Symposium in Korea</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Conference demonstrates company’s technology leadership position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momentum in Korea</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MIGDAL HAEMEK, Israel, May 6, 2010 – </w:t>
      </w:r>
      <w:r>
        <w:rPr>
          <w:rFonts w:ascii="Arial" w:cs="Arial" w:eastAsia="Arial" w:hAnsi="Arial"/>
          <w:sz w:val="18"/>
          <w:szCs w:val="18"/>
          <w:color w:val="auto"/>
        </w:rPr>
        <w:t>TowerJazz, the global specialty foundry leader, today announced its first Global Symposium in Korea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company’s broad range of process technologies and design enablement capabilities. The one-day event will include a keynote from TowerJazz CEO, Russell Ellwanger as well as presentations by other company executives. The sessions will center on the latest technical advances in areas such as integrated power management platforms, non-volatile memory (NVM), RF SiGe applications, current trends in imaging technology, and design enablement tools, among others.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am excited to speak to the Korean semiconductor design community to share our technology offerings and our leading design kits that enable best-in-class performance for a variety of consumer applications,” said Russell Ellwanger, Tower CEO. “The Korean region is home to many highly skilled IC designers and industry leading semiconductor companies, among which we have and continue to develop strong business partners. The numerous customer press releases of recent months are evidence of the traction and technical high regard we are receiving in Korea. This symposium will be attended by over 40 Korean companies and will highlight our breadth and depth of specialty offerings specifically highlighting our power, high end RF, and image sensor technology platforms. We will also introduce highly differentiated NVM offerings which are being used as additional enablers for applications within our Power and RF platforms.”</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TowerJazz Global Symposium will be held on May 20, 2010 at the Grand Intercontinental Hotel in Seoul, Korea. Conference attendees can also experience the latest from tool and IP providers and design companies sponsoring the event: Agilent, Mentor Graphics, Silvaco, and Tanner EDA. For more information or to register for the symposium, please contact Mr. CY Sohn at </w:t>
      </w:r>
      <w:r>
        <w:rPr>
          <w:rFonts w:ascii="Arial" w:cs="Arial" w:eastAsia="Arial" w:hAnsi="Arial"/>
          <w:sz w:val="16"/>
          <w:szCs w:val="16"/>
          <w:u w:val="single" w:color="auto"/>
          <w:color w:val="auto"/>
        </w:rPr>
        <w:t>cy.sohn@towerjazz.com</w:t>
      </w:r>
      <w:r>
        <w:rPr>
          <w:rFonts w:ascii="Arial" w:cs="Arial" w:eastAsia="Arial" w:hAnsi="Arial"/>
          <w:sz w:val="16"/>
          <w:szCs w:val="16"/>
          <w:color w:val="auto"/>
        </w:rPr>
        <w:t xml:space="preserve"> or Ms. Mika Jang at </w:t>
      </w:r>
      <w:r>
        <w:rPr>
          <w:rFonts w:ascii="Arial" w:cs="Arial" w:eastAsia="Arial" w:hAnsi="Arial"/>
          <w:sz w:val="16"/>
          <w:szCs w:val="16"/>
          <w:u w:val="single" w:color="auto"/>
          <w:color w:val="auto"/>
        </w:rPr>
        <w:t>mika.jang@towerjazz.com</w:t>
      </w:r>
      <w:r>
        <w:rPr>
          <w:rFonts w:ascii="Arial" w:cs="Arial" w:eastAsia="Arial" w:hAnsi="Arial"/>
          <w:sz w:val="16"/>
          <w:szCs w:val="16"/>
          <w:color w:val="auto"/>
        </w:rPr>
        <w: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Prior to the symposium, TowerJazz has been invited to participate at the IEEE International Memory Workshop (IMW 2010) being held at Shilla Hotel in Seoul, Korea from May 16-19. Representatives from the company will present two talks on the foundry’s leading Non-Volatile Memory (NVM) technology. For more information, please visit </w:t>
      </w:r>
      <w:r>
        <w:rPr>
          <w:rFonts w:ascii="Arial" w:cs="Arial" w:eastAsia="Arial" w:hAnsi="Arial"/>
          <w:sz w:val="18"/>
          <w:szCs w:val="18"/>
          <w:u w:val="single" w:color="auto"/>
          <w:color w:val="auto"/>
        </w:rPr>
        <w:t>www.ewh.ieee.org/soc/eds/imw/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 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 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208280</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6920" w:type="dxa"/>
            <w:vAlign w:val="bottom"/>
            <w:gridSpan w:val="3"/>
          </w:tcPr>
          <w:p>
            <w:pPr>
              <w:ind w:left="2240"/>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6920" w:type="dxa"/>
            <w:vAlign w:val="bottom"/>
            <w:gridSpan w:val="3"/>
          </w:tcPr>
          <w:p>
            <w:pPr>
              <w:ind w:left="2240"/>
              <w:spacing w:after="0"/>
              <w:rPr>
                <w:sz w:val="20"/>
                <w:szCs w:val="20"/>
                <w:color w:val="auto"/>
              </w:rPr>
            </w:pPr>
            <w:r>
              <w:rPr>
                <w:rFonts w:ascii="Arial" w:cs="Arial" w:eastAsia="Arial" w:hAnsi="Arial"/>
                <w:sz w:val="18"/>
                <w:szCs w:val="18"/>
                <w:color w:val="auto"/>
              </w:rPr>
              <w:t>Lauri Julian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40" w:type="dxa"/>
            <w:vAlign w:val="bottom"/>
            <w:gridSpan w:val="2"/>
          </w:tcPr>
          <w:p>
            <w:pPr>
              <w:ind w:left="2240"/>
              <w:spacing w:after="0"/>
              <w:rPr>
                <w:sz w:val="20"/>
                <w:szCs w:val="20"/>
                <w:color w:val="auto"/>
              </w:rPr>
            </w:pPr>
            <w:r>
              <w:rPr>
                <w:rFonts w:ascii="Arial" w:cs="Arial" w:eastAsia="Arial" w:hAnsi="Arial"/>
                <w:sz w:val="18"/>
                <w:szCs w:val="18"/>
                <w:color w:val="auto"/>
              </w:rPr>
              <w:t>949/715-3049</w:t>
            </w:r>
          </w:p>
        </w:tc>
        <w:tc>
          <w:tcPr>
            <w:tcW w:w="2680" w:type="dxa"/>
            <w:vAlign w:val="bottom"/>
          </w:tcPr>
          <w:p>
            <w:pPr>
              <w:spacing w:after="0"/>
              <w:rPr>
                <w:sz w:val="18"/>
                <w:szCs w:val="18"/>
                <w:color w:val="auto"/>
              </w:rPr>
            </w:pPr>
          </w:p>
        </w:tc>
      </w:tr>
      <w:tr>
        <w:trPr>
          <w:trHeight w:val="190"/>
        </w:trPr>
        <w:tc>
          <w:tcPr>
            <w:tcW w:w="4500" w:type="dxa"/>
            <w:vAlign w:val="bottom"/>
            <w:gridSpan w:val="3"/>
          </w:tcPr>
          <w:p>
            <w:pPr>
              <w:spacing w:after="0" w:line="190" w:lineRule="exact"/>
              <w:rPr>
                <w:sz w:val="20"/>
                <w:szCs w:val="20"/>
                <w:color w:val="auto"/>
              </w:rPr>
            </w:pPr>
            <w:r>
              <w:rPr>
                <w:rFonts w:ascii="Arial" w:cs="Arial" w:eastAsia="Arial" w:hAnsi="Arial"/>
                <w:sz w:val="18"/>
                <w:szCs w:val="18"/>
                <w:color w:val="auto"/>
              </w:rPr>
              <w:t>melinda.jarrell@towerjazz.com</w:t>
            </w:r>
          </w:p>
        </w:tc>
        <w:tc>
          <w:tcPr>
            <w:tcW w:w="6920" w:type="dxa"/>
            <w:vAlign w:val="bottom"/>
            <w:gridSpan w:val="3"/>
          </w:tcPr>
          <w:p>
            <w:pPr>
              <w:ind w:left="2240"/>
              <w:spacing w:after="0" w:line="190" w:lineRule="exact"/>
              <w:rPr>
                <w:sz w:val="20"/>
                <w:szCs w:val="20"/>
                <w:color w:val="auto"/>
              </w:rPr>
            </w:pPr>
            <w:r>
              <w:rPr>
                <w:rFonts w:ascii="Arial" w:cs="Arial" w:eastAsia="Arial" w:hAnsi="Arial"/>
                <w:sz w:val="18"/>
                <w:szCs w:val="18"/>
                <w:color w:val="auto"/>
              </w:rPr>
              <w:t>lauri.julian@towerjazz.com</w:t>
            </w:r>
          </w:p>
        </w:tc>
      </w:tr>
      <w:tr>
        <w:trPr>
          <w:trHeight w:val="438"/>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Investor Relations Contact:</w:t>
            </w:r>
          </w:p>
        </w:tc>
        <w:tc>
          <w:tcPr>
            <w:tcW w:w="2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2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0"/>
        </w:trPr>
        <w:tc>
          <w:tcPr>
            <w:tcW w:w="450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2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382"/>
        </w:trPr>
        <w:tc>
          <w:tcPr>
            <w:tcW w:w="1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2220" w:type="dxa"/>
            <w:vAlign w:val="bottom"/>
            <w:shd w:val="clear" w:color="auto" w:fill="808080"/>
          </w:tcPr>
          <w:p>
            <w:pPr>
              <w:spacing w:after="0"/>
              <w:rPr>
                <w:sz w:val="6"/>
                <w:szCs w:val="6"/>
                <w:color w:val="auto"/>
              </w:rPr>
            </w:pPr>
          </w:p>
        </w:tc>
        <w:tc>
          <w:tcPr>
            <w:tcW w:w="224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26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2019-12-10T12:29:24Z</dcterms:created>
  <dcterms:modified xsi:type="dcterms:W3CDTF">2019-12-10T12:29:24Z</dcterms:modified>
</cp:coreProperties>
</file>