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3</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October 11, 2011, the registrant announces Third Quarter 2011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11,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0237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TowerJazz Announces Third Quarter 2011 Financial Results Conference Call</w:t>
      </w: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MIGDAL HAEMEK, Israel – October 11, 2011 </w:t>
      </w:r>
      <w:r>
        <w:rPr>
          <w:rFonts w:ascii="Arial" w:cs="Arial" w:eastAsia="Arial" w:hAnsi="Arial"/>
          <w:sz w:val="18"/>
          <w:szCs w:val="18"/>
          <w:color w:val="auto"/>
        </w:rPr>
        <w:t>– TowerJazz (NASDAQ: TSEM, TASE: TSEM), the global specialty foundry leader, will issue its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2011 earnings release on Tuesday, November 15, 2011. The Company will hold a conference call to discuss its third quarter 2011 financial results and fourth quarter 2011 guidance on Tuesday, November 15, 2011, at 10:00 a.m. Eastern Time (09:00 a.m. Central, 08:00 a.m. Mountain, 07:00 a.m. Pacific and 05:00 p.m. Israel time).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call will be webcast by Thomson/CCBN and can be accessed on TowerJazz’s website at </w:t>
      </w:r>
      <w:r>
        <w:rPr>
          <w:rFonts w:ascii="Arial" w:cs="Arial" w:eastAsia="Arial" w:hAnsi="Arial"/>
          <w:sz w:val="16"/>
          <w:szCs w:val="16"/>
          <w:u w:val="single" w:color="auto"/>
          <w:color w:val="auto"/>
        </w:rPr>
        <w:t>www.towerjazz.com</w:t>
      </w:r>
      <w:r>
        <w:rPr>
          <w:rFonts w:ascii="Arial" w:cs="Arial" w:eastAsia="Arial" w:hAnsi="Arial"/>
          <w:sz w:val="16"/>
          <w:szCs w:val="16"/>
          <w:color w:val="auto"/>
        </w:rPr>
        <w:t>, or can also be accessed in the U.S. and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Israel by calling a domestic number: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680"/>
              <w:spacing w:after="0"/>
              <w:rPr>
                <w:sz w:val="20"/>
                <w:szCs w:val="20"/>
                <w:color w:val="auto"/>
              </w:rPr>
            </w:pPr>
            <w:r>
              <w:rPr>
                <w:rFonts w:ascii="Arial" w:cs="Arial" w:eastAsia="Arial" w:hAnsi="Arial"/>
                <w:sz w:val="18"/>
                <w:szCs w:val="18"/>
                <w:color w:val="auto"/>
              </w:rPr>
              <w:t>1-888-407-</w:t>
            </w:r>
          </w:p>
        </w:tc>
        <w:tc>
          <w:tcPr>
            <w:tcW w:w="1280" w:type="dxa"/>
            <w:vAlign w:val="bottom"/>
          </w:tcPr>
          <w:p>
            <w:pPr>
              <w:spacing w:after="0"/>
              <w:rPr>
                <w:sz w:val="18"/>
                <w:szCs w:val="18"/>
                <w:color w:val="auto"/>
              </w:rPr>
            </w:pPr>
          </w:p>
        </w:tc>
      </w:tr>
      <w:tr>
        <w:trPr>
          <w:trHeight w:val="216"/>
        </w:trPr>
        <w:tc>
          <w:tcPr>
            <w:tcW w:w="1720" w:type="dxa"/>
            <w:vAlign w:val="bottom"/>
          </w:tcPr>
          <w:p>
            <w:pPr>
              <w:jc w:val="right"/>
              <w:ind w:right="1270"/>
              <w:spacing w:after="0"/>
              <w:rPr>
                <w:sz w:val="20"/>
                <w:szCs w:val="20"/>
                <w:color w:val="auto"/>
              </w:rPr>
            </w:pPr>
            <w:r>
              <w:rPr>
                <w:rFonts w:ascii="Arial" w:cs="Arial" w:eastAsia="Arial" w:hAnsi="Arial"/>
                <w:sz w:val="18"/>
                <w:szCs w:val="18"/>
                <w:color w:val="auto"/>
                <w:w w:val="84"/>
              </w:rPr>
              <w:t>2553</w:t>
            </w:r>
          </w:p>
        </w:tc>
        <w:tc>
          <w:tcPr>
            <w:tcW w:w="1280" w:type="dxa"/>
            <w:vAlign w:val="bottom"/>
          </w:tcPr>
          <w:p>
            <w:pPr>
              <w:ind w:left="120"/>
              <w:spacing w:after="0"/>
              <w:rPr>
                <w:sz w:val="20"/>
                <w:szCs w:val="20"/>
                <w:color w:val="auto"/>
              </w:rPr>
            </w:pPr>
            <w:r>
              <w:rPr>
                <w:rFonts w:ascii="Arial" w:cs="Arial" w:eastAsia="Arial" w:hAnsi="Arial"/>
                <w:sz w:val="18"/>
                <w:szCs w:val="18"/>
                <w:color w:val="auto"/>
                <w:w w:val="91"/>
              </w:rPr>
              <w:t>(U.S. Toll-Free)</w:t>
            </w:r>
          </w:p>
        </w:tc>
      </w:tr>
      <w:tr>
        <w:trPr>
          <w:trHeight w:val="216"/>
        </w:trPr>
        <w:tc>
          <w:tcPr>
            <w:tcW w:w="1720" w:type="dxa"/>
            <w:vAlign w:val="bottom"/>
          </w:tcPr>
          <w:p>
            <w:pPr>
              <w:ind w:left="680"/>
              <w:spacing w:after="0"/>
              <w:rPr>
                <w:sz w:val="20"/>
                <w:szCs w:val="20"/>
                <w:color w:val="auto"/>
              </w:rPr>
            </w:pPr>
            <w:r>
              <w:rPr>
                <w:rFonts w:ascii="Arial" w:cs="Arial" w:eastAsia="Arial" w:hAnsi="Arial"/>
                <w:sz w:val="18"/>
                <w:szCs w:val="18"/>
                <w:color w:val="auto"/>
                <w:w w:val="99"/>
              </w:rPr>
              <w:t>03-918-0610</w:t>
            </w:r>
          </w:p>
        </w:tc>
        <w:tc>
          <w:tcPr>
            <w:tcW w:w="1280" w:type="dxa"/>
            <w:vAlign w:val="bottom"/>
          </w:tcPr>
          <w:p>
            <w:pPr>
              <w:ind w:left="120"/>
              <w:spacing w:after="0"/>
              <w:rPr>
                <w:sz w:val="20"/>
                <w:szCs w:val="20"/>
                <w:color w:val="auto"/>
              </w:rPr>
            </w:pPr>
            <w:r>
              <w:rPr>
                <w:rFonts w:ascii="Arial" w:cs="Arial" w:eastAsia="Arial" w:hAnsi="Arial"/>
                <w:sz w:val="18"/>
                <w:szCs w:val="18"/>
                <w:color w:val="auto"/>
              </w:rPr>
              <w:t>(Israel)</w:t>
            </w:r>
          </w:p>
        </w:tc>
      </w:tr>
      <w:tr>
        <w:trPr>
          <w:trHeight w:val="216"/>
        </w:trPr>
        <w:tc>
          <w:tcPr>
            <w:tcW w:w="1720" w:type="dxa"/>
            <w:vAlign w:val="bottom"/>
          </w:tcPr>
          <w:p>
            <w:pPr>
              <w:ind w:left="680"/>
              <w:spacing w:after="0"/>
              <w:rPr>
                <w:sz w:val="20"/>
                <w:szCs w:val="20"/>
                <w:color w:val="auto"/>
              </w:rPr>
            </w:pPr>
            <w:r>
              <w:rPr>
                <w:rFonts w:ascii="Arial" w:cs="Arial" w:eastAsia="Arial" w:hAnsi="Arial"/>
                <w:sz w:val="18"/>
                <w:szCs w:val="18"/>
                <w:color w:val="auto"/>
              </w:rPr>
              <w:t>+972-3-918-</w:t>
            </w:r>
          </w:p>
        </w:tc>
        <w:tc>
          <w:tcPr>
            <w:tcW w:w="1280" w:type="dxa"/>
            <w:vAlign w:val="bottom"/>
          </w:tcPr>
          <w:p>
            <w:pPr>
              <w:ind w:left="120"/>
              <w:spacing w:after="0"/>
              <w:rPr>
                <w:sz w:val="20"/>
                <w:szCs w:val="20"/>
                <w:color w:val="auto"/>
              </w:rPr>
            </w:pPr>
            <w:r>
              <w:rPr>
                <w:rFonts w:ascii="Arial" w:cs="Arial" w:eastAsia="Arial" w:hAnsi="Arial"/>
                <w:sz w:val="18"/>
                <w:szCs w:val="18"/>
                <w:color w:val="auto"/>
              </w:rPr>
              <w:t>(International)</w:t>
            </w:r>
          </w:p>
        </w:tc>
      </w:tr>
      <w:tr>
        <w:trPr>
          <w:trHeight w:val="230"/>
        </w:trPr>
        <w:tc>
          <w:tcPr>
            <w:tcW w:w="1720" w:type="dxa"/>
            <w:vAlign w:val="bottom"/>
          </w:tcPr>
          <w:p>
            <w:pPr>
              <w:jc w:val="right"/>
              <w:ind w:right="1270"/>
              <w:spacing w:after="0"/>
              <w:rPr>
                <w:sz w:val="20"/>
                <w:szCs w:val="20"/>
                <w:color w:val="auto"/>
              </w:rPr>
            </w:pPr>
            <w:r>
              <w:rPr>
                <w:rFonts w:ascii="Arial" w:cs="Arial" w:eastAsia="Arial" w:hAnsi="Arial"/>
                <w:sz w:val="18"/>
                <w:szCs w:val="18"/>
                <w:color w:val="auto"/>
                <w:w w:val="84"/>
              </w:rPr>
              <w:t>0610</w:t>
            </w:r>
          </w:p>
        </w:tc>
        <w:tc>
          <w:tcPr>
            <w:tcW w:w="1280" w:type="dxa"/>
            <w:vAlign w:val="bottom"/>
          </w:tcPr>
          <w:p>
            <w:pPr>
              <w:spacing w:after="0"/>
              <w:rPr>
                <w:sz w:val="20"/>
                <w:szCs w:val="20"/>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The webcast is also being distributed through the Thomson Street Events Network to both institutional and individual investors. Individual investors can listen to the call at </w:t>
      </w:r>
      <w:r>
        <w:rPr>
          <w:rFonts w:ascii="Arial" w:cs="Arial" w:eastAsia="Arial" w:hAnsi="Arial"/>
          <w:sz w:val="18"/>
          <w:szCs w:val="18"/>
          <w:u w:val="single" w:color="auto"/>
          <w:color w:val="auto"/>
        </w:rPr>
        <w:t>www.earnings.com</w:t>
      </w:r>
      <w:r>
        <w:rPr>
          <w:rFonts w:ascii="Arial" w:cs="Arial" w:eastAsia="Arial" w:hAnsi="Arial"/>
          <w:sz w:val="18"/>
          <w:szCs w:val="18"/>
          <w:color w:val="auto"/>
        </w:rPr>
        <w:t>, Thomson/CCBN’s individual investor portal powered by StreetEvents. Institutional investors can access the call via Thomson’s password-protected event management site, StreetEvents (</w:t>
      </w:r>
      <w:r>
        <w:rPr>
          <w:rFonts w:ascii="Arial" w:cs="Arial" w:eastAsia="Arial" w:hAnsi="Arial"/>
          <w:sz w:val="18"/>
          <w:szCs w:val="18"/>
          <w:u w:val="single" w:color="auto"/>
          <w:color w:val="auto"/>
        </w:rPr>
        <w:t>www.streetevents.com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Regarding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There is no assurance that results for the full quarter will be in line with the company's current expectations. Potential risk and uncertainties that may affect the final results include (i) possible significant production event that may prevent uninterrupted production and timely product delivery, due to operating our facilities at high utilization rates or any other reason, (ii) failure to receive orders currently expected, (iii) cancellation of orders, (iv) our ability to accurately forecast financial performance, which is affected by limited order backlog, (v) credit to customers for product returns or any other reason, (vi) uncertainty associated with the manufacturing and revenues to be derived from the recently acquired manufacturing facility in Nishiwaki, Japan, which revenues following the closing date of the acquisition are included in our consolidated revenues guidance and (vii) business interruption due to fire, the security situation in Israel and other events beyond the company’s control, including possible direct and indirect consequences of the recent earthquake and tsunami. A more complete discussion of risks and uncertainties that may affect the accuracy of forward-looking statements included in this press release or which may otherwise affect our business is included under the heading "Risk Factors" in the Tower’s most recent filing on Form 20-F as was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2019-12-10T13:46:01Z</dcterms:created>
  <dcterms:modified xsi:type="dcterms:W3CDTF">2019-12-10T13:46:01Z</dcterms:modified>
</cp:coreProperties>
</file>