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179"/>
        <w:spacing w:after="0"/>
        <w:rPr>
          <w:sz w:val="20"/>
          <w:szCs w:val="20"/>
          <w:color w:val="auto"/>
        </w:rPr>
      </w:pPr>
      <w:r>
        <w:rPr>
          <w:rFonts w:ascii="Courier New" w:cs="Courier New" w:eastAsia="Courier New" w:hAnsi="Courier New"/>
          <w:sz w:val="15"/>
          <w:szCs w:val="15"/>
          <w:color w:val="auto"/>
        </w:rPr>
        <w:t>FORM 6-K</w:t>
      </w:r>
    </w:p>
    <w:p>
      <w:pPr>
        <w:spacing w:after="0" w:line="169" w:lineRule="exact"/>
        <w:rPr>
          <w:sz w:val="24"/>
          <w:szCs w:val="24"/>
          <w:color w:val="auto"/>
        </w:rPr>
      </w:pPr>
    </w:p>
    <w:p>
      <w:pPr>
        <w:jc w:val="center"/>
        <w:ind w:right="3179"/>
        <w:spacing w:after="0"/>
        <w:rPr>
          <w:sz w:val="20"/>
          <w:szCs w:val="20"/>
          <w:color w:val="auto"/>
        </w:rPr>
      </w:pPr>
      <w:r>
        <w:rPr>
          <w:rFonts w:ascii="Courier New" w:cs="Courier New" w:eastAsia="Courier New" w:hAnsi="Courier New"/>
          <w:sz w:val="15"/>
          <w:szCs w:val="15"/>
          <w:color w:val="auto"/>
        </w:rPr>
        <w:t>SECURITIES AND EXCHANGE COMMISSION</w:t>
      </w:r>
    </w:p>
    <w:p>
      <w:pPr>
        <w:spacing w:after="0" w:line="169" w:lineRule="exact"/>
        <w:rPr>
          <w:sz w:val="24"/>
          <w:szCs w:val="24"/>
          <w:color w:val="auto"/>
        </w:rPr>
      </w:pPr>
    </w:p>
    <w:p>
      <w:pPr>
        <w:ind w:left="2540"/>
        <w:spacing w:after="0"/>
        <w:rPr>
          <w:sz w:val="20"/>
          <w:szCs w:val="20"/>
          <w:color w:val="auto"/>
        </w:rPr>
      </w:pPr>
      <w:r>
        <w:rPr>
          <w:rFonts w:ascii="Courier New" w:cs="Courier New" w:eastAsia="Courier New" w:hAnsi="Courier New"/>
          <w:sz w:val="15"/>
          <w:szCs w:val="15"/>
          <w:color w:val="auto"/>
        </w:rPr>
        <w:t>Washington, D.C. 20549</w:t>
      </w:r>
    </w:p>
    <w:p>
      <w:pPr>
        <w:spacing w:after="0" w:line="169" w:lineRule="exact"/>
        <w:rPr>
          <w:sz w:val="24"/>
          <w:szCs w:val="24"/>
          <w:color w:val="auto"/>
        </w:rPr>
      </w:pPr>
    </w:p>
    <w:p>
      <w:pPr>
        <w:ind w:left="2100"/>
        <w:spacing w:after="0"/>
        <w:rPr>
          <w:sz w:val="20"/>
          <w:szCs w:val="20"/>
          <w:color w:val="auto"/>
        </w:rPr>
      </w:pPr>
      <w:r>
        <w:rPr>
          <w:rFonts w:ascii="Courier New" w:cs="Courier New" w:eastAsia="Courier New" w:hAnsi="Courier New"/>
          <w:sz w:val="15"/>
          <w:szCs w:val="15"/>
          <w:color w:val="auto"/>
        </w:rPr>
        <w:t>For the month of May 2006 No. 3</w:t>
      </w:r>
    </w:p>
    <w:p>
      <w:pPr>
        <w:spacing w:after="0" w:line="169" w:lineRule="exact"/>
        <w:rPr>
          <w:sz w:val="24"/>
          <w:szCs w:val="24"/>
          <w:color w:val="auto"/>
        </w:rPr>
      </w:pPr>
    </w:p>
    <w:p>
      <w:pPr>
        <w:jc w:val="center"/>
        <w:ind w:right="3179"/>
        <w:spacing w:after="0"/>
        <w:rPr>
          <w:sz w:val="20"/>
          <w:szCs w:val="20"/>
          <w:color w:val="auto"/>
        </w:rPr>
      </w:pPr>
      <w:r>
        <w:rPr>
          <w:rFonts w:ascii="Courier New" w:cs="Courier New" w:eastAsia="Courier New" w:hAnsi="Courier New"/>
          <w:sz w:val="15"/>
          <w:szCs w:val="15"/>
          <w:color w:val="auto"/>
        </w:rPr>
        <w:t>TOWER SEMICONDUCTOR LTD.</w:t>
      </w:r>
    </w:p>
    <w:p>
      <w:pPr>
        <w:jc w:val="center"/>
        <w:ind w:right="3099"/>
        <w:spacing w:after="0"/>
        <w:rPr>
          <w:sz w:val="20"/>
          <w:szCs w:val="20"/>
          <w:color w:val="auto"/>
        </w:rPr>
      </w:pPr>
      <w:r>
        <w:rPr>
          <w:rFonts w:ascii="Courier New" w:cs="Courier New" w:eastAsia="Courier New" w:hAnsi="Courier New"/>
          <w:sz w:val="15"/>
          <w:szCs w:val="15"/>
          <w:color w:val="auto"/>
        </w:rPr>
        <w:t>(Translation of registrant's name into English)</w:t>
      </w:r>
    </w:p>
    <w:p>
      <w:pPr>
        <w:spacing w:after="0" w:line="169" w:lineRule="exact"/>
        <w:rPr>
          <w:sz w:val="24"/>
          <w:szCs w:val="24"/>
          <w:color w:val="auto"/>
        </w:rPr>
      </w:pPr>
    </w:p>
    <w:p>
      <w:pPr>
        <w:jc w:val="center"/>
        <w:ind w:right="3099"/>
        <w:spacing w:after="0"/>
        <w:rPr>
          <w:sz w:val="20"/>
          <w:szCs w:val="20"/>
          <w:color w:val="auto"/>
        </w:rPr>
      </w:pPr>
      <w:r>
        <w:rPr>
          <w:rFonts w:ascii="Courier New" w:cs="Courier New" w:eastAsia="Courier New" w:hAnsi="Courier New"/>
          <w:sz w:val="15"/>
          <w:szCs w:val="15"/>
          <w:color w:val="auto"/>
        </w:rPr>
        <w:t>RAMAT GAVRIEL INDUSTRIAL PARK</w:t>
      </w:r>
    </w:p>
    <w:p>
      <w:pPr>
        <w:ind w:left="1760"/>
        <w:spacing w:after="0"/>
        <w:rPr>
          <w:sz w:val="20"/>
          <w:szCs w:val="20"/>
          <w:color w:val="auto"/>
        </w:rPr>
      </w:pPr>
      <w:r>
        <w:rPr>
          <w:rFonts w:ascii="Courier New" w:cs="Courier New" w:eastAsia="Courier New" w:hAnsi="Courier New"/>
          <w:sz w:val="15"/>
          <w:szCs w:val="15"/>
          <w:color w:val="auto"/>
        </w:rPr>
        <w:t>P.O. BOX 619, MIGDAL HAEMEK, ISRAEL 23105</w:t>
      </w:r>
    </w:p>
    <w:p>
      <w:pPr>
        <w:ind w:left="1760"/>
        <w:spacing w:after="0"/>
        <w:rPr>
          <w:sz w:val="20"/>
          <w:szCs w:val="20"/>
          <w:color w:val="auto"/>
        </w:rPr>
      </w:pPr>
      <w:r>
        <w:rPr>
          <w:rFonts w:ascii="Courier New" w:cs="Courier New" w:eastAsia="Courier New" w:hAnsi="Courier New"/>
          <w:sz w:val="15"/>
          <w:szCs w:val="15"/>
          <w:color w:val="auto"/>
        </w:rPr>
        <w:t>(Address of principal executive offices)</w:t>
      </w:r>
    </w:p>
    <w:p>
      <w:pPr>
        <w:spacing w:after="0" w:line="174" w:lineRule="exact"/>
        <w:rPr>
          <w:sz w:val="24"/>
          <w:szCs w:val="24"/>
          <w:color w:val="auto"/>
        </w:rPr>
      </w:pPr>
    </w:p>
    <w:p>
      <w:pPr>
        <w:ind w:right="3539" w:firstLine="441"/>
        <w:spacing w:after="0" w:line="235" w:lineRule="auto"/>
        <w:rPr>
          <w:sz w:val="20"/>
          <w:szCs w:val="20"/>
          <w:color w:val="auto"/>
        </w:rPr>
      </w:pPr>
      <w:r>
        <w:rPr>
          <w:rFonts w:ascii="Courier New" w:cs="Courier New" w:eastAsia="Courier New" w:hAnsi="Courier New"/>
          <w:sz w:val="15"/>
          <w:szCs w:val="15"/>
          <w:color w:val="auto"/>
        </w:rPr>
        <w:t>Indicate by check mark whether the registrant files or will file annual reports under cover Form 20-F or Form 40-F.</w:t>
      </w:r>
    </w:p>
    <w:p>
      <w:pPr>
        <w:spacing w:after="0" w:line="170" w:lineRule="exact"/>
        <w:rPr>
          <w:sz w:val="24"/>
          <w:szCs w:val="24"/>
          <w:color w:val="auto"/>
        </w:rPr>
      </w:pPr>
    </w:p>
    <w:p>
      <w:pPr>
        <w:ind w:left="2200"/>
        <w:spacing w:after="0"/>
        <w:tabs>
          <w:tab w:leader="none" w:pos="3760" w:val="left"/>
        </w:tabs>
        <w:rPr>
          <w:sz w:val="20"/>
          <w:szCs w:val="20"/>
          <w:color w:val="auto"/>
        </w:rPr>
      </w:pPr>
      <w:r>
        <w:rPr>
          <w:rFonts w:ascii="Courier New" w:cs="Courier New" w:eastAsia="Courier New" w:hAnsi="Courier New"/>
          <w:sz w:val="15"/>
          <w:szCs w:val="15"/>
          <w:color w:val="auto"/>
        </w:rPr>
        <w:t>Form 20-F [X]</w:t>
      </w:r>
      <w:r>
        <w:rPr>
          <w:sz w:val="20"/>
          <w:szCs w:val="20"/>
          <w:color w:val="auto"/>
        </w:rPr>
        <w:tab/>
      </w:r>
      <w:r>
        <w:rPr>
          <w:rFonts w:ascii="Courier New" w:cs="Courier New" w:eastAsia="Courier New" w:hAnsi="Courier New"/>
          <w:sz w:val="14"/>
          <w:szCs w:val="14"/>
          <w:color w:val="auto"/>
        </w:rPr>
        <w:t>Form 40-F [_]</w:t>
      </w:r>
    </w:p>
    <w:p>
      <w:pPr>
        <w:spacing w:after="0" w:line="175" w:lineRule="exact"/>
        <w:rPr>
          <w:sz w:val="24"/>
          <w:szCs w:val="24"/>
          <w:color w:val="auto"/>
        </w:rPr>
      </w:pPr>
    </w:p>
    <w:p>
      <w:pPr>
        <w:ind w:right="3179" w:firstLine="441"/>
        <w:spacing w:after="0" w:line="260" w:lineRule="auto"/>
        <w:rPr>
          <w:sz w:val="20"/>
          <w:szCs w:val="20"/>
          <w:color w:val="auto"/>
        </w:rPr>
      </w:pPr>
      <w:r>
        <w:rPr>
          <w:rFonts w:ascii="Courier New" w:cs="Courier New" w:eastAsia="Courier New" w:hAnsi="Courier New"/>
          <w:sz w:val="14"/>
          <w:szCs w:val="14"/>
          <w:color w:val="auto"/>
        </w:rPr>
        <w:t>Indicate by check mark whether the registrant by furnishing the information contained in this Form is also thereby furnishing the information to the Commission pursuant to Rule 12g3-2(b) under the Securities Exchange Act of 1934.</w:t>
      </w:r>
    </w:p>
    <w:p>
      <w:pPr>
        <w:spacing w:after="0" w:line="157" w:lineRule="exact"/>
        <w:rPr>
          <w:sz w:val="24"/>
          <w:szCs w:val="24"/>
          <w:color w:val="auto"/>
        </w:rPr>
      </w:pPr>
    </w:p>
    <w:p>
      <w:pPr>
        <w:ind w:left="2720"/>
        <w:spacing w:after="0"/>
        <w:tabs>
          <w:tab w:leader="none" w:pos="3760" w:val="left"/>
        </w:tabs>
        <w:rPr>
          <w:sz w:val="20"/>
          <w:szCs w:val="20"/>
          <w:color w:val="auto"/>
        </w:rPr>
      </w:pPr>
      <w:r>
        <w:rPr>
          <w:rFonts w:ascii="Courier New" w:cs="Courier New" w:eastAsia="Courier New" w:hAnsi="Courier New"/>
          <w:sz w:val="15"/>
          <w:szCs w:val="15"/>
          <w:color w:val="auto"/>
        </w:rPr>
        <w:t>Yes [_]</w:t>
      </w:r>
      <w:r>
        <w:rPr>
          <w:sz w:val="20"/>
          <w:szCs w:val="20"/>
          <w:color w:val="auto"/>
        </w:rPr>
        <w:tab/>
      </w:r>
      <w:r>
        <w:rPr>
          <w:rFonts w:ascii="Courier New" w:cs="Courier New" w:eastAsia="Courier New" w:hAnsi="Courier New"/>
          <w:sz w:val="14"/>
          <w:szCs w:val="14"/>
          <w:color w:val="auto"/>
        </w:rPr>
        <w:t>No [X]</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30" w:lineRule="exact"/>
        <w:rPr>
          <w:sz w:val="24"/>
          <w:szCs w:val="24"/>
          <w:color w:val="auto"/>
        </w:rPr>
      </w:pPr>
    </w:p>
    <w:p>
      <w:pPr>
        <w:ind w:right="3359" w:firstLine="441"/>
        <w:spacing w:after="0" w:line="265" w:lineRule="auto"/>
        <w:rPr>
          <w:sz w:val="20"/>
          <w:szCs w:val="20"/>
          <w:color w:val="auto"/>
        </w:rPr>
      </w:pPr>
      <w:r>
        <w:rPr>
          <w:rFonts w:ascii="Courier New" w:cs="Courier New" w:eastAsia="Courier New" w:hAnsi="Courier New"/>
          <w:sz w:val="14"/>
          <w:szCs w:val="14"/>
          <w:color w:val="auto"/>
        </w:rPr>
        <w:t>On May 17, 2006, the Registrant announced its financial results for the three months ended March 31, 2006. Attached hereto are the following exhibits:</w:t>
      </w:r>
    </w:p>
    <w:p>
      <w:pPr>
        <w:spacing w:after="0" w:line="158" w:lineRule="exact"/>
        <w:rPr>
          <w:sz w:val="24"/>
          <w:szCs w:val="24"/>
          <w:color w:val="auto"/>
        </w:rPr>
      </w:pPr>
    </w:p>
    <w:p>
      <w:pPr>
        <w:ind w:left="1760" w:right="3259" w:hanging="1321"/>
        <w:spacing w:after="0" w:line="237" w:lineRule="auto"/>
        <w:tabs>
          <w:tab w:leader="none" w:pos="1740" w:val="left"/>
        </w:tabs>
        <w:rPr>
          <w:sz w:val="20"/>
          <w:szCs w:val="20"/>
          <w:color w:val="auto"/>
        </w:rPr>
      </w:pPr>
      <w:r>
        <w:rPr>
          <w:rFonts w:ascii="Courier New" w:cs="Courier New" w:eastAsia="Courier New" w:hAnsi="Courier New"/>
          <w:sz w:val="15"/>
          <w:szCs w:val="15"/>
          <w:color w:val="auto"/>
        </w:rPr>
        <w:t>Exhibit 99.1</w:t>
      </w:r>
      <w:r>
        <w:rPr>
          <w:sz w:val="20"/>
          <w:szCs w:val="20"/>
          <w:color w:val="auto"/>
        </w:rPr>
        <w:tab/>
      </w:r>
      <w:r>
        <w:rPr>
          <w:rFonts w:ascii="Courier New" w:cs="Courier New" w:eastAsia="Courier New" w:hAnsi="Courier New"/>
          <w:sz w:val="15"/>
          <w:szCs w:val="15"/>
          <w:color w:val="auto"/>
        </w:rPr>
        <w:t>Registrant's unaudited condensed interim consolidated financial statements as of March 31, 2006 and for the three month period then ended.</w:t>
      </w:r>
    </w:p>
    <w:p>
      <w:pPr>
        <w:spacing w:after="0" w:line="175" w:lineRule="exact"/>
        <w:rPr>
          <w:sz w:val="24"/>
          <w:szCs w:val="24"/>
          <w:color w:val="auto"/>
        </w:rPr>
      </w:pPr>
    </w:p>
    <w:p>
      <w:pPr>
        <w:ind w:left="1760" w:right="3259" w:hanging="1321"/>
        <w:spacing w:after="0" w:line="235" w:lineRule="auto"/>
        <w:tabs>
          <w:tab w:leader="none" w:pos="1740" w:val="left"/>
        </w:tabs>
        <w:rPr>
          <w:sz w:val="20"/>
          <w:szCs w:val="20"/>
          <w:color w:val="auto"/>
        </w:rPr>
      </w:pPr>
      <w:r>
        <w:rPr>
          <w:rFonts w:ascii="Courier New" w:cs="Courier New" w:eastAsia="Courier New" w:hAnsi="Courier New"/>
          <w:sz w:val="15"/>
          <w:szCs w:val="15"/>
          <w:color w:val="auto"/>
        </w:rPr>
        <w:t>Exhibit 99.2</w:t>
      </w:r>
      <w:r>
        <w:rPr>
          <w:sz w:val="20"/>
          <w:szCs w:val="20"/>
          <w:color w:val="auto"/>
        </w:rPr>
        <w:tab/>
      </w:r>
      <w:r>
        <w:rPr>
          <w:rFonts w:ascii="Courier New" w:cs="Courier New" w:eastAsia="Courier New" w:hAnsi="Courier New"/>
          <w:sz w:val="15"/>
          <w:szCs w:val="15"/>
          <w:color w:val="auto"/>
        </w:rPr>
        <w:t>Management's Discussion and Analysis of Financial Condition and Results of Operations</w:t>
      </w:r>
    </w:p>
    <w:p>
      <w:pPr>
        <w:spacing w:after="0" w:line="176" w:lineRule="exact"/>
        <w:rPr>
          <w:sz w:val="24"/>
          <w:szCs w:val="24"/>
          <w:color w:val="auto"/>
        </w:rPr>
      </w:pPr>
    </w:p>
    <w:p>
      <w:pPr>
        <w:ind w:right="3259" w:firstLine="441"/>
        <w:spacing w:after="0" w:line="258" w:lineRule="auto"/>
        <w:rPr>
          <w:sz w:val="20"/>
          <w:szCs w:val="20"/>
          <w:color w:val="auto"/>
        </w:rPr>
      </w:pPr>
      <w:r>
        <w:rPr>
          <w:rFonts w:ascii="Courier New" w:cs="Courier New" w:eastAsia="Courier New" w:hAnsi="Courier New"/>
          <w:sz w:val="14"/>
          <w:szCs w:val="14"/>
          <w:color w:val="auto"/>
        </w:rPr>
        <w:t>This Form 6-K, including all exhibits hereto, is hereby incorporated by reference into (1) all effective registration statements filed by us under the Securities Act of 1933 and (2) Registration Statement No. 333-131315 on Form F-3, except that the information herein relating to EBITDA and related non-GAAP financial measure disclosures is expressly excluded from such incorporation.</w:t>
      </w:r>
    </w:p>
    <w:p>
      <w:pPr>
        <w:sectPr>
          <w:pgSz w:w="11900" w:h="16838" w:orient="portrait"/>
          <w:cols w:equalWidth="0" w:num="1">
            <w:col w:w="10219"/>
          </w:cols>
          <w:pgMar w:left="240" w:top="396" w:right="1440" w:bottom="1440" w:gutter="0" w:footer="0" w:header="0"/>
        </w:sectPr>
      </w:pPr>
    </w:p>
    <w:bookmarkStart w:id="1" w:name="page2"/>
    <w:bookmarkEnd w:id="1"/>
    <w:p>
      <w:pPr>
        <w:jc w:val="center"/>
        <w:ind w:right="3179"/>
        <w:spacing w:after="0"/>
        <w:rPr>
          <w:sz w:val="20"/>
          <w:szCs w:val="20"/>
          <w:color w:val="auto"/>
        </w:rPr>
      </w:pPr>
      <w:r>
        <w:rPr>
          <w:rFonts w:ascii="Courier New" w:cs="Courier New" w:eastAsia="Courier New" w:hAnsi="Courier New"/>
          <w:sz w:val="15"/>
          <w:szCs w:val="15"/>
          <w:color w:val="auto"/>
        </w:rPr>
        <w:t>SIGNATURES</w:t>
      </w:r>
    </w:p>
    <w:p>
      <w:pPr>
        <w:spacing w:after="0" w:line="175" w:lineRule="exact"/>
        <w:rPr>
          <w:sz w:val="20"/>
          <w:szCs w:val="20"/>
          <w:color w:val="auto"/>
        </w:rPr>
      </w:pPr>
    </w:p>
    <w:p>
      <w:pPr>
        <w:ind w:right="3439" w:firstLine="441"/>
        <w:spacing w:after="0" w:line="237" w:lineRule="auto"/>
        <w:rPr>
          <w:sz w:val="20"/>
          <w:szCs w:val="20"/>
          <w:color w:val="auto"/>
        </w:rPr>
      </w:pPr>
      <w:r>
        <w:rPr>
          <w:rFonts w:ascii="Courier New" w:cs="Courier New" w:eastAsia="Courier New" w:hAnsi="Courier New"/>
          <w:sz w:val="15"/>
          <w:szCs w:val="15"/>
          <w:color w:val="auto"/>
        </w:rPr>
        <w:t>Pursuant to the requirements of the Securities Exchange Act of 1934, the registrant has duly caused this report to be signed on its behalf by the undersigned, thereunto duly authorized.</w:t>
      </w:r>
    </w:p>
    <w:p>
      <w:pPr>
        <w:spacing w:after="0" w:line="344" w:lineRule="exact"/>
        <w:rPr>
          <w:sz w:val="20"/>
          <w:szCs w:val="20"/>
          <w:color w:val="auto"/>
        </w:rPr>
      </w:pPr>
    </w:p>
    <w:p>
      <w:pPr>
        <w:ind w:left="4660"/>
        <w:spacing w:after="0"/>
        <w:rPr>
          <w:sz w:val="20"/>
          <w:szCs w:val="20"/>
          <w:color w:val="auto"/>
        </w:rPr>
      </w:pPr>
      <w:r>
        <w:rPr>
          <w:rFonts w:ascii="Courier New" w:cs="Courier New" w:eastAsia="Courier New" w:hAnsi="Courier New"/>
          <w:sz w:val="14"/>
          <w:szCs w:val="14"/>
          <w:color w:val="auto"/>
        </w:rPr>
        <w:t>TOWER SEMICONDUCTOR LTD.</w:t>
      </w:r>
    </w:p>
    <w:p>
      <w:pPr>
        <w:sectPr>
          <w:pgSz w:w="11900" w:h="16838" w:orient="portrait"/>
          <w:cols w:equalWidth="0" w:num="1">
            <w:col w:w="10219"/>
          </w:cols>
          <w:pgMar w:left="240" w:top="791" w:right="1440" w:bottom="1440" w:gutter="0" w:footer="0" w:header="0"/>
        </w:sectPr>
      </w:pP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Date: May 18, 2006</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9" w:lineRule="exact"/>
        <w:rPr>
          <w:sz w:val="20"/>
          <w:szCs w:val="20"/>
          <w:color w:val="auto"/>
        </w:rPr>
      </w:pPr>
    </w:p>
    <w:p>
      <w:pPr>
        <w:jc w:val="center"/>
        <w:ind w:right="3259"/>
        <w:spacing w:after="0"/>
        <w:rPr>
          <w:sz w:val="20"/>
          <w:szCs w:val="20"/>
          <w:color w:val="auto"/>
        </w:rPr>
      </w:pPr>
      <w:r>
        <w:rPr>
          <w:rFonts w:ascii="Courier New" w:cs="Courier New" w:eastAsia="Courier New" w:hAnsi="Courier New"/>
          <w:sz w:val="14"/>
          <w:szCs w:val="14"/>
          <w:color w:val="auto"/>
        </w:rPr>
        <w:t>By: /s/ Nati Somekh Gilboa</w:t>
      </w:r>
    </w:p>
    <w:p>
      <w:pPr>
        <w:spacing w:after="0" w:line="11" w:lineRule="exact"/>
        <w:rPr>
          <w:sz w:val="20"/>
          <w:szCs w:val="20"/>
          <w:color w:val="auto"/>
        </w:rPr>
      </w:pPr>
    </w:p>
    <w:p>
      <w:pPr>
        <w:sectPr>
          <w:pgSz w:w="11900" w:h="16838" w:orient="portrait"/>
          <w:cols w:equalWidth="0" w:num="2">
            <w:col w:w="3940" w:space="720"/>
            <w:col w:w="5559"/>
          </w:cols>
          <w:pgMar w:left="240" w:top="791" w:right="1440" w:bottom="1440" w:gutter="0" w:footer="0" w:header="0"/>
          <w:type w:val="continuous"/>
        </w:sectPr>
      </w:pPr>
    </w:p>
    <w:p>
      <w:pPr>
        <w:ind w:left="4660"/>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ind w:left="4660"/>
        <w:spacing w:after="0"/>
        <w:rPr>
          <w:sz w:val="20"/>
          <w:szCs w:val="20"/>
          <w:color w:val="auto"/>
        </w:rPr>
      </w:pPr>
      <w:r>
        <w:rPr>
          <w:rFonts w:ascii="Courier New" w:cs="Courier New" w:eastAsia="Courier New" w:hAnsi="Courier New"/>
          <w:sz w:val="15"/>
          <w:szCs w:val="15"/>
          <w:color w:val="auto"/>
        </w:rPr>
        <w:t>Nati Somekh Gilboa</w:t>
      </w:r>
    </w:p>
    <w:p>
      <w:pPr>
        <w:ind w:left="4660"/>
        <w:spacing w:after="0"/>
        <w:rPr>
          <w:sz w:val="20"/>
          <w:szCs w:val="20"/>
          <w:color w:val="auto"/>
        </w:rPr>
      </w:pPr>
      <w:r>
        <w:rPr>
          <w:rFonts w:ascii="Courier New" w:cs="Courier New" w:eastAsia="Courier New" w:hAnsi="Courier New"/>
          <w:sz w:val="15"/>
          <w:szCs w:val="15"/>
          <w:color w:val="auto"/>
        </w:rPr>
        <w:t>Corporate Secretary</w:t>
      </w:r>
    </w:p>
    <w:p>
      <w:pPr>
        <w:sectPr>
          <w:pgSz w:w="11900" w:h="16838" w:orient="portrait"/>
          <w:cols w:equalWidth="0" w:num="1">
            <w:col w:w="10219"/>
          </w:cols>
          <w:pgMar w:left="240" w:top="791" w:right="1440" w:bottom="1440" w:gutter="0" w:footer="0" w:header="0"/>
          <w:type w:val="continuous"/>
        </w:sectPr>
      </w:pPr>
    </w:p>
    <w:bookmarkStart w:id="2" w:name="page3"/>
    <w:bookmarkEnd w:id="2"/>
    <w:p>
      <w:pPr>
        <w:jc w:val="right"/>
        <w:ind w:right="3179"/>
        <w:spacing w:after="0"/>
        <w:rPr>
          <w:sz w:val="20"/>
          <w:szCs w:val="20"/>
          <w:color w:val="auto"/>
        </w:rPr>
      </w:pPr>
      <w:r>
        <w:rPr>
          <w:rFonts w:ascii="Courier New" w:cs="Courier New" w:eastAsia="Courier New" w:hAnsi="Courier New"/>
          <w:sz w:val="15"/>
          <w:szCs w:val="15"/>
          <w:color w:val="auto"/>
        </w:rPr>
        <w:t>EXHIBIT 99.1</w:t>
      </w:r>
    </w:p>
    <w:p>
      <w:pPr>
        <w:spacing w:after="0" w:line="169" w:lineRule="exact"/>
        <w:rPr>
          <w:sz w:val="20"/>
          <w:szCs w:val="20"/>
          <w:color w:val="auto"/>
        </w:rPr>
      </w:pPr>
    </w:p>
    <w:p>
      <w:pPr>
        <w:ind w:left="1840"/>
        <w:spacing w:after="0"/>
        <w:rPr>
          <w:sz w:val="20"/>
          <w:szCs w:val="20"/>
          <w:color w:val="auto"/>
        </w:rPr>
      </w:pPr>
      <w:r>
        <w:rPr>
          <w:rFonts w:ascii="Courier New" w:cs="Courier New" w:eastAsia="Courier New" w:hAnsi="Courier New"/>
          <w:sz w:val="15"/>
          <w:szCs w:val="15"/>
          <w:color w:val="auto"/>
        </w:rPr>
        <w:t>TOWER SEMICONDUCTOR LTD. AND SUBSIDIARY</w:t>
      </w:r>
    </w:p>
    <w:p>
      <w:pPr>
        <w:ind w:left="2380"/>
        <w:spacing w:after="0"/>
        <w:rPr>
          <w:sz w:val="20"/>
          <w:szCs w:val="20"/>
          <w:color w:val="auto"/>
        </w:rPr>
      </w:pPr>
      <w:r>
        <w:rPr>
          <w:rFonts w:ascii="Courier New" w:cs="Courier New" w:eastAsia="Courier New" w:hAnsi="Courier New"/>
          <w:sz w:val="15"/>
          <w:szCs w:val="15"/>
          <w:color w:val="auto"/>
        </w:rPr>
        <w:t>UNAUDITED CONDENSED INTERIM</w:t>
      </w:r>
    </w:p>
    <w:p>
      <w:pPr>
        <w:ind w:left="2100"/>
        <w:spacing w:after="0"/>
        <w:rPr>
          <w:sz w:val="20"/>
          <w:szCs w:val="20"/>
          <w:color w:val="auto"/>
        </w:rPr>
      </w:pPr>
      <w:r>
        <w:rPr>
          <w:rFonts w:ascii="Courier New" w:cs="Courier New" w:eastAsia="Courier New" w:hAnsi="Courier New"/>
          <w:sz w:val="15"/>
          <w:szCs w:val="15"/>
          <w:color w:val="auto"/>
        </w:rPr>
        <w:t>CONSOLIDATED FINANCIAL STATEMENTS</w:t>
      </w:r>
    </w:p>
    <w:p>
      <w:pPr>
        <w:ind w:left="2640"/>
        <w:spacing w:after="0" w:line="238" w:lineRule="auto"/>
        <w:rPr>
          <w:sz w:val="20"/>
          <w:szCs w:val="20"/>
          <w:color w:val="auto"/>
        </w:rPr>
      </w:pPr>
      <w:r>
        <w:rPr>
          <w:rFonts w:ascii="Courier New" w:cs="Courier New" w:eastAsia="Courier New" w:hAnsi="Courier New"/>
          <w:sz w:val="15"/>
          <w:szCs w:val="15"/>
          <w:color w:val="auto"/>
        </w:rPr>
        <w:t>AS OF MARCH 31, 2006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1840"/>
        <w:spacing w:after="0"/>
        <w:rPr>
          <w:sz w:val="20"/>
          <w:szCs w:val="20"/>
          <w:color w:val="auto"/>
        </w:rPr>
      </w:pPr>
      <w:r>
        <w:rPr>
          <w:rFonts w:ascii="Courier New" w:cs="Courier New" w:eastAsia="Courier New" w:hAnsi="Courier New"/>
          <w:sz w:val="15"/>
          <w:szCs w:val="15"/>
          <w:color w:val="auto"/>
        </w:rPr>
        <w:t>TOWER SEMICONDUCTOR LTD. AND SUBSIDIARY</w:t>
      </w:r>
    </w:p>
    <w:p>
      <w:pPr>
        <w:spacing w:after="0" w:line="169" w:lineRule="exact"/>
        <w:rPr>
          <w:sz w:val="20"/>
          <w:szCs w:val="20"/>
          <w:color w:val="auto"/>
        </w:rPr>
      </w:pPr>
    </w:p>
    <w:p>
      <w:pPr>
        <w:ind w:left="1920"/>
        <w:spacing w:after="0"/>
        <w:rPr>
          <w:sz w:val="20"/>
          <w:szCs w:val="20"/>
          <w:color w:val="auto"/>
        </w:rPr>
      </w:pPr>
      <w:r>
        <w:rPr>
          <w:rFonts w:ascii="Courier New" w:cs="Courier New" w:eastAsia="Courier New" w:hAnsi="Courier New"/>
          <w:sz w:val="15"/>
          <w:szCs w:val="15"/>
          <w:color w:val="auto"/>
        </w:rPr>
        <w:t>INDEX TO UNAUDITED CONDENSED INTERIM</w:t>
      </w:r>
    </w:p>
    <w:p>
      <w:pPr>
        <w:ind w:left="2100"/>
        <w:spacing w:after="0"/>
        <w:rPr>
          <w:sz w:val="20"/>
          <w:szCs w:val="20"/>
          <w:color w:val="auto"/>
        </w:rPr>
      </w:pPr>
      <w:r>
        <w:rPr>
          <w:rFonts w:ascii="Courier New" w:cs="Courier New" w:eastAsia="Courier New" w:hAnsi="Courier New"/>
          <w:sz w:val="15"/>
          <w:szCs w:val="15"/>
          <w:color w:val="auto"/>
        </w:rPr>
        <w:t>CONSOLIDATED FINANCIAL STATEMENTS</w:t>
      </w:r>
    </w:p>
    <w:p>
      <w:pPr>
        <w:ind w:left="2640"/>
        <w:spacing w:after="0"/>
        <w:rPr>
          <w:sz w:val="20"/>
          <w:szCs w:val="20"/>
          <w:color w:val="auto"/>
        </w:rPr>
      </w:pPr>
      <w:r>
        <w:rPr>
          <w:rFonts w:ascii="Courier New" w:cs="Courier New" w:eastAsia="Courier New" w:hAnsi="Courier New"/>
          <w:sz w:val="15"/>
          <w:szCs w:val="15"/>
          <w:color w:val="auto"/>
        </w:rPr>
        <w:t>AS OF MARCH 31, 2006</w:t>
      </w:r>
    </w:p>
    <w:p>
      <w:pPr>
        <w:spacing w:after="0" w:line="200" w:lineRule="exact"/>
        <w:rPr>
          <w:sz w:val="20"/>
          <w:szCs w:val="20"/>
          <w:color w:val="auto"/>
        </w:rPr>
      </w:pP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22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Page</w:t>
            </w:r>
          </w:p>
        </w:tc>
      </w:tr>
      <w:tr>
        <w:trPr>
          <w:trHeight w:val="170"/>
        </w:trPr>
        <w:tc>
          <w:tcPr>
            <w:tcW w:w="422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4220" w:type="dxa"/>
            <w:vAlign w:val="bottom"/>
          </w:tcPr>
          <w:p>
            <w:pPr>
              <w:spacing w:after="0"/>
              <w:rPr>
                <w:sz w:val="20"/>
                <w:szCs w:val="20"/>
                <w:color w:val="auto"/>
              </w:rPr>
            </w:pPr>
            <w:r>
              <w:rPr>
                <w:rFonts w:ascii="Courier New" w:cs="Courier New" w:eastAsia="Courier New" w:hAnsi="Courier New"/>
                <w:sz w:val="15"/>
                <w:szCs w:val="15"/>
                <w:color w:val="auto"/>
              </w:rPr>
              <w:t>BALANCE SHEETS</w:t>
            </w:r>
          </w:p>
        </w:tc>
        <w:tc>
          <w:tcPr>
            <w:tcW w:w="6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w:t>
            </w:r>
          </w:p>
        </w:tc>
      </w:tr>
      <w:tr>
        <w:trPr>
          <w:trHeight w:val="339"/>
        </w:trPr>
        <w:tc>
          <w:tcPr>
            <w:tcW w:w="4220" w:type="dxa"/>
            <w:vAlign w:val="bottom"/>
          </w:tcPr>
          <w:p>
            <w:pPr>
              <w:spacing w:after="0"/>
              <w:rPr>
                <w:sz w:val="20"/>
                <w:szCs w:val="20"/>
                <w:color w:val="auto"/>
              </w:rPr>
            </w:pPr>
            <w:r>
              <w:rPr>
                <w:rFonts w:ascii="Courier New" w:cs="Courier New" w:eastAsia="Courier New" w:hAnsi="Courier New"/>
                <w:sz w:val="15"/>
                <w:szCs w:val="15"/>
                <w:color w:val="auto"/>
              </w:rPr>
              <w:t>STATEMENTS OF OPERATIONS</w:t>
            </w:r>
          </w:p>
        </w:tc>
        <w:tc>
          <w:tcPr>
            <w:tcW w:w="6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w:t>
            </w:r>
          </w:p>
        </w:tc>
      </w:tr>
      <w:tr>
        <w:trPr>
          <w:trHeight w:val="339"/>
        </w:trPr>
        <w:tc>
          <w:tcPr>
            <w:tcW w:w="4220" w:type="dxa"/>
            <w:vAlign w:val="bottom"/>
          </w:tcPr>
          <w:p>
            <w:pPr>
              <w:spacing w:after="0"/>
              <w:rPr>
                <w:sz w:val="20"/>
                <w:szCs w:val="20"/>
                <w:color w:val="auto"/>
              </w:rPr>
            </w:pPr>
            <w:r>
              <w:rPr>
                <w:rFonts w:ascii="Courier New" w:cs="Courier New" w:eastAsia="Courier New" w:hAnsi="Courier New"/>
                <w:sz w:val="15"/>
                <w:szCs w:val="15"/>
                <w:color w:val="auto"/>
              </w:rPr>
              <w:t>STATEMENTS OF CHANGES IN SHAREHOLDERS' EQUITY</w:t>
            </w:r>
          </w:p>
        </w:tc>
        <w:tc>
          <w:tcPr>
            <w:tcW w:w="6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w:t>
            </w:r>
          </w:p>
        </w:tc>
      </w:tr>
      <w:tr>
        <w:trPr>
          <w:trHeight w:val="339"/>
        </w:trPr>
        <w:tc>
          <w:tcPr>
            <w:tcW w:w="4220" w:type="dxa"/>
            <w:vAlign w:val="bottom"/>
          </w:tcPr>
          <w:p>
            <w:pPr>
              <w:spacing w:after="0"/>
              <w:rPr>
                <w:sz w:val="20"/>
                <w:szCs w:val="20"/>
                <w:color w:val="auto"/>
              </w:rPr>
            </w:pPr>
            <w:r>
              <w:rPr>
                <w:rFonts w:ascii="Courier New" w:cs="Courier New" w:eastAsia="Courier New" w:hAnsi="Courier New"/>
                <w:sz w:val="15"/>
                <w:szCs w:val="15"/>
                <w:color w:val="auto"/>
              </w:rPr>
              <w:t>STATEMENTS OF CASH FLOWS</w:t>
            </w:r>
          </w:p>
        </w:tc>
        <w:tc>
          <w:tcPr>
            <w:tcW w:w="6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4</w:t>
            </w:r>
          </w:p>
        </w:tc>
      </w:tr>
      <w:tr>
        <w:trPr>
          <w:trHeight w:val="339"/>
        </w:trPr>
        <w:tc>
          <w:tcPr>
            <w:tcW w:w="4220" w:type="dxa"/>
            <w:vAlign w:val="bottom"/>
          </w:tcPr>
          <w:p>
            <w:pPr>
              <w:spacing w:after="0"/>
              <w:rPr>
                <w:sz w:val="20"/>
                <w:szCs w:val="20"/>
                <w:color w:val="auto"/>
              </w:rPr>
            </w:pPr>
            <w:r>
              <w:rPr>
                <w:rFonts w:ascii="Courier New" w:cs="Courier New" w:eastAsia="Courier New" w:hAnsi="Courier New"/>
                <w:sz w:val="15"/>
                <w:szCs w:val="15"/>
                <w:color w:val="auto"/>
              </w:rPr>
              <w:t>NOTES TO FINANCIAL STATEMENTS</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5-18</w:t>
            </w:r>
          </w:p>
        </w:tc>
      </w:tr>
    </w:tbl>
    <w:p>
      <w:pPr>
        <w:sectPr>
          <w:pgSz w:w="11900" w:h="16838" w:orient="portrait"/>
          <w:cols w:equalWidth="0" w:num="1">
            <w:col w:w="10219"/>
          </w:cols>
          <w:pgMar w:left="240" w:top="305" w:right="1440" w:bottom="1440" w:gutter="0" w:footer="0" w:header="0"/>
        </w:sectPr>
      </w:pPr>
    </w:p>
    <w:bookmarkStart w:id="3" w:name="page4"/>
    <w:bookmarkEnd w:id="3"/>
    <w:p>
      <w:pPr>
        <w:jc w:val="center"/>
        <w:ind w:right="3099"/>
        <w:spacing w:after="0"/>
        <w:rPr>
          <w:sz w:val="20"/>
          <w:szCs w:val="20"/>
          <w:color w:val="auto"/>
        </w:rPr>
      </w:pPr>
      <w:r>
        <w:rPr>
          <w:rFonts w:ascii="Courier New" w:cs="Courier New" w:eastAsia="Courier New" w:hAnsi="Courier New"/>
          <w:sz w:val="15"/>
          <w:szCs w:val="15"/>
          <w:color w:val="auto"/>
        </w:rPr>
        <w:t>TOWER SEMICONDUCTOR LTD. AND SUBSIDIARY</w:t>
      </w:r>
    </w:p>
    <w:p>
      <w:pPr>
        <w:jc w:val="center"/>
        <w:ind w:right="3099"/>
        <w:spacing w:after="0"/>
        <w:rPr>
          <w:sz w:val="20"/>
          <w:szCs w:val="20"/>
          <w:color w:val="auto"/>
        </w:rPr>
      </w:pPr>
      <w:r>
        <w:rPr>
          <w:rFonts w:ascii="Courier New" w:cs="Courier New" w:eastAsia="Courier New" w:hAnsi="Courier New"/>
          <w:sz w:val="15"/>
          <w:szCs w:val="15"/>
          <w:color w:val="auto"/>
        </w:rPr>
        <w:t>CONSOLIDATED BALANCE SHEETS</w:t>
      </w:r>
    </w:p>
    <w:tbl>
      <w:tblPr>
        <w:tblLayout w:type="fixed"/>
        <w:tblInd w:w="0" w:type="dxa"/>
        <w:tblCellMar>
          <w:top w:w="0" w:type="dxa"/>
          <w:left w:w="0" w:type="dxa"/>
          <w:bottom w:w="0" w:type="dxa"/>
          <w:right w:w="0" w:type="dxa"/>
        </w:tblCellMar>
      </w:tblPr>
      <w:tr>
        <w:trPr>
          <w:trHeight w:val="169"/>
        </w:trPr>
        <w:tc>
          <w:tcPr>
            <w:tcW w:w="7080" w:type="dxa"/>
            <w:vAlign w:val="bottom"/>
            <w:gridSpan w:val="3"/>
          </w:tcPr>
          <w:p>
            <w:pPr>
              <w:ind w:left="880"/>
              <w:spacing w:after="0"/>
              <w:rPr>
                <w:sz w:val="20"/>
                <w:szCs w:val="20"/>
                <w:color w:val="auto"/>
              </w:rPr>
            </w:pPr>
            <w:r>
              <w:rPr>
                <w:rFonts w:ascii="Courier New" w:cs="Courier New" w:eastAsia="Courier New" w:hAnsi="Courier New"/>
                <w:sz w:val="15"/>
                <w:szCs w:val="15"/>
                <w:color w:val="auto"/>
              </w:rPr>
              <w:t>(dollars in thousands, except share data and per share data)</w:t>
            </w:r>
          </w:p>
        </w:tc>
        <w:tc>
          <w:tcPr>
            <w:tcW w:w="3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678"/>
        </w:trPr>
        <w:tc>
          <w:tcPr>
            <w:tcW w:w="57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80" w:type="dxa"/>
            <w:vAlign w:val="bottom"/>
            <w:gridSpan w:val="3"/>
          </w:tcPr>
          <w:p>
            <w:pPr>
              <w:jc w:val="right"/>
              <w:ind w:right="547"/>
              <w:spacing w:after="0"/>
              <w:rPr>
                <w:sz w:val="20"/>
                <w:szCs w:val="20"/>
                <w:color w:val="auto"/>
              </w:rPr>
            </w:pPr>
            <w:r>
              <w:rPr>
                <w:rFonts w:ascii="Courier New" w:cs="Courier New" w:eastAsia="Courier New" w:hAnsi="Courier New"/>
                <w:sz w:val="15"/>
                <w:szCs w:val="15"/>
                <w:color w:val="auto"/>
              </w:rPr>
              <w:t>AS OF MARCH 31,</w:t>
            </w:r>
          </w:p>
        </w:tc>
        <w:tc>
          <w:tcPr>
            <w:tcW w:w="12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DECEMBER 31,</w:t>
            </w:r>
          </w:p>
        </w:tc>
      </w:tr>
      <w:tr>
        <w:trPr>
          <w:trHeight w:val="170"/>
        </w:trPr>
        <w:tc>
          <w:tcPr>
            <w:tcW w:w="5760" w:type="dxa"/>
            <w:vAlign w:val="bottom"/>
          </w:tcPr>
          <w:p>
            <w:pPr>
              <w:spacing w:after="0"/>
              <w:rPr>
                <w:sz w:val="14"/>
                <w:szCs w:val="14"/>
                <w:color w:val="auto"/>
              </w:rPr>
            </w:pPr>
          </w:p>
        </w:tc>
        <w:tc>
          <w:tcPr>
            <w:tcW w:w="2600" w:type="dxa"/>
            <w:vAlign w:val="bottom"/>
            <w:gridSpan w:val="4"/>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170"/>
        </w:trPr>
        <w:tc>
          <w:tcPr>
            <w:tcW w:w="57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2006</w:t>
            </w:r>
          </w:p>
        </w:tc>
        <w:tc>
          <w:tcPr>
            <w:tcW w:w="320" w:type="dxa"/>
            <w:vAlign w:val="bottom"/>
          </w:tcPr>
          <w:p>
            <w:pPr>
              <w:spacing w:after="0"/>
              <w:rPr>
                <w:sz w:val="14"/>
                <w:szCs w:val="14"/>
                <w:color w:val="auto"/>
              </w:rPr>
            </w:pPr>
          </w:p>
        </w:tc>
        <w:tc>
          <w:tcPr>
            <w:tcW w:w="96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2005</w:t>
            </w:r>
          </w:p>
        </w:tc>
        <w:tc>
          <w:tcPr>
            <w:tcW w:w="360" w:type="dxa"/>
            <w:vAlign w:val="bottom"/>
          </w:tcPr>
          <w:p>
            <w:pPr>
              <w:spacing w:after="0"/>
              <w:rPr>
                <w:sz w:val="14"/>
                <w:szCs w:val="14"/>
                <w:color w:val="auto"/>
              </w:rPr>
            </w:pPr>
          </w:p>
        </w:tc>
        <w:tc>
          <w:tcPr>
            <w:tcW w:w="8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2005</w:t>
            </w:r>
          </w:p>
        </w:tc>
      </w:tr>
      <w:tr>
        <w:trPr>
          <w:trHeight w:val="170"/>
        </w:trPr>
        <w:tc>
          <w:tcPr>
            <w:tcW w:w="5760" w:type="dxa"/>
            <w:vAlign w:val="bottom"/>
          </w:tcPr>
          <w:p>
            <w:pPr>
              <w:spacing w:after="0"/>
              <w:rPr>
                <w:sz w:val="14"/>
                <w:szCs w:val="14"/>
                <w:color w:val="auto"/>
              </w:rPr>
            </w:pPr>
          </w:p>
        </w:tc>
        <w:tc>
          <w:tcPr>
            <w:tcW w:w="1320" w:type="dxa"/>
            <w:vAlign w:val="bottom"/>
            <w:gridSpan w:val="2"/>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170"/>
        </w:trPr>
        <w:tc>
          <w:tcPr>
            <w:tcW w:w="57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280" w:type="dxa"/>
            <w:vAlign w:val="bottom"/>
            <w:gridSpan w:val="3"/>
          </w:tcPr>
          <w:p>
            <w:pPr>
              <w:jc w:val="right"/>
              <w:ind w:right="707"/>
              <w:spacing w:after="0"/>
              <w:rPr>
                <w:sz w:val="20"/>
                <w:szCs w:val="20"/>
                <w:color w:val="auto"/>
              </w:rPr>
            </w:pPr>
            <w:r>
              <w:rPr>
                <w:rFonts w:ascii="Courier New" w:cs="Courier New" w:eastAsia="Courier New" w:hAnsi="Courier New"/>
                <w:sz w:val="15"/>
                <w:szCs w:val="15"/>
                <w:color w:val="auto"/>
              </w:rPr>
              <w:t>(UNAUDITED)</w:t>
            </w:r>
          </w:p>
        </w:tc>
        <w:tc>
          <w:tcPr>
            <w:tcW w:w="3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0"/>
        </w:trPr>
        <w:tc>
          <w:tcPr>
            <w:tcW w:w="5760" w:type="dxa"/>
            <w:vAlign w:val="bottom"/>
          </w:tcPr>
          <w:p>
            <w:pPr>
              <w:spacing w:after="0"/>
              <w:rPr>
                <w:sz w:val="14"/>
                <w:szCs w:val="14"/>
                <w:color w:val="auto"/>
              </w:rPr>
            </w:pPr>
          </w:p>
        </w:tc>
        <w:tc>
          <w:tcPr>
            <w:tcW w:w="2600" w:type="dxa"/>
            <w:vAlign w:val="bottom"/>
            <w:gridSpan w:val="4"/>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339"/>
        </w:trPr>
        <w:tc>
          <w:tcPr>
            <w:tcW w:w="5760" w:type="dxa"/>
            <w:vAlign w:val="bottom"/>
          </w:tcPr>
          <w:p>
            <w:pPr>
              <w:spacing w:after="0"/>
              <w:rPr>
                <w:sz w:val="20"/>
                <w:szCs w:val="20"/>
                <w:color w:val="auto"/>
              </w:rPr>
            </w:pPr>
            <w:r>
              <w:rPr>
                <w:rFonts w:ascii="Courier New" w:cs="Courier New" w:eastAsia="Courier New" w:hAnsi="Courier New"/>
                <w:sz w:val="15"/>
                <w:szCs w:val="15"/>
                <w:color w:val="auto"/>
              </w:rPr>
              <w:t>A S S E T S</w:t>
            </w: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339"/>
        </w:trPr>
        <w:tc>
          <w:tcPr>
            <w:tcW w:w="5760" w:type="dxa"/>
            <w:vAlign w:val="bottom"/>
          </w:tcPr>
          <w:p>
            <w:pPr>
              <w:ind w:left="340"/>
              <w:spacing w:after="0"/>
              <w:rPr>
                <w:sz w:val="20"/>
                <w:szCs w:val="20"/>
                <w:color w:val="auto"/>
              </w:rPr>
            </w:pPr>
            <w:r>
              <w:rPr>
                <w:rFonts w:ascii="Courier New" w:cs="Courier New" w:eastAsia="Courier New" w:hAnsi="Courier New"/>
                <w:sz w:val="15"/>
                <w:szCs w:val="15"/>
                <w:color w:val="auto"/>
              </w:rPr>
              <w:t>CURRENT ASSETS</w:t>
            </w: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70"/>
        </w:trPr>
        <w:tc>
          <w:tcPr>
            <w:tcW w:w="5760" w:type="dxa"/>
            <w:vAlign w:val="bottom"/>
          </w:tcPr>
          <w:p>
            <w:pPr>
              <w:ind w:left="520"/>
              <w:spacing w:after="0"/>
              <w:rPr>
                <w:sz w:val="20"/>
                <w:szCs w:val="20"/>
                <w:color w:val="auto"/>
              </w:rPr>
            </w:pPr>
            <w:r>
              <w:rPr>
                <w:rFonts w:ascii="Courier New" w:cs="Courier New" w:eastAsia="Courier New" w:hAnsi="Courier New"/>
                <w:sz w:val="15"/>
                <w:szCs w:val="15"/>
                <w:color w:val="auto"/>
              </w:rPr>
              <w:t>CASH AND CASH EQUIVALENTS</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17,570</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34,507</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7,337</w:t>
            </w:r>
          </w:p>
        </w:tc>
      </w:tr>
      <w:tr>
        <w:trPr>
          <w:trHeight w:val="170"/>
        </w:trPr>
        <w:tc>
          <w:tcPr>
            <w:tcW w:w="5760" w:type="dxa"/>
            <w:vAlign w:val="bottom"/>
          </w:tcPr>
          <w:p>
            <w:pPr>
              <w:ind w:left="520"/>
              <w:spacing w:after="0"/>
              <w:rPr>
                <w:sz w:val="20"/>
                <w:szCs w:val="20"/>
                <w:color w:val="auto"/>
              </w:rPr>
            </w:pPr>
            <w:r>
              <w:rPr>
                <w:rFonts w:ascii="Courier New" w:cs="Courier New" w:eastAsia="Courier New" w:hAnsi="Courier New"/>
                <w:sz w:val="15"/>
                <w:szCs w:val="15"/>
                <w:color w:val="auto"/>
              </w:rPr>
              <w:t>DESIGNATED CASH AND SHORT-TERM INTEREST-BEARING DEPOSITS</w:t>
            </w:r>
          </w:p>
        </w:tc>
        <w:tc>
          <w:tcPr>
            <w:tcW w:w="320" w:type="dxa"/>
            <w:vAlign w:val="bottom"/>
          </w:tcPr>
          <w:p>
            <w:pPr>
              <w:spacing w:after="0"/>
              <w:rPr>
                <w:sz w:val="14"/>
                <w:szCs w:val="14"/>
                <w:color w:val="auto"/>
              </w:rPr>
            </w:pPr>
          </w:p>
        </w:tc>
        <w:tc>
          <w:tcPr>
            <w:tcW w:w="10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15,126</w:t>
            </w:r>
          </w:p>
        </w:tc>
        <w:tc>
          <w:tcPr>
            <w:tcW w:w="320" w:type="dxa"/>
            <w:vAlign w:val="bottom"/>
          </w:tcPr>
          <w:p>
            <w:pPr>
              <w:spacing w:after="0"/>
              <w:rPr>
                <w:sz w:val="14"/>
                <w:szCs w:val="14"/>
                <w:color w:val="auto"/>
              </w:rPr>
            </w:pPr>
          </w:p>
        </w:tc>
        <w:tc>
          <w:tcPr>
            <w:tcW w:w="9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17,614</w:t>
            </w:r>
          </w:p>
        </w:tc>
        <w:tc>
          <w:tcPr>
            <w:tcW w:w="360" w:type="dxa"/>
            <w:vAlign w:val="bottom"/>
          </w:tcPr>
          <w:p>
            <w:pPr>
              <w:spacing w:after="0"/>
              <w:rPr>
                <w:sz w:val="14"/>
                <w:szCs w:val="14"/>
                <w:color w:val="auto"/>
              </w:rPr>
            </w:pP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31,661</w:t>
            </w:r>
          </w:p>
        </w:tc>
      </w:tr>
      <w:tr>
        <w:trPr>
          <w:trHeight w:val="170"/>
        </w:trPr>
        <w:tc>
          <w:tcPr>
            <w:tcW w:w="5760" w:type="dxa"/>
            <w:vAlign w:val="bottom"/>
          </w:tcPr>
          <w:p>
            <w:pPr>
              <w:ind w:left="520"/>
              <w:spacing w:after="0"/>
              <w:rPr>
                <w:sz w:val="20"/>
                <w:szCs w:val="20"/>
                <w:color w:val="auto"/>
              </w:rPr>
            </w:pPr>
            <w:r>
              <w:rPr>
                <w:rFonts w:ascii="Courier New" w:cs="Courier New" w:eastAsia="Courier New" w:hAnsi="Courier New"/>
                <w:sz w:val="15"/>
                <w:szCs w:val="15"/>
                <w:color w:val="auto"/>
              </w:rPr>
              <w:t>TRADE ACCOUNTS RECEIVABLE:</w:t>
            </w:r>
          </w:p>
        </w:tc>
        <w:tc>
          <w:tcPr>
            <w:tcW w:w="3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0"/>
        </w:trPr>
        <w:tc>
          <w:tcPr>
            <w:tcW w:w="5760" w:type="dxa"/>
            <w:vAlign w:val="bottom"/>
          </w:tcPr>
          <w:p>
            <w:pPr>
              <w:ind w:left="780"/>
              <w:spacing w:after="0"/>
              <w:rPr>
                <w:sz w:val="20"/>
                <w:szCs w:val="20"/>
                <w:color w:val="auto"/>
              </w:rPr>
            </w:pPr>
            <w:r>
              <w:rPr>
                <w:rFonts w:ascii="Courier New" w:cs="Courier New" w:eastAsia="Courier New" w:hAnsi="Courier New"/>
                <w:sz w:val="15"/>
                <w:szCs w:val="15"/>
                <w:color w:val="auto"/>
              </w:rPr>
              <w:t>RELATED PARTIES</w:t>
            </w:r>
          </w:p>
        </w:tc>
        <w:tc>
          <w:tcPr>
            <w:tcW w:w="320" w:type="dxa"/>
            <w:vAlign w:val="bottom"/>
          </w:tcPr>
          <w:p>
            <w:pPr>
              <w:spacing w:after="0"/>
              <w:rPr>
                <w:sz w:val="14"/>
                <w:szCs w:val="14"/>
                <w:color w:val="auto"/>
              </w:rPr>
            </w:pPr>
          </w:p>
        </w:tc>
        <w:tc>
          <w:tcPr>
            <w:tcW w:w="10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6,938</w:t>
            </w:r>
          </w:p>
        </w:tc>
        <w:tc>
          <w:tcPr>
            <w:tcW w:w="320" w:type="dxa"/>
            <w:vAlign w:val="bottom"/>
          </w:tcPr>
          <w:p>
            <w:pPr>
              <w:spacing w:after="0"/>
              <w:rPr>
                <w:sz w:val="14"/>
                <w:szCs w:val="14"/>
                <w:color w:val="auto"/>
              </w:rPr>
            </w:pPr>
          </w:p>
        </w:tc>
        <w:tc>
          <w:tcPr>
            <w:tcW w:w="9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5,368</w:t>
            </w:r>
          </w:p>
        </w:tc>
        <w:tc>
          <w:tcPr>
            <w:tcW w:w="360" w:type="dxa"/>
            <w:vAlign w:val="bottom"/>
          </w:tcPr>
          <w:p>
            <w:pPr>
              <w:spacing w:after="0"/>
              <w:rPr>
                <w:sz w:val="14"/>
                <w:szCs w:val="14"/>
                <w:color w:val="auto"/>
              </w:rPr>
            </w:pP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5,309</w:t>
            </w:r>
          </w:p>
        </w:tc>
      </w:tr>
      <w:tr>
        <w:trPr>
          <w:trHeight w:val="170"/>
        </w:trPr>
        <w:tc>
          <w:tcPr>
            <w:tcW w:w="5760" w:type="dxa"/>
            <w:vAlign w:val="bottom"/>
          </w:tcPr>
          <w:p>
            <w:pPr>
              <w:ind w:left="780"/>
              <w:spacing w:after="0"/>
              <w:rPr>
                <w:sz w:val="20"/>
                <w:szCs w:val="20"/>
                <w:color w:val="auto"/>
              </w:rPr>
            </w:pPr>
            <w:r>
              <w:rPr>
                <w:rFonts w:ascii="Courier New" w:cs="Courier New" w:eastAsia="Courier New" w:hAnsi="Courier New"/>
                <w:sz w:val="15"/>
                <w:szCs w:val="15"/>
                <w:color w:val="auto"/>
              </w:rPr>
              <w:t>Others</w:t>
            </w:r>
          </w:p>
        </w:tc>
        <w:tc>
          <w:tcPr>
            <w:tcW w:w="320" w:type="dxa"/>
            <w:vAlign w:val="bottom"/>
          </w:tcPr>
          <w:p>
            <w:pPr>
              <w:spacing w:after="0"/>
              <w:rPr>
                <w:sz w:val="14"/>
                <w:szCs w:val="14"/>
                <w:color w:val="auto"/>
              </w:rPr>
            </w:pPr>
          </w:p>
        </w:tc>
        <w:tc>
          <w:tcPr>
            <w:tcW w:w="10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11,944</w:t>
            </w:r>
          </w:p>
        </w:tc>
        <w:tc>
          <w:tcPr>
            <w:tcW w:w="320" w:type="dxa"/>
            <w:vAlign w:val="bottom"/>
          </w:tcPr>
          <w:p>
            <w:pPr>
              <w:spacing w:after="0"/>
              <w:rPr>
                <w:sz w:val="14"/>
                <w:szCs w:val="14"/>
                <w:color w:val="auto"/>
              </w:rPr>
            </w:pPr>
          </w:p>
        </w:tc>
        <w:tc>
          <w:tcPr>
            <w:tcW w:w="9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6,773</w:t>
            </w:r>
          </w:p>
        </w:tc>
        <w:tc>
          <w:tcPr>
            <w:tcW w:w="360" w:type="dxa"/>
            <w:vAlign w:val="bottom"/>
          </w:tcPr>
          <w:p>
            <w:pPr>
              <w:spacing w:after="0"/>
              <w:rPr>
                <w:sz w:val="14"/>
                <w:szCs w:val="14"/>
                <w:color w:val="auto"/>
              </w:rPr>
            </w:pP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11,467</w:t>
            </w:r>
          </w:p>
        </w:tc>
      </w:tr>
      <w:tr>
        <w:trPr>
          <w:trHeight w:val="170"/>
        </w:trPr>
        <w:tc>
          <w:tcPr>
            <w:tcW w:w="5760" w:type="dxa"/>
            <w:vAlign w:val="bottom"/>
          </w:tcPr>
          <w:p>
            <w:pPr>
              <w:ind w:left="520"/>
              <w:spacing w:after="0"/>
              <w:rPr>
                <w:sz w:val="20"/>
                <w:szCs w:val="20"/>
                <w:color w:val="auto"/>
              </w:rPr>
            </w:pPr>
            <w:r>
              <w:rPr>
                <w:rFonts w:ascii="Courier New" w:cs="Courier New" w:eastAsia="Courier New" w:hAnsi="Courier New"/>
                <w:sz w:val="15"/>
                <w:szCs w:val="15"/>
                <w:color w:val="auto"/>
              </w:rPr>
              <w:t>OTHER RECEIVABLES</w:t>
            </w:r>
          </w:p>
        </w:tc>
        <w:tc>
          <w:tcPr>
            <w:tcW w:w="320" w:type="dxa"/>
            <w:vAlign w:val="bottom"/>
          </w:tcPr>
          <w:p>
            <w:pPr>
              <w:spacing w:after="0"/>
              <w:rPr>
                <w:sz w:val="14"/>
                <w:szCs w:val="14"/>
                <w:color w:val="auto"/>
              </w:rPr>
            </w:pPr>
          </w:p>
        </w:tc>
        <w:tc>
          <w:tcPr>
            <w:tcW w:w="10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8,937</w:t>
            </w:r>
          </w:p>
        </w:tc>
        <w:tc>
          <w:tcPr>
            <w:tcW w:w="320" w:type="dxa"/>
            <w:vAlign w:val="bottom"/>
          </w:tcPr>
          <w:p>
            <w:pPr>
              <w:spacing w:after="0"/>
              <w:rPr>
                <w:sz w:val="14"/>
                <w:szCs w:val="14"/>
                <w:color w:val="auto"/>
              </w:rPr>
            </w:pPr>
          </w:p>
        </w:tc>
        <w:tc>
          <w:tcPr>
            <w:tcW w:w="9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9,430</w:t>
            </w:r>
          </w:p>
        </w:tc>
        <w:tc>
          <w:tcPr>
            <w:tcW w:w="360" w:type="dxa"/>
            <w:vAlign w:val="bottom"/>
          </w:tcPr>
          <w:p>
            <w:pPr>
              <w:spacing w:after="0"/>
              <w:rPr>
                <w:sz w:val="14"/>
                <w:szCs w:val="14"/>
                <w:color w:val="auto"/>
              </w:rPr>
            </w:pP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9,043</w:t>
            </w:r>
          </w:p>
        </w:tc>
      </w:tr>
      <w:tr>
        <w:trPr>
          <w:trHeight w:val="170"/>
        </w:trPr>
        <w:tc>
          <w:tcPr>
            <w:tcW w:w="5760" w:type="dxa"/>
            <w:vAlign w:val="bottom"/>
          </w:tcPr>
          <w:p>
            <w:pPr>
              <w:ind w:left="520"/>
              <w:spacing w:after="0"/>
              <w:rPr>
                <w:sz w:val="20"/>
                <w:szCs w:val="20"/>
                <w:color w:val="auto"/>
              </w:rPr>
            </w:pPr>
            <w:r>
              <w:rPr>
                <w:rFonts w:ascii="Courier New" w:cs="Courier New" w:eastAsia="Courier New" w:hAnsi="Courier New"/>
                <w:sz w:val="15"/>
                <w:szCs w:val="15"/>
                <w:color w:val="auto"/>
              </w:rPr>
              <w:t>INVENTORIES</w:t>
            </w:r>
          </w:p>
        </w:tc>
        <w:tc>
          <w:tcPr>
            <w:tcW w:w="320" w:type="dxa"/>
            <w:vAlign w:val="bottom"/>
          </w:tcPr>
          <w:p>
            <w:pPr>
              <w:spacing w:after="0"/>
              <w:rPr>
                <w:sz w:val="14"/>
                <w:szCs w:val="14"/>
                <w:color w:val="auto"/>
              </w:rPr>
            </w:pPr>
          </w:p>
        </w:tc>
        <w:tc>
          <w:tcPr>
            <w:tcW w:w="10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28,684</w:t>
            </w:r>
          </w:p>
        </w:tc>
        <w:tc>
          <w:tcPr>
            <w:tcW w:w="320" w:type="dxa"/>
            <w:vAlign w:val="bottom"/>
          </w:tcPr>
          <w:p>
            <w:pPr>
              <w:spacing w:after="0"/>
              <w:rPr>
                <w:sz w:val="14"/>
                <w:szCs w:val="14"/>
                <w:color w:val="auto"/>
              </w:rPr>
            </w:pPr>
          </w:p>
        </w:tc>
        <w:tc>
          <w:tcPr>
            <w:tcW w:w="9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21,624</w:t>
            </w:r>
          </w:p>
        </w:tc>
        <w:tc>
          <w:tcPr>
            <w:tcW w:w="360" w:type="dxa"/>
            <w:vAlign w:val="bottom"/>
          </w:tcPr>
          <w:p>
            <w:pPr>
              <w:spacing w:after="0"/>
              <w:rPr>
                <w:sz w:val="14"/>
                <w:szCs w:val="14"/>
                <w:color w:val="auto"/>
              </w:rPr>
            </w:pP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24,376</w:t>
            </w:r>
          </w:p>
        </w:tc>
      </w:tr>
      <w:tr>
        <w:trPr>
          <w:trHeight w:val="170"/>
        </w:trPr>
        <w:tc>
          <w:tcPr>
            <w:tcW w:w="5760" w:type="dxa"/>
            <w:vAlign w:val="bottom"/>
          </w:tcPr>
          <w:p>
            <w:pPr>
              <w:ind w:left="520"/>
              <w:spacing w:after="0"/>
              <w:rPr>
                <w:sz w:val="20"/>
                <w:szCs w:val="20"/>
                <w:color w:val="auto"/>
              </w:rPr>
            </w:pPr>
            <w:r>
              <w:rPr>
                <w:rFonts w:ascii="Courier New" w:cs="Courier New" w:eastAsia="Courier New" w:hAnsi="Courier New"/>
                <w:sz w:val="15"/>
                <w:szCs w:val="15"/>
                <w:color w:val="auto"/>
              </w:rPr>
              <w:t>OTHER CURRENT ASSETS</w:t>
            </w:r>
          </w:p>
        </w:tc>
        <w:tc>
          <w:tcPr>
            <w:tcW w:w="320" w:type="dxa"/>
            <w:vAlign w:val="bottom"/>
          </w:tcPr>
          <w:p>
            <w:pPr>
              <w:spacing w:after="0"/>
              <w:rPr>
                <w:sz w:val="14"/>
                <w:szCs w:val="14"/>
                <w:color w:val="auto"/>
              </w:rPr>
            </w:pPr>
          </w:p>
        </w:tc>
        <w:tc>
          <w:tcPr>
            <w:tcW w:w="10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1,350</w:t>
            </w:r>
          </w:p>
        </w:tc>
        <w:tc>
          <w:tcPr>
            <w:tcW w:w="320" w:type="dxa"/>
            <w:vAlign w:val="bottom"/>
          </w:tcPr>
          <w:p>
            <w:pPr>
              <w:spacing w:after="0"/>
              <w:rPr>
                <w:sz w:val="14"/>
                <w:szCs w:val="14"/>
                <w:color w:val="auto"/>
              </w:rPr>
            </w:pPr>
          </w:p>
        </w:tc>
        <w:tc>
          <w:tcPr>
            <w:tcW w:w="9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861</w:t>
            </w:r>
          </w:p>
        </w:tc>
        <w:tc>
          <w:tcPr>
            <w:tcW w:w="360" w:type="dxa"/>
            <w:vAlign w:val="bottom"/>
          </w:tcPr>
          <w:p>
            <w:pPr>
              <w:spacing w:after="0"/>
              <w:rPr>
                <w:sz w:val="14"/>
                <w:szCs w:val="14"/>
                <w:color w:val="auto"/>
              </w:rPr>
            </w:pP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1,048</w:t>
            </w:r>
          </w:p>
        </w:tc>
      </w:tr>
      <w:tr>
        <w:trPr>
          <w:trHeight w:val="170"/>
        </w:trPr>
        <w:tc>
          <w:tcPr>
            <w:tcW w:w="5760" w:type="dxa"/>
            <w:vAlign w:val="bottom"/>
          </w:tcPr>
          <w:p>
            <w:pPr>
              <w:spacing w:after="0"/>
              <w:rPr>
                <w:sz w:val="14"/>
                <w:szCs w:val="14"/>
                <w:color w:val="auto"/>
              </w:rPr>
            </w:pPr>
          </w:p>
        </w:tc>
        <w:tc>
          <w:tcPr>
            <w:tcW w:w="1320" w:type="dxa"/>
            <w:vAlign w:val="bottom"/>
            <w:gridSpan w:val="2"/>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170"/>
        </w:trPr>
        <w:tc>
          <w:tcPr>
            <w:tcW w:w="5760" w:type="dxa"/>
            <w:vAlign w:val="bottom"/>
          </w:tcPr>
          <w:p>
            <w:pPr>
              <w:ind w:left="780"/>
              <w:spacing w:after="0"/>
              <w:rPr>
                <w:sz w:val="20"/>
                <w:szCs w:val="20"/>
                <w:color w:val="auto"/>
              </w:rPr>
            </w:pPr>
            <w:r>
              <w:rPr>
                <w:rFonts w:ascii="Courier New" w:cs="Courier New" w:eastAsia="Courier New" w:hAnsi="Courier New"/>
                <w:sz w:val="15"/>
                <w:szCs w:val="15"/>
                <w:color w:val="auto"/>
              </w:rPr>
              <w:t>TOTAL CURRENT ASSETS</w:t>
            </w:r>
          </w:p>
        </w:tc>
        <w:tc>
          <w:tcPr>
            <w:tcW w:w="320" w:type="dxa"/>
            <w:vAlign w:val="bottom"/>
          </w:tcPr>
          <w:p>
            <w:pPr>
              <w:spacing w:after="0"/>
              <w:rPr>
                <w:sz w:val="14"/>
                <w:szCs w:val="14"/>
                <w:color w:val="auto"/>
              </w:rPr>
            </w:pPr>
          </w:p>
        </w:tc>
        <w:tc>
          <w:tcPr>
            <w:tcW w:w="10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90,549</w:t>
            </w:r>
          </w:p>
        </w:tc>
        <w:tc>
          <w:tcPr>
            <w:tcW w:w="320" w:type="dxa"/>
            <w:vAlign w:val="bottom"/>
          </w:tcPr>
          <w:p>
            <w:pPr>
              <w:spacing w:after="0"/>
              <w:rPr>
                <w:sz w:val="14"/>
                <w:szCs w:val="14"/>
                <w:color w:val="auto"/>
              </w:rPr>
            </w:pPr>
          </w:p>
        </w:tc>
        <w:tc>
          <w:tcPr>
            <w:tcW w:w="9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96,177</w:t>
            </w:r>
          </w:p>
        </w:tc>
        <w:tc>
          <w:tcPr>
            <w:tcW w:w="360" w:type="dxa"/>
            <w:vAlign w:val="bottom"/>
          </w:tcPr>
          <w:p>
            <w:pPr>
              <w:spacing w:after="0"/>
              <w:rPr>
                <w:sz w:val="14"/>
                <w:szCs w:val="14"/>
                <w:color w:val="auto"/>
              </w:rPr>
            </w:pP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90,241</w:t>
            </w:r>
          </w:p>
        </w:tc>
      </w:tr>
      <w:tr>
        <w:trPr>
          <w:trHeight w:val="170"/>
        </w:trPr>
        <w:tc>
          <w:tcPr>
            <w:tcW w:w="5760" w:type="dxa"/>
            <w:vAlign w:val="bottom"/>
          </w:tcPr>
          <w:p>
            <w:pPr>
              <w:spacing w:after="0"/>
              <w:rPr>
                <w:sz w:val="14"/>
                <w:szCs w:val="14"/>
                <w:color w:val="auto"/>
              </w:rPr>
            </w:pPr>
          </w:p>
        </w:tc>
        <w:tc>
          <w:tcPr>
            <w:tcW w:w="1320" w:type="dxa"/>
            <w:vAlign w:val="bottom"/>
            <w:gridSpan w:val="2"/>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170"/>
        </w:trPr>
        <w:tc>
          <w:tcPr>
            <w:tcW w:w="5760" w:type="dxa"/>
            <w:vAlign w:val="bottom"/>
          </w:tcPr>
          <w:p>
            <w:pPr>
              <w:ind w:left="340"/>
              <w:spacing w:after="0"/>
              <w:rPr>
                <w:sz w:val="20"/>
                <w:szCs w:val="20"/>
                <w:color w:val="auto"/>
              </w:rPr>
            </w:pPr>
            <w:r>
              <w:rPr>
                <w:rFonts w:ascii="Courier New" w:cs="Courier New" w:eastAsia="Courier New" w:hAnsi="Courier New"/>
                <w:sz w:val="15"/>
                <w:szCs w:val="15"/>
                <w:color w:val="auto"/>
              </w:rPr>
              <w:t>LONG-TERM INVESTMENTS</w:t>
            </w:r>
          </w:p>
        </w:tc>
        <w:tc>
          <w:tcPr>
            <w:tcW w:w="3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0"/>
        </w:trPr>
        <w:tc>
          <w:tcPr>
            <w:tcW w:w="5760" w:type="dxa"/>
            <w:vAlign w:val="bottom"/>
          </w:tcPr>
          <w:p>
            <w:pPr>
              <w:ind w:left="520"/>
              <w:spacing w:after="0"/>
              <w:rPr>
                <w:sz w:val="20"/>
                <w:szCs w:val="20"/>
                <w:color w:val="auto"/>
              </w:rPr>
            </w:pPr>
            <w:r>
              <w:rPr>
                <w:rFonts w:ascii="Courier New" w:cs="Courier New" w:eastAsia="Courier New" w:hAnsi="Courier New"/>
                <w:sz w:val="15"/>
                <w:szCs w:val="15"/>
                <w:color w:val="auto"/>
              </w:rPr>
              <w:t>LONG-TERM INTEREST-BEARING DEPOSITS</w:t>
            </w:r>
          </w:p>
        </w:tc>
        <w:tc>
          <w:tcPr>
            <w:tcW w:w="3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0"/>
        </w:trPr>
        <w:tc>
          <w:tcPr>
            <w:tcW w:w="5760" w:type="dxa"/>
            <w:vAlign w:val="bottom"/>
          </w:tcPr>
          <w:p>
            <w:pPr>
              <w:ind w:left="780"/>
              <w:spacing w:after="0"/>
              <w:rPr>
                <w:sz w:val="20"/>
                <w:szCs w:val="20"/>
                <w:color w:val="auto"/>
              </w:rPr>
            </w:pPr>
            <w:r>
              <w:rPr>
                <w:rFonts w:ascii="Courier New" w:cs="Courier New" w:eastAsia="Courier New" w:hAnsi="Courier New"/>
                <w:sz w:val="15"/>
                <w:szCs w:val="15"/>
                <w:color w:val="auto"/>
              </w:rPr>
              <w:t>DESIGNATED FOR FAB 2 OPERATIONS</w:t>
            </w:r>
          </w:p>
        </w:tc>
        <w:tc>
          <w:tcPr>
            <w:tcW w:w="320" w:type="dxa"/>
            <w:vAlign w:val="bottom"/>
          </w:tcPr>
          <w:p>
            <w:pPr>
              <w:spacing w:after="0"/>
              <w:rPr>
                <w:sz w:val="14"/>
                <w:szCs w:val="14"/>
                <w:color w:val="auto"/>
              </w:rPr>
            </w:pPr>
          </w:p>
        </w:tc>
        <w:tc>
          <w:tcPr>
            <w:tcW w:w="10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4"/>
                <w:szCs w:val="14"/>
                <w:color w:val="auto"/>
              </w:rPr>
            </w:pPr>
          </w:p>
        </w:tc>
        <w:tc>
          <w:tcPr>
            <w:tcW w:w="9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5,071</w:t>
            </w:r>
          </w:p>
        </w:tc>
        <w:tc>
          <w:tcPr>
            <w:tcW w:w="360" w:type="dxa"/>
            <w:vAlign w:val="bottom"/>
          </w:tcPr>
          <w:p>
            <w:pPr>
              <w:spacing w:after="0"/>
              <w:rPr>
                <w:sz w:val="14"/>
                <w:szCs w:val="14"/>
                <w:color w:val="auto"/>
              </w:rPr>
            </w:pP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170"/>
        </w:trPr>
        <w:tc>
          <w:tcPr>
            <w:tcW w:w="5760" w:type="dxa"/>
            <w:vAlign w:val="bottom"/>
          </w:tcPr>
          <w:p>
            <w:pPr>
              <w:spacing w:after="0"/>
              <w:rPr>
                <w:sz w:val="14"/>
                <w:szCs w:val="14"/>
                <w:color w:val="auto"/>
              </w:rPr>
            </w:pPr>
          </w:p>
        </w:tc>
        <w:tc>
          <w:tcPr>
            <w:tcW w:w="1320" w:type="dxa"/>
            <w:vAlign w:val="bottom"/>
            <w:gridSpan w:val="2"/>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170"/>
        </w:trPr>
        <w:tc>
          <w:tcPr>
            <w:tcW w:w="57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4"/>
                <w:szCs w:val="14"/>
                <w:color w:val="auto"/>
              </w:rPr>
            </w:pPr>
          </w:p>
        </w:tc>
        <w:tc>
          <w:tcPr>
            <w:tcW w:w="9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5,071</w:t>
            </w:r>
          </w:p>
        </w:tc>
        <w:tc>
          <w:tcPr>
            <w:tcW w:w="360" w:type="dxa"/>
            <w:vAlign w:val="bottom"/>
          </w:tcPr>
          <w:p>
            <w:pPr>
              <w:spacing w:after="0"/>
              <w:rPr>
                <w:sz w:val="14"/>
                <w:szCs w:val="14"/>
                <w:color w:val="auto"/>
              </w:rPr>
            </w:pP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170"/>
        </w:trPr>
        <w:tc>
          <w:tcPr>
            <w:tcW w:w="5760" w:type="dxa"/>
            <w:vAlign w:val="bottom"/>
          </w:tcPr>
          <w:p>
            <w:pPr>
              <w:spacing w:after="0"/>
              <w:rPr>
                <w:sz w:val="14"/>
                <w:szCs w:val="14"/>
                <w:color w:val="auto"/>
              </w:rPr>
            </w:pPr>
          </w:p>
        </w:tc>
        <w:tc>
          <w:tcPr>
            <w:tcW w:w="1320" w:type="dxa"/>
            <w:vAlign w:val="bottom"/>
            <w:gridSpan w:val="2"/>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339"/>
        </w:trPr>
        <w:tc>
          <w:tcPr>
            <w:tcW w:w="5760" w:type="dxa"/>
            <w:vAlign w:val="bottom"/>
          </w:tcPr>
          <w:p>
            <w:pPr>
              <w:ind w:left="340"/>
              <w:spacing w:after="0"/>
              <w:rPr>
                <w:sz w:val="20"/>
                <w:szCs w:val="20"/>
                <w:color w:val="auto"/>
              </w:rPr>
            </w:pPr>
            <w:r>
              <w:rPr>
                <w:rFonts w:ascii="Courier New" w:cs="Courier New" w:eastAsia="Courier New" w:hAnsi="Courier New"/>
                <w:sz w:val="15"/>
                <w:szCs w:val="15"/>
                <w:color w:val="auto"/>
              </w:rPr>
              <w:t>PROPERTY AND EQUIPMENT, NET</w:t>
            </w:r>
          </w:p>
        </w:tc>
        <w:tc>
          <w:tcPr>
            <w:tcW w:w="320" w:type="dxa"/>
            <w:vAlign w:val="bottom"/>
          </w:tcPr>
          <w:p>
            <w:pPr>
              <w:spacing w:after="0"/>
              <w:rPr>
                <w:sz w:val="24"/>
                <w:szCs w:val="24"/>
                <w:color w:val="auto"/>
              </w:rPr>
            </w:pPr>
          </w:p>
        </w:tc>
        <w:tc>
          <w:tcPr>
            <w:tcW w:w="10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484,289</w:t>
            </w:r>
          </w:p>
        </w:tc>
        <w:tc>
          <w:tcPr>
            <w:tcW w:w="320" w:type="dxa"/>
            <w:vAlign w:val="bottom"/>
          </w:tcPr>
          <w:p>
            <w:pPr>
              <w:spacing w:after="0"/>
              <w:rPr>
                <w:sz w:val="24"/>
                <w:szCs w:val="24"/>
                <w:color w:val="auto"/>
              </w:rPr>
            </w:pPr>
          </w:p>
        </w:tc>
        <w:tc>
          <w:tcPr>
            <w:tcW w:w="9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587,707</w:t>
            </w:r>
          </w:p>
        </w:tc>
        <w:tc>
          <w:tcPr>
            <w:tcW w:w="360" w:type="dxa"/>
            <w:vAlign w:val="bottom"/>
          </w:tcPr>
          <w:p>
            <w:pPr>
              <w:spacing w:after="0"/>
              <w:rPr>
                <w:sz w:val="24"/>
                <w:szCs w:val="24"/>
                <w:color w:val="auto"/>
              </w:rPr>
            </w:pP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510,645</w:t>
            </w:r>
          </w:p>
        </w:tc>
      </w:tr>
      <w:tr>
        <w:trPr>
          <w:trHeight w:val="170"/>
        </w:trPr>
        <w:tc>
          <w:tcPr>
            <w:tcW w:w="5760" w:type="dxa"/>
            <w:vAlign w:val="bottom"/>
          </w:tcPr>
          <w:p>
            <w:pPr>
              <w:spacing w:after="0"/>
              <w:rPr>
                <w:sz w:val="14"/>
                <w:szCs w:val="14"/>
                <w:color w:val="auto"/>
              </w:rPr>
            </w:pPr>
          </w:p>
        </w:tc>
        <w:tc>
          <w:tcPr>
            <w:tcW w:w="1320" w:type="dxa"/>
            <w:vAlign w:val="bottom"/>
            <w:gridSpan w:val="2"/>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339"/>
        </w:trPr>
        <w:tc>
          <w:tcPr>
            <w:tcW w:w="5760" w:type="dxa"/>
            <w:vAlign w:val="bottom"/>
          </w:tcPr>
          <w:p>
            <w:pPr>
              <w:ind w:left="340"/>
              <w:spacing w:after="0"/>
              <w:rPr>
                <w:sz w:val="20"/>
                <w:szCs w:val="20"/>
                <w:color w:val="auto"/>
              </w:rPr>
            </w:pPr>
            <w:r>
              <w:rPr>
                <w:rFonts w:ascii="Courier New" w:cs="Courier New" w:eastAsia="Courier New" w:hAnsi="Courier New"/>
                <w:sz w:val="15"/>
                <w:szCs w:val="15"/>
                <w:color w:val="auto"/>
              </w:rPr>
              <w:t>OTHER ASSETS, NET:</w:t>
            </w: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70"/>
        </w:trPr>
        <w:tc>
          <w:tcPr>
            <w:tcW w:w="5760" w:type="dxa"/>
            <w:vAlign w:val="bottom"/>
          </w:tcPr>
          <w:p>
            <w:pPr>
              <w:ind w:left="520"/>
              <w:spacing w:after="0"/>
              <w:rPr>
                <w:sz w:val="20"/>
                <w:szCs w:val="20"/>
                <w:color w:val="auto"/>
              </w:rPr>
            </w:pPr>
            <w:r>
              <w:rPr>
                <w:rFonts w:ascii="Courier New" w:cs="Courier New" w:eastAsia="Courier New" w:hAnsi="Courier New"/>
                <w:sz w:val="15"/>
                <w:szCs w:val="15"/>
                <w:color w:val="auto"/>
              </w:rPr>
              <w:t>TECHNOLOGY</w:t>
            </w:r>
          </w:p>
        </w:tc>
        <w:tc>
          <w:tcPr>
            <w:tcW w:w="320" w:type="dxa"/>
            <w:vAlign w:val="bottom"/>
          </w:tcPr>
          <w:p>
            <w:pPr>
              <w:spacing w:after="0"/>
              <w:rPr>
                <w:sz w:val="14"/>
                <w:szCs w:val="14"/>
                <w:color w:val="auto"/>
              </w:rPr>
            </w:pPr>
          </w:p>
        </w:tc>
        <w:tc>
          <w:tcPr>
            <w:tcW w:w="10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59,724</w:t>
            </w:r>
          </w:p>
        </w:tc>
        <w:tc>
          <w:tcPr>
            <w:tcW w:w="320" w:type="dxa"/>
            <w:vAlign w:val="bottom"/>
          </w:tcPr>
          <w:p>
            <w:pPr>
              <w:spacing w:after="0"/>
              <w:rPr>
                <w:sz w:val="14"/>
                <w:szCs w:val="14"/>
                <w:color w:val="auto"/>
              </w:rPr>
            </w:pPr>
          </w:p>
        </w:tc>
        <w:tc>
          <w:tcPr>
            <w:tcW w:w="9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76,750</w:t>
            </w:r>
          </w:p>
        </w:tc>
        <w:tc>
          <w:tcPr>
            <w:tcW w:w="360" w:type="dxa"/>
            <w:vAlign w:val="bottom"/>
          </w:tcPr>
          <w:p>
            <w:pPr>
              <w:spacing w:after="0"/>
              <w:rPr>
                <w:sz w:val="14"/>
                <w:szCs w:val="14"/>
                <w:color w:val="auto"/>
              </w:rPr>
            </w:pP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61,441</w:t>
            </w:r>
          </w:p>
        </w:tc>
      </w:tr>
      <w:tr>
        <w:trPr>
          <w:trHeight w:val="170"/>
        </w:trPr>
        <w:tc>
          <w:tcPr>
            <w:tcW w:w="5760" w:type="dxa"/>
            <w:vAlign w:val="bottom"/>
          </w:tcPr>
          <w:p>
            <w:pPr>
              <w:ind w:left="520"/>
              <w:spacing w:after="0"/>
              <w:rPr>
                <w:sz w:val="20"/>
                <w:szCs w:val="20"/>
                <w:color w:val="auto"/>
              </w:rPr>
            </w:pPr>
            <w:r>
              <w:rPr>
                <w:rFonts w:ascii="Courier New" w:cs="Courier New" w:eastAsia="Courier New" w:hAnsi="Courier New"/>
                <w:sz w:val="15"/>
                <w:szCs w:val="15"/>
                <w:color w:val="auto"/>
              </w:rPr>
              <w:t>OTHER</w:t>
            </w:r>
          </w:p>
        </w:tc>
        <w:tc>
          <w:tcPr>
            <w:tcW w:w="320" w:type="dxa"/>
            <w:vAlign w:val="bottom"/>
          </w:tcPr>
          <w:p>
            <w:pPr>
              <w:spacing w:after="0"/>
              <w:rPr>
                <w:sz w:val="14"/>
                <w:szCs w:val="14"/>
                <w:color w:val="auto"/>
              </w:rPr>
            </w:pPr>
          </w:p>
        </w:tc>
        <w:tc>
          <w:tcPr>
            <w:tcW w:w="10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1,477</w:t>
            </w:r>
          </w:p>
        </w:tc>
        <w:tc>
          <w:tcPr>
            <w:tcW w:w="320" w:type="dxa"/>
            <w:vAlign w:val="bottom"/>
          </w:tcPr>
          <w:p>
            <w:pPr>
              <w:spacing w:after="0"/>
              <w:rPr>
                <w:sz w:val="14"/>
                <w:szCs w:val="14"/>
                <w:color w:val="auto"/>
              </w:rPr>
            </w:pPr>
          </w:p>
        </w:tc>
        <w:tc>
          <w:tcPr>
            <w:tcW w:w="9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15,728</w:t>
            </w:r>
          </w:p>
        </w:tc>
        <w:tc>
          <w:tcPr>
            <w:tcW w:w="360" w:type="dxa"/>
            <w:vAlign w:val="bottom"/>
          </w:tcPr>
          <w:p>
            <w:pPr>
              <w:spacing w:after="0"/>
              <w:rPr>
                <w:sz w:val="14"/>
                <w:szCs w:val="14"/>
                <w:color w:val="auto"/>
              </w:rPr>
            </w:pP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16,359</w:t>
            </w:r>
          </w:p>
        </w:tc>
      </w:tr>
      <w:tr>
        <w:trPr>
          <w:trHeight w:val="170"/>
        </w:trPr>
        <w:tc>
          <w:tcPr>
            <w:tcW w:w="5760" w:type="dxa"/>
            <w:vAlign w:val="bottom"/>
          </w:tcPr>
          <w:p>
            <w:pPr>
              <w:spacing w:after="0"/>
              <w:rPr>
                <w:sz w:val="14"/>
                <w:szCs w:val="14"/>
                <w:color w:val="auto"/>
              </w:rPr>
            </w:pPr>
          </w:p>
        </w:tc>
        <w:tc>
          <w:tcPr>
            <w:tcW w:w="1320" w:type="dxa"/>
            <w:vAlign w:val="bottom"/>
            <w:gridSpan w:val="2"/>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170"/>
        </w:trPr>
        <w:tc>
          <w:tcPr>
            <w:tcW w:w="57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61,201</w:t>
            </w:r>
          </w:p>
        </w:tc>
        <w:tc>
          <w:tcPr>
            <w:tcW w:w="320" w:type="dxa"/>
            <w:vAlign w:val="bottom"/>
          </w:tcPr>
          <w:p>
            <w:pPr>
              <w:spacing w:after="0"/>
              <w:rPr>
                <w:sz w:val="14"/>
                <w:szCs w:val="14"/>
                <w:color w:val="auto"/>
              </w:rPr>
            </w:pPr>
          </w:p>
        </w:tc>
        <w:tc>
          <w:tcPr>
            <w:tcW w:w="9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92,478</w:t>
            </w:r>
          </w:p>
        </w:tc>
        <w:tc>
          <w:tcPr>
            <w:tcW w:w="360" w:type="dxa"/>
            <w:vAlign w:val="bottom"/>
          </w:tcPr>
          <w:p>
            <w:pPr>
              <w:spacing w:after="0"/>
              <w:rPr>
                <w:sz w:val="14"/>
                <w:szCs w:val="14"/>
                <w:color w:val="auto"/>
              </w:rPr>
            </w:pP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77,800</w:t>
            </w:r>
          </w:p>
        </w:tc>
      </w:tr>
      <w:tr>
        <w:trPr>
          <w:trHeight w:val="170"/>
        </w:trPr>
        <w:tc>
          <w:tcPr>
            <w:tcW w:w="5760" w:type="dxa"/>
            <w:vAlign w:val="bottom"/>
          </w:tcPr>
          <w:p>
            <w:pPr>
              <w:spacing w:after="0"/>
              <w:rPr>
                <w:sz w:val="14"/>
                <w:szCs w:val="14"/>
                <w:color w:val="auto"/>
              </w:rPr>
            </w:pPr>
          </w:p>
        </w:tc>
        <w:tc>
          <w:tcPr>
            <w:tcW w:w="1320" w:type="dxa"/>
            <w:vAlign w:val="bottom"/>
            <w:gridSpan w:val="2"/>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339"/>
        </w:trPr>
        <w:tc>
          <w:tcPr>
            <w:tcW w:w="5760" w:type="dxa"/>
            <w:vAlign w:val="bottom"/>
          </w:tcPr>
          <w:p>
            <w:pPr>
              <w:ind w:left="960"/>
              <w:spacing w:after="0"/>
              <w:rPr>
                <w:sz w:val="20"/>
                <w:szCs w:val="20"/>
                <w:color w:val="auto"/>
              </w:rPr>
            </w:pPr>
            <w:r>
              <w:rPr>
                <w:rFonts w:ascii="Courier New" w:cs="Courier New" w:eastAsia="Courier New" w:hAnsi="Courier New"/>
                <w:sz w:val="15"/>
                <w:szCs w:val="15"/>
                <w:color w:val="auto"/>
              </w:rPr>
              <w:t>TOTAL ASSETS</w:t>
            </w:r>
          </w:p>
        </w:tc>
        <w:tc>
          <w:tcPr>
            <w:tcW w:w="1320" w:type="dxa"/>
            <w:vAlign w:val="bottom"/>
            <w:gridSpan w:val="2"/>
          </w:tcPr>
          <w:p>
            <w:pPr>
              <w:jc w:val="right"/>
              <w:ind w:right="227"/>
              <w:spacing w:after="0"/>
              <w:rPr>
                <w:sz w:val="20"/>
                <w:szCs w:val="20"/>
                <w:color w:val="auto"/>
              </w:rPr>
            </w:pPr>
            <w:r>
              <w:rPr>
                <w:rFonts w:ascii="Courier New" w:cs="Courier New" w:eastAsia="Courier New" w:hAnsi="Courier New"/>
                <w:sz w:val="15"/>
                <w:szCs w:val="15"/>
                <w:color w:val="auto"/>
              </w:rPr>
              <w:t>$ 636,039</w:t>
            </w:r>
          </w:p>
        </w:tc>
        <w:tc>
          <w:tcPr>
            <w:tcW w:w="128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$ 781,433</w:t>
            </w:r>
          </w:p>
        </w:tc>
        <w:tc>
          <w:tcPr>
            <w:tcW w:w="124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$ 678,686</w:t>
            </w:r>
          </w:p>
        </w:tc>
      </w:tr>
      <w:tr>
        <w:trPr>
          <w:trHeight w:val="170"/>
        </w:trPr>
        <w:tc>
          <w:tcPr>
            <w:tcW w:w="5760" w:type="dxa"/>
            <w:vAlign w:val="bottom"/>
          </w:tcPr>
          <w:p>
            <w:pPr>
              <w:spacing w:after="0"/>
              <w:rPr>
                <w:sz w:val="14"/>
                <w:szCs w:val="14"/>
                <w:color w:val="auto"/>
              </w:rPr>
            </w:pPr>
          </w:p>
        </w:tc>
        <w:tc>
          <w:tcPr>
            <w:tcW w:w="1320" w:type="dxa"/>
            <w:vAlign w:val="bottom"/>
            <w:gridSpan w:val="2"/>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339"/>
        </w:trPr>
        <w:tc>
          <w:tcPr>
            <w:tcW w:w="5760" w:type="dxa"/>
            <w:vAlign w:val="bottom"/>
          </w:tcPr>
          <w:p>
            <w:pPr>
              <w:spacing w:after="0"/>
              <w:rPr>
                <w:sz w:val="20"/>
                <w:szCs w:val="20"/>
                <w:color w:val="auto"/>
              </w:rPr>
            </w:pPr>
            <w:r>
              <w:rPr>
                <w:rFonts w:ascii="Courier New" w:cs="Courier New" w:eastAsia="Courier New" w:hAnsi="Courier New"/>
                <w:sz w:val="15"/>
                <w:szCs w:val="15"/>
                <w:color w:val="auto"/>
              </w:rPr>
              <w:t>LIABILITIES AND SHAREHOLDERS' EQUITY</w:t>
            </w: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339"/>
        </w:trPr>
        <w:tc>
          <w:tcPr>
            <w:tcW w:w="5760" w:type="dxa"/>
            <w:vAlign w:val="bottom"/>
          </w:tcPr>
          <w:p>
            <w:pPr>
              <w:ind w:left="340"/>
              <w:spacing w:after="0"/>
              <w:rPr>
                <w:sz w:val="20"/>
                <w:szCs w:val="20"/>
                <w:color w:val="auto"/>
              </w:rPr>
            </w:pPr>
            <w:r>
              <w:rPr>
                <w:rFonts w:ascii="Courier New" w:cs="Courier New" w:eastAsia="Courier New" w:hAnsi="Courier New"/>
                <w:sz w:val="15"/>
                <w:szCs w:val="15"/>
                <w:color w:val="auto"/>
              </w:rPr>
              <w:t>CURRENT LIABILITIES</w:t>
            </w: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70"/>
        </w:trPr>
        <w:tc>
          <w:tcPr>
            <w:tcW w:w="5760" w:type="dxa"/>
            <w:vAlign w:val="bottom"/>
          </w:tcPr>
          <w:p>
            <w:pPr>
              <w:ind w:left="520"/>
              <w:spacing w:after="0"/>
              <w:rPr>
                <w:sz w:val="20"/>
                <w:szCs w:val="20"/>
                <w:color w:val="auto"/>
              </w:rPr>
            </w:pPr>
            <w:r>
              <w:rPr>
                <w:rFonts w:ascii="Courier New" w:cs="Courier New" w:eastAsia="Courier New" w:hAnsi="Courier New"/>
                <w:sz w:val="15"/>
                <w:szCs w:val="15"/>
                <w:color w:val="auto"/>
              </w:rPr>
              <w:t>CURRENT MATURITIES OF LONG-TERM DEBT</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21,103</w:t>
            </w:r>
          </w:p>
        </w:tc>
      </w:tr>
      <w:tr>
        <w:trPr>
          <w:trHeight w:val="170"/>
        </w:trPr>
        <w:tc>
          <w:tcPr>
            <w:tcW w:w="5760" w:type="dxa"/>
            <w:vAlign w:val="bottom"/>
          </w:tcPr>
          <w:p>
            <w:pPr>
              <w:ind w:left="520"/>
              <w:spacing w:after="0"/>
              <w:rPr>
                <w:sz w:val="20"/>
                <w:szCs w:val="20"/>
                <w:color w:val="auto"/>
              </w:rPr>
            </w:pPr>
            <w:r>
              <w:rPr>
                <w:rFonts w:ascii="Courier New" w:cs="Courier New" w:eastAsia="Courier New" w:hAnsi="Courier New"/>
                <w:sz w:val="15"/>
                <w:szCs w:val="15"/>
                <w:color w:val="auto"/>
              </w:rPr>
              <w:t>CURRENT MATURITIES OF CONVERTIBLE DEBENTURES</w:t>
            </w:r>
          </w:p>
        </w:tc>
        <w:tc>
          <w:tcPr>
            <w:tcW w:w="320" w:type="dxa"/>
            <w:vAlign w:val="bottom"/>
          </w:tcPr>
          <w:p>
            <w:pPr>
              <w:spacing w:after="0"/>
              <w:rPr>
                <w:sz w:val="14"/>
                <w:szCs w:val="14"/>
                <w:color w:val="auto"/>
              </w:rPr>
            </w:pPr>
          </w:p>
        </w:tc>
        <w:tc>
          <w:tcPr>
            <w:tcW w:w="10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5,734</w:t>
            </w:r>
          </w:p>
        </w:tc>
        <w:tc>
          <w:tcPr>
            <w:tcW w:w="320" w:type="dxa"/>
            <w:vAlign w:val="bottom"/>
          </w:tcPr>
          <w:p>
            <w:pPr>
              <w:spacing w:after="0"/>
              <w:rPr>
                <w:sz w:val="14"/>
                <w:szCs w:val="14"/>
                <w:color w:val="auto"/>
              </w:rPr>
            </w:pPr>
          </w:p>
        </w:tc>
        <w:tc>
          <w:tcPr>
            <w:tcW w:w="9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6,575</w:t>
            </w:r>
          </w:p>
        </w:tc>
        <w:tc>
          <w:tcPr>
            <w:tcW w:w="360" w:type="dxa"/>
            <w:vAlign w:val="bottom"/>
          </w:tcPr>
          <w:p>
            <w:pPr>
              <w:spacing w:after="0"/>
              <w:rPr>
                <w:sz w:val="14"/>
                <w:szCs w:val="14"/>
                <w:color w:val="auto"/>
              </w:rPr>
            </w:pP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6,453</w:t>
            </w:r>
          </w:p>
        </w:tc>
      </w:tr>
      <w:tr>
        <w:trPr>
          <w:trHeight w:val="170"/>
        </w:trPr>
        <w:tc>
          <w:tcPr>
            <w:tcW w:w="5760" w:type="dxa"/>
            <w:vAlign w:val="bottom"/>
          </w:tcPr>
          <w:p>
            <w:pPr>
              <w:ind w:left="520"/>
              <w:spacing w:after="0"/>
              <w:rPr>
                <w:sz w:val="20"/>
                <w:szCs w:val="20"/>
                <w:color w:val="auto"/>
              </w:rPr>
            </w:pPr>
            <w:r>
              <w:rPr>
                <w:rFonts w:ascii="Courier New" w:cs="Courier New" w:eastAsia="Courier New" w:hAnsi="Courier New"/>
                <w:sz w:val="15"/>
                <w:szCs w:val="15"/>
                <w:color w:val="auto"/>
              </w:rPr>
              <w:t>TRADE ACCOUNTS PAYABLE</w:t>
            </w:r>
          </w:p>
        </w:tc>
        <w:tc>
          <w:tcPr>
            <w:tcW w:w="320" w:type="dxa"/>
            <w:vAlign w:val="bottom"/>
          </w:tcPr>
          <w:p>
            <w:pPr>
              <w:spacing w:after="0"/>
              <w:rPr>
                <w:sz w:val="14"/>
                <w:szCs w:val="14"/>
                <w:color w:val="auto"/>
              </w:rPr>
            </w:pPr>
          </w:p>
        </w:tc>
        <w:tc>
          <w:tcPr>
            <w:tcW w:w="10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52,028</w:t>
            </w:r>
          </w:p>
        </w:tc>
        <w:tc>
          <w:tcPr>
            <w:tcW w:w="320" w:type="dxa"/>
            <w:vAlign w:val="bottom"/>
          </w:tcPr>
          <w:p>
            <w:pPr>
              <w:spacing w:after="0"/>
              <w:rPr>
                <w:sz w:val="14"/>
                <w:szCs w:val="14"/>
                <w:color w:val="auto"/>
              </w:rPr>
            </w:pPr>
          </w:p>
        </w:tc>
        <w:tc>
          <w:tcPr>
            <w:tcW w:w="9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53,249</w:t>
            </w:r>
          </w:p>
        </w:tc>
        <w:tc>
          <w:tcPr>
            <w:tcW w:w="360" w:type="dxa"/>
            <w:vAlign w:val="bottom"/>
          </w:tcPr>
          <w:p>
            <w:pPr>
              <w:spacing w:after="0"/>
              <w:rPr>
                <w:sz w:val="14"/>
                <w:szCs w:val="14"/>
                <w:color w:val="auto"/>
              </w:rPr>
            </w:pP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59,741</w:t>
            </w:r>
          </w:p>
        </w:tc>
      </w:tr>
      <w:tr>
        <w:trPr>
          <w:trHeight w:val="170"/>
        </w:trPr>
        <w:tc>
          <w:tcPr>
            <w:tcW w:w="5760" w:type="dxa"/>
            <w:vAlign w:val="bottom"/>
          </w:tcPr>
          <w:p>
            <w:pPr>
              <w:ind w:left="520"/>
              <w:spacing w:after="0"/>
              <w:rPr>
                <w:sz w:val="20"/>
                <w:szCs w:val="20"/>
                <w:color w:val="auto"/>
              </w:rPr>
            </w:pPr>
            <w:r>
              <w:rPr>
                <w:rFonts w:ascii="Courier New" w:cs="Courier New" w:eastAsia="Courier New" w:hAnsi="Courier New"/>
                <w:sz w:val="15"/>
                <w:szCs w:val="15"/>
                <w:color w:val="auto"/>
              </w:rPr>
              <w:t>OTHER CURRENT LIABILITIES</w:t>
            </w:r>
          </w:p>
        </w:tc>
        <w:tc>
          <w:tcPr>
            <w:tcW w:w="320" w:type="dxa"/>
            <w:vAlign w:val="bottom"/>
          </w:tcPr>
          <w:p>
            <w:pPr>
              <w:spacing w:after="0"/>
              <w:rPr>
                <w:sz w:val="14"/>
                <w:szCs w:val="14"/>
                <w:color w:val="auto"/>
              </w:rPr>
            </w:pPr>
          </w:p>
        </w:tc>
        <w:tc>
          <w:tcPr>
            <w:tcW w:w="10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8,913</w:t>
            </w:r>
          </w:p>
        </w:tc>
        <w:tc>
          <w:tcPr>
            <w:tcW w:w="320" w:type="dxa"/>
            <w:vAlign w:val="bottom"/>
          </w:tcPr>
          <w:p>
            <w:pPr>
              <w:spacing w:after="0"/>
              <w:rPr>
                <w:sz w:val="14"/>
                <w:szCs w:val="14"/>
                <w:color w:val="auto"/>
              </w:rPr>
            </w:pPr>
          </w:p>
        </w:tc>
        <w:tc>
          <w:tcPr>
            <w:tcW w:w="9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9,625</w:t>
            </w:r>
          </w:p>
        </w:tc>
        <w:tc>
          <w:tcPr>
            <w:tcW w:w="360" w:type="dxa"/>
            <w:vAlign w:val="bottom"/>
          </w:tcPr>
          <w:p>
            <w:pPr>
              <w:spacing w:after="0"/>
              <w:rPr>
                <w:sz w:val="14"/>
                <w:szCs w:val="14"/>
                <w:color w:val="auto"/>
              </w:rPr>
            </w:pP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8,972</w:t>
            </w:r>
          </w:p>
        </w:tc>
      </w:tr>
      <w:tr>
        <w:trPr>
          <w:trHeight w:val="170"/>
        </w:trPr>
        <w:tc>
          <w:tcPr>
            <w:tcW w:w="5760" w:type="dxa"/>
            <w:vAlign w:val="bottom"/>
          </w:tcPr>
          <w:p>
            <w:pPr>
              <w:spacing w:after="0"/>
              <w:rPr>
                <w:sz w:val="14"/>
                <w:szCs w:val="14"/>
                <w:color w:val="auto"/>
              </w:rPr>
            </w:pPr>
          </w:p>
        </w:tc>
        <w:tc>
          <w:tcPr>
            <w:tcW w:w="1320" w:type="dxa"/>
            <w:vAlign w:val="bottom"/>
            <w:gridSpan w:val="2"/>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170"/>
        </w:trPr>
        <w:tc>
          <w:tcPr>
            <w:tcW w:w="5760" w:type="dxa"/>
            <w:vAlign w:val="bottom"/>
          </w:tcPr>
          <w:p>
            <w:pPr>
              <w:ind w:left="960"/>
              <w:spacing w:after="0"/>
              <w:rPr>
                <w:sz w:val="20"/>
                <w:szCs w:val="20"/>
                <w:color w:val="auto"/>
              </w:rPr>
            </w:pPr>
            <w:r>
              <w:rPr>
                <w:rFonts w:ascii="Courier New" w:cs="Courier New" w:eastAsia="Courier New" w:hAnsi="Courier New"/>
                <w:sz w:val="15"/>
                <w:szCs w:val="15"/>
                <w:color w:val="auto"/>
              </w:rPr>
              <w:t>TOTAL CURRENT LIABILITIES</w:t>
            </w:r>
          </w:p>
        </w:tc>
        <w:tc>
          <w:tcPr>
            <w:tcW w:w="320" w:type="dxa"/>
            <w:vAlign w:val="bottom"/>
          </w:tcPr>
          <w:p>
            <w:pPr>
              <w:spacing w:after="0"/>
              <w:rPr>
                <w:sz w:val="14"/>
                <w:szCs w:val="14"/>
                <w:color w:val="auto"/>
              </w:rPr>
            </w:pPr>
          </w:p>
        </w:tc>
        <w:tc>
          <w:tcPr>
            <w:tcW w:w="10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66,675</w:t>
            </w:r>
          </w:p>
        </w:tc>
        <w:tc>
          <w:tcPr>
            <w:tcW w:w="320" w:type="dxa"/>
            <w:vAlign w:val="bottom"/>
          </w:tcPr>
          <w:p>
            <w:pPr>
              <w:spacing w:after="0"/>
              <w:rPr>
                <w:sz w:val="14"/>
                <w:szCs w:val="14"/>
                <w:color w:val="auto"/>
              </w:rPr>
            </w:pPr>
          </w:p>
        </w:tc>
        <w:tc>
          <w:tcPr>
            <w:tcW w:w="9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69,449</w:t>
            </w:r>
          </w:p>
        </w:tc>
        <w:tc>
          <w:tcPr>
            <w:tcW w:w="360" w:type="dxa"/>
            <w:vAlign w:val="bottom"/>
          </w:tcPr>
          <w:p>
            <w:pPr>
              <w:spacing w:after="0"/>
              <w:rPr>
                <w:sz w:val="14"/>
                <w:szCs w:val="14"/>
                <w:color w:val="auto"/>
              </w:rPr>
            </w:pP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96,269</w:t>
            </w:r>
          </w:p>
        </w:tc>
      </w:tr>
      <w:tr>
        <w:trPr>
          <w:trHeight w:val="339"/>
        </w:trPr>
        <w:tc>
          <w:tcPr>
            <w:tcW w:w="5760" w:type="dxa"/>
            <w:vAlign w:val="bottom"/>
          </w:tcPr>
          <w:p>
            <w:pPr>
              <w:ind w:left="340"/>
              <w:spacing w:after="0"/>
              <w:rPr>
                <w:sz w:val="20"/>
                <w:szCs w:val="20"/>
                <w:color w:val="auto"/>
              </w:rPr>
            </w:pPr>
            <w:r>
              <w:rPr>
                <w:rFonts w:ascii="Courier New" w:cs="Courier New" w:eastAsia="Courier New" w:hAnsi="Courier New"/>
                <w:sz w:val="15"/>
                <w:szCs w:val="15"/>
                <w:color w:val="auto"/>
              </w:rPr>
              <w:t>LONG-TERM DEBT</w:t>
            </w:r>
          </w:p>
        </w:tc>
        <w:tc>
          <w:tcPr>
            <w:tcW w:w="320" w:type="dxa"/>
            <w:vAlign w:val="bottom"/>
          </w:tcPr>
          <w:p>
            <w:pPr>
              <w:spacing w:after="0"/>
              <w:rPr>
                <w:sz w:val="24"/>
                <w:szCs w:val="24"/>
                <w:color w:val="auto"/>
              </w:rPr>
            </w:pPr>
          </w:p>
        </w:tc>
        <w:tc>
          <w:tcPr>
            <w:tcW w:w="10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514,966</w:t>
            </w:r>
          </w:p>
        </w:tc>
        <w:tc>
          <w:tcPr>
            <w:tcW w:w="320" w:type="dxa"/>
            <w:vAlign w:val="bottom"/>
          </w:tcPr>
          <w:p>
            <w:pPr>
              <w:spacing w:after="0"/>
              <w:rPr>
                <w:sz w:val="24"/>
                <w:szCs w:val="24"/>
                <w:color w:val="auto"/>
              </w:rPr>
            </w:pPr>
          </w:p>
        </w:tc>
        <w:tc>
          <w:tcPr>
            <w:tcW w:w="9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497,000</w:t>
            </w:r>
          </w:p>
        </w:tc>
        <w:tc>
          <w:tcPr>
            <w:tcW w:w="360" w:type="dxa"/>
            <w:vAlign w:val="bottom"/>
          </w:tcPr>
          <w:p>
            <w:pPr>
              <w:spacing w:after="0"/>
              <w:rPr>
                <w:sz w:val="24"/>
                <w:szCs w:val="24"/>
                <w:color w:val="auto"/>
              </w:rPr>
            </w:pP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497,000</w:t>
            </w:r>
          </w:p>
        </w:tc>
      </w:tr>
      <w:tr>
        <w:trPr>
          <w:trHeight w:val="339"/>
        </w:trPr>
        <w:tc>
          <w:tcPr>
            <w:tcW w:w="5760" w:type="dxa"/>
            <w:vAlign w:val="bottom"/>
          </w:tcPr>
          <w:p>
            <w:pPr>
              <w:ind w:left="340"/>
              <w:spacing w:after="0"/>
              <w:rPr>
                <w:sz w:val="20"/>
                <w:szCs w:val="20"/>
                <w:color w:val="auto"/>
              </w:rPr>
            </w:pPr>
            <w:r>
              <w:rPr>
                <w:rFonts w:ascii="Courier New" w:cs="Courier New" w:eastAsia="Courier New" w:hAnsi="Courier New"/>
                <w:sz w:val="15"/>
                <w:szCs w:val="15"/>
                <w:color w:val="auto"/>
              </w:rPr>
              <w:t>CONVERTIBLE DEBENTURES</w:t>
            </w:r>
          </w:p>
        </w:tc>
        <w:tc>
          <w:tcPr>
            <w:tcW w:w="320" w:type="dxa"/>
            <w:vAlign w:val="bottom"/>
          </w:tcPr>
          <w:p>
            <w:pPr>
              <w:spacing w:after="0"/>
              <w:rPr>
                <w:sz w:val="24"/>
                <w:szCs w:val="24"/>
                <w:color w:val="auto"/>
              </w:rPr>
            </w:pPr>
          </w:p>
        </w:tc>
        <w:tc>
          <w:tcPr>
            <w:tcW w:w="10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34,429</w:t>
            </w:r>
          </w:p>
        </w:tc>
        <w:tc>
          <w:tcPr>
            <w:tcW w:w="320" w:type="dxa"/>
            <w:vAlign w:val="bottom"/>
          </w:tcPr>
          <w:p>
            <w:pPr>
              <w:spacing w:after="0"/>
              <w:rPr>
                <w:sz w:val="24"/>
                <w:szCs w:val="24"/>
                <w:color w:val="auto"/>
              </w:rPr>
            </w:pPr>
          </w:p>
        </w:tc>
        <w:tc>
          <w:tcPr>
            <w:tcW w:w="9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19,724</w:t>
            </w:r>
          </w:p>
        </w:tc>
        <w:tc>
          <w:tcPr>
            <w:tcW w:w="360" w:type="dxa"/>
            <w:vAlign w:val="bottom"/>
          </w:tcPr>
          <w:p>
            <w:pPr>
              <w:spacing w:after="0"/>
              <w:rPr>
                <w:sz w:val="24"/>
                <w:szCs w:val="24"/>
                <w:color w:val="auto"/>
              </w:rPr>
            </w:pP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19,358</w:t>
            </w:r>
          </w:p>
        </w:tc>
      </w:tr>
      <w:tr>
        <w:trPr>
          <w:trHeight w:val="339"/>
        </w:trPr>
        <w:tc>
          <w:tcPr>
            <w:tcW w:w="5760" w:type="dxa"/>
            <w:vAlign w:val="bottom"/>
          </w:tcPr>
          <w:p>
            <w:pPr>
              <w:ind w:left="340"/>
              <w:spacing w:after="0"/>
              <w:rPr>
                <w:sz w:val="20"/>
                <w:szCs w:val="20"/>
                <w:color w:val="auto"/>
              </w:rPr>
            </w:pPr>
            <w:r>
              <w:rPr>
                <w:rFonts w:ascii="Courier New" w:cs="Courier New" w:eastAsia="Courier New" w:hAnsi="Courier New"/>
                <w:sz w:val="15"/>
                <w:szCs w:val="15"/>
                <w:color w:val="auto"/>
              </w:rPr>
              <w:t>LONG-TERM LIABILITY IN RESPECT</w:t>
            </w: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70"/>
        </w:trPr>
        <w:tc>
          <w:tcPr>
            <w:tcW w:w="5760" w:type="dxa"/>
            <w:vAlign w:val="bottom"/>
          </w:tcPr>
          <w:p>
            <w:pPr>
              <w:ind w:left="600"/>
              <w:spacing w:after="0"/>
              <w:rPr>
                <w:sz w:val="20"/>
                <w:szCs w:val="20"/>
                <w:color w:val="auto"/>
              </w:rPr>
            </w:pPr>
            <w:r>
              <w:rPr>
                <w:rFonts w:ascii="Courier New" w:cs="Courier New" w:eastAsia="Courier New" w:hAnsi="Courier New"/>
                <w:sz w:val="15"/>
                <w:szCs w:val="15"/>
                <w:color w:val="auto"/>
              </w:rPr>
              <w:t>OF CUSTOMERS' ADVANCES</w:t>
            </w:r>
          </w:p>
        </w:tc>
        <w:tc>
          <w:tcPr>
            <w:tcW w:w="320" w:type="dxa"/>
            <w:vAlign w:val="bottom"/>
          </w:tcPr>
          <w:p>
            <w:pPr>
              <w:spacing w:after="0"/>
              <w:rPr>
                <w:sz w:val="14"/>
                <w:szCs w:val="14"/>
                <w:color w:val="auto"/>
              </w:rPr>
            </w:pPr>
          </w:p>
        </w:tc>
        <w:tc>
          <w:tcPr>
            <w:tcW w:w="10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54,537</w:t>
            </w:r>
          </w:p>
        </w:tc>
        <w:tc>
          <w:tcPr>
            <w:tcW w:w="320" w:type="dxa"/>
            <w:vAlign w:val="bottom"/>
          </w:tcPr>
          <w:p>
            <w:pPr>
              <w:spacing w:after="0"/>
              <w:rPr>
                <w:sz w:val="14"/>
                <w:szCs w:val="14"/>
                <w:color w:val="auto"/>
              </w:rPr>
            </w:pPr>
          </w:p>
        </w:tc>
        <w:tc>
          <w:tcPr>
            <w:tcW w:w="9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63,326</w:t>
            </w:r>
          </w:p>
        </w:tc>
        <w:tc>
          <w:tcPr>
            <w:tcW w:w="360" w:type="dxa"/>
            <w:vAlign w:val="bottom"/>
          </w:tcPr>
          <w:p>
            <w:pPr>
              <w:spacing w:after="0"/>
              <w:rPr>
                <w:sz w:val="14"/>
                <w:szCs w:val="14"/>
                <w:color w:val="auto"/>
              </w:rPr>
            </w:pP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59,621</w:t>
            </w:r>
          </w:p>
        </w:tc>
      </w:tr>
      <w:tr>
        <w:trPr>
          <w:trHeight w:val="339"/>
        </w:trPr>
        <w:tc>
          <w:tcPr>
            <w:tcW w:w="5760" w:type="dxa"/>
            <w:vAlign w:val="bottom"/>
          </w:tcPr>
          <w:p>
            <w:pPr>
              <w:ind w:left="340"/>
              <w:spacing w:after="0"/>
              <w:rPr>
                <w:sz w:val="20"/>
                <w:szCs w:val="20"/>
                <w:color w:val="auto"/>
              </w:rPr>
            </w:pPr>
            <w:r>
              <w:rPr>
                <w:rFonts w:ascii="Courier New" w:cs="Courier New" w:eastAsia="Courier New" w:hAnsi="Courier New"/>
                <w:sz w:val="15"/>
                <w:szCs w:val="15"/>
                <w:color w:val="auto"/>
              </w:rPr>
              <w:t>OTHER LONG-TERM LIABILITIES</w:t>
            </w:r>
          </w:p>
        </w:tc>
        <w:tc>
          <w:tcPr>
            <w:tcW w:w="320" w:type="dxa"/>
            <w:vAlign w:val="bottom"/>
          </w:tcPr>
          <w:p>
            <w:pPr>
              <w:spacing w:after="0"/>
              <w:rPr>
                <w:sz w:val="24"/>
                <w:szCs w:val="24"/>
                <w:color w:val="auto"/>
              </w:rPr>
            </w:pPr>
          </w:p>
        </w:tc>
        <w:tc>
          <w:tcPr>
            <w:tcW w:w="10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10,238</w:t>
            </w:r>
          </w:p>
        </w:tc>
        <w:tc>
          <w:tcPr>
            <w:tcW w:w="320" w:type="dxa"/>
            <w:vAlign w:val="bottom"/>
          </w:tcPr>
          <w:p>
            <w:pPr>
              <w:spacing w:after="0"/>
              <w:rPr>
                <w:sz w:val="24"/>
                <w:szCs w:val="24"/>
                <w:color w:val="auto"/>
              </w:rPr>
            </w:pPr>
          </w:p>
        </w:tc>
        <w:tc>
          <w:tcPr>
            <w:tcW w:w="9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19,274</w:t>
            </w:r>
          </w:p>
        </w:tc>
        <w:tc>
          <w:tcPr>
            <w:tcW w:w="360" w:type="dxa"/>
            <w:vAlign w:val="bottom"/>
          </w:tcPr>
          <w:p>
            <w:pPr>
              <w:spacing w:after="0"/>
              <w:rPr>
                <w:sz w:val="24"/>
                <w:szCs w:val="24"/>
                <w:color w:val="auto"/>
              </w:rPr>
            </w:pP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11,012</w:t>
            </w:r>
          </w:p>
        </w:tc>
      </w:tr>
      <w:tr>
        <w:trPr>
          <w:trHeight w:val="170"/>
        </w:trPr>
        <w:tc>
          <w:tcPr>
            <w:tcW w:w="5760" w:type="dxa"/>
            <w:vAlign w:val="bottom"/>
          </w:tcPr>
          <w:p>
            <w:pPr>
              <w:spacing w:after="0"/>
              <w:rPr>
                <w:sz w:val="14"/>
                <w:szCs w:val="14"/>
                <w:color w:val="auto"/>
              </w:rPr>
            </w:pPr>
          </w:p>
        </w:tc>
        <w:tc>
          <w:tcPr>
            <w:tcW w:w="1320" w:type="dxa"/>
            <w:vAlign w:val="bottom"/>
            <w:gridSpan w:val="2"/>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170"/>
        </w:trPr>
        <w:tc>
          <w:tcPr>
            <w:tcW w:w="5760" w:type="dxa"/>
            <w:vAlign w:val="bottom"/>
          </w:tcPr>
          <w:p>
            <w:pPr>
              <w:ind w:left="960"/>
              <w:spacing w:after="0"/>
              <w:rPr>
                <w:sz w:val="20"/>
                <w:szCs w:val="20"/>
                <w:color w:val="auto"/>
              </w:rPr>
            </w:pPr>
            <w:r>
              <w:rPr>
                <w:rFonts w:ascii="Courier New" w:cs="Courier New" w:eastAsia="Courier New" w:hAnsi="Courier New"/>
                <w:sz w:val="15"/>
                <w:szCs w:val="15"/>
                <w:color w:val="auto"/>
              </w:rPr>
              <w:t>TOTAL LIABILITIES</w:t>
            </w:r>
          </w:p>
        </w:tc>
        <w:tc>
          <w:tcPr>
            <w:tcW w:w="320" w:type="dxa"/>
            <w:vAlign w:val="bottom"/>
          </w:tcPr>
          <w:p>
            <w:pPr>
              <w:spacing w:after="0"/>
              <w:rPr>
                <w:sz w:val="14"/>
                <w:szCs w:val="14"/>
                <w:color w:val="auto"/>
              </w:rPr>
            </w:pPr>
          </w:p>
        </w:tc>
        <w:tc>
          <w:tcPr>
            <w:tcW w:w="10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680,845</w:t>
            </w:r>
          </w:p>
        </w:tc>
        <w:tc>
          <w:tcPr>
            <w:tcW w:w="320" w:type="dxa"/>
            <w:vAlign w:val="bottom"/>
          </w:tcPr>
          <w:p>
            <w:pPr>
              <w:spacing w:after="0"/>
              <w:rPr>
                <w:sz w:val="14"/>
                <w:szCs w:val="14"/>
                <w:color w:val="auto"/>
              </w:rPr>
            </w:pPr>
          </w:p>
        </w:tc>
        <w:tc>
          <w:tcPr>
            <w:tcW w:w="9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668,773</w:t>
            </w:r>
          </w:p>
        </w:tc>
        <w:tc>
          <w:tcPr>
            <w:tcW w:w="360" w:type="dxa"/>
            <w:vAlign w:val="bottom"/>
          </w:tcPr>
          <w:p>
            <w:pPr>
              <w:spacing w:after="0"/>
              <w:rPr>
                <w:sz w:val="14"/>
                <w:szCs w:val="14"/>
                <w:color w:val="auto"/>
              </w:rPr>
            </w:pP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683,260</w:t>
            </w:r>
          </w:p>
        </w:tc>
      </w:tr>
      <w:tr>
        <w:trPr>
          <w:trHeight w:val="170"/>
        </w:trPr>
        <w:tc>
          <w:tcPr>
            <w:tcW w:w="5760" w:type="dxa"/>
            <w:vAlign w:val="bottom"/>
          </w:tcPr>
          <w:p>
            <w:pPr>
              <w:spacing w:after="0"/>
              <w:rPr>
                <w:sz w:val="14"/>
                <w:szCs w:val="14"/>
                <w:color w:val="auto"/>
              </w:rPr>
            </w:pPr>
          </w:p>
        </w:tc>
        <w:tc>
          <w:tcPr>
            <w:tcW w:w="1320" w:type="dxa"/>
            <w:vAlign w:val="bottom"/>
            <w:gridSpan w:val="2"/>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339"/>
        </w:trPr>
        <w:tc>
          <w:tcPr>
            <w:tcW w:w="5760" w:type="dxa"/>
            <w:vAlign w:val="bottom"/>
          </w:tcPr>
          <w:p>
            <w:pPr>
              <w:ind w:left="340"/>
              <w:spacing w:after="0"/>
              <w:rPr>
                <w:sz w:val="20"/>
                <w:szCs w:val="20"/>
                <w:color w:val="auto"/>
              </w:rPr>
            </w:pPr>
            <w:r>
              <w:rPr>
                <w:rFonts w:ascii="Courier New" w:cs="Courier New" w:eastAsia="Courier New" w:hAnsi="Courier New"/>
                <w:sz w:val="15"/>
                <w:szCs w:val="15"/>
                <w:color w:val="auto"/>
              </w:rPr>
              <w:t>CONVERTIBLE DEBENTURES</w:t>
            </w:r>
          </w:p>
        </w:tc>
        <w:tc>
          <w:tcPr>
            <w:tcW w:w="320" w:type="dxa"/>
            <w:vAlign w:val="bottom"/>
          </w:tcPr>
          <w:p>
            <w:pPr>
              <w:spacing w:after="0"/>
              <w:rPr>
                <w:sz w:val="24"/>
                <w:szCs w:val="24"/>
                <w:color w:val="auto"/>
              </w:rPr>
            </w:pPr>
          </w:p>
        </w:tc>
        <w:tc>
          <w:tcPr>
            <w:tcW w:w="10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24"/>
                <w:szCs w:val="24"/>
                <w:color w:val="auto"/>
              </w:rPr>
            </w:pPr>
          </w:p>
        </w:tc>
        <w:tc>
          <w:tcPr>
            <w:tcW w:w="9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24"/>
                <w:szCs w:val="24"/>
                <w:color w:val="auto"/>
              </w:rPr>
            </w:pP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25,493</w:t>
            </w:r>
          </w:p>
        </w:tc>
      </w:tr>
      <w:tr>
        <w:trPr>
          <w:trHeight w:val="170"/>
        </w:trPr>
        <w:tc>
          <w:tcPr>
            <w:tcW w:w="5760" w:type="dxa"/>
            <w:vAlign w:val="bottom"/>
          </w:tcPr>
          <w:p>
            <w:pPr>
              <w:spacing w:after="0"/>
              <w:rPr>
                <w:sz w:val="14"/>
                <w:szCs w:val="14"/>
                <w:color w:val="auto"/>
              </w:rPr>
            </w:pPr>
          </w:p>
        </w:tc>
        <w:tc>
          <w:tcPr>
            <w:tcW w:w="1320" w:type="dxa"/>
            <w:vAlign w:val="bottom"/>
            <w:gridSpan w:val="2"/>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339"/>
        </w:trPr>
        <w:tc>
          <w:tcPr>
            <w:tcW w:w="5760" w:type="dxa"/>
            <w:vAlign w:val="bottom"/>
          </w:tcPr>
          <w:p>
            <w:pPr>
              <w:ind w:left="340"/>
              <w:spacing w:after="0"/>
              <w:rPr>
                <w:sz w:val="20"/>
                <w:szCs w:val="20"/>
                <w:color w:val="auto"/>
              </w:rPr>
            </w:pPr>
            <w:r>
              <w:rPr>
                <w:rFonts w:ascii="Courier New" w:cs="Courier New" w:eastAsia="Courier New" w:hAnsi="Courier New"/>
                <w:sz w:val="15"/>
                <w:szCs w:val="15"/>
                <w:color w:val="auto"/>
              </w:rPr>
              <w:t>SHAREHOLDERS' EQUITY (DEFICIT)</w:t>
            </w: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70"/>
        </w:trPr>
        <w:tc>
          <w:tcPr>
            <w:tcW w:w="5760" w:type="dxa"/>
            <w:vAlign w:val="bottom"/>
          </w:tcPr>
          <w:p>
            <w:pPr>
              <w:ind w:left="520"/>
              <w:spacing w:after="0"/>
              <w:rPr>
                <w:sz w:val="20"/>
                <w:szCs w:val="20"/>
                <w:color w:val="auto"/>
              </w:rPr>
            </w:pPr>
            <w:r>
              <w:rPr>
                <w:rFonts w:ascii="Courier New" w:cs="Courier New" w:eastAsia="Courier New" w:hAnsi="Courier New"/>
                <w:sz w:val="15"/>
                <w:szCs w:val="15"/>
                <w:color w:val="auto"/>
              </w:rPr>
              <w:t>ORDINARY SHARES, NIS 1.00 PAR VALUE - AUTHORIZED</w:t>
            </w:r>
          </w:p>
        </w:tc>
        <w:tc>
          <w:tcPr>
            <w:tcW w:w="3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0"/>
        </w:trPr>
        <w:tc>
          <w:tcPr>
            <w:tcW w:w="5760" w:type="dxa"/>
            <w:vAlign w:val="bottom"/>
          </w:tcPr>
          <w:p>
            <w:pPr>
              <w:ind w:left="780"/>
              <w:spacing w:after="0"/>
              <w:rPr>
                <w:sz w:val="20"/>
                <w:szCs w:val="20"/>
                <w:color w:val="auto"/>
              </w:rPr>
            </w:pPr>
            <w:r>
              <w:rPr>
                <w:rFonts w:ascii="Courier New" w:cs="Courier New" w:eastAsia="Courier New" w:hAnsi="Courier New"/>
                <w:sz w:val="15"/>
                <w:szCs w:val="15"/>
                <w:color w:val="auto"/>
              </w:rPr>
              <w:t>500,000,000, 250,000,000 AND 500,000,000</w:t>
            </w:r>
          </w:p>
        </w:tc>
        <w:tc>
          <w:tcPr>
            <w:tcW w:w="3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0"/>
        </w:trPr>
        <w:tc>
          <w:tcPr>
            <w:tcW w:w="5760" w:type="dxa"/>
            <w:vAlign w:val="bottom"/>
          </w:tcPr>
          <w:p>
            <w:pPr>
              <w:ind w:left="780"/>
              <w:spacing w:after="0"/>
              <w:rPr>
                <w:sz w:val="20"/>
                <w:szCs w:val="20"/>
                <w:color w:val="auto"/>
              </w:rPr>
            </w:pPr>
            <w:r>
              <w:rPr>
                <w:rFonts w:ascii="Courier New" w:cs="Courier New" w:eastAsia="Courier New" w:hAnsi="Courier New"/>
                <w:sz w:val="15"/>
                <w:szCs w:val="15"/>
                <w:color w:val="auto"/>
              </w:rPr>
              <w:t>SHARES, RESPECTIVELY; ISSUED 76,946,189, 66,999,796</w:t>
            </w:r>
          </w:p>
        </w:tc>
        <w:tc>
          <w:tcPr>
            <w:tcW w:w="3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0"/>
        </w:trPr>
        <w:tc>
          <w:tcPr>
            <w:tcW w:w="5760" w:type="dxa"/>
            <w:vAlign w:val="bottom"/>
          </w:tcPr>
          <w:p>
            <w:pPr>
              <w:ind w:left="880"/>
              <w:spacing w:after="0"/>
              <w:rPr>
                <w:sz w:val="20"/>
                <w:szCs w:val="20"/>
                <w:color w:val="auto"/>
              </w:rPr>
            </w:pPr>
            <w:r>
              <w:rPr>
                <w:rFonts w:ascii="Courier New" w:cs="Courier New" w:eastAsia="Courier New" w:hAnsi="Courier New"/>
                <w:sz w:val="15"/>
                <w:szCs w:val="15"/>
                <w:color w:val="auto"/>
              </w:rPr>
              <w:t>AND 68,232,056 SHARES, RESPECTIVELY</w:t>
            </w:r>
          </w:p>
        </w:tc>
        <w:tc>
          <w:tcPr>
            <w:tcW w:w="320" w:type="dxa"/>
            <w:vAlign w:val="bottom"/>
          </w:tcPr>
          <w:p>
            <w:pPr>
              <w:spacing w:after="0"/>
              <w:rPr>
                <w:sz w:val="14"/>
                <w:szCs w:val="14"/>
                <w:color w:val="auto"/>
              </w:rPr>
            </w:pPr>
          </w:p>
        </w:tc>
        <w:tc>
          <w:tcPr>
            <w:tcW w:w="10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18,403</w:t>
            </w:r>
          </w:p>
        </w:tc>
        <w:tc>
          <w:tcPr>
            <w:tcW w:w="320" w:type="dxa"/>
            <w:vAlign w:val="bottom"/>
          </w:tcPr>
          <w:p>
            <w:pPr>
              <w:spacing w:after="0"/>
              <w:rPr>
                <w:sz w:val="14"/>
                <w:szCs w:val="14"/>
                <w:color w:val="auto"/>
              </w:rPr>
            </w:pPr>
          </w:p>
        </w:tc>
        <w:tc>
          <w:tcPr>
            <w:tcW w:w="9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16,274</w:t>
            </w:r>
          </w:p>
        </w:tc>
        <w:tc>
          <w:tcPr>
            <w:tcW w:w="360" w:type="dxa"/>
            <w:vAlign w:val="bottom"/>
          </w:tcPr>
          <w:p>
            <w:pPr>
              <w:spacing w:after="0"/>
              <w:rPr>
                <w:sz w:val="14"/>
                <w:szCs w:val="14"/>
                <w:color w:val="auto"/>
              </w:rPr>
            </w:pP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16,548</w:t>
            </w:r>
          </w:p>
        </w:tc>
      </w:tr>
      <w:tr>
        <w:trPr>
          <w:trHeight w:val="170"/>
        </w:trPr>
        <w:tc>
          <w:tcPr>
            <w:tcW w:w="5760" w:type="dxa"/>
            <w:vAlign w:val="bottom"/>
          </w:tcPr>
          <w:p>
            <w:pPr>
              <w:ind w:left="520"/>
              <w:spacing w:after="0"/>
              <w:rPr>
                <w:sz w:val="20"/>
                <w:szCs w:val="20"/>
                <w:color w:val="auto"/>
              </w:rPr>
            </w:pPr>
            <w:r>
              <w:rPr>
                <w:rFonts w:ascii="Courier New" w:cs="Courier New" w:eastAsia="Courier New" w:hAnsi="Courier New"/>
                <w:sz w:val="15"/>
                <w:szCs w:val="15"/>
                <w:color w:val="auto"/>
              </w:rPr>
              <w:t>ADDITIONAL PAID-IN CAPITAL</w:t>
            </w:r>
          </w:p>
        </w:tc>
        <w:tc>
          <w:tcPr>
            <w:tcW w:w="320" w:type="dxa"/>
            <w:vAlign w:val="bottom"/>
          </w:tcPr>
          <w:p>
            <w:pPr>
              <w:spacing w:after="0"/>
              <w:rPr>
                <w:sz w:val="14"/>
                <w:szCs w:val="14"/>
                <w:color w:val="auto"/>
              </w:rPr>
            </w:pPr>
          </w:p>
        </w:tc>
        <w:tc>
          <w:tcPr>
            <w:tcW w:w="10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531,123</w:t>
            </w:r>
          </w:p>
        </w:tc>
        <w:tc>
          <w:tcPr>
            <w:tcW w:w="320" w:type="dxa"/>
            <w:vAlign w:val="bottom"/>
          </w:tcPr>
          <w:p>
            <w:pPr>
              <w:spacing w:after="0"/>
              <w:rPr>
                <w:sz w:val="14"/>
                <w:szCs w:val="14"/>
                <w:color w:val="auto"/>
              </w:rPr>
            </w:pPr>
          </w:p>
        </w:tc>
        <w:tc>
          <w:tcPr>
            <w:tcW w:w="9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517,476</w:t>
            </w:r>
          </w:p>
        </w:tc>
        <w:tc>
          <w:tcPr>
            <w:tcW w:w="360" w:type="dxa"/>
            <w:vAlign w:val="bottom"/>
          </w:tcPr>
          <w:p>
            <w:pPr>
              <w:spacing w:after="0"/>
              <w:rPr>
                <w:sz w:val="14"/>
                <w:szCs w:val="14"/>
                <w:color w:val="auto"/>
              </w:rPr>
            </w:pP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522,237</w:t>
            </w:r>
          </w:p>
        </w:tc>
      </w:tr>
      <w:tr>
        <w:trPr>
          <w:trHeight w:val="170"/>
        </w:trPr>
        <w:tc>
          <w:tcPr>
            <w:tcW w:w="5760" w:type="dxa"/>
            <w:vAlign w:val="bottom"/>
          </w:tcPr>
          <w:p>
            <w:pPr>
              <w:ind w:left="520"/>
              <w:spacing w:after="0"/>
              <w:rPr>
                <w:sz w:val="20"/>
                <w:szCs w:val="20"/>
                <w:color w:val="auto"/>
              </w:rPr>
            </w:pPr>
            <w:r>
              <w:rPr>
                <w:rFonts w:ascii="Courier New" w:cs="Courier New" w:eastAsia="Courier New" w:hAnsi="Courier New"/>
                <w:sz w:val="15"/>
                <w:szCs w:val="15"/>
                <w:color w:val="auto"/>
              </w:rPr>
              <w:t>EQUITY COMPONENT OF CONVERTIBLE DEBENTURES AND CUMULATIVE</w:t>
            </w:r>
          </w:p>
        </w:tc>
        <w:tc>
          <w:tcPr>
            <w:tcW w:w="3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0"/>
        </w:trPr>
        <w:tc>
          <w:tcPr>
            <w:tcW w:w="5760" w:type="dxa"/>
            <w:vAlign w:val="bottom"/>
          </w:tcPr>
          <w:p>
            <w:pPr>
              <w:ind w:left="780"/>
              <w:spacing w:after="0"/>
              <w:rPr>
                <w:sz w:val="20"/>
                <w:szCs w:val="20"/>
                <w:color w:val="auto"/>
              </w:rPr>
            </w:pPr>
            <w:r>
              <w:rPr>
                <w:rFonts w:ascii="Courier New" w:cs="Courier New" w:eastAsia="Courier New" w:hAnsi="Courier New"/>
                <w:sz w:val="15"/>
                <w:szCs w:val="15"/>
                <w:color w:val="auto"/>
              </w:rPr>
              <w:t>STOCK BASED COMPENSATION</w:t>
            </w:r>
          </w:p>
        </w:tc>
        <w:tc>
          <w:tcPr>
            <w:tcW w:w="320" w:type="dxa"/>
            <w:vAlign w:val="bottom"/>
          </w:tcPr>
          <w:p>
            <w:pPr>
              <w:spacing w:after="0"/>
              <w:rPr>
                <w:sz w:val="14"/>
                <w:szCs w:val="14"/>
                <w:color w:val="auto"/>
              </w:rPr>
            </w:pPr>
          </w:p>
        </w:tc>
        <w:tc>
          <w:tcPr>
            <w:tcW w:w="10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19,550</w:t>
            </w:r>
          </w:p>
        </w:tc>
        <w:tc>
          <w:tcPr>
            <w:tcW w:w="320" w:type="dxa"/>
            <w:vAlign w:val="bottom"/>
          </w:tcPr>
          <w:p>
            <w:pPr>
              <w:spacing w:after="0"/>
              <w:rPr>
                <w:sz w:val="14"/>
                <w:szCs w:val="14"/>
                <w:color w:val="auto"/>
              </w:rPr>
            </w:pPr>
          </w:p>
        </w:tc>
        <w:tc>
          <w:tcPr>
            <w:tcW w:w="9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(26)</w:t>
            </w:r>
          </w:p>
        </w:tc>
        <w:tc>
          <w:tcPr>
            <w:tcW w:w="360" w:type="dxa"/>
            <w:vAlign w:val="bottom"/>
          </w:tcPr>
          <w:p>
            <w:pPr>
              <w:spacing w:after="0"/>
              <w:rPr>
                <w:sz w:val="14"/>
                <w:szCs w:val="14"/>
                <w:color w:val="auto"/>
              </w:rPr>
            </w:pP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(26)</w:t>
            </w:r>
          </w:p>
        </w:tc>
      </w:tr>
      <w:tr>
        <w:trPr>
          <w:trHeight w:val="170"/>
        </w:trPr>
        <w:tc>
          <w:tcPr>
            <w:tcW w:w="5760" w:type="dxa"/>
            <w:vAlign w:val="bottom"/>
          </w:tcPr>
          <w:p>
            <w:pPr>
              <w:ind w:left="520"/>
              <w:spacing w:after="0"/>
              <w:rPr>
                <w:sz w:val="20"/>
                <w:szCs w:val="20"/>
                <w:color w:val="auto"/>
              </w:rPr>
            </w:pPr>
            <w:r>
              <w:rPr>
                <w:rFonts w:ascii="Courier New" w:cs="Courier New" w:eastAsia="Courier New" w:hAnsi="Courier New"/>
                <w:sz w:val="15"/>
                <w:szCs w:val="15"/>
                <w:color w:val="auto"/>
              </w:rPr>
              <w:t>ACCUMULATED DEFICIT</w:t>
            </w:r>
          </w:p>
        </w:tc>
        <w:tc>
          <w:tcPr>
            <w:tcW w:w="320" w:type="dxa"/>
            <w:vAlign w:val="bottom"/>
          </w:tcPr>
          <w:p>
            <w:pPr>
              <w:spacing w:after="0"/>
              <w:rPr>
                <w:sz w:val="14"/>
                <w:szCs w:val="14"/>
                <w:color w:val="auto"/>
              </w:rPr>
            </w:pPr>
          </w:p>
        </w:tc>
        <w:tc>
          <w:tcPr>
            <w:tcW w:w="100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3"/>
              </w:rPr>
              <w:t>(604,810)</w:t>
            </w:r>
          </w:p>
        </w:tc>
        <w:tc>
          <w:tcPr>
            <w:tcW w:w="320" w:type="dxa"/>
            <w:vAlign w:val="bottom"/>
          </w:tcPr>
          <w:p>
            <w:pPr>
              <w:spacing w:after="0"/>
              <w:rPr>
                <w:sz w:val="14"/>
                <w:szCs w:val="14"/>
                <w:color w:val="auto"/>
              </w:rPr>
            </w:pPr>
          </w:p>
        </w:tc>
        <w:tc>
          <w:tcPr>
            <w:tcW w:w="96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3"/>
              </w:rPr>
              <w:t>(411,992)</w:t>
            </w:r>
          </w:p>
        </w:tc>
        <w:tc>
          <w:tcPr>
            <w:tcW w:w="360" w:type="dxa"/>
            <w:vAlign w:val="bottom"/>
          </w:tcPr>
          <w:p>
            <w:pPr>
              <w:spacing w:after="0"/>
              <w:rPr>
                <w:sz w:val="14"/>
                <w:szCs w:val="14"/>
                <w:color w:val="auto"/>
              </w:rPr>
            </w:pP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3"/>
              </w:rPr>
              <w:t>(559,754)</w:t>
            </w:r>
          </w:p>
        </w:tc>
      </w:tr>
      <w:tr>
        <w:trPr>
          <w:trHeight w:val="170"/>
        </w:trPr>
        <w:tc>
          <w:tcPr>
            <w:tcW w:w="5760" w:type="dxa"/>
            <w:vAlign w:val="bottom"/>
          </w:tcPr>
          <w:p>
            <w:pPr>
              <w:spacing w:after="0"/>
              <w:rPr>
                <w:sz w:val="14"/>
                <w:szCs w:val="14"/>
                <w:color w:val="auto"/>
              </w:rPr>
            </w:pPr>
          </w:p>
        </w:tc>
        <w:tc>
          <w:tcPr>
            <w:tcW w:w="1320" w:type="dxa"/>
            <w:vAlign w:val="bottom"/>
            <w:gridSpan w:val="2"/>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170"/>
        </w:trPr>
        <w:tc>
          <w:tcPr>
            <w:tcW w:w="57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(35,734)</w:t>
            </w:r>
          </w:p>
        </w:tc>
        <w:tc>
          <w:tcPr>
            <w:tcW w:w="320" w:type="dxa"/>
            <w:vAlign w:val="bottom"/>
          </w:tcPr>
          <w:p>
            <w:pPr>
              <w:spacing w:after="0"/>
              <w:rPr>
                <w:sz w:val="14"/>
                <w:szCs w:val="14"/>
                <w:color w:val="auto"/>
              </w:rPr>
            </w:pPr>
          </w:p>
        </w:tc>
        <w:tc>
          <w:tcPr>
            <w:tcW w:w="9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121,732</w:t>
            </w:r>
          </w:p>
        </w:tc>
        <w:tc>
          <w:tcPr>
            <w:tcW w:w="360" w:type="dxa"/>
            <w:vAlign w:val="bottom"/>
          </w:tcPr>
          <w:p>
            <w:pPr>
              <w:spacing w:after="0"/>
              <w:rPr>
                <w:sz w:val="14"/>
                <w:szCs w:val="14"/>
                <w:color w:val="auto"/>
              </w:rPr>
            </w:pP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(20,995)</w:t>
            </w:r>
          </w:p>
        </w:tc>
      </w:tr>
      <w:tr>
        <w:trPr>
          <w:trHeight w:val="170"/>
        </w:trPr>
        <w:tc>
          <w:tcPr>
            <w:tcW w:w="5760" w:type="dxa"/>
            <w:vAlign w:val="bottom"/>
          </w:tcPr>
          <w:p>
            <w:pPr>
              <w:ind w:left="520"/>
              <w:spacing w:after="0"/>
              <w:rPr>
                <w:sz w:val="20"/>
                <w:szCs w:val="20"/>
                <w:color w:val="auto"/>
              </w:rPr>
            </w:pPr>
            <w:r>
              <w:rPr>
                <w:rFonts w:ascii="Courier New" w:cs="Courier New" w:eastAsia="Courier New" w:hAnsi="Courier New"/>
                <w:sz w:val="15"/>
                <w:szCs w:val="15"/>
                <w:color w:val="auto"/>
              </w:rPr>
              <w:t>TREASURY STOCK, AT COST - 1,300,000 SHARES</w:t>
            </w:r>
          </w:p>
        </w:tc>
        <w:tc>
          <w:tcPr>
            <w:tcW w:w="320" w:type="dxa"/>
            <w:vAlign w:val="bottom"/>
          </w:tcPr>
          <w:p>
            <w:pPr>
              <w:spacing w:after="0"/>
              <w:rPr>
                <w:sz w:val="14"/>
                <w:szCs w:val="14"/>
                <w:color w:val="auto"/>
              </w:rPr>
            </w:pPr>
          </w:p>
        </w:tc>
        <w:tc>
          <w:tcPr>
            <w:tcW w:w="10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(9,072)</w:t>
            </w:r>
          </w:p>
        </w:tc>
        <w:tc>
          <w:tcPr>
            <w:tcW w:w="320" w:type="dxa"/>
            <w:vAlign w:val="bottom"/>
          </w:tcPr>
          <w:p>
            <w:pPr>
              <w:spacing w:after="0"/>
              <w:rPr>
                <w:sz w:val="14"/>
                <w:szCs w:val="14"/>
                <w:color w:val="auto"/>
              </w:rPr>
            </w:pPr>
          </w:p>
        </w:tc>
        <w:tc>
          <w:tcPr>
            <w:tcW w:w="9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(9,072)</w:t>
            </w:r>
          </w:p>
        </w:tc>
        <w:tc>
          <w:tcPr>
            <w:tcW w:w="360" w:type="dxa"/>
            <w:vAlign w:val="bottom"/>
          </w:tcPr>
          <w:p>
            <w:pPr>
              <w:spacing w:after="0"/>
              <w:rPr>
                <w:sz w:val="14"/>
                <w:szCs w:val="14"/>
                <w:color w:val="auto"/>
              </w:rPr>
            </w:pP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(9,072)</w:t>
            </w:r>
          </w:p>
        </w:tc>
      </w:tr>
      <w:tr>
        <w:trPr>
          <w:trHeight w:val="170"/>
        </w:trPr>
        <w:tc>
          <w:tcPr>
            <w:tcW w:w="5760" w:type="dxa"/>
            <w:vAlign w:val="bottom"/>
          </w:tcPr>
          <w:p>
            <w:pPr>
              <w:spacing w:after="0"/>
              <w:rPr>
                <w:sz w:val="14"/>
                <w:szCs w:val="14"/>
                <w:color w:val="auto"/>
              </w:rPr>
            </w:pPr>
          </w:p>
        </w:tc>
        <w:tc>
          <w:tcPr>
            <w:tcW w:w="1320" w:type="dxa"/>
            <w:vAlign w:val="bottom"/>
            <w:gridSpan w:val="2"/>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170"/>
        </w:trPr>
        <w:tc>
          <w:tcPr>
            <w:tcW w:w="5760" w:type="dxa"/>
            <w:vAlign w:val="bottom"/>
          </w:tcPr>
          <w:p>
            <w:pPr>
              <w:ind w:left="960"/>
              <w:spacing w:after="0"/>
              <w:rPr>
                <w:sz w:val="20"/>
                <w:szCs w:val="20"/>
                <w:color w:val="auto"/>
              </w:rPr>
            </w:pPr>
            <w:r>
              <w:rPr>
                <w:rFonts w:ascii="Courier New" w:cs="Courier New" w:eastAsia="Courier New" w:hAnsi="Courier New"/>
                <w:sz w:val="15"/>
                <w:szCs w:val="15"/>
                <w:color w:val="auto"/>
              </w:rPr>
              <w:t>TOTAL SHAREHOLDERS' EQUITY (DEFICIT)</w:t>
            </w:r>
          </w:p>
        </w:tc>
        <w:tc>
          <w:tcPr>
            <w:tcW w:w="320" w:type="dxa"/>
            <w:vAlign w:val="bottom"/>
          </w:tcPr>
          <w:p>
            <w:pPr>
              <w:spacing w:after="0"/>
              <w:rPr>
                <w:sz w:val="14"/>
                <w:szCs w:val="14"/>
                <w:color w:val="auto"/>
              </w:rPr>
            </w:pPr>
          </w:p>
        </w:tc>
        <w:tc>
          <w:tcPr>
            <w:tcW w:w="10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(44,806)</w:t>
            </w:r>
          </w:p>
        </w:tc>
        <w:tc>
          <w:tcPr>
            <w:tcW w:w="320" w:type="dxa"/>
            <w:vAlign w:val="bottom"/>
          </w:tcPr>
          <w:p>
            <w:pPr>
              <w:spacing w:after="0"/>
              <w:rPr>
                <w:sz w:val="14"/>
                <w:szCs w:val="14"/>
                <w:color w:val="auto"/>
              </w:rPr>
            </w:pPr>
          </w:p>
        </w:tc>
        <w:tc>
          <w:tcPr>
            <w:tcW w:w="9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112,660</w:t>
            </w:r>
          </w:p>
        </w:tc>
        <w:tc>
          <w:tcPr>
            <w:tcW w:w="360" w:type="dxa"/>
            <w:vAlign w:val="bottom"/>
          </w:tcPr>
          <w:p>
            <w:pPr>
              <w:spacing w:after="0"/>
              <w:rPr>
                <w:sz w:val="14"/>
                <w:szCs w:val="14"/>
                <w:color w:val="auto"/>
              </w:rPr>
            </w:pP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(30,067)</w:t>
            </w:r>
          </w:p>
        </w:tc>
      </w:tr>
      <w:tr>
        <w:trPr>
          <w:trHeight w:val="170"/>
        </w:trPr>
        <w:tc>
          <w:tcPr>
            <w:tcW w:w="5760" w:type="dxa"/>
            <w:vAlign w:val="bottom"/>
          </w:tcPr>
          <w:p>
            <w:pPr>
              <w:spacing w:after="0"/>
              <w:rPr>
                <w:sz w:val="14"/>
                <w:szCs w:val="14"/>
                <w:color w:val="auto"/>
              </w:rPr>
            </w:pPr>
          </w:p>
        </w:tc>
        <w:tc>
          <w:tcPr>
            <w:tcW w:w="1320" w:type="dxa"/>
            <w:vAlign w:val="bottom"/>
            <w:gridSpan w:val="2"/>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339"/>
        </w:trPr>
        <w:tc>
          <w:tcPr>
            <w:tcW w:w="5760" w:type="dxa"/>
            <w:vAlign w:val="bottom"/>
          </w:tcPr>
          <w:p>
            <w:pPr>
              <w:ind w:left="960"/>
              <w:spacing w:after="0"/>
              <w:rPr>
                <w:sz w:val="20"/>
                <w:szCs w:val="20"/>
                <w:color w:val="auto"/>
              </w:rPr>
            </w:pPr>
            <w:r>
              <w:rPr>
                <w:rFonts w:ascii="Courier New" w:cs="Courier New" w:eastAsia="Courier New" w:hAnsi="Courier New"/>
                <w:sz w:val="15"/>
                <w:szCs w:val="15"/>
                <w:color w:val="auto"/>
              </w:rPr>
              <w:t>TOTAL LIABILITIES AND SHAREHOLDERS' EQUITY</w:t>
            </w:r>
          </w:p>
        </w:tc>
        <w:tc>
          <w:tcPr>
            <w:tcW w:w="1320" w:type="dxa"/>
            <w:vAlign w:val="bottom"/>
            <w:gridSpan w:val="2"/>
          </w:tcPr>
          <w:p>
            <w:pPr>
              <w:jc w:val="right"/>
              <w:ind w:right="227"/>
              <w:spacing w:after="0"/>
              <w:rPr>
                <w:sz w:val="20"/>
                <w:szCs w:val="20"/>
                <w:color w:val="auto"/>
              </w:rPr>
            </w:pPr>
            <w:r>
              <w:rPr>
                <w:rFonts w:ascii="Courier New" w:cs="Courier New" w:eastAsia="Courier New" w:hAnsi="Courier New"/>
                <w:sz w:val="15"/>
                <w:szCs w:val="15"/>
                <w:color w:val="auto"/>
              </w:rPr>
              <w:t>$ 636,039</w:t>
            </w:r>
          </w:p>
        </w:tc>
        <w:tc>
          <w:tcPr>
            <w:tcW w:w="128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$ 781,433</w:t>
            </w:r>
          </w:p>
        </w:tc>
        <w:tc>
          <w:tcPr>
            <w:tcW w:w="124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$ 678,686</w:t>
            </w:r>
          </w:p>
        </w:tc>
      </w:tr>
      <w:tr>
        <w:trPr>
          <w:trHeight w:val="170"/>
        </w:trPr>
        <w:tc>
          <w:tcPr>
            <w:tcW w:w="5760" w:type="dxa"/>
            <w:vAlign w:val="bottom"/>
          </w:tcPr>
          <w:p>
            <w:pPr>
              <w:spacing w:after="0"/>
              <w:rPr>
                <w:sz w:val="14"/>
                <w:szCs w:val="14"/>
                <w:color w:val="auto"/>
              </w:rPr>
            </w:pPr>
          </w:p>
        </w:tc>
        <w:tc>
          <w:tcPr>
            <w:tcW w:w="1320" w:type="dxa"/>
            <w:vAlign w:val="bottom"/>
            <w:gridSpan w:val="2"/>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r>
    </w:tbl>
    <w:p>
      <w:pPr>
        <w:sectPr>
          <w:pgSz w:w="11900" w:h="16838" w:orient="portrait"/>
          <w:cols w:equalWidth="0" w:num="1">
            <w:col w:w="10219"/>
          </w:cols>
          <w:pgMar w:left="240" w:top="791" w:right="1440" w:bottom="226" w:gutter="0" w:footer="0" w:header="0"/>
        </w:sectPr>
      </w:pPr>
    </w:p>
    <w:bookmarkStart w:id="4" w:name="page5"/>
    <w:bookmarkEnd w:id="4"/>
    <w:p>
      <w:pPr>
        <w:spacing w:after="0"/>
        <w:rPr>
          <w:sz w:val="20"/>
          <w:szCs w:val="20"/>
          <w:color w:val="auto"/>
        </w:rPr>
      </w:pPr>
      <w:r>
        <w:rPr>
          <w:rFonts w:ascii="Courier New" w:cs="Courier New" w:eastAsia="Courier New" w:hAnsi="Courier New"/>
          <w:sz w:val="14"/>
          <w:szCs w:val="14"/>
          <w:color w:val="auto"/>
        </w:rPr>
        <w:t>SEE NOTES TO CONDENSED INTERIM CONSOLIDATED FINANCIAL STATEMENTS.</w:t>
      </w:r>
    </w:p>
    <w:p>
      <w:pPr>
        <w:sectPr>
          <w:pgSz w:w="11900" w:h="16838" w:orient="portrait"/>
          <w:cols w:equalWidth="0" w:num="1">
            <w:col w:w="10219"/>
          </w:cols>
          <w:pgMar w:left="240" w:top="141" w:right="1440" w:bottom="1440" w:gutter="0" w:footer="0" w:header="0"/>
        </w:sectPr>
      </w:pPr>
    </w:p>
    <w:p>
      <w:pPr>
        <w:spacing w:after="0" w:line="350" w:lineRule="exact"/>
        <w:rPr>
          <w:sz w:val="20"/>
          <w:szCs w:val="20"/>
          <w:color w:val="auto"/>
        </w:rPr>
      </w:pPr>
    </w:p>
    <w:p>
      <w:pPr>
        <w:ind w:left="3260"/>
        <w:spacing w:after="0"/>
        <w:rPr>
          <w:sz w:val="20"/>
          <w:szCs w:val="20"/>
          <w:color w:val="auto"/>
        </w:rPr>
      </w:pPr>
      <w:r>
        <w:rPr>
          <w:rFonts w:ascii="Courier New" w:cs="Courier New" w:eastAsia="Courier New" w:hAnsi="Courier New"/>
          <w:sz w:val="14"/>
          <w:szCs w:val="14"/>
          <w:color w:val="auto"/>
        </w:rPr>
        <w:t>- 1 -</w:t>
      </w:r>
    </w:p>
    <w:p>
      <w:pPr>
        <w:sectPr>
          <w:pgSz w:w="11900" w:h="16838" w:orient="portrait"/>
          <w:cols w:equalWidth="0" w:num="1">
            <w:col w:w="10219"/>
          </w:cols>
          <w:pgMar w:left="240" w:top="141" w:right="1440" w:bottom="1440" w:gutter="0" w:footer="0" w:header="0"/>
          <w:type w:val="continuous"/>
        </w:sectPr>
      </w:pPr>
    </w:p>
    <w:bookmarkStart w:id="5" w:name="page6"/>
    <w:bookmarkEnd w:id="5"/>
    <w:p>
      <w:pPr>
        <w:jc w:val="center"/>
        <w:ind w:right="3259"/>
        <w:spacing w:after="0"/>
        <w:rPr>
          <w:sz w:val="20"/>
          <w:szCs w:val="20"/>
          <w:color w:val="auto"/>
        </w:rPr>
      </w:pPr>
      <w:r>
        <w:rPr>
          <w:rFonts w:ascii="Courier New" w:cs="Courier New" w:eastAsia="Courier New" w:hAnsi="Courier New"/>
          <w:sz w:val="15"/>
          <w:szCs w:val="15"/>
          <w:color w:val="auto"/>
        </w:rPr>
        <w:t>TOWER SEMICONDUCTOR LTD. AND SUBSIDIARY</w:t>
      </w:r>
    </w:p>
    <w:p>
      <w:pPr>
        <w:jc w:val="center"/>
        <w:ind w:right="3259"/>
        <w:spacing w:after="0"/>
        <w:rPr>
          <w:sz w:val="20"/>
          <w:szCs w:val="20"/>
          <w:color w:val="auto"/>
        </w:rPr>
      </w:pPr>
      <w:r>
        <w:rPr>
          <w:rFonts w:ascii="Courier New" w:cs="Courier New" w:eastAsia="Courier New" w:hAnsi="Courier New"/>
          <w:sz w:val="15"/>
          <w:szCs w:val="15"/>
          <w:color w:val="auto"/>
        </w:rPr>
        <w:t>CONSOLIDATED STATEMENTS OF OPERATIONS</w:t>
      </w:r>
    </w:p>
    <w:tbl>
      <w:tblPr>
        <w:tblLayout w:type="fixed"/>
        <w:tblInd w:w="0" w:type="dxa"/>
        <w:tblCellMar>
          <w:top w:w="0" w:type="dxa"/>
          <w:left w:w="0" w:type="dxa"/>
          <w:bottom w:w="0" w:type="dxa"/>
          <w:right w:w="0" w:type="dxa"/>
        </w:tblCellMar>
      </w:tblPr>
      <w:tr>
        <w:trPr>
          <w:trHeight w:val="169"/>
        </w:trPr>
        <w:tc>
          <w:tcPr>
            <w:tcW w:w="6300" w:type="dxa"/>
            <w:vAlign w:val="bottom"/>
            <w:gridSpan w:val="3"/>
          </w:tcPr>
          <w:p>
            <w:pPr>
              <w:jc w:val="right"/>
              <w:ind w:right="67"/>
              <w:spacing w:after="0"/>
              <w:rPr>
                <w:sz w:val="20"/>
                <w:szCs w:val="20"/>
                <w:color w:val="auto"/>
              </w:rPr>
            </w:pPr>
            <w:r>
              <w:rPr>
                <w:rFonts w:ascii="Courier New" w:cs="Courier New" w:eastAsia="Courier New" w:hAnsi="Courier New"/>
                <w:sz w:val="15"/>
                <w:szCs w:val="15"/>
                <w:color w:val="auto"/>
              </w:rPr>
              <w:t>(dollars in thousands, except share data and per share data)</w:t>
            </w:r>
          </w:p>
        </w:tc>
        <w:tc>
          <w:tcPr>
            <w:tcW w:w="3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678"/>
        </w:trPr>
        <w:tc>
          <w:tcPr>
            <w:tcW w:w="48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40" w:type="dxa"/>
            <w:vAlign w:val="bottom"/>
            <w:gridSpan w:val="3"/>
          </w:tcPr>
          <w:p>
            <w:pPr>
              <w:jc w:val="right"/>
              <w:ind w:right="447"/>
              <w:spacing w:after="0"/>
              <w:rPr>
                <w:sz w:val="20"/>
                <w:szCs w:val="20"/>
                <w:color w:val="auto"/>
              </w:rPr>
            </w:pPr>
            <w:r>
              <w:rPr>
                <w:rFonts w:ascii="Courier New" w:cs="Courier New" w:eastAsia="Courier New" w:hAnsi="Courier New"/>
                <w:sz w:val="15"/>
                <w:szCs w:val="15"/>
                <w:color w:val="auto"/>
              </w:rPr>
              <w:t>THREE MONTHS ENDED</w:t>
            </w:r>
          </w:p>
        </w:tc>
        <w:tc>
          <w:tcPr>
            <w:tcW w:w="124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YEAR ENDED</w:t>
            </w:r>
          </w:p>
        </w:tc>
      </w:tr>
      <w:tr>
        <w:trPr>
          <w:trHeight w:val="170"/>
        </w:trPr>
        <w:tc>
          <w:tcPr>
            <w:tcW w:w="48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3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MARCH 31,</w:t>
            </w:r>
          </w:p>
        </w:tc>
        <w:tc>
          <w:tcPr>
            <w:tcW w:w="880" w:type="dxa"/>
            <w:vAlign w:val="bottom"/>
          </w:tcPr>
          <w:p>
            <w:pPr>
              <w:spacing w:after="0"/>
              <w:rPr>
                <w:sz w:val="14"/>
                <w:szCs w:val="14"/>
                <w:color w:val="auto"/>
              </w:rPr>
            </w:pPr>
          </w:p>
        </w:tc>
        <w:tc>
          <w:tcPr>
            <w:tcW w:w="12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DECEMBER 31,</w:t>
            </w:r>
          </w:p>
        </w:tc>
      </w:tr>
      <w:tr>
        <w:trPr>
          <w:trHeight w:val="170"/>
        </w:trPr>
        <w:tc>
          <w:tcPr>
            <w:tcW w:w="4880" w:type="dxa"/>
            <w:vAlign w:val="bottom"/>
          </w:tcPr>
          <w:p>
            <w:pPr>
              <w:spacing w:after="0"/>
              <w:rPr>
                <w:sz w:val="14"/>
                <w:szCs w:val="14"/>
                <w:color w:val="auto"/>
              </w:rPr>
            </w:pPr>
          </w:p>
        </w:tc>
        <w:tc>
          <w:tcPr>
            <w:tcW w:w="2600" w:type="dxa"/>
            <w:vAlign w:val="bottom"/>
            <w:gridSpan w:val="4"/>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170"/>
        </w:trPr>
        <w:tc>
          <w:tcPr>
            <w:tcW w:w="48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6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2006</w:t>
            </w:r>
          </w:p>
        </w:tc>
        <w:tc>
          <w:tcPr>
            <w:tcW w:w="300" w:type="dxa"/>
            <w:vAlign w:val="bottom"/>
          </w:tcPr>
          <w:p>
            <w:pPr>
              <w:spacing w:after="0"/>
              <w:rPr>
                <w:sz w:val="14"/>
                <w:szCs w:val="14"/>
                <w:color w:val="auto"/>
              </w:rPr>
            </w:pPr>
          </w:p>
        </w:tc>
        <w:tc>
          <w:tcPr>
            <w:tcW w:w="880" w:type="dxa"/>
            <w:vAlign w:val="bottom"/>
          </w:tcPr>
          <w:p>
            <w:pPr>
              <w:jc w:val="right"/>
              <w:ind w:right="447"/>
              <w:spacing w:after="0"/>
              <w:rPr>
                <w:sz w:val="20"/>
                <w:szCs w:val="20"/>
                <w:color w:val="auto"/>
              </w:rPr>
            </w:pPr>
            <w:r>
              <w:rPr>
                <w:rFonts w:ascii="Courier New" w:cs="Courier New" w:eastAsia="Courier New" w:hAnsi="Courier New"/>
                <w:sz w:val="15"/>
                <w:szCs w:val="15"/>
                <w:color w:val="auto"/>
                <w:w w:val="94"/>
              </w:rPr>
              <w:t>2005</w:t>
            </w:r>
          </w:p>
        </w:tc>
        <w:tc>
          <w:tcPr>
            <w:tcW w:w="360" w:type="dxa"/>
            <w:vAlign w:val="bottom"/>
          </w:tcPr>
          <w:p>
            <w:pPr>
              <w:spacing w:after="0"/>
              <w:rPr>
                <w:sz w:val="14"/>
                <w:szCs w:val="14"/>
                <w:color w:val="auto"/>
              </w:rPr>
            </w:pPr>
          </w:p>
        </w:tc>
        <w:tc>
          <w:tcPr>
            <w:tcW w:w="8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2005</w:t>
            </w:r>
          </w:p>
        </w:tc>
      </w:tr>
      <w:tr>
        <w:trPr>
          <w:trHeight w:val="170"/>
        </w:trPr>
        <w:tc>
          <w:tcPr>
            <w:tcW w:w="4880" w:type="dxa"/>
            <w:vAlign w:val="bottom"/>
          </w:tcPr>
          <w:p>
            <w:pPr>
              <w:spacing w:after="0"/>
              <w:rPr>
                <w:sz w:val="14"/>
                <w:szCs w:val="14"/>
                <w:color w:val="auto"/>
              </w:rPr>
            </w:pPr>
          </w:p>
        </w:tc>
        <w:tc>
          <w:tcPr>
            <w:tcW w:w="1420" w:type="dxa"/>
            <w:vAlign w:val="bottom"/>
            <w:gridSpan w:val="2"/>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170"/>
        </w:trPr>
        <w:tc>
          <w:tcPr>
            <w:tcW w:w="48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3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(unaudited)</w:t>
            </w:r>
          </w:p>
        </w:tc>
        <w:tc>
          <w:tcPr>
            <w:tcW w:w="8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0"/>
        </w:trPr>
        <w:tc>
          <w:tcPr>
            <w:tcW w:w="4880" w:type="dxa"/>
            <w:vAlign w:val="bottom"/>
          </w:tcPr>
          <w:p>
            <w:pPr>
              <w:spacing w:after="0"/>
              <w:rPr>
                <w:sz w:val="14"/>
                <w:szCs w:val="14"/>
                <w:color w:val="auto"/>
              </w:rPr>
            </w:pPr>
          </w:p>
        </w:tc>
        <w:tc>
          <w:tcPr>
            <w:tcW w:w="2600" w:type="dxa"/>
            <w:vAlign w:val="bottom"/>
            <w:gridSpan w:val="4"/>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339"/>
        </w:trPr>
        <w:tc>
          <w:tcPr>
            <w:tcW w:w="4880" w:type="dxa"/>
            <w:vAlign w:val="bottom"/>
          </w:tcPr>
          <w:p>
            <w:pPr>
              <w:spacing w:after="0"/>
              <w:rPr>
                <w:sz w:val="20"/>
                <w:szCs w:val="20"/>
                <w:color w:val="auto"/>
              </w:rPr>
            </w:pPr>
            <w:r>
              <w:rPr>
                <w:rFonts w:ascii="Courier New" w:cs="Courier New" w:eastAsia="Courier New" w:hAnsi="Courier New"/>
                <w:sz w:val="15"/>
                <w:szCs w:val="15"/>
                <w:color w:val="auto"/>
              </w:rPr>
              <w:t>REVENUES</w:t>
            </w:r>
          </w:p>
        </w:tc>
        <w:tc>
          <w:tcPr>
            <w:tcW w:w="3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70"/>
        </w:trPr>
        <w:tc>
          <w:tcPr>
            <w:tcW w:w="4880" w:type="dxa"/>
            <w:vAlign w:val="bottom"/>
          </w:tcPr>
          <w:p>
            <w:pPr>
              <w:ind w:left="340"/>
              <w:spacing w:after="0"/>
              <w:rPr>
                <w:sz w:val="20"/>
                <w:szCs w:val="20"/>
                <w:color w:val="auto"/>
              </w:rPr>
            </w:pPr>
            <w:r>
              <w:rPr>
                <w:rFonts w:ascii="Courier New" w:cs="Courier New" w:eastAsia="Courier New" w:hAnsi="Courier New"/>
                <w:sz w:val="15"/>
                <w:szCs w:val="15"/>
                <w:color w:val="auto"/>
              </w:rPr>
              <w:t>Sales</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35,875</w:t>
            </w:r>
          </w:p>
        </w:tc>
        <w:tc>
          <w:tcPr>
            <w:tcW w:w="3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23,167</w:t>
            </w:r>
          </w:p>
        </w:tc>
        <w:tc>
          <w:tcPr>
            <w:tcW w:w="360" w:type="dxa"/>
            <w:vAlign w:val="bottom"/>
          </w:tcPr>
          <w:p>
            <w:pPr>
              <w:ind w:left="260"/>
              <w:spacing w:after="0"/>
              <w:rPr>
                <w:sz w:val="20"/>
                <w:szCs w:val="20"/>
                <w:color w:val="auto"/>
              </w:rPr>
            </w:pPr>
            <w:r>
              <w:rPr>
                <w:rFonts w:ascii="Courier New" w:cs="Courier New" w:eastAsia="Courier New" w:hAnsi="Courier New"/>
                <w:sz w:val="15"/>
                <w:szCs w:val="15"/>
                <w:color w:val="auto"/>
                <w:w w:val="88"/>
              </w:rPr>
              <w:t>$</w:t>
            </w: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93,991</w:t>
            </w:r>
          </w:p>
        </w:tc>
      </w:tr>
      <w:tr>
        <w:trPr>
          <w:trHeight w:val="170"/>
        </w:trPr>
        <w:tc>
          <w:tcPr>
            <w:tcW w:w="4880" w:type="dxa"/>
            <w:vAlign w:val="bottom"/>
          </w:tcPr>
          <w:p>
            <w:pPr>
              <w:ind w:left="340"/>
              <w:spacing w:after="0"/>
              <w:rPr>
                <w:sz w:val="20"/>
                <w:szCs w:val="20"/>
                <w:color w:val="auto"/>
              </w:rPr>
            </w:pPr>
            <w:r>
              <w:rPr>
                <w:rFonts w:ascii="Courier New" w:cs="Courier New" w:eastAsia="Courier New" w:hAnsi="Courier New"/>
                <w:sz w:val="15"/>
                <w:szCs w:val="15"/>
                <w:color w:val="auto"/>
              </w:rPr>
              <w:t>Revenues related to a joint development agreement</w:t>
            </w:r>
          </w:p>
        </w:tc>
        <w:tc>
          <w:tcPr>
            <w:tcW w:w="360" w:type="dxa"/>
            <w:vAlign w:val="bottom"/>
          </w:tcPr>
          <w:p>
            <w:pPr>
              <w:spacing w:after="0"/>
              <w:rPr>
                <w:sz w:val="14"/>
                <w:szCs w:val="14"/>
                <w:color w:val="auto"/>
              </w:rPr>
            </w:pPr>
          </w:p>
        </w:tc>
        <w:tc>
          <w:tcPr>
            <w:tcW w:w="10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8,000</w:t>
            </w:r>
          </w:p>
        </w:tc>
      </w:tr>
      <w:tr>
        <w:trPr>
          <w:trHeight w:val="170"/>
        </w:trPr>
        <w:tc>
          <w:tcPr>
            <w:tcW w:w="4880" w:type="dxa"/>
            <w:vAlign w:val="bottom"/>
          </w:tcPr>
          <w:p>
            <w:pPr>
              <w:spacing w:after="0"/>
              <w:rPr>
                <w:sz w:val="14"/>
                <w:szCs w:val="14"/>
                <w:color w:val="auto"/>
              </w:rPr>
            </w:pPr>
          </w:p>
        </w:tc>
        <w:tc>
          <w:tcPr>
            <w:tcW w:w="1420" w:type="dxa"/>
            <w:vAlign w:val="bottom"/>
            <w:gridSpan w:val="2"/>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170"/>
        </w:trPr>
        <w:tc>
          <w:tcPr>
            <w:tcW w:w="48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35,875</w:t>
            </w:r>
          </w:p>
        </w:tc>
        <w:tc>
          <w:tcPr>
            <w:tcW w:w="300" w:type="dxa"/>
            <w:vAlign w:val="bottom"/>
          </w:tcPr>
          <w:p>
            <w:pPr>
              <w:spacing w:after="0"/>
              <w:rPr>
                <w:sz w:val="14"/>
                <w:szCs w:val="14"/>
                <w:color w:val="auto"/>
              </w:rPr>
            </w:pP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23,167</w:t>
            </w:r>
          </w:p>
        </w:tc>
        <w:tc>
          <w:tcPr>
            <w:tcW w:w="360" w:type="dxa"/>
            <w:vAlign w:val="bottom"/>
          </w:tcPr>
          <w:p>
            <w:pPr>
              <w:spacing w:after="0"/>
              <w:rPr>
                <w:sz w:val="14"/>
                <w:szCs w:val="14"/>
                <w:color w:val="auto"/>
              </w:rPr>
            </w:pP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101,991</w:t>
            </w:r>
          </w:p>
        </w:tc>
      </w:tr>
      <w:tr>
        <w:trPr>
          <w:trHeight w:val="339"/>
        </w:trPr>
        <w:tc>
          <w:tcPr>
            <w:tcW w:w="4880" w:type="dxa"/>
            <w:vAlign w:val="bottom"/>
          </w:tcPr>
          <w:p>
            <w:pPr>
              <w:spacing w:after="0"/>
              <w:rPr>
                <w:sz w:val="20"/>
                <w:szCs w:val="20"/>
                <w:color w:val="auto"/>
              </w:rPr>
            </w:pPr>
            <w:r>
              <w:rPr>
                <w:rFonts w:ascii="Courier New" w:cs="Courier New" w:eastAsia="Courier New" w:hAnsi="Courier New"/>
                <w:sz w:val="15"/>
                <w:szCs w:val="15"/>
                <w:color w:val="auto"/>
              </w:rPr>
              <w:t>COST OF SALES</w:t>
            </w:r>
          </w:p>
        </w:tc>
        <w:tc>
          <w:tcPr>
            <w:tcW w:w="360" w:type="dxa"/>
            <w:vAlign w:val="bottom"/>
          </w:tcPr>
          <w:p>
            <w:pPr>
              <w:spacing w:after="0"/>
              <w:rPr>
                <w:sz w:val="24"/>
                <w:szCs w:val="24"/>
                <w:color w:val="auto"/>
              </w:rPr>
            </w:pPr>
          </w:p>
        </w:tc>
        <w:tc>
          <w:tcPr>
            <w:tcW w:w="10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61,280</w:t>
            </w:r>
          </w:p>
        </w:tc>
        <w:tc>
          <w:tcPr>
            <w:tcW w:w="300" w:type="dxa"/>
            <w:vAlign w:val="bottom"/>
          </w:tcPr>
          <w:p>
            <w:pPr>
              <w:spacing w:after="0"/>
              <w:rPr>
                <w:sz w:val="24"/>
                <w:szCs w:val="24"/>
                <w:color w:val="auto"/>
              </w:rPr>
            </w:pP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61,214</w:t>
            </w:r>
          </w:p>
        </w:tc>
        <w:tc>
          <w:tcPr>
            <w:tcW w:w="360" w:type="dxa"/>
            <w:vAlign w:val="bottom"/>
          </w:tcPr>
          <w:p>
            <w:pPr>
              <w:spacing w:after="0"/>
              <w:rPr>
                <w:sz w:val="24"/>
                <w:szCs w:val="24"/>
                <w:color w:val="auto"/>
              </w:rPr>
            </w:pP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238,358</w:t>
            </w:r>
          </w:p>
        </w:tc>
      </w:tr>
      <w:tr>
        <w:trPr>
          <w:trHeight w:val="170"/>
        </w:trPr>
        <w:tc>
          <w:tcPr>
            <w:tcW w:w="4880" w:type="dxa"/>
            <w:vAlign w:val="bottom"/>
          </w:tcPr>
          <w:p>
            <w:pPr>
              <w:spacing w:after="0"/>
              <w:rPr>
                <w:sz w:val="14"/>
                <w:szCs w:val="14"/>
                <w:color w:val="auto"/>
              </w:rPr>
            </w:pPr>
          </w:p>
        </w:tc>
        <w:tc>
          <w:tcPr>
            <w:tcW w:w="1420" w:type="dxa"/>
            <w:vAlign w:val="bottom"/>
            <w:gridSpan w:val="2"/>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339"/>
        </w:trPr>
        <w:tc>
          <w:tcPr>
            <w:tcW w:w="4880" w:type="dxa"/>
            <w:vAlign w:val="bottom"/>
          </w:tcPr>
          <w:p>
            <w:pPr>
              <w:ind w:left="600"/>
              <w:spacing w:after="0"/>
              <w:rPr>
                <w:sz w:val="20"/>
                <w:szCs w:val="20"/>
                <w:color w:val="auto"/>
              </w:rPr>
            </w:pPr>
            <w:r>
              <w:rPr>
                <w:rFonts w:ascii="Courier New" w:cs="Courier New" w:eastAsia="Courier New" w:hAnsi="Courier New"/>
                <w:sz w:val="15"/>
                <w:szCs w:val="15"/>
                <w:color w:val="auto"/>
              </w:rPr>
              <w:t>GROSS LOSS</w:t>
            </w:r>
          </w:p>
        </w:tc>
        <w:tc>
          <w:tcPr>
            <w:tcW w:w="360" w:type="dxa"/>
            <w:vAlign w:val="bottom"/>
          </w:tcPr>
          <w:p>
            <w:pPr>
              <w:spacing w:after="0"/>
              <w:rPr>
                <w:sz w:val="24"/>
                <w:szCs w:val="24"/>
                <w:color w:val="auto"/>
              </w:rPr>
            </w:pPr>
          </w:p>
        </w:tc>
        <w:tc>
          <w:tcPr>
            <w:tcW w:w="1060" w:type="dxa"/>
            <w:vAlign w:val="bottom"/>
          </w:tcPr>
          <w:p>
            <w:pPr>
              <w:jc w:val="right"/>
              <w:ind w:right="247"/>
              <w:spacing w:after="0"/>
              <w:rPr>
                <w:sz w:val="20"/>
                <w:szCs w:val="20"/>
                <w:color w:val="auto"/>
              </w:rPr>
            </w:pPr>
            <w:r>
              <w:rPr>
                <w:rFonts w:ascii="Courier New" w:cs="Courier New" w:eastAsia="Courier New" w:hAnsi="Courier New"/>
                <w:sz w:val="15"/>
                <w:szCs w:val="15"/>
                <w:color w:val="auto"/>
                <w:w w:val="99"/>
              </w:rPr>
              <w:t>(25,405)</w:t>
            </w:r>
          </w:p>
        </w:tc>
        <w:tc>
          <w:tcPr>
            <w:tcW w:w="300" w:type="dxa"/>
            <w:vAlign w:val="bottom"/>
          </w:tcPr>
          <w:p>
            <w:pPr>
              <w:spacing w:after="0"/>
              <w:rPr>
                <w:sz w:val="24"/>
                <w:szCs w:val="24"/>
                <w:color w:val="auto"/>
              </w:rPr>
            </w:pP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4"/>
              </w:rPr>
              <w:t>(38,047)</w:t>
            </w:r>
          </w:p>
        </w:tc>
        <w:tc>
          <w:tcPr>
            <w:tcW w:w="360" w:type="dxa"/>
            <w:vAlign w:val="bottom"/>
          </w:tcPr>
          <w:p>
            <w:pPr>
              <w:spacing w:after="0"/>
              <w:rPr>
                <w:sz w:val="24"/>
                <w:szCs w:val="24"/>
                <w:color w:val="auto"/>
              </w:rPr>
            </w:pP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3"/>
              </w:rPr>
              <w:t>(136,367)</w:t>
            </w:r>
          </w:p>
        </w:tc>
      </w:tr>
      <w:tr>
        <w:trPr>
          <w:trHeight w:val="170"/>
        </w:trPr>
        <w:tc>
          <w:tcPr>
            <w:tcW w:w="4880" w:type="dxa"/>
            <w:vAlign w:val="bottom"/>
          </w:tcPr>
          <w:p>
            <w:pPr>
              <w:spacing w:after="0"/>
              <w:rPr>
                <w:sz w:val="14"/>
                <w:szCs w:val="14"/>
                <w:color w:val="auto"/>
              </w:rPr>
            </w:pPr>
          </w:p>
        </w:tc>
        <w:tc>
          <w:tcPr>
            <w:tcW w:w="1420" w:type="dxa"/>
            <w:vAlign w:val="bottom"/>
            <w:gridSpan w:val="2"/>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339"/>
        </w:trPr>
        <w:tc>
          <w:tcPr>
            <w:tcW w:w="4880" w:type="dxa"/>
            <w:vAlign w:val="bottom"/>
          </w:tcPr>
          <w:p>
            <w:pPr>
              <w:spacing w:after="0"/>
              <w:rPr>
                <w:sz w:val="20"/>
                <w:szCs w:val="20"/>
                <w:color w:val="auto"/>
              </w:rPr>
            </w:pPr>
            <w:r>
              <w:rPr>
                <w:rFonts w:ascii="Courier New" w:cs="Courier New" w:eastAsia="Courier New" w:hAnsi="Courier New"/>
                <w:sz w:val="15"/>
                <w:szCs w:val="15"/>
                <w:color w:val="auto"/>
              </w:rPr>
              <w:t>OPERATING COSTS AND EXPENSES</w:t>
            </w:r>
          </w:p>
        </w:tc>
        <w:tc>
          <w:tcPr>
            <w:tcW w:w="3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339"/>
        </w:trPr>
        <w:tc>
          <w:tcPr>
            <w:tcW w:w="4880" w:type="dxa"/>
            <w:vAlign w:val="bottom"/>
          </w:tcPr>
          <w:p>
            <w:pPr>
              <w:ind w:left="340"/>
              <w:spacing w:after="0"/>
              <w:rPr>
                <w:sz w:val="20"/>
                <w:szCs w:val="20"/>
                <w:color w:val="auto"/>
              </w:rPr>
            </w:pPr>
            <w:r>
              <w:rPr>
                <w:rFonts w:ascii="Courier New" w:cs="Courier New" w:eastAsia="Courier New" w:hAnsi="Courier New"/>
                <w:sz w:val="15"/>
                <w:szCs w:val="15"/>
                <w:color w:val="auto"/>
              </w:rPr>
              <w:t>RESEARCH AND DEVELOPMENT</w:t>
            </w:r>
          </w:p>
        </w:tc>
        <w:tc>
          <w:tcPr>
            <w:tcW w:w="360" w:type="dxa"/>
            <w:vAlign w:val="bottom"/>
          </w:tcPr>
          <w:p>
            <w:pPr>
              <w:spacing w:after="0"/>
              <w:rPr>
                <w:sz w:val="24"/>
                <w:szCs w:val="24"/>
                <w:color w:val="auto"/>
              </w:rPr>
            </w:pPr>
          </w:p>
        </w:tc>
        <w:tc>
          <w:tcPr>
            <w:tcW w:w="10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3,354</w:t>
            </w:r>
          </w:p>
        </w:tc>
        <w:tc>
          <w:tcPr>
            <w:tcW w:w="300" w:type="dxa"/>
            <w:vAlign w:val="bottom"/>
          </w:tcPr>
          <w:p>
            <w:pPr>
              <w:spacing w:after="0"/>
              <w:rPr>
                <w:sz w:val="24"/>
                <w:szCs w:val="24"/>
                <w:color w:val="auto"/>
              </w:rPr>
            </w:pP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4,763</w:t>
            </w:r>
          </w:p>
        </w:tc>
        <w:tc>
          <w:tcPr>
            <w:tcW w:w="360" w:type="dxa"/>
            <w:vAlign w:val="bottom"/>
          </w:tcPr>
          <w:p>
            <w:pPr>
              <w:spacing w:after="0"/>
              <w:rPr>
                <w:sz w:val="24"/>
                <w:szCs w:val="24"/>
                <w:color w:val="auto"/>
              </w:rPr>
            </w:pP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16,029</w:t>
            </w:r>
          </w:p>
        </w:tc>
      </w:tr>
      <w:tr>
        <w:trPr>
          <w:trHeight w:val="170"/>
        </w:trPr>
        <w:tc>
          <w:tcPr>
            <w:tcW w:w="4880" w:type="dxa"/>
            <w:vAlign w:val="bottom"/>
          </w:tcPr>
          <w:p>
            <w:pPr>
              <w:ind w:left="340"/>
              <w:spacing w:after="0"/>
              <w:rPr>
                <w:sz w:val="20"/>
                <w:szCs w:val="20"/>
                <w:color w:val="auto"/>
              </w:rPr>
            </w:pPr>
            <w:r>
              <w:rPr>
                <w:rFonts w:ascii="Courier New" w:cs="Courier New" w:eastAsia="Courier New" w:hAnsi="Courier New"/>
                <w:sz w:val="15"/>
                <w:szCs w:val="15"/>
                <w:color w:val="auto"/>
              </w:rPr>
              <w:t>MARKETING, GENERAL AND ADMINISTRATIVE</w:t>
            </w:r>
          </w:p>
        </w:tc>
        <w:tc>
          <w:tcPr>
            <w:tcW w:w="360" w:type="dxa"/>
            <w:vAlign w:val="bottom"/>
          </w:tcPr>
          <w:p>
            <w:pPr>
              <w:spacing w:after="0"/>
              <w:rPr>
                <w:sz w:val="14"/>
                <w:szCs w:val="14"/>
                <w:color w:val="auto"/>
              </w:rPr>
            </w:pPr>
          </w:p>
        </w:tc>
        <w:tc>
          <w:tcPr>
            <w:tcW w:w="10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5,324</w:t>
            </w:r>
          </w:p>
        </w:tc>
        <w:tc>
          <w:tcPr>
            <w:tcW w:w="300" w:type="dxa"/>
            <w:vAlign w:val="bottom"/>
          </w:tcPr>
          <w:p>
            <w:pPr>
              <w:spacing w:after="0"/>
              <w:rPr>
                <w:sz w:val="14"/>
                <w:szCs w:val="14"/>
                <w:color w:val="auto"/>
              </w:rPr>
            </w:pP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4,528</w:t>
            </w:r>
          </w:p>
        </w:tc>
        <w:tc>
          <w:tcPr>
            <w:tcW w:w="360" w:type="dxa"/>
            <w:vAlign w:val="bottom"/>
          </w:tcPr>
          <w:p>
            <w:pPr>
              <w:spacing w:after="0"/>
              <w:rPr>
                <w:sz w:val="14"/>
                <w:szCs w:val="14"/>
                <w:color w:val="auto"/>
              </w:rPr>
            </w:pP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17,418</w:t>
            </w:r>
          </w:p>
        </w:tc>
      </w:tr>
      <w:tr>
        <w:trPr>
          <w:trHeight w:val="170"/>
        </w:trPr>
        <w:tc>
          <w:tcPr>
            <w:tcW w:w="4880" w:type="dxa"/>
            <w:vAlign w:val="bottom"/>
          </w:tcPr>
          <w:p>
            <w:pPr>
              <w:spacing w:after="0"/>
              <w:rPr>
                <w:sz w:val="14"/>
                <w:szCs w:val="14"/>
                <w:color w:val="auto"/>
              </w:rPr>
            </w:pPr>
          </w:p>
        </w:tc>
        <w:tc>
          <w:tcPr>
            <w:tcW w:w="1420" w:type="dxa"/>
            <w:vAlign w:val="bottom"/>
            <w:gridSpan w:val="2"/>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339"/>
        </w:trPr>
        <w:tc>
          <w:tcPr>
            <w:tcW w:w="48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8,678</w:t>
            </w:r>
          </w:p>
        </w:tc>
        <w:tc>
          <w:tcPr>
            <w:tcW w:w="300" w:type="dxa"/>
            <w:vAlign w:val="bottom"/>
          </w:tcPr>
          <w:p>
            <w:pPr>
              <w:spacing w:after="0"/>
              <w:rPr>
                <w:sz w:val="24"/>
                <w:szCs w:val="24"/>
                <w:color w:val="auto"/>
              </w:rPr>
            </w:pP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9,291</w:t>
            </w:r>
          </w:p>
        </w:tc>
        <w:tc>
          <w:tcPr>
            <w:tcW w:w="360" w:type="dxa"/>
            <w:vAlign w:val="bottom"/>
          </w:tcPr>
          <w:p>
            <w:pPr>
              <w:spacing w:after="0"/>
              <w:rPr>
                <w:sz w:val="24"/>
                <w:szCs w:val="24"/>
                <w:color w:val="auto"/>
              </w:rPr>
            </w:pP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33,447</w:t>
            </w:r>
          </w:p>
        </w:tc>
      </w:tr>
      <w:tr>
        <w:trPr>
          <w:trHeight w:val="170"/>
        </w:trPr>
        <w:tc>
          <w:tcPr>
            <w:tcW w:w="4880" w:type="dxa"/>
            <w:vAlign w:val="bottom"/>
          </w:tcPr>
          <w:p>
            <w:pPr>
              <w:spacing w:after="0"/>
              <w:rPr>
                <w:sz w:val="14"/>
                <w:szCs w:val="14"/>
                <w:color w:val="auto"/>
              </w:rPr>
            </w:pPr>
          </w:p>
        </w:tc>
        <w:tc>
          <w:tcPr>
            <w:tcW w:w="1420" w:type="dxa"/>
            <w:vAlign w:val="bottom"/>
            <w:gridSpan w:val="2"/>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339"/>
        </w:trPr>
        <w:tc>
          <w:tcPr>
            <w:tcW w:w="4880" w:type="dxa"/>
            <w:vAlign w:val="bottom"/>
          </w:tcPr>
          <w:p>
            <w:pPr>
              <w:ind w:left="600"/>
              <w:spacing w:after="0"/>
              <w:rPr>
                <w:sz w:val="20"/>
                <w:szCs w:val="20"/>
                <w:color w:val="auto"/>
              </w:rPr>
            </w:pPr>
            <w:r>
              <w:rPr>
                <w:rFonts w:ascii="Courier New" w:cs="Courier New" w:eastAsia="Courier New" w:hAnsi="Courier New"/>
                <w:sz w:val="15"/>
                <w:szCs w:val="15"/>
                <w:color w:val="auto"/>
              </w:rPr>
              <w:t>OPERATING LOSS</w:t>
            </w:r>
          </w:p>
        </w:tc>
        <w:tc>
          <w:tcPr>
            <w:tcW w:w="360" w:type="dxa"/>
            <w:vAlign w:val="bottom"/>
          </w:tcPr>
          <w:p>
            <w:pPr>
              <w:spacing w:after="0"/>
              <w:rPr>
                <w:sz w:val="24"/>
                <w:szCs w:val="24"/>
                <w:color w:val="auto"/>
              </w:rPr>
            </w:pPr>
          </w:p>
        </w:tc>
        <w:tc>
          <w:tcPr>
            <w:tcW w:w="1060" w:type="dxa"/>
            <w:vAlign w:val="bottom"/>
          </w:tcPr>
          <w:p>
            <w:pPr>
              <w:jc w:val="right"/>
              <w:ind w:right="247"/>
              <w:spacing w:after="0"/>
              <w:rPr>
                <w:sz w:val="20"/>
                <w:szCs w:val="20"/>
                <w:color w:val="auto"/>
              </w:rPr>
            </w:pPr>
            <w:r>
              <w:rPr>
                <w:rFonts w:ascii="Courier New" w:cs="Courier New" w:eastAsia="Courier New" w:hAnsi="Courier New"/>
                <w:sz w:val="15"/>
                <w:szCs w:val="15"/>
                <w:color w:val="auto"/>
                <w:w w:val="99"/>
              </w:rPr>
              <w:t>(34,083)</w:t>
            </w:r>
          </w:p>
        </w:tc>
        <w:tc>
          <w:tcPr>
            <w:tcW w:w="300" w:type="dxa"/>
            <w:vAlign w:val="bottom"/>
          </w:tcPr>
          <w:p>
            <w:pPr>
              <w:spacing w:after="0"/>
              <w:rPr>
                <w:sz w:val="24"/>
                <w:szCs w:val="24"/>
                <w:color w:val="auto"/>
              </w:rPr>
            </w:pP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4"/>
              </w:rPr>
              <w:t>(47,338)</w:t>
            </w:r>
          </w:p>
        </w:tc>
        <w:tc>
          <w:tcPr>
            <w:tcW w:w="360" w:type="dxa"/>
            <w:vAlign w:val="bottom"/>
          </w:tcPr>
          <w:p>
            <w:pPr>
              <w:spacing w:after="0"/>
              <w:rPr>
                <w:sz w:val="24"/>
                <w:szCs w:val="24"/>
                <w:color w:val="auto"/>
              </w:rPr>
            </w:pP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3"/>
              </w:rPr>
              <w:t>(169,814)</w:t>
            </w:r>
          </w:p>
        </w:tc>
      </w:tr>
      <w:tr>
        <w:trPr>
          <w:trHeight w:val="339"/>
        </w:trPr>
        <w:tc>
          <w:tcPr>
            <w:tcW w:w="4880" w:type="dxa"/>
            <w:vAlign w:val="bottom"/>
          </w:tcPr>
          <w:p>
            <w:pPr>
              <w:spacing w:after="0"/>
              <w:rPr>
                <w:sz w:val="20"/>
                <w:szCs w:val="20"/>
                <w:color w:val="auto"/>
              </w:rPr>
            </w:pPr>
            <w:r>
              <w:rPr>
                <w:rFonts w:ascii="Courier New" w:cs="Courier New" w:eastAsia="Courier New" w:hAnsi="Courier New"/>
                <w:sz w:val="15"/>
                <w:szCs w:val="15"/>
                <w:color w:val="auto"/>
              </w:rPr>
              <w:t>FINANCING EXPENSE, NET</w:t>
            </w:r>
          </w:p>
        </w:tc>
        <w:tc>
          <w:tcPr>
            <w:tcW w:w="360" w:type="dxa"/>
            <w:vAlign w:val="bottom"/>
          </w:tcPr>
          <w:p>
            <w:pPr>
              <w:spacing w:after="0"/>
              <w:rPr>
                <w:sz w:val="24"/>
                <w:szCs w:val="24"/>
                <w:color w:val="auto"/>
              </w:rPr>
            </w:pPr>
          </w:p>
        </w:tc>
        <w:tc>
          <w:tcPr>
            <w:tcW w:w="1060" w:type="dxa"/>
            <w:vAlign w:val="bottom"/>
          </w:tcPr>
          <w:p>
            <w:pPr>
              <w:jc w:val="right"/>
              <w:ind w:right="247"/>
              <w:spacing w:after="0"/>
              <w:rPr>
                <w:sz w:val="20"/>
                <w:szCs w:val="20"/>
                <w:color w:val="auto"/>
              </w:rPr>
            </w:pPr>
            <w:r>
              <w:rPr>
                <w:rFonts w:ascii="Courier New" w:cs="Courier New" w:eastAsia="Courier New" w:hAnsi="Courier New"/>
                <w:sz w:val="15"/>
                <w:szCs w:val="15"/>
                <w:color w:val="auto"/>
                <w:w w:val="99"/>
              </w:rPr>
              <w:t>(11,524)</w:t>
            </w:r>
          </w:p>
        </w:tc>
        <w:tc>
          <w:tcPr>
            <w:tcW w:w="300" w:type="dxa"/>
            <w:vAlign w:val="bottom"/>
          </w:tcPr>
          <w:p>
            <w:pPr>
              <w:spacing w:after="0"/>
              <w:rPr>
                <w:sz w:val="24"/>
                <w:szCs w:val="24"/>
                <w:color w:val="auto"/>
              </w:rPr>
            </w:pP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(8,175)</w:t>
            </w:r>
          </w:p>
        </w:tc>
        <w:tc>
          <w:tcPr>
            <w:tcW w:w="360" w:type="dxa"/>
            <w:vAlign w:val="bottom"/>
          </w:tcPr>
          <w:p>
            <w:pPr>
              <w:spacing w:after="0"/>
              <w:rPr>
                <w:sz w:val="24"/>
                <w:szCs w:val="24"/>
                <w:color w:val="auto"/>
              </w:rPr>
            </w:pP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(35,651)</w:t>
            </w:r>
          </w:p>
        </w:tc>
      </w:tr>
      <w:tr>
        <w:trPr>
          <w:trHeight w:val="339"/>
        </w:trPr>
        <w:tc>
          <w:tcPr>
            <w:tcW w:w="4880" w:type="dxa"/>
            <w:vAlign w:val="bottom"/>
          </w:tcPr>
          <w:p>
            <w:pPr>
              <w:spacing w:after="0"/>
              <w:rPr>
                <w:sz w:val="20"/>
                <w:szCs w:val="20"/>
                <w:color w:val="auto"/>
              </w:rPr>
            </w:pPr>
            <w:r>
              <w:rPr>
                <w:rFonts w:ascii="Courier New" w:cs="Courier New" w:eastAsia="Courier New" w:hAnsi="Courier New"/>
                <w:sz w:val="15"/>
                <w:szCs w:val="15"/>
                <w:color w:val="auto"/>
              </w:rPr>
              <w:t>OTHER INCOME, NET</w:t>
            </w:r>
          </w:p>
        </w:tc>
        <w:tc>
          <w:tcPr>
            <w:tcW w:w="360" w:type="dxa"/>
            <w:vAlign w:val="bottom"/>
          </w:tcPr>
          <w:p>
            <w:pPr>
              <w:spacing w:after="0"/>
              <w:rPr>
                <w:sz w:val="24"/>
                <w:szCs w:val="24"/>
                <w:color w:val="auto"/>
              </w:rPr>
            </w:pPr>
          </w:p>
        </w:tc>
        <w:tc>
          <w:tcPr>
            <w:tcW w:w="10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551</w:t>
            </w:r>
          </w:p>
        </w:tc>
        <w:tc>
          <w:tcPr>
            <w:tcW w:w="300" w:type="dxa"/>
            <w:vAlign w:val="bottom"/>
          </w:tcPr>
          <w:p>
            <w:pPr>
              <w:spacing w:after="0"/>
              <w:rPr>
                <w:sz w:val="24"/>
                <w:szCs w:val="24"/>
                <w:color w:val="auto"/>
              </w:rPr>
            </w:pP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193</w:t>
            </w:r>
          </w:p>
        </w:tc>
        <w:tc>
          <w:tcPr>
            <w:tcW w:w="360" w:type="dxa"/>
            <w:vAlign w:val="bottom"/>
          </w:tcPr>
          <w:p>
            <w:pPr>
              <w:spacing w:after="0"/>
              <w:rPr>
                <w:sz w:val="24"/>
                <w:szCs w:val="24"/>
                <w:color w:val="auto"/>
              </w:rPr>
            </w:pP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2,383</w:t>
            </w:r>
          </w:p>
        </w:tc>
      </w:tr>
      <w:tr>
        <w:trPr>
          <w:trHeight w:val="170"/>
        </w:trPr>
        <w:tc>
          <w:tcPr>
            <w:tcW w:w="4880" w:type="dxa"/>
            <w:vAlign w:val="bottom"/>
          </w:tcPr>
          <w:p>
            <w:pPr>
              <w:spacing w:after="0"/>
              <w:rPr>
                <w:sz w:val="14"/>
                <w:szCs w:val="14"/>
                <w:color w:val="auto"/>
              </w:rPr>
            </w:pPr>
          </w:p>
        </w:tc>
        <w:tc>
          <w:tcPr>
            <w:tcW w:w="1420" w:type="dxa"/>
            <w:vAlign w:val="bottom"/>
            <w:gridSpan w:val="2"/>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339"/>
        </w:trPr>
        <w:tc>
          <w:tcPr>
            <w:tcW w:w="4880" w:type="dxa"/>
            <w:vAlign w:val="bottom"/>
          </w:tcPr>
          <w:p>
            <w:pPr>
              <w:ind w:left="1760"/>
              <w:spacing w:after="0"/>
              <w:rPr>
                <w:sz w:val="20"/>
                <w:szCs w:val="20"/>
                <w:color w:val="auto"/>
              </w:rPr>
            </w:pPr>
            <w:r>
              <w:rPr>
                <w:rFonts w:ascii="Courier New" w:cs="Courier New" w:eastAsia="Courier New" w:hAnsi="Courier New"/>
                <w:sz w:val="15"/>
                <w:szCs w:val="15"/>
                <w:color w:val="auto"/>
              </w:rPr>
              <w:t>LOSS FOR THE PERIOD</w:t>
            </w:r>
          </w:p>
        </w:tc>
        <w:tc>
          <w:tcPr>
            <w:tcW w:w="1420" w:type="dxa"/>
            <w:vAlign w:val="bottom"/>
            <w:gridSpan w:val="2"/>
          </w:tcPr>
          <w:p>
            <w:pPr>
              <w:jc w:val="right"/>
              <w:ind w:right="247"/>
              <w:spacing w:after="0"/>
              <w:rPr>
                <w:sz w:val="20"/>
                <w:szCs w:val="20"/>
                <w:color w:val="auto"/>
              </w:rPr>
            </w:pPr>
            <w:r>
              <w:rPr>
                <w:rFonts w:ascii="Courier New" w:cs="Courier New" w:eastAsia="Courier New" w:hAnsi="Courier New"/>
                <w:sz w:val="15"/>
                <w:szCs w:val="15"/>
                <w:color w:val="auto"/>
              </w:rPr>
              <w:t>$ (45,056)</w:t>
            </w:r>
          </w:p>
        </w:tc>
        <w:tc>
          <w:tcPr>
            <w:tcW w:w="118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 (55,320)</w:t>
            </w:r>
          </w:p>
        </w:tc>
        <w:tc>
          <w:tcPr>
            <w:tcW w:w="124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$(203,082)</w:t>
            </w:r>
          </w:p>
        </w:tc>
      </w:tr>
      <w:tr>
        <w:trPr>
          <w:trHeight w:val="170"/>
        </w:trPr>
        <w:tc>
          <w:tcPr>
            <w:tcW w:w="4880" w:type="dxa"/>
            <w:vAlign w:val="bottom"/>
          </w:tcPr>
          <w:p>
            <w:pPr>
              <w:spacing w:after="0"/>
              <w:rPr>
                <w:sz w:val="14"/>
                <w:szCs w:val="14"/>
                <w:color w:val="auto"/>
              </w:rPr>
            </w:pPr>
          </w:p>
        </w:tc>
        <w:tc>
          <w:tcPr>
            <w:tcW w:w="1420" w:type="dxa"/>
            <w:vAlign w:val="bottom"/>
            <w:gridSpan w:val="2"/>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509"/>
        </w:trPr>
        <w:tc>
          <w:tcPr>
            <w:tcW w:w="4880" w:type="dxa"/>
            <w:vAlign w:val="bottom"/>
          </w:tcPr>
          <w:p>
            <w:pPr>
              <w:spacing w:after="0"/>
              <w:rPr>
                <w:sz w:val="20"/>
                <w:szCs w:val="20"/>
                <w:color w:val="auto"/>
              </w:rPr>
            </w:pPr>
            <w:r>
              <w:rPr>
                <w:rFonts w:ascii="Courier New" w:cs="Courier New" w:eastAsia="Courier New" w:hAnsi="Courier New"/>
                <w:sz w:val="15"/>
                <w:szCs w:val="15"/>
                <w:color w:val="auto"/>
              </w:rPr>
              <w:t>BASIC AND DILUTED LOSS PER ORDINARY SHARE</w:t>
            </w:r>
          </w:p>
        </w:tc>
        <w:tc>
          <w:tcPr>
            <w:tcW w:w="3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339"/>
        </w:trPr>
        <w:tc>
          <w:tcPr>
            <w:tcW w:w="4880" w:type="dxa"/>
            <w:vAlign w:val="bottom"/>
          </w:tcPr>
          <w:p>
            <w:pPr>
              <w:ind w:left="340"/>
              <w:spacing w:after="0"/>
              <w:rPr>
                <w:sz w:val="20"/>
                <w:szCs w:val="20"/>
                <w:color w:val="auto"/>
              </w:rPr>
            </w:pPr>
            <w:r>
              <w:rPr>
                <w:rFonts w:ascii="Courier New" w:cs="Courier New" w:eastAsia="Courier New" w:hAnsi="Courier New"/>
                <w:sz w:val="15"/>
                <w:szCs w:val="15"/>
                <w:color w:val="auto"/>
              </w:rPr>
              <w:t>Loss per share</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(0.63)</w:t>
            </w:r>
          </w:p>
        </w:tc>
        <w:tc>
          <w:tcPr>
            <w:tcW w:w="3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(0.84)</w:t>
            </w:r>
          </w:p>
        </w:tc>
        <w:tc>
          <w:tcPr>
            <w:tcW w:w="360" w:type="dxa"/>
            <w:vAlign w:val="bottom"/>
          </w:tcPr>
          <w:p>
            <w:pPr>
              <w:ind w:left="260"/>
              <w:spacing w:after="0"/>
              <w:rPr>
                <w:sz w:val="20"/>
                <w:szCs w:val="20"/>
                <w:color w:val="auto"/>
              </w:rPr>
            </w:pPr>
            <w:r>
              <w:rPr>
                <w:rFonts w:ascii="Courier New" w:cs="Courier New" w:eastAsia="Courier New" w:hAnsi="Courier New"/>
                <w:sz w:val="15"/>
                <w:szCs w:val="15"/>
                <w:color w:val="auto"/>
                <w:w w:val="88"/>
              </w:rPr>
              <w:t>$</w:t>
            </w: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(3.06)</w:t>
            </w:r>
          </w:p>
        </w:tc>
      </w:tr>
      <w:tr>
        <w:trPr>
          <w:trHeight w:val="170"/>
        </w:trPr>
        <w:tc>
          <w:tcPr>
            <w:tcW w:w="4880" w:type="dxa"/>
            <w:vAlign w:val="bottom"/>
          </w:tcPr>
          <w:p>
            <w:pPr>
              <w:spacing w:after="0"/>
              <w:rPr>
                <w:sz w:val="14"/>
                <w:szCs w:val="14"/>
                <w:color w:val="auto"/>
              </w:rPr>
            </w:pPr>
          </w:p>
        </w:tc>
        <w:tc>
          <w:tcPr>
            <w:tcW w:w="1420" w:type="dxa"/>
            <w:vAlign w:val="bottom"/>
            <w:gridSpan w:val="2"/>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339"/>
        </w:trPr>
        <w:tc>
          <w:tcPr>
            <w:tcW w:w="4880" w:type="dxa"/>
            <w:vAlign w:val="bottom"/>
          </w:tcPr>
          <w:p>
            <w:pPr>
              <w:ind w:left="340"/>
              <w:spacing w:after="0"/>
              <w:rPr>
                <w:sz w:val="20"/>
                <w:szCs w:val="20"/>
                <w:color w:val="auto"/>
              </w:rPr>
            </w:pPr>
            <w:r>
              <w:rPr>
                <w:rFonts w:ascii="Courier New" w:cs="Courier New" w:eastAsia="Courier New" w:hAnsi="Courier New"/>
                <w:sz w:val="15"/>
                <w:szCs w:val="15"/>
                <w:color w:val="auto"/>
              </w:rPr>
              <w:t>WEIGHTED AVERAGE NUMBER OF ORDINARY</w:t>
            </w:r>
          </w:p>
        </w:tc>
        <w:tc>
          <w:tcPr>
            <w:tcW w:w="3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70"/>
        </w:trPr>
        <w:tc>
          <w:tcPr>
            <w:tcW w:w="4880" w:type="dxa"/>
            <w:vAlign w:val="bottom"/>
          </w:tcPr>
          <w:p>
            <w:pPr>
              <w:ind w:left="600"/>
              <w:spacing w:after="0"/>
              <w:rPr>
                <w:sz w:val="20"/>
                <w:szCs w:val="20"/>
                <w:color w:val="auto"/>
              </w:rPr>
            </w:pPr>
            <w:r>
              <w:rPr>
                <w:rFonts w:ascii="Courier New" w:cs="Courier New" w:eastAsia="Courier New" w:hAnsi="Courier New"/>
                <w:sz w:val="15"/>
                <w:szCs w:val="15"/>
                <w:color w:val="auto"/>
              </w:rPr>
              <w:t>SHARES OUTSTANDING - IN THOUSANDS</w:t>
            </w:r>
          </w:p>
        </w:tc>
        <w:tc>
          <w:tcPr>
            <w:tcW w:w="360" w:type="dxa"/>
            <w:vAlign w:val="bottom"/>
          </w:tcPr>
          <w:p>
            <w:pPr>
              <w:spacing w:after="0"/>
              <w:rPr>
                <w:sz w:val="14"/>
                <w:szCs w:val="14"/>
                <w:color w:val="auto"/>
              </w:rPr>
            </w:pPr>
          </w:p>
        </w:tc>
        <w:tc>
          <w:tcPr>
            <w:tcW w:w="10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71,872</w:t>
            </w:r>
          </w:p>
        </w:tc>
        <w:tc>
          <w:tcPr>
            <w:tcW w:w="300" w:type="dxa"/>
            <w:vAlign w:val="bottom"/>
          </w:tcPr>
          <w:p>
            <w:pPr>
              <w:spacing w:after="0"/>
              <w:rPr>
                <w:sz w:val="14"/>
                <w:szCs w:val="14"/>
                <w:color w:val="auto"/>
              </w:rPr>
            </w:pP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65,700</w:t>
            </w:r>
          </w:p>
        </w:tc>
        <w:tc>
          <w:tcPr>
            <w:tcW w:w="360" w:type="dxa"/>
            <w:vAlign w:val="bottom"/>
          </w:tcPr>
          <w:p>
            <w:pPr>
              <w:spacing w:after="0"/>
              <w:rPr>
                <w:sz w:val="14"/>
                <w:szCs w:val="14"/>
                <w:color w:val="auto"/>
              </w:rPr>
            </w:pP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66,371</w:t>
            </w:r>
          </w:p>
        </w:tc>
      </w:tr>
      <w:tr>
        <w:trPr>
          <w:trHeight w:val="170"/>
        </w:trPr>
        <w:tc>
          <w:tcPr>
            <w:tcW w:w="4880" w:type="dxa"/>
            <w:vAlign w:val="bottom"/>
          </w:tcPr>
          <w:p>
            <w:pPr>
              <w:spacing w:after="0"/>
              <w:rPr>
                <w:sz w:val="14"/>
                <w:szCs w:val="14"/>
                <w:color w:val="auto"/>
              </w:rPr>
            </w:pPr>
          </w:p>
        </w:tc>
        <w:tc>
          <w:tcPr>
            <w:tcW w:w="1420" w:type="dxa"/>
            <w:vAlign w:val="bottom"/>
            <w:gridSpan w:val="2"/>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SEE NOTES TO CONDENSED INTERIM CONSOLIDATED FINANCIAL STATEMENTS.</w:t>
      </w:r>
    </w:p>
    <w:p>
      <w:pPr>
        <w:spacing w:after="0" w:line="339" w:lineRule="exact"/>
        <w:rPr>
          <w:sz w:val="20"/>
          <w:szCs w:val="20"/>
          <w:color w:val="auto"/>
        </w:rPr>
      </w:pPr>
    </w:p>
    <w:p>
      <w:pPr>
        <w:ind w:left="3260"/>
        <w:spacing w:after="0"/>
        <w:rPr>
          <w:sz w:val="20"/>
          <w:szCs w:val="20"/>
          <w:color w:val="auto"/>
        </w:rPr>
      </w:pPr>
      <w:r>
        <w:rPr>
          <w:rFonts w:ascii="Courier New" w:cs="Courier New" w:eastAsia="Courier New" w:hAnsi="Courier New"/>
          <w:sz w:val="15"/>
          <w:szCs w:val="15"/>
          <w:color w:val="auto"/>
        </w:rPr>
        <w:t>- 2 -</w:t>
      </w:r>
    </w:p>
    <w:p>
      <w:pPr>
        <w:sectPr>
          <w:pgSz w:w="11900" w:h="16838" w:orient="portrait"/>
          <w:cols w:equalWidth="0" w:num="1">
            <w:col w:w="10219"/>
          </w:cols>
          <w:pgMar w:left="240" w:top="791" w:right="1440" w:bottom="1440" w:gutter="0" w:footer="0" w:header="0"/>
        </w:sectPr>
      </w:pPr>
    </w:p>
    <w:bookmarkStart w:id="6" w:name="page7"/>
    <w:bookmarkEnd w:id="6"/>
    <w:p>
      <w:pPr>
        <w:jc w:val="center"/>
        <w:ind w:right="4060"/>
        <w:spacing w:after="0"/>
        <w:rPr>
          <w:sz w:val="20"/>
          <w:szCs w:val="20"/>
          <w:color w:val="auto"/>
        </w:rPr>
      </w:pPr>
      <w:r>
        <w:rPr>
          <w:rFonts w:ascii="Courier New" w:cs="Courier New" w:eastAsia="Courier New" w:hAnsi="Courier New"/>
          <w:sz w:val="15"/>
          <w:szCs w:val="15"/>
          <w:color w:val="auto"/>
        </w:rPr>
        <w:t>TOWER SEMICONDUCTOR LTD.</w:t>
      </w:r>
    </w:p>
    <w:p>
      <w:pPr>
        <w:jc w:val="center"/>
        <w:ind w:right="3980"/>
        <w:spacing w:after="0"/>
        <w:rPr>
          <w:sz w:val="20"/>
          <w:szCs w:val="20"/>
          <w:color w:val="auto"/>
        </w:rPr>
      </w:pPr>
      <w:r>
        <w:rPr>
          <w:rFonts w:ascii="Courier New" w:cs="Courier New" w:eastAsia="Courier New" w:hAnsi="Courier New"/>
          <w:sz w:val="15"/>
          <w:szCs w:val="15"/>
          <w:color w:val="auto"/>
        </w:rPr>
        <w:t>STATEMENTS OF CHANGES IN SHAREHOLDERS' EQUITY (DEFICIT)</w:t>
      </w:r>
    </w:p>
    <w:tbl>
      <w:tblPr>
        <w:tblLayout w:type="fixed"/>
        <w:tblInd w:w="0" w:type="dxa"/>
        <w:tblCellMar>
          <w:top w:w="0" w:type="dxa"/>
          <w:left w:w="0" w:type="dxa"/>
          <w:bottom w:w="0" w:type="dxa"/>
          <w:right w:w="0" w:type="dxa"/>
        </w:tblCellMar>
      </w:tblPr>
      <w:tr>
        <w:trPr>
          <w:trHeight w:val="169"/>
        </w:trPr>
        <w:tc>
          <w:tcPr>
            <w:tcW w:w="6300" w:type="dxa"/>
            <w:vAlign w:val="bottom"/>
            <w:gridSpan w:val="5"/>
          </w:tcPr>
          <w:p>
            <w:pPr>
              <w:jc w:val="right"/>
              <w:ind w:right="67"/>
              <w:spacing w:after="0"/>
              <w:rPr>
                <w:sz w:val="20"/>
                <w:szCs w:val="20"/>
                <w:color w:val="auto"/>
              </w:rPr>
            </w:pPr>
            <w:r>
              <w:rPr>
                <w:rFonts w:ascii="Courier New" w:cs="Courier New" w:eastAsia="Courier New" w:hAnsi="Courier New"/>
                <w:sz w:val="15"/>
                <w:szCs w:val="15"/>
                <w:color w:val="auto"/>
              </w:rPr>
              <w:t>(DOLLARS IN THOUSANDS, EXCEPT SHARE DATA AND PER SHARE DATA)</w:t>
            </w:r>
          </w:p>
        </w:tc>
        <w:tc>
          <w:tcPr>
            <w:tcW w:w="3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678"/>
        </w:trPr>
        <w:tc>
          <w:tcPr>
            <w:tcW w:w="30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80" w:type="dxa"/>
            <w:vAlign w:val="bottom"/>
          </w:tcPr>
          <w:p>
            <w:pPr>
              <w:jc w:val="center"/>
              <w:ind w:right="267"/>
              <w:spacing w:after="0"/>
              <w:rPr>
                <w:sz w:val="20"/>
                <w:szCs w:val="20"/>
                <w:color w:val="auto"/>
              </w:rPr>
            </w:pPr>
            <w:r>
              <w:rPr>
                <w:rFonts w:ascii="Courier New" w:cs="Courier New" w:eastAsia="Courier New" w:hAnsi="Courier New"/>
                <w:sz w:val="15"/>
                <w:szCs w:val="15"/>
                <w:color w:val="auto"/>
                <w:w w:val="99"/>
              </w:rPr>
              <w:t>EQUITY</w:t>
            </w:r>
          </w:p>
        </w:tc>
        <w:tc>
          <w:tcPr>
            <w:tcW w:w="1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170"/>
        </w:trPr>
        <w:tc>
          <w:tcPr>
            <w:tcW w:w="3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8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COMPONENT</w:t>
            </w:r>
          </w:p>
        </w:tc>
        <w:tc>
          <w:tcPr>
            <w:tcW w:w="1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0"/>
        </w:trPr>
        <w:tc>
          <w:tcPr>
            <w:tcW w:w="3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80" w:type="dxa"/>
            <w:vAlign w:val="bottom"/>
          </w:tcPr>
          <w:p>
            <w:pPr>
              <w:ind w:left="80"/>
              <w:spacing w:after="0"/>
              <w:rPr>
                <w:sz w:val="20"/>
                <w:szCs w:val="20"/>
                <w:color w:val="auto"/>
              </w:rPr>
            </w:pPr>
            <w:r>
              <w:rPr>
                <w:rFonts w:ascii="Courier New" w:cs="Courier New" w:eastAsia="Courier New" w:hAnsi="Courier New"/>
                <w:sz w:val="15"/>
                <w:szCs w:val="15"/>
                <w:color w:val="auto"/>
              </w:rPr>
              <w:t>OF</w:t>
            </w:r>
          </w:p>
        </w:tc>
        <w:tc>
          <w:tcPr>
            <w:tcW w:w="1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0"/>
        </w:trPr>
        <w:tc>
          <w:tcPr>
            <w:tcW w:w="3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8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CONVERTIBLE</w:t>
            </w:r>
          </w:p>
        </w:tc>
        <w:tc>
          <w:tcPr>
            <w:tcW w:w="1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0"/>
        </w:trPr>
        <w:tc>
          <w:tcPr>
            <w:tcW w:w="3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80" w:type="dxa"/>
            <w:vAlign w:val="bottom"/>
            <w:gridSpan w:val="2"/>
          </w:tcPr>
          <w:p>
            <w:pPr>
              <w:jc w:val="center"/>
              <w:spacing w:after="0"/>
              <w:rPr>
                <w:sz w:val="20"/>
                <w:szCs w:val="20"/>
                <w:color w:val="auto"/>
              </w:rPr>
            </w:pPr>
            <w:r>
              <w:rPr>
                <w:rFonts w:ascii="Courier New" w:cs="Courier New" w:eastAsia="Courier New" w:hAnsi="Courier New"/>
                <w:sz w:val="15"/>
                <w:szCs w:val="15"/>
                <w:color w:val="auto"/>
                <w:w w:val="97"/>
              </w:rPr>
              <w:t>DEBENTURES</w:t>
            </w:r>
          </w:p>
        </w:tc>
        <w:tc>
          <w:tcPr>
            <w:tcW w:w="1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0"/>
        </w:trPr>
        <w:tc>
          <w:tcPr>
            <w:tcW w:w="3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80" w:type="dxa"/>
            <w:vAlign w:val="bottom"/>
          </w:tcPr>
          <w:p>
            <w:pPr>
              <w:ind w:left="80"/>
              <w:spacing w:after="0"/>
              <w:rPr>
                <w:sz w:val="20"/>
                <w:szCs w:val="20"/>
                <w:color w:val="auto"/>
              </w:rPr>
            </w:pPr>
            <w:r>
              <w:rPr>
                <w:rFonts w:ascii="Courier New" w:cs="Courier New" w:eastAsia="Courier New" w:hAnsi="Courier New"/>
                <w:sz w:val="15"/>
                <w:szCs w:val="15"/>
                <w:color w:val="auto"/>
              </w:rPr>
              <w:t>AND</w:t>
            </w:r>
          </w:p>
        </w:tc>
        <w:tc>
          <w:tcPr>
            <w:tcW w:w="1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0"/>
        </w:trPr>
        <w:tc>
          <w:tcPr>
            <w:tcW w:w="3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80" w:type="dxa"/>
            <w:vAlign w:val="bottom"/>
            <w:gridSpan w:val="2"/>
          </w:tcPr>
          <w:p>
            <w:pPr>
              <w:jc w:val="center"/>
              <w:spacing w:after="0"/>
              <w:rPr>
                <w:sz w:val="20"/>
                <w:szCs w:val="20"/>
                <w:color w:val="auto"/>
              </w:rPr>
            </w:pPr>
            <w:r>
              <w:rPr>
                <w:rFonts w:ascii="Courier New" w:cs="Courier New" w:eastAsia="Courier New" w:hAnsi="Courier New"/>
                <w:sz w:val="15"/>
                <w:szCs w:val="15"/>
                <w:color w:val="auto"/>
                <w:w w:val="97"/>
              </w:rPr>
              <w:t>CUMULATIVE</w:t>
            </w:r>
          </w:p>
        </w:tc>
        <w:tc>
          <w:tcPr>
            <w:tcW w:w="1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0"/>
        </w:trPr>
        <w:tc>
          <w:tcPr>
            <w:tcW w:w="3040" w:type="dxa"/>
            <w:vAlign w:val="bottom"/>
          </w:tcPr>
          <w:p>
            <w:pPr>
              <w:spacing w:after="0"/>
              <w:rPr>
                <w:sz w:val="14"/>
                <w:szCs w:val="14"/>
                <w:color w:val="auto"/>
              </w:rPr>
            </w:pPr>
          </w:p>
        </w:tc>
        <w:tc>
          <w:tcPr>
            <w:tcW w:w="2240" w:type="dxa"/>
            <w:vAlign w:val="bottom"/>
            <w:gridSpan w:val="3"/>
          </w:tcPr>
          <w:p>
            <w:pPr>
              <w:jc w:val="right"/>
              <w:ind w:right="367"/>
              <w:spacing w:after="0"/>
              <w:rPr>
                <w:sz w:val="20"/>
                <w:szCs w:val="20"/>
                <w:color w:val="auto"/>
              </w:rPr>
            </w:pPr>
            <w:r>
              <w:rPr>
                <w:rFonts w:ascii="Courier New" w:cs="Courier New" w:eastAsia="Courier New" w:hAnsi="Courier New"/>
                <w:sz w:val="15"/>
                <w:szCs w:val="15"/>
                <w:color w:val="auto"/>
              </w:rPr>
              <w:t>ORDINARY SHARES</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ADDITIONAL</w:t>
            </w:r>
          </w:p>
        </w:tc>
        <w:tc>
          <w:tcPr>
            <w:tcW w:w="300" w:type="dxa"/>
            <w:vAlign w:val="bottom"/>
          </w:tcPr>
          <w:p>
            <w:pPr>
              <w:spacing w:after="0"/>
              <w:rPr>
                <w:sz w:val="14"/>
                <w:szCs w:val="14"/>
                <w:color w:val="auto"/>
              </w:rPr>
            </w:pPr>
          </w:p>
        </w:tc>
        <w:tc>
          <w:tcPr>
            <w:tcW w:w="880" w:type="dxa"/>
            <w:vAlign w:val="bottom"/>
          </w:tcPr>
          <w:p>
            <w:pPr>
              <w:jc w:val="right"/>
              <w:ind w:right="367"/>
              <w:spacing w:after="0"/>
              <w:rPr>
                <w:sz w:val="20"/>
                <w:szCs w:val="20"/>
                <w:color w:val="auto"/>
              </w:rPr>
            </w:pPr>
            <w:r>
              <w:rPr>
                <w:rFonts w:ascii="Courier New" w:cs="Courier New" w:eastAsia="Courier New" w:hAnsi="Courier New"/>
                <w:sz w:val="15"/>
                <w:szCs w:val="15"/>
                <w:color w:val="auto"/>
                <w:w w:val="93"/>
              </w:rPr>
              <w:t>STOCK</w:t>
            </w:r>
          </w:p>
        </w:tc>
        <w:tc>
          <w:tcPr>
            <w:tcW w:w="1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0"/>
        </w:trPr>
        <w:tc>
          <w:tcPr>
            <w:tcW w:w="3040" w:type="dxa"/>
            <w:vAlign w:val="bottom"/>
          </w:tcPr>
          <w:p>
            <w:pPr>
              <w:spacing w:after="0"/>
              <w:rPr>
                <w:sz w:val="14"/>
                <w:szCs w:val="14"/>
                <w:color w:val="auto"/>
              </w:rPr>
            </w:pPr>
          </w:p>
        </w:tc>
        <w:tc>
          <w:tcPr>
            <w:tcW w:w="2240" w:type="dxa"/>
            <w:vAlign w:val="bottom"/>
            <w:gridSpan w:val="3"/>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PAID-IN</w:t>
            </w:r>
          </w:p>
        </w:tc>
        <w:tc>
          <w:tcPr>
            <w:tcW w:w="300" w:type="dxa"/>
            <w:vAlign w:val="bottom"/>
          </w:tcPr>
          <w:p>
            <w:pPr>
              <w:spacing w:after="0"/>
              <w:rPr>
                <w:sz w:val="14"/>
                <w:szCs w:val="14"/>
                <w:color w:val="auto"/>
              </w:rPr>
            </w:pPr>
          </w:p>
        </w:tc>
        <w:tc>
          <w:tcPr>
            <w:tcW w:w="880" w:type="dxa"/>
            <w:vAlign w:val="bottom"/>
          </w:tcPr>
          <w:p>
            <w:pPr>
              <w:ind w:left="80"/>
              <w:spacing w:after="0"/>
              <w:rPr>
                <w:sz w:val="20"/>
                <w:szCs w:val="20"/>
                <w:color w:val="auto"/>
              </w:rPr>
            </w:pPr>
            <w:r>
              <w:rPr>
                <w:rFonts w:ascii="Courier New" w:cs="Courier New" w:eastAsia="Courier New" w:hAnsi="Courier New"/>
                <w:sz w:val="15"/>
                <w:szCs w:val="15"/>
                <w:color w:val="auto"/>
              </w:rPr>
              <w:t>BASED</w:t>
            </w:r>
          </w:p>
        </w:tc>
        <w:tc>
          <w:tcPr>
            <w:tcW w:w="180" w:type="dxa"/>
            <w:vAlign w:val="bottom"/>
          </w:tcPr>
          <w:p>
            <w:pPr>
              <w:spacing w:after="0"/>
              <w:rPr>
                <w:sz w:val="14"/>
                <w:szCs w:val="14"/>
                <w:color w:val="auto"/>
              </w:rPr>
            </w:pPr>
          </w:p>
        </w:tc>
        <w:tc>
          <w:tcPr>
            <w:tcW w:w="1280" w:type="dxa"/>
            <w:vAlign w:val="bottom"/>
          </w:tcPr>
          <w:p>
            <w:pPr>
              <w:jc w:val="right"/>
              <w:ind w:right="247"/>
              <w:spacing w:after="0"/>
              <w:rPr>
                <w:sz w:val="20"/>
                <w:szCs w:val="20"/>
                <w:color w:val="auto"/>
              </w:rPr>
            </w:pPr>
            <w:r>
              <w:rPr>
                <w:rFonts w:ascii="Courier New" w:cs="Courier New" w:eastAsia="Courier New" w:hAnsi="Courier New"/>
                <w:sz w:val="15"/>
                <w:szCs w:val="15"/>
                <w:color w:val="auto"/>
                <w:w w:val="94"/>
              </w:rPr>
              <w:t>ACCUMULATED</w:t>
            </w:r>
          </w:p>
        </w:tc>
        <w:tc>
          <w:tcPr>
            <w:tcW w:w="1180" w:type="dxa"/>
            <w:vAlign w:val="bottom"/>
            <w:gridSpan w:val="2"/>
          </w:tcPr>
          <w:p>
            <w:pPr>
              <w:ind w:left="120"/>
              <w:spacing w:after="0"/>
              <w:rPr>
                <w:sz w:val="20"/>
                <w:szCs w:val="20"/>
                <w:color w:val="auto"/>
              </w:rPr>
            </w:pPr>
            <w:r>
              <w:rPr>
                <w:rFonts w:ascii="Courier New" w:cs="Courier New" w:eastAsia="Courier New" w:hAnsi="Courier New"/>
                <w:sz w:val="15"/>
                <w:szCs w:val="15"/>
                <w:color w:val="auto"/>
              </w:rPr>
              <w:t>TREASURY</w:t>
            </w:r>
          </w:p>
        </w:tc>
        <w:tc>
          <w:tcPr>
            <w:tcW w:w="980" w:type="dxa"/>
            <w:vAlign w:val="bottom"/>
          </w:tcPr>
          <w:p>
            <w:pPr>
              <w:spacing w:after="0"/>
              <w:rPr>
                <w:sz w:val="14"/>
                <w:szCs w:val="14"/>
                <w:color w:val="auto"/>
              </w:rPr>
            </w:pPr>
          </w:p>
        </w:tc>
      </w:tr>
      <w:tr>
        <w:trPr>
          <w:trHeight w:val="170"/>
        </w:trPr>
        <w:tc>
          <w:tcPr>
            <w:tcW w:w="3040" w:type="dxa"/>
            <w:vAlign w:val="bottom"/>
          </w:tcPr>
          <w:p>
            <w:pPr>
              <w:spacing w:after="0"/>
              <w:rPr>
                <w:sz w:val="14"/>
                <w:szCs w:val="14"/>
                <w:color w:val="auto"/>
              </w:rPr>
            </w:pPr>
          </w:p>
        </w:tc>
        <w:tc>
          <w:tcPr>
            <w:tcW w:w="11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SHARES</w:t>
            </w:r>
          </w:p>
        </w:tc>
        <w:tc>
          <w:tcPr>
            <w:tcW w:w="220" w:type="dxa"/>
            <w:vAlign w:val="bottom"/>
          </w:tcPr>
          <w:p>
            <w:pPr>
              <w:spacing w:after="0"/>
              <w:rPr>
                <w:sz w:val="14"/>
                <w:szCs w:val="14"/>
                <w:color w:val="auto"/>
              </w:rPr>
            </w:pPr>
          </w:p>
        </w:tc>
        <w:tc>
          <w:tcPr>
            <w:tcW w:w="880" w:type="dxa"/>
            <w:vAlign w:val="bottom"/>
          </w:tcPr>
          <w:p>
            <w:pPr>
              <w:jc w:val="right"/>
              <w:ind w:right="287"/>
              <w:spacing w:after="0"/>
              <w:rPr>
                <w:sz w:val="20"/>
                <w:szCs w:val="20"/>
                <w:color w:val="auto"/>
              </w:rPr>
            </w:pPr>
            <w:r>
              <w:rPr>
                <w:rFonts w:ascii="Courier New" w:cs="Courier New" w:eastAsia="Courier New" w:hAnsi="Courier New"/>
                <w:sz w:val="15"/>
                <w:szCs w:val="15"/>
                <w:color w:val="auto"/>
                <w:w w:val="92"/>
              </w:rPr>
              <w:t>AMOUNT</w:t>
            </w:r>
          </w:p>
        </w:tc>
        <w:tc>
          <w:tcPr>
            <w:tcW w:w="10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CAPITAL</w:t>
            </w:r>
          </w:p>
        </w:tc>
        <w:tc>
          <w:tcPr>
            <w:tcW w:w="1180" w:type="dxa"/>
            <w:vAlign w:val="bottom"/>
            <w:gridSpan w:val="2"/>
          </w:tcPr>
          <w:p>
            <w:pPr>
              <w:jc w:val="center"/>
              <w:spacing w:after="0"/>
              <w:rPr>
                <w:sz w:val="20"/>
                <w:szCs w:val="20"/>
                <w:color w:val="auto"/>
              </w:rPr>
            </w:pPr>
            <w:r>
              <w:rPr>
                <w:rFonts w:ascii="Courier New" w:cs="Courier New" w:eastAsia="Courier New" w:hAnsi="Courier New"/>
                <w:sz w:val="15"/>
                <w:szCs w:val="15"/>
                <w:color w:val="auto"/>
                <w:w w:val="98"/>
              </w:rPr>
              <w:t>COMPENSATION</w:t>
            </w:r>
          </w:p>
        </w:tc>
        <w:tc>
          <w:tcPr>
            <w:tcW w:w="180" w:type="dxa"/>
            <w:vAlign w:val="bottom"/>
          </w:tcPr>
          <w:p>
            <w:pPr>
              <w:spacing w:after="0"/>
              <w:rPr>
                <w:sz w:val="14"/>
                <w:szCs w:val="14"/>
                <w:color w:val="auto"/>
              </w:rPr>
            </w:pPr>
          </w:p>
        </w:tc>
        <w:tc>
          <w:tcPr>
            <w:tcW w:w="128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DEFICIT</w:t>
            </w:r>
          </w:p>
        </w:tc>
        <w:tc>
          <w:tcPr>
            <w:tcW w:w="260" w:type="dxa"/>
            <w:vAlign w:val="bottom"/>
          </w:tcPr>
          <w:p>
            <w:pPr>
              <w:spacing w:after="0"/>
              <w:rPr>
                <w:sz w:val="14"/>
                <w:szCs w:val="14"/>
                <w:color w:val="auto"/>
              </w:rPr>
            </w:pPr>
          </w:p>
        </w:tc>
        <w:tc>
          <w:tcPr>
            <w:tcW w:w="9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STOCK</w:t>
            </w:r>
          </w:p>
        </w:tc>
        <w:tc>
          <w:tcPr>
            <w:tcW w:w="9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TOTAL</w:t>
            </w:r>
          </w:p>
        </w:tc>
      </w:tr>
      <w:tr>
        <w:trPr>
          <w:trHeight w:val="170"/>
        </w:trPr>
        <w:tc>
          <w:tcPr>
            <w:tcW w:w="3040" w:type="dxa"/>
            <w:vAlign w:val="bottom"/>
          </w:tcPr>
          <w:p>
            <w:pPr>
              <w:spacing w:after="0"/>
              <w:rPr>
                <w:sz w:val="14"/>
                <w:szCs w:val="14"/>
                <w:color w:val="auto"/>
              </w:rPr>
            </w:pPr>
          </w:p>
        </w:tc>
        <w:tc>
          <w:tcPr>
            <w:tcW w:w="11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46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339"/>
        </w:trPr>
        <w:tc>
          <w:tcPr>
            <w:tcW w:w="3040" w:type="dxa"/>
            <w:vAlign w:val="bottom"/>
          </w:tcPr>
          <w:p>
            <w:pPr>
              <w:ind w:left="440"/>
              <w:spacing w:after="0"/>
              <w:rPr>
                <w:sz w:val="20"/>
                <w:szCs w:val="20"/>
                <w:color w:val="auto"/>
              </w:rPr>
            </w:pPr>
            <w:r>
              <w:rPr>
                <w:rFonts w:ascii="Courier New" w:cs="Courier New" w:eastAsia="Courier New" w:hAnsi="Courier New"/>
                <w:sz w:val="15"/>
                <w:szCs w:val="15"/>
                <w:color w:val="auto"/>
              </w:rPr>
              <w:t>BALANCE - JANUARY 1, 2006</w:t>
            </w:r>
          </w:p>
        </w:tc>
        <w:tc>
          <w:tcPr>
            <w:tcW w:w="11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68,232,056</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16,548</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$ 522,237</w:t>
            </w:r>
          </w:p>
        </w:tc>
        <w:tc>
          <w:tcPr>
            <w:tcW w:w="300" w:type="dxa"/>
            <w:vAlign w:val="bottom"/>
          </w:tcPr>
          <w:p>
            <w:pPr>
              <w:ind w:left="220"/>
              <w:spacing w:after="0"/>
              <w:rPr>
                <w:sz w:val="20"/>
                <w:szCs w:val="20"/>
                <w:color w:val="auto"/>
              </w:rPr>
            </w:pPr>
            <w:r>
              <w:rPr>
                <w:rFonts w:ascii="Courier New" w:cs="Courier New" w:eastAsia="Courier New" w:hAnsi="Courier New"/>
                <w:sz w:val="14"/>
                <w:szCs w:val="14"/>
                <w:color w:val="auto"/>
                <w:w w:val="70"/>
              </w:rPr>
              <w:t>$</w:t>
            </w: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(26)</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(559,754)</w:t>
            </w:r>
          </w:p>
        </w:tc>
        <w:tc>
          <w:tcPr>
            <w:tcW w:w="260" w:type="dxa"/>
            <w:vAlign w:val="bottom"/>
          </w:tcPr>
          <w:p>
            <w:pPr>
              <w:ind w:left="120"/>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7"/>
              <w:spacing w:after="0"/>
              <w:rPr>
                <w:sz w:val="20"/>
                <w:szCs w:val="20"/>
                <w:color w:val="auto"/>
              </w:rPr>
            </w:pPr>
            <w:r>
              <w:rPr>
                <w:rFonts w:ascii="Courier New" w:cs="Courier New" w:eastAsia="Courier New" w:hAnsi="Courier New"/>
                <w:sz w:val="15"/>
                <w:szCs w:val="15"/>
                <w:color w:val="auto"/>
              </w:rPr>
              <w:t>(9,072)</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 (30,067)</w:t>
            </w:r>
          </w:p>
        </w:tc>
      </w:tr>
      <w:tr>
        <w:trPr>
          <w:trHeight w:val="339"/>
        </w:trPr>
        <w:tc>
          <w:tcPr>
            <w:tcW w:w="3040" w:type="dxa"/>
            <w:vAlign w:val="bottom"/>
          </w:tcPr>
          <w:p>
            <w:pPr>
              <w:spacing w:after="0"/>
              <w:rPr>
                <w:sz w:val="20"/>
                <w:szCs w:val="20"/>
                <w:color w:val="auto"/>
              </w:rPr>
            </w:pPr>
            <w:r>
              <w:rPr>
                <w:rFonts w:ascii="Courier New" w:cs="Courier New" w:eastAsia="Courier New" w:hAnsi="Courier New"/>
                <w:sz w:val="15"/>
                <w:szCs w:val="15"/>
                <w:color w:val="auto"/>
              </w:rPr>
              <w:t>CHANGES DURING THREE-MONTH PERIOD</w:t>
            </w: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170"/>
        </w:trPr>
        <w:tc>
          <w:tcPr>
            <w:tcW w:w="3040" w:type="dxa"/>
            <w:vAlign w:val="bottom"/>
          </w:tcPr>
          <w:p>
            <w:pPr>
              <w:ind w:left="260"/>
              <w:spacing w:after="0"/>
              <w:rPr>
                <w:sz w:val="20"/>
                <w:szCs w:val="20"/>
                <w:color w:val="auto"/>
              </w:rPr>
            </w:pPr>
            <w:r>
              <w:rPr>
                <w:rFonts w:ascii="Courier New" w:cs="Courier New" w:eastAsia="Courier New" w:hAnsi="Courier New"/>
                <w:sz w:val="15"/>
                <w:szCs w:val="15"/>
                <w:color w:val="auto"/>
              </w:rPr>
              <w:t>(UNAUDITED):</w:t>
            </w:r>
          </w:p>
        </w:tc>
        <w:tc>
          <w:tcPr>
            <w:tcW w:w="1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339"/>
        </w:trPr>
        <w:tc>
          <w:tcPr>
            <w:tcW w:w="3040" w:type="dxa"/>
            <w:vAlign w:val="bottom"/>
          </w:tcPr>
          <w:p>
            <w:pPr>
              <w:spacing w:after="0"/>
              <w:rPr>
                <w:sz w:val="20"/>
                <w:szCs w:val="20"/>
                <w:color w:val="auto"/>
              </w:rPr>
            </w:pPr>
            <w:r>
              <w:rPr>
                <w:rFonts w:ascii="Courier New" w:cs="Courier New" w:eastAsia="Courier New" w:hAnsi="Courier New"/>
                <w:sz w:val="15"/>
                <w:szCs w:val="15"/>
                <w:color w:val="auto"/>
              </w:rPr>
              <w:t>ISSUANCE OF SHARES</w:t>
            </w:r>
          </w:p>
        </w:tc>
        <w:tc>
          <w:tcPr>
            <w:tcW w:w="11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2,713,396</w:t>
            </w:r>
          </w:p>
        </w:tc>
        <w:tc>
          <w:tcPr>
            <w:tcW w:w="220" w:type="dxa"/>
            <w:vAlign w:val="bottom"/>
          </w:tcPr>
          <w:p>
            <w:pPr>
              <w:spacing w:after="0"/>
              <w:rPr>
                <w:sz w:val="24"/>
                <w:szCs w:val="24"/>
                <w:color w:val="auto"/>
              </w:rPr>
            </w:pP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579</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3,708</w:t>
            </w:r>
          </w:p>
        </w:tc>
        <w:tc>
          <w:tcPr>
            <w:tcW w:w="3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4,287</w:t>
            </w:r>
          </w:p>
        </w:tc>
      </w:tr>
      <w:tr>
        <w:trPr>
          <w:trHeight w:val="170"/>
        </w:trPr>
        <w:tc>
          <w:tcPr>
            <w:tcW w:w="3040" w:type="dxa"/>
            <w:vAlign w:val="bottom"/>
          </w:tcPr>
          <w:p>
            <w:pPr>
              <w:spacing w:after="0"/>
              <w:rPr>
                <w:sz w:val="20"/>
                <w:szCs w:val="20"/>
                <w:color w:val="auto"/>
              </w:rPr>
            </w:pPr>
            <w:r>
              <w:rPr>
                <w:rFonts w:ascii="Courier New" w:cs="Courier New" w:eastAsia="Courier New" w:hAnsi="Courier New"/>
                <w:sz w:val="15"/>
                <w:szCs w:val="15"/>
                <w:color w:val="auto"/>
              </w:rPr>
              <w:t>EQUITY COMPONENT OF CONVERTIBLE</w:t>
            </w:r>
          </w:p>
        </w:tc>
        <w:tc>
          <w:tcPr>
            <w:tcW w:w="1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0"/>
        </w:trPr>
        <w:tc>
          <w:tcPr>
            <w:tcW w:w="3040" w:type="dxa"/>
            <w:vAlign w:val="bottom"/>
          </w:tcPr>
          <w:p>
            <w:pPr>
              <w:ind w:left="260"/>
              <w:spacing w:after="0"/>
              <w:rPr>
                <w:sz w:val="20"/>
                <w:szCs w:val="20"/>
                <w:color w:val="auto"/>
              </w:rPr>
            </w:pPr>
            <w:r>
              <w:rPr>
                <w:rFonts w:ascii="Courier New" w:cs="Courier New" w:eastAsia="Courier New" w:hAnsi="Courier New"/>
                <w:sz w:val="15"/>
                <w:szCs w:val="15"/>
                <w:color w:val="auto"/>
              </w:rPr>
              <w:t>DEBENTURES</w:t>
            </w:r>
          </w:p>
        </w:tc>
        <w:tc>
          <w:tcPr>
            <w:tcW w:w="1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21,979</w:t>
            </w:r>
          </w:p>
        </w:tc>
        <w:tc>
          <w:tcPr>
            <w:tcW w:w="1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21,979</w:t>
            </w:r>
          </w:p>
        </w:tc>
      </w:tr>
      <w:tr>
        <w:trPr>
          <w:trHeight w:val="170"/>
        </w:trPr>
        <w:tc>
          <w:tcPr>
            <w:tcW w:w="3040" w:type="dxa"/>
            <w:vAlign w:val="bottom"/>
          </w:tcPr>
          <w:p>
            <w:pPr>
              <w:spacing w:after="0"/>
              <w:rPr>
                <w:sz w:val="20"/>
                <w:szCs w:val="20"/>
                <w:color w:val="auto"/>
              </w:rPr>
            </w:pPr>
            <w:r>
              <w:rPr>
                <w:rFonts w:ascii="Courier New" w:cs="Courier New" w:eastAsia="Courier New" w:hAnsi="Courier New"/>
                <w:sz w:val="15"/>
                <w:szCs w:val="15"/>
                <w:color w:val="auto"/>
              </w:rPr>
              <w:t>CONVERSION OF CONVERTIBLE</w:t>
            </w:r>
          </w:p>
        </w:tc>
        <w:tc>
          <w:tcPr>
            <w:tcW w:w="1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0"/>
        </w:trPr>
        <w:tc>
          <w:tcPr>
            <w:tcW w:w="3040" w:type="dxa"/>
            <w:vAlign w:val="bottom"/>
          </w:tcPr>
          <w:p>
            <w:pPr>
              <w:ind w:left="260"/>
              <w:spacing w:after="0"/>
              <w:rPr>
                <w:sz w:val="20"/>
                <w:szCs w:val="20"/>
                <w:color w:val="auto"/>
              </w:rPr>
            </w:pPr>
            <w:r>
              <w:rPr>
                <w:rFonts w:ascii="Courier New" w:cs="Courier New" w:eastAsia="Courier New" w:hAnsi="Courier New"/>
                <w:sz w:val="15"/>
                <w:szCs w:val="15"/>
                <w:color w:val="auto"/>
              </w:rPr>
              <w:t>DEBENTURES INTO SHARES</w:t>
            </w:r>
          </w:p>
        </w:tc>
        <w:tc>
          <w:tcPr>
            <w:tcW w:w="11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6,000,737</w:t>
            </w:r>
          </w:p>
        </w:tc>
        <w:tc>
          <w:tcPr>
            <w:tcW w:w="220" w:type="dxa"/>
            <w:vAlign w:val="bottom"/>
          </w:tcPr>
          <w:p>
            <w:pPr>
              <w:spacing w:after="0"/>
              <w:rPr>
                <w:sz w:val="14"/>
                <w:szCs w:val="14"/>
                <w:color w:val="auto"/>
              </w:rPr>
            </w:pP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1,276</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5,178</w:t>
            </w:r>
          </w:p>
        </w:tc>
        <w:tc>
          <w:tcPr>
            <w:tcW w:w="300" w:type="dxa"/>
            <w:vAlign w:val="bottom"/>
          </w:tcPr>
          <w:p>
            <w:pPr>
              <w:spacing w:after="0"/>
              <w:rPr>
                <w:sz w:val="14"/>
                <w:szCs w:val="14"/>
                <w:color w:val="auto"/>
              </w:rPr>
            </w:pP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(2,782)</w:t>
            </w:r>
          </w:p>
        </w:tc>
        <w:tc>
          <w:tcPr>
            <w:tcW w:w="1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3,672</w:t>
            </w:r>
          </w:p>
        </w:tc>
      </w:tr>
      <w:tr>
        <w:trPr>
          <w:trHeight w:val="170"/>
        </w:trPr>
        <w:tc>
          <w:tcPr>
            <w:tcW w:w="3040" w:type="dxa"/>
            <w:vAlign w:val="bottom"/>
          </w:tcPr>
          <w:p>
            <w:pPr>
              <w:spacing w:after="0"/>
              <w:rPr>
                <w:sz w:val="20"/>
                <w:szCs w:val="20"/>
                <w:color w:val="auto"/>
              </w:rPr>
            </w:pPr>
            <w:r>
              <w:rPr>
                <w:rFonts w:ascii="Courier New" w:cs="Courier New" w:eastAsia="Courier New" w:hAnsi="Courier New"/>
                <w:sz w:val="15"/>
                <w:szCs w:val="15"/>
                <w:color w:val="auto"/>
              </w:rPr>
              <w:t>EMPLOYEE STOCK-BASED COMPENSATION</w:t>
            </w:r>
          </w:p>
        </w:tc>
        <w:tc>
          <w:tcPr>
            <w:tcW w:w="1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379</w:t>
            </w:r>
          </w:p>
        </w:tc>
        <w:tc>
          <w:tcPr>
            <w:tcW w:w="1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379</w:t>
            </w:r>
          </w:p>
        </w:tc>
      </w:tr>
      <w:tr>
        <w:trPr>
          <w:trHeight w:val="170"/>
        </w:trPr>
        <w:tc>
          <w:tcPr>
            <w:tcW w:w="3040" w:type="dxa"/>
            <w:vAlign w:val="bottom"/>
          </w:tcPr>
          <w:p>
            <w:pPr>
              <w:spacing w:after="0"/>
              <w:rPr>
                <w:sz w:val="20"/>
                <w:szCs w:val="20"/>
                <w:color w:val="auto"/>
              </w:rPr>
            </w:pPr>
            <w:r>
              <w:rPr>
                <w:rFonts w:ascii="Courier New" w:cs="Courier New" w:eastAsia="Courier New" w:hAnsi="Courier New"/>
                <w:sz w:val="15"/>
                <w:szCs w:val="15"/>
                <w:color w:val="auto"/>
              </w:rPr>
              <w:t>LOSS FOR THE PERIOD</w:t>
            </w:r>
          </w:p>
        </w:tc>
        <w:tc>
          <w:tcPr>
            <w:tcW w:w="1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(45,056)</w:t>
            </w: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(45,056)</w:t>
            </w:r>
          </w:p>
        </w:tc>
      </w:tr>
      <w:tr>
        <w:trPr>
          <w:trHeight w:val="170"/>
        </w:trPr>
        <w:tc>
          <w:tcPr>
            <w:tcW w:w="3040" w:type="dxa"/>
            <w:vAlign w:val="bottom"/>
          </w:tcPr>
          <w:p>
            <w:pPr>
              <w:spacing w:after="0"/>
              <w:rPr>
                <w:sz w:val="14"/>
                <w:szCs w:val="14"/>
                <w:color w:val="auto"/>
              </w:rPr>
            </w:pPr>
          </w:p>
        </w:tc>
        <w:tc>
          <w:tcPr>
            <w:tcW w:w="11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46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3040" w:type="dxa"/>
            <w:vAlign w:val="bottom"/>
          </w:tcPr>
          <w:p>
            <w:pPr>
              <w:ind w:left="440"/>
              <w:spacing w:after="0"/>
              <w:rPr>
                <w:sz w:val="20"/>
                <w:szCs w:val="20"/>
                <w:color w:val="auto"/>
              </w:rPr>
            </w:pPr>
            <w:r>
              <w:rPr>
                <w:rFonts w:ascii="Courier New" w:cs="Courier New" w:eastAsia="Courier New" w:hAnsi="Courier New"/>
                <w:sz w:val="15"/>
                <w:szCs w:val="15"/>
                <w:color w:val="auto"/>
              </w:rPr>
              <w:t>BALANCE - MARCH 31, 2006</w:t>
            </w:r>
          </w:p>
        </w:tc>
        <w:tc>
          <w:tcPr>
            <w:tcW w:w="1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0"/>
        </w:trPr>
        <w:tc>
          <w:tcPr>
            <w:tcW w:w="3040" w:type="dxa"/>
            <w:vAlign w:val="bottom"/>
          </w:tcPr>
          <w:p>
            <w:pPr>
              <w:ind w:left="700"/>
              <w:spacing w:after="0"/>
              <w:rPr>
                <w:sz w:val="20"/>
                <w:szCs w:val="20"/>
                <w:color w:val="auto"/>
              </w:rPr>
            </w:pPr>
            <w:r>
              <w:rPr>
                <w:rFonts w:ascii="Courier New" w:cs="Courier New" w:eastAsia="Courier New" w:hAnsi="Courier New"/>
                <w:sz w:val="15"/>
                <w:szCs w:val="15"/>
                <w:color w:val="auto"/>
              </w:rPr>
              <w:t>(UNAUDITED)</w:t>
            </w:r>
          </w:p>
        </w:tc>
        <w:tc>
          <w:tcPr>
            <w:tcW w:w="11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76,946,189</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18,403</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$ 531,123</w:t>
            </w:r>
          </w:p>
        </w:tc>
        <w:tc>
          <w:tcPr>
            <w:tcW w:w="300" w:type="dxa"/>
            <w:vAlign w:val="bottom"/>
          </w:tcPr>
          <w:p>
            <w:pPr>
              <w:ind w:left="220"/>
              <w:spacing w:after="0"/>
              <w:rPr>
                <w:sz w:val="20"/>
                <w:szCs w:val="20"/>
                <w:color w:val="auto"/>
              </w:rPr>
            </w:pPr>
            <w:r>
              <w:rPr>
                <w:rFonts w:ascii="Courier New" w:cs="Courier New" w:eastAsia="Courier New" w:hAnsi="Courier New"/>
                <w:sz w:val="14"/>
                <w:szCs w:val="14"/>
                <w:color w:val="auto"/>
                <w:w w:val="70"/>
              </w:rPr>
              <w:t>$</w:t>
            </w: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19,550</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(604,810)</w:t>
            </w:r>
          </w:p>
        </w:tc>
        <w:tc>
          <w:tcPr>
            <w:tcW w:w="260" w:type="dxa"/>
            <w:vAlign w:val="bottom"/>
          </w:tcPr>
          <w:p>
            <w:pPr>
              <w:ind w:left="120"/>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7"/>
              <w:spacing w:after="0"/>
              <w:rPr>
                <w:sz w:val="20"/>
                <w:szCs w:val="20"/>
                <w:color w:val="auto"/>
              </w:rPr>
            </w:pPr>
            <w:r>
              <w:rPr>
                <w:rFonts w:ascii="Courier New" w:cs="Courier New" w:eastAsia="Courier New" w:hAnsi="Courier New"/>
                <w:sz w:val="15"/>
                <w:szCs w:val="15"/>
                <w:color w:val="auto"/>
              </w:rPr>
              <w:t>(9,072)</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 (44,806)</w:t>
            </w:r>
          </w:p>
        </w:tc>
      </w:tr>
      <w:tr>
        <w:trPr>
          <w:trHeight w:val="170"/>
        </w:trPr>
        <w:tc>
          <w:tcPr>
            <w:tcW w:w="3040" w:type="dxa"/>
            <w:vAlign w:val="bottom"/>
          </w:tcPr>
          <w:p>
            <w:pPr>
              <w:spacing w:after="0"/>
              <w:rPr>
                <w:sz w:val="14"/>
                <w:szCs w:val="14"/>
                <w:color w:val="auto"/>
              </w:rPr>
            </w:pPr>
          </w:p>
        </w:tc>
        <w:tc>
          <w:tcPr>
            <w:tcW w:w="11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46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848"/>
        </w:trPr>
        <w:tc>
          <w:tcPr>
            <w:tcW w:w="3040" w:type="dxa"/>
            <w:vAlign w:val="bottom"/>
          </w:tcPr>
          <w:p>
            <w:pPr>
              <w:ind w:left="440"/>
              <w:spacing w:after="0"/>
              <w:rPr>
                <w:sz w:val="20"/>
                <w:szCs w:val="20"/>
                <w:color w:val="auto"/>
              </w:rPr>
            </w:pPr>
            <w:r>
              <w:rPr>
                <w:rFonts w:ascii="Courier New" w:cs="Courier New" w:eastAsia="Courier New" w:hAnsi="Courier New"/>
                <w:sz w:val="15"/>
                <w:szCs w:val="15"/>
                <w:color w:val="auto"/>
              </w:rPr>
              <w:t>BALANCE - JANUARY 1, 2005</w:t>
            </w:r>
          </w:p>
        </w:tc>
        <w:tc>
          <w:tcPr>
            <w:tcW w:w="11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66,999,796</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16,274</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$ 517,476</w:t>
            </w:r>
          </w:p>
        </w:tc>
        <w:tc>
          <w:tcPr>
            <w:tcW w:w="300" w:type="dxa"/>
            <w:vAlign w:val="bottom"/>
          </w:tcPr>
          <w:p>
            <w:pPr>
              <w:ind w:left="220"/>
              <w:spacing w:after="0"/>
              <w:rPr>
                <w:sz w:val="20"/>
                <w:szCs w:val="20"/>
                <w:color w:val="auto"/>
              </w:rPr>
            </w:pPr>
            <w:r>
              <w:rPr>
                <w:rFonts w:ascii="Courier New" w:cs="Courier New" w:eastAsia="Courier New" w:hAnsi="Courier New"/>
                <w:sz w:val="14"/>
                <w:szCs w:val="14"/>
                <w:color w:val="auto"/>
                <w:w w:val="70"/>
              </w:rPr>
              <w:t>$</w:t>
            </w: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(26)</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(356,672)</w:t>
            </w:r>
          </w:p>
        </w:tc>
        <w:tc>
          <w:tcPr>
            <w:tcW w:w="260" w:type="dxa"/>
            <w:vAlign w:val="bottom"/>
          </w:tcPr>
          <w:p>
            <w:pPr>
              <w:ind w:left="120"/>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7"/>
              <w:spacing w:after="0"/>
              <w:rPr>
                <w:sz w:val="20"/>
                <w:szCs w:val="20"/>
                <w:color w:val="auto"/>
              </w:rPr>
            </w:pPr>
            <w:r>
              <w:rPr>
                <w:rFonts w:ascii="Courier New" w:cs="Courier New" w:eastAsia="Courier New" w:hAnsi="Courier New"/>
                <w:sz w:val="15"/>
                <w:szCs w:val="15"/>
                <w:color w:val="auto"/>
              </w:rPr>
              <w:t>(9,072)</w:t>
            </w:r>
          </w:p>
        </w:tc>
        <w:tc>
          <w:tcPr>
            <w:tcW w:w="9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$ 167,980</w:t>
            </w:r>
          </w:p>
        </w:tc>
      </w:tr>
      <w:tr>
        <w:trPr>
          <w:trHeight w:val="339"/>
        </w:trPr>
        <w:tc>
          <w:tcPr>
            <w:tcW w:w="3040" w:type="dxa"/>
            <w:vAlign w:val="bottom"/>
          </w:tcPr>
          <w:p>
            <w:pPr>
              <w:spacing w:after="0"/>
              <w:rPr>
                <w:sz w:val="20"/>
                <w:szCs w:val="20"/>
                <w:color w:val="auto"/>
              </w:rPr>
            </w:pPr>
            <w:r>
              <w:rPr>
                <w:rFonts w:ascii="Courier New" w:cs="Courier New" w:eastAsia="Courier New" w:hAnsi="Courier New"/>
                <w:sz w:val="15"/>
                <w:szCs w:val="15"/>
                <w:color w:val="auto"/>
              </w:rPr>
              <w:t>CHANGES DURING THREE-MONTH PERIOD</w:t>
            </w: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170"/>
        </w:trPr>
        <w:tc>
          <w:tcPr>
            <w:tcW w:w="3040" w:type="dxa"/>
            <w:vAlign w:val="bottom"/>
          </w:tcPr>
          <w:p>
            <w:pPr>
              <w:ind w:left="260"/>
              <w:spacing w:after="0"/>
              <w:rPr>
                <w:sz w:val="20"/>
                <w:szCs w:val="20"/>
                <w:color w:val="auto"/>
              </w:rPr>
            </w:pPr>
            <w:r>
              <w:rPr>
                <w:rFonts w:ascii="Courier New" w:cs="Courier New" w:eastAsia="Courier New" w:hAnsi="Courier New"/>
                <w:sz w:val="15"/>
                <w:szCs w:val="15"/>
                <w:color w:val="auto"/>
              </w:rPr>
              <w:t>(UNAUDITED):</w:t>
            </w:r>
          </w:p>
        </w:tc>
        <w:tc>
          <w:tcPr>
            <w:tcW w:w="1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339"/>
        </w:trPr>
        <w:tc>
          <w:tcPr>
            <w:tcW w:w="3040" w:type="dxa"/>
            <w:vAlign w:val="bottom"/>
          </w:tcPr>
          <w:p>
            <w:pPr>
              <w:spacing w:after="0"/>
              <w:rPr>
                <w:sz w:val="20"/>
                <w:szCs w:val="20"/>
                <w:color w:val="auto"/>
              </w:rPr>
            </w:pPr>
            <w:r>
              <w:rPr>
                <w:rFonts w:ascii="Courier New" w:cs="Courier New" w:eastAsia="Courier New" w:hAnsi="Courier New"/>
                <w:sz w:val="15"/>
                <w:szCs w:val="15"/>
                <w:color w:val="auto"/>
              </w:rPr>
              <w:t>LOSS FOR THE PERIOD</w:t>
            </w: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(55,320)</w:t>
            </w: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(55,320)</w:t>
            </w:r>
          </w:p>
        </w:tc>
      </w:tr>
      <w:tr>
        <w:trPr>
          <w:trHeight w:val="170"/>
        </w:trPr>
        <w:tc>
          <w:tcPr>
            <w:tcW w:w="3040" w:type="dxa"/>
            <w:vAlign w:val="bottom"/>
          </w:tcPr>
          <w:p>
            <w:pPr>
              <w:spacing w:after="0"/>
              <w:rPr>
                <w:sz w:val="14"/>
                <w:szCs w:val="14"/>
                <w:color w:val="auto"/>
              </w:rPr>
            </w:pPr>
          </w:p>
        </w:tc>
        <w:tc>
          <w:tcPr>
            <w:tcW w:w="11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46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3040" w:type="dxa"/>
            <w:vAlign w:val="bottom"/>
          </w:tcPr>
          <w:p>
            <w:pPr>
              <w:ind w:left="440"/>
              <w:spacing w:after="0"/>
              <w:rPr>
                <w:sz w:val="20"/>
                <w:szCs w:val="20"/>
                <w:color w:val="auto"/>
              </w:rPr>
            </w:pPr>
            <w:r>
              <w:rPr>
                <w:rFonts w:ascii="Courier New" w:cs="Courier New" w:eastAsia="Courier New" w:hAnsi="Courier New"/>
                <w:sz w:val="15"/>
                <w:szCs w:val="15"/>
                <w:color w:val="auto"/>
              </w:rPr>
              <w:t>BALANCE - MARCH 31, 2005</w:t>
            </w:r>
          </w:p>
        </w:tc>
        <w:tc>
          <w:tcPr>
            <w:tcW w:w="1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0"/>
        </w:trPr>
        <w:tc>
          <w:tcPr>
            <w:tcW w:w="3040" w:type="dxa"/>
            <w:vAlign w:val="bottom"/>
          </w:tcPr>
          <w:p>
            <w:pPr>
              <w:ind w:left="700"/>
              <w:spacing w:after="0"/>
              <w:rPr>
                <w:sz w:val="20"/>
                <w:szCs w:val="20"/>
                <w:color w:val="auto"/>
              </w:rPr>
            </w:pPr>
            <w:r>
              <w:rPr>
                <w:rFonts w:ascii="Courier New" w:cs="Courier New" w:eastAsia="Courier New" w:hAnsi="Courier New"/>
                <w:sz w:val="15"/>
                <w:szCs w:val="15"/>
                <w:color w:val="auto"/>
              </w:rPr>
              <w:t>(UNAUDITED)</w:t>
            </w:r>
          </w:p>
        </w:tc>
        <w:tc>
          <w:tcPr>
            <w:tcW w:w="11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66,999,796</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16,274</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$ 517,476</w:t>
            </w:r>
          </w:p>
        </w:tc>
        <w:tc>
          <w:tcPr>
            <w:tcW w:w="300" w:type="dxa"/>
            <w:vAlign w:val="bottom"/>
          </w:tcPr>
          <w:p>
            <w:pPr>
              <w:ind w:left="220"/>
              <w:spacing w:after="0"/>
              <w:rPr>
                <w:sz w:val="20"/>
                <w:szCs w:val="20"/>
                <w:color w:val="auto"/>
              </w:rPr>
            </w:pPr>
            <w:r>
              <w:rPr>
                <w:rFonts w:ascii="Courier New" w:cs="Courier New" w:eastAsia="Courier New" w:hAnsi="Courier New"/>
                <w:sz w:val="14"/>
                <w:szCs w:val="14"/>
                <w:color w:val="auto"/>
                <w:w w:val="70"/>
              </w:rPr>
              <w:t>$</w:t>
            </w: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(26)</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(411,992)</w:t>
            </w:r>
          </w:p>
        </w:tc>
        <w:tc>
          <w:tcPr>
            <w:tcW w:w="260" w:type="dxa"/>
            <w:vAlign w:val="bottom"/>
          </w:tcPr>
          <w:p>
            <w:pPr>
              <w:ind w:left="120"/>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7"/>
              <w:spacing w:after="0"/>
              <w:rPr>
                <w:sz w:val="20"/>
                <w:szCs w:val="20"/>
                <w:color w:val="auto"/>
              </w:rPr>
            </w:pPr>
            <w:r>
              <w:rPr>
                <w:rFonts w:ascii="Courier New" w:cs="Courier New" w:eastAsia="Courier New" w:hAnsi="Courier New"/>
                <w:sz w:val="15"/>
                <w:szCs w:val="15"/>
                <w:color w:val="auto"/>
              </w:rPr>
              <w:t>(9,072)</w:t>
            </w:r>
          </w:p>
        </w:tc>
        <w:tc>
          <w:tcPr>
            <w:tcW w:w="9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$ 112,660</w:t>
            </w:r>
          </w:p>
        </w:tc>
      </w:tr>
      <w:tr>
        <w:trPr>
          <w:trHeight w:val="170"/>
        </w:trPr>
        <w:tc>
          <w:tcPr>
            <w:tcW w:w="3040" w:type="dxa"/>
            <w:vAlign w:val="bottom"/>
          </w:tcPr>
          <w:p>
            <w:pPr>
              <w:spacing w:after="0"/>
              <w:rPr>
                <w:sz w:val="14"/>
                <w:szCs w:val="14"/>
                <w:color w:val="auto"/>
              </w:rPr>
            </w:pPr>
          </w:p>
        </w:tc>
        <w:tc>
          <w:tcPr>
            <w:tcW w:w="11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46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339"/>
        </w:trPr>
        <w:tc>
          <w:tcPr>
            <w:tcW w:w="3040" w:type="dxa"/>
            <w:vAlign w:val="bottom"/>
          </w:tcPr>
          <w:p>
            <w:pPr>
              <w:ind w:left="440"/>
              <w:spacing w:after="0"/>
              <w:rPr>
                <w:sz w:val="20"/>
                <w:szCs w:val="20"/>
                <w:color w:val="auto"/>
              </w:rPr>
            </w:pPr>
            <w:r>
              <w:rPr>
                <w:rFonts w:ascii="Courier New" w:cs="Courier New" w:eastAsia="Courier New" w:hAnsi="Courier New"/>
                <w:sz w:val="15"/>
                <w:szCs w:val="15"/>
                <w:color w:val="auto"/>
              </w:rPr>
              <w:t>BALANCE - JANUARY 1, 2005</w:t>
            </w:r>
          </w:p>
        </w:tc>
        <w:tc>
          <w:tcPr>
            <w:tcW w:w="11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66,999,796</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16,274</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$ 517,476</w:t>
            </w:r>
          </w:p>
        </w:tc>
        <w:tc>
          <w:tcPr>
            <w:tcW w:w="300" w:type="dxa"/>
            <w:vAlign w:val="bottom"/>
          </w:tcPr>
          <w:p>
            <w:pPr>
              <w:ind w:left="220"/>
              <w:spacing w:after="0"/>
              <w:rPr>
                <w:sz w:val="20"/>
                <w:szCs w:val="20"/>
                <w:color w:val="auto"/>
              </w:rPr>
            </w:pPr>
            <w:r>
              <w:rPr>
                <w:rFonts w:ascii="Courier New" w:cs="Courier New" w:eastAsia="Courier New" w:hAnsi="Courier New"/>
                <w:sz w:val="14"/>
                <w:szCs w:val="14"/>
                <w:color w:val="auto"/>
                <w:w w:val="70"/>
              </w:rPr>
              <w:t>$</w:t>
            </w: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(26)</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(356,672)</w:t>
            </w:r>
          </w:p>
        </w:tc>
        <w:tc>
          <w:tcPr>
            <w:tcW w:w="260" w:type="dxa"/>
            <w:vAlign w:val="bottom"/>
          </w:tcPr>
          <w:p>
            <w:pPr>
              <w:ind w:left="120"/>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7"/>
              <w:spacing w:after="0"/>
              <w:rPr>
                <w:sz w:val="20"/>
                <w:szCs w:val="20"/>
                <w:color w:val="auto"/>
              </w:rPr>
            </w:pPr>
            <w:r>
              <w:rPr>
                <w:rFonts w:ascii="Courier New" w:cs="Courier New" w:eastAsia="Courier New" w:hAnsi="Courier New"/>
                <w:sz w:val="15"/>
                <w:szCs w:val="15"/>
                <w:color w:val="auto"/>
              </w:rPr>
              <w:t>(9,072)</w:t>
            </w:r>
          </w:p>
        </w:tc>
        <w:tc>
          <w:tcPr>
            <w:tcW w:w="9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$ 167,980</w:t>
            </w:r>
          </w:p>
        </w:tc>
      </w:tr>
      <w:tr>
        <w:trPr>
          <w:trHeight w:val="339"/>
        </w:trPr>
        <w:tc>
          <w:tcPr>
            <w:tcW w:w="3040" w:type="dxa"/>
            <w:vAlign w:val="bottom"/>
          </w:tcPr>
          <w:p>
            <w:pPr>
              <w:spacing w:after="0"/>
              <w:rPr>
                <w:sz w:val="20"/>
                <w:szCs w:val="20"/>
                <w:color w:val="auto"/>
              </w:rPr>
            </w:pPr>
            <w:r>
              <w:rPr>
                <w:rFonts w:ascii="Courier New" w:cs="Courier New" w:eastAsia="Courier New" w:hAnsi="Courier New"/>
                <w:sz w:val="15"/>
                <w:szCs w:val="15"/>
                <w:color w:val="auto"/>
              </w:rPr>
              <w:t>CHANGES DURING 2005:</w:t>
            </w: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339"/>
        </w:trPr>
        <w:tc>
          <w:tcPr>
            <w:tcW w:w="3040" w:type="dxa"/>
            <w:vAlign w:val="bottom"/>
          </w:tcPr>
          <w:p>
            <w:pPr>
              <w:spacing w:after="0"/>
              <w:rPr>
                <w:sz w:val="20"/>
                <w:szCs w:val="20"/>
                <w:color w:val="auto"/>
              </w:rPr>
            </w:pPr>
            <w:r>
              <w:rPr>
                <w:rFonts w:ascii="Courier New" w:cs="Courier New" w:eastAsia="Courier New" w:hAnsi="Courier New"/>
                <w:sz w:val="15"/>
                <w:szCs w:val="15"/>
                <w:color w:val="auto"/>
              </w:rPr>
              <w:t>ISSUANCE OF SHARES</w:t>
            </w:r>
          </w:p>
        </w:tc>
        <w:tc>
          <w:tcPr>
            <w:tcW w:w="11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1,232,260</w:t>
            </w:r>
          </w:p>
        </w:tc>
        <w:tc>
          <w:tcPr>
            <w:tcW w:w="220" w:type="dxa"/>
            <w:vAlign w:val="bottom"/>
          </w:tcPr>
          <w:p>
            <w:pPr>
              <w:spacing w:after="0"/>
              <w:rPr>
                <w:sz w:val="24"/>
                <w:szCs w:val="24"/>
                <w:color w:val="auto"/>
              </w:rPr>
            </w:pP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274</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1,520</w:t>
            </w:r>
          </w:p>
        </w:tc>
        <w:tc>
          <w:tcPr>
            <w:tcW w:w="3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1,794</w:t>
            </w:r>
          </w:p>
        </w:tc>
      </w:tr>
      <w:tr>
        <w:trPr>
          <w:trHeight w:val="170"/>
        </w:trPr>
        <w:tc>
          <w:tcPr>
            <w:tcW w:w="3040" w:type="dxa"/>
            <w:vAlign w:val="bottom"/>
          </w:tcPr>
          <w:p>
            <w:pPr>
              <w:spacing w:after="0"/>
              <w:rPr>
                <w:sz w:val="20"/>
                <w:szCs w:val="20"/>
                <w:color w:val="auto"/>
              </w:rPr>
            </w:pPr>
            <w:r>
              <w:rPr>
                <w:rFonts w:ascii="Courier New" w:cs="Courier New" w:eastAsia="Courier New" w:hAnsi="Courier New"/>
                <w:sz w:val="15"/>
                <w:szCs w:val="15"/>
                <w:color w:val="auto"/>
              </w:rPr>
              <w:t>STOCK-BASED COMPENSATION</w:t>
            </w:r>
          </w:p>
        </w:tc>
        <w:tc>
          <w:tcPr>
            <w:tcW w:w="1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0"/>
        </w:trPr>
        <w:tc>
          <w:tcPr>
            <w:tcW w:w="3040" w:type="dxa"/>
            <w:vAlign w:val="bottom"/>
          </w:tcPr>
          <w:p>
            <w:pPr>
              <w:ind w:left="260"/>
              <w:spacing w:after="0"/>
              <w:rPr>
                <w:sz w:val="20"/>
                <w:szCs w:val="20"/>
                <w:color w:val="auto"/>
              </w:rPr>
            </w:pPr>
            <w:r>
              <w:rPr>
                <w:rFonts w:ascii="Courier New" w:cs="Courier New" w:eastAsia="Courier New" w:hAnsi="Courier New"/>
                <w:sz w:val="15"/>
                <w:szCs w:val="15"/>
                <w:color w:val="auto"/>
              </w:rPr>
              <w:t>RELATED TO THE FACILITY</w:t>
            </w:r>
          </w:p>
        </w:tc>
        <w:tc>
          <w:tcPr>
            <w:tcW w:w="1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0"/>
        </w:trPr>
        <w:tc>
          <w:tcPr>
            <w:tcW w:w="3040" w:type="dxa"/>
            <w:vAlign w:val="bottom"/>
          </w:tcPr>
          <w:p>
            <w:pPr>
              <w:ind w:left="260"/>
              <w:spacing w:after="0"/>
              <w:rPr>
                <w:sz w:val="20"/>
                <w:szCs w:val="20"/>
                <w:color w:val="auto"/>
              </w:rPr>
            </w:pPr>
            <w:r>
              <w:rPr>
                <w:rFonts w:ascii="Courier New" w:cs="Courier New" w:eastAsia="Courier New" w:hAnsi="Courier New"/>
                <w:sz w:val="15"/>
                <w:szCs w:val="15"/>
                <w:color w:val="auto"/>
              </w:rPr>
              <w:t>AGREEMENT WITH THE BANKS</w:t>
            </w:r>
          </w:p>
        </w:tc>
        <w:tc>
          <w:tcPr>
            <w:tcW w:w="1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2,793</w:t>
            </w:r>
          </w:p>
        </w:tc>
        <w:tc>
          <w:tcPr>
            <w:tcW w:w="3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2,793</w:t>
            </w:r>
          </w:p>
        </w:tc>
      </w:tr>
      <w:tr>
        <w:trPr>
          <w:trHeight w:val="170"/>
        </w:trPr>
        <w:tc>
          <w:tcPr>
            <w:tcW w:w="3040" w:type="dxa"/>
            <w:vAlign w:val="bottom"/>
          </w:tcPr>
          <w:p>
            <w:pPr>
              <w:spacing w:after="0"/>
              <w:rPr>
                <w:sz w:val="20"/>
                <w:szCs w:val="20"/>
                <w:color w:val="auto"/>
              </w:rPr>
            </w:pPr>
            <w:r>
              <w:rPr>
                <w:rFonts w:ascii="Courier New" w:cs="Courier New" w:eastAsia="Courier New" w:hAnsi="Courier New"/>
                <w:sz w:val="15"/>
                <w:szCs w:val="15"/>
                <w:color w:val="auto"/>
              </w:rPr>
              <w:t>STOCK-BASED COMPENSATION</w:t>
            </w:r>
          </w:p>
        </w:tc>
        <w:tc>
          <w:tcPr>
            <w:tcW w:w="1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0"/>
        </w:trPr>
        <w:tc>
          <w:tcPr>
            <w:tcW w:w="3040" w:type="dxa"/>
            <w:vAlign w:val="bottom"/>
          </w:tcPr>
          <w:p>
            <w:pPr>
              <w:ind w:left="260"/>
              <w:spacing w:after="0"/>
              <w:rPr>
                <w:sz w:val="20"/>
                <w:szCs w:val="20"/>
                <w:color w:val="auto"/>
              </w:rPr>
            </w:pPr>
            <w:r>
              <w:rPr>
                <w:rFonts w:ascii="Courier New" w:cs="Courier New" w:eastAsia="Courier New" w:hAnsi="Courier New"/>
                <w:sz w:val="15"/>
                <w:szCs w:val="15"/>
                <w:color w:val="auto"/>
              </w:rPr>
              <w:t>RELATED TO RIGHTS OFFERED</w:t>
            </w:r>
          </w:p>
        </w:tc>
        <w:tc>
          <w:tcPr>
            <w:tcW w:w="1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0"/>
        </w:trPr>
        <w:tc>
          <w:tcPr>
            <w:tcW w:w="3040" w:type="dxa"/>
            <w:vAlign w:val="bottom"/>
          </w:tcPr>
          <w:p>
            <w:pPr>
              <w:ind w:left="260"/>
              <w:spacing w:after="0"/>
              <w:rPr>
                <w:sz w:val="20"/>
                <w:szCs w:val="20"/>
                <w:color w:val="auto"/>
              </w:rPr>
            </w:pPr>
            <w:r>
              <w:rPr>
                <w:rFonts w:ascii="Courier New" w:cs="Courier New" w:eastAsia="Courier New" w:hAnsi="Courier New"/>
                <w:sz w:val="15"/>
                <w:szCs w:val="15"/>
                <w:color w:val="auto"/>
              </w:rPr>
              <w:t>TO EMPLOYEES</w:t>
            </w:r>
          </w:p>
        </w:tc>
        <w:tc>
          <w:tcPr>
            <w:tcW w:w="1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448</w:t>
            </w:r>
          </w:p>
        </w:tc>
        <w:tc>
          <w:tcPr>
            <w:tcW w:w="3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448</w:t>
            </w:r>
          </w:p>
        </w:tc>
      </w:tr>
      <w:tr>
        <w:trPr>
          <w:trHeight w:val="170"/>
        </w:trPr>
        <w:tc>
          <w:tcPr>
            <w:tcW w:w="3040" w:type="dxa"/>
            <w:vAlign w:val="bottom"/>
          </w:tcPr>
          <w:p>
            <w:pPr>
              <w:spacing w:after="0"/>
              <w:rPr>
                <w:sz w:val="20"/>
                <w:szCs w:val="20"/>
                <w:color w:val="auto"/>
              </w:rPr>
            </w:pPr>
            <w:r>
              <w:rPr>
                <w:rFonts w:ascii="Courier New" w:cs="Courier New" w:eastAsia="Courier New" w:hAnsi="Courier New"/>
                <w:sz w:val="15"/>
                <w:szCs w:val="15"/>
                <w:color w:val="auto"/>
              </w:rPr>
              <w:t>LOSS FOR THE YEAR</w:t>
            </w:r>
          </w:p>
        </w:tc>
        <w:tc>
          <w:tcPr>
            <w:tcW w:w="1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(203,082)</w:t>
            </w: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(203,082)</w:t>
            </w:r>
          </w:p>
        </w:tc>
      </w:tr>
      <w:tr>
        <w:trPr>
          <w:trHeight w:val="170"/>
        </w:trPr>
        <w:tc>
          <w:tcPr>
            <w:tcW w:w="3040" w:type="dxa"/>
            <w:vAlign w:val="bottom"/>
          </w:tcPr>
          <w:p>
            <w:pPr>
              <w:spacing w:after="0"/>
              <w:rPr>
                <w:sz w:val="14"/>
                <w:szCs w:val="14"/>
                <w:color w:val="auto"/>
              </w:rPr>
            </w:pPr>
          </w:p>
        </w:tc>
        <w:tc>
          <w:tcPr>
            <w:tcW w:w="11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46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3040" w:type="dxa"/>
            <w:vAlign w:val="bottom"/>
          </w:tcPr>
          <w:p>
            <w:pPr>
              <w:ind w:left="440"/>
              <w:spacing w:after="0"/>
              <w:rPr>
                <w:sz w:val="20"/>
                <w:szCs w:val="20"/>
                <w:color w:val="auto"/>
              </w:rPr>
            </w:pPr>
            <w:r>
              <w:rPr>
                <w:rFonts w:ascii="Courier New" w:cs="Courier New" w:eastAsia="Courier New" w:hAnsi="Courier New"/>
                <w:sz w:val="15"/>
                <w:szCs w:val="15"/>
                <w:color w:val="auto"/>
              </w:rPr>
              <w:t>BALANCE - DECEMBER 31, 2005</w:t>
            </w:r>
          </w:p>
        </w:tc>
        <w:tc>
          <w:tcPr>
            <w:tcW w:w="11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68,232,056</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16,548</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$ 522,237</w:t>
            </w:r>
          </w:p>
        </w:tc>
        <w:tc>
          <w:tcPr>
            <w:tcW w:w="300" w:type="dxa"/>
            <w:vAlign w:val="bottom"/>
          </w:tcPr>
          <w:p>
            <w:pPr>
              <w:ind w:left="220"/>
              <w:spacing w:after="0"/>
              <w:rPr>
                <w:sz w:val="20"/>
                <w:szCs w:val="20"/>
                <w:color w:val="auto"/>
              </w:rPr>
            </w:pPr>
            <w:r>
              <w:rPr>
                <w:rFonts w:ascii="Courier New" w:cs="Courier New" w:eastAsia="Courier New" w:hAnsi="Courier New"/>
                <w:sz w:val="14"/>
                <w:szCs w:val="14"/>
                <w:color w:val="auto"/>
                <w:w w:val="70"/>
              </w:rPr>
              <w:t>$</w:t>
            </w: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(26)</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(559,754)</w:t>
            </w:r>
          </w:p>
        </w:tc>
        <w:tc>
          <w:tcPr>
            <w:tcW w:w="260" w:type="dxa"/>
            <w:vAlign w:val="bottom"/>
          </w:tcPr>
          <w:p>
            <w:pPr>
              <w:ind w:left="120"/>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7"/>
              <w:spacing w:after="0"/>
              <w:rPr>
                <w:sz w:val="20"/>
                <w:szCs w:val="20"/>
                <w:color w:val="auto"/>
              </w:rPr>
            </w:pPr>
            <w:r>
              <w:rPr>
                <w:rFonts w:ascii="Courier New" w:cs="Courier New" w:eastAsia="Courier New" w:hAnsi="Courier New"/>
                <w:sz w:val="15"/>
                <w:szCs w:val="15"/>
                <w:color w:val="auto"/>
              </w:rPr>
              <w:t>(9,072)</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 (30,067)</w:t>
            </w:r>
          </w:p>
        </w:tc>
      </w:tr>
      <w:tr>
        <w:trPr>
          <w:trHeight w:val="170"/>
        </w:trPr>
        <w:tc>
          <w:tcPr>
            <w:tcW w:w="3040" w:type="dxa"/>
            <w:vAlign w:val="bottom"/>
          </w:tcPr>
          <w:p>
            <w:pPr>
              <w:spacing w:after="0"/>
              <w:rPr>
                <w:sz w:val="14"/>
                <w:szCs w:val="14"/>
                <w:color w:val="auto"/>
              </w:rPr>
            </w:pPr>
          </w:p>
        </w:tc>
        <w:tc>
          <w:tcPr>
            <w:tcW w:w="11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46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678"/>
        </w:trPr>
        <w:tc>
          <w:tcPr>
            <w:tcW w:w="3040" w:type="dxa"/>
            <w:vAlign w:val="bottom"/>
          </w:tcPr>
          <w:p>
            <w:pPr>
              <w:spacing w:after="0"/>
              <w:rPr>
                <w:sz w:val="24"/>
                <w:szCs w:val="24"/>
                <w:color w:val="auto"/>
              </w:rPr>
            </w:pPr>
          </w:p>
        </w:tc>
        <w:tc>
          <w:tcPr>
            <w:tcW w:w="114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- 3 -</w:t>
            </w: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80" w:type="dxa"/>
            <w:vAlign w:val="bottom"/>
          </w:tcPr>
          <w:p>
            <w:pPr>
              <w:spacing w:after="0"/>
              <w:rPr>
                <w:sz w:val="24"/>
                <w:szCs w:val="24"/>
                <w:color w:val="auto"/>
              </w:rPr>
            </w:pPr>
          </w:p>
        </w:tc>
      </w:tr>
    </w:tbl>
    <w:p>
      <w:pPr>
        <w:sectPr>
          <w:pgSz w:w="11900" w:h="16838" w:orient="portrait"/>
          <w:cols w:equalWidth="0" w:num="1">
            <w:col w:w="11100"/>
          </w:cols>
          <w:pgMar w:left="240" w:top="791" w:right="559" w:bottom="1440" w:gutter="0" w:footer="0" w:header="0"/>
        </w:sectPr>
      </w:pPr>
    </w:p>
    <w:bookmarkStart w:id="7" w:name="page8"/>
    <w:bookmarkEnd w:id="7"/>
    <w:p>
      <w:pPr>
        <w:jc w:val="center"/>
        <w:ind w:right="3979"/>
        <w:spacing w:after="0"/>
        <w:rPr>
          <w:sz w:val="20"/>
          <w:szCs w:val="20"/>
          <w:color w:val="auto"/>
        </w:rPr>
      </w:pPr>
      <w:r>
        <w:rPr>
          <w:rFonts w:ascii="Courier New" w:cs="Courier New" w:eastAsia="Courier New" w:hAnsi="Courier New"/>
          <w:sz w:val="15"/>
          <w:szCs w:val="15"/>
          <w:color w:val="auto"/>
        </w:rPr>
        <w:t>TOWER SEMICONDUCTOR LTD. AND SUBSIDIARY</w:t>
      </w:r>
    </w:p>
    <w:p>
      <w:pPr>
        <w:jc w:val="center"/>
        <w:ind w:right="3979"/>
        <w:spacing w:after="0"/>
        <w:rPr>
          <w:sz w:val="20"/>
          <w:szCs w:val="20"/>
          <w:color w:val="auto"/>
        </w:rPr>
      </w:pPr>
      <w:r>
        <w:rPr>
          <w:rFonts w:ascii="Courier New" w:cs="Courier New" w:eastAsia="Courier New" w:hAnsi="Courier New"/>
          <w:sz w:val="15"/>
          <w:szCs w:val="15"/>
          <w:color w:val="auto"/>
        </w:rPr>
        <w:t>CONSOLIDATED STATEMENTS OF CASH FLOWS</w:t>
      </w:r>
    </w:p>
    <w:tbl>
      <w:tblPr>
        <w:tblLayout w:type="fixed"/>
        <w:tblInd w:w="0" w:type="dxa"/>
        <w:tblCellMar>
          <w:top w:w="0" w:type="dxa"/>
          <w:left w:w="0" w:type="dxa"/>
          <w:bottom w:w="0" w:type="dxa"/>
          <w:right w:w="0" w:type="dxa"/>
        </w:tblCellMar>
      </w:tblPr>
      <w:tr>
        <w:trPr>
          <w:trHeight w:val="169"/>
        </w:trPr>
        <w:tc>
          <w:tcPr>
            <w:tcW w:w="6740" w:type="dxa"/>
            <w:vAlign w:val="bottom"/>
          </w:tcPr>
          <w:p>
            <w:pPr>
              <w:ind w:left="440"/>
              <w:spacing w:after="0"/>
              <w:rPr>
                <w:sz w:val="20"/>
                <w:szCs w:val="20"/>
                <w:color w:val="auto"/>
              </w:rPr>
            </w:pPr>
            <w:r>
              <w:rPr>
                <w:rFonts w:ascii="Courier New" w:cs="Courier New" w:eastAsia="Courier New" w:hAnsi="Courier New"/>
                <w:sz w:val="15"/>
                <w:szCs w:val="15"/>
                <w:color w:val="auto"/>
              </w:rPr>
              <w:t>(dollars in thousands, except share data and per share data)</w:t>
            </w: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678"/>
        </w:trPr>
        <w:tc>
          <w:tcPr>
            <w:tcW w:w="6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980" w:type="dxa"/>
            <w:vAlign w:val="bottom"/>
            <w:gridSpan w:val="3"/>
          </w:tcPr>
          <w:p>
            <w:pPr>
              <w:jc w:val="right"/>
              <w:ind w:right="287"/>
              <w:spacing w:after="0"/>
              <w:rPr>
                <w:sz w:val="20"/>
                <w:szCs w:val="20"/>
                <w:color w:val="auto"/>
              </w:rPr>
            </w:pPr>
            <w:r>
              <w:rPr>
                <w:rFonts w:ascii="Courier New" w:cs="Courier New" w:eastAsia="Courier New" w:hAnsi="Courier New"/>
                <w:sz w:val="15"/>
                <w:szCs w:val="15"/>
                <w:color w:val="auto"/>
                <w:w w:val="98"/>
              </w:rPr>
              <w:t>THREE MONTHS ENDED</w:t>
            </w:r>
          </w:p>
        </w:tc>
        <w:tc>
          <w:tcPr>
            <w:tcW w:w="114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YEAR ENDED</w:t>
            </w:r>
          </w:p>
        </w:tc>
      </w:tr>
      <w:tr>
        <w:trPr>
          <w:trHeight w:val="170"/>
        </w:trPr>
        <w:tc>
          <w:tcPr>
            <w:tcW w:w="67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MARCH</w:t>
            </w:r>
          </w:p>
        </w:tc>
        <w:tc>
          <w:tcPr>
            <w:tcW w:w="1020" w:type="dxa"/>
            <w:vAlign w:val="bottom"/>
            <w:gridSpan w:val="2"/>
          </w:tcPr>
          <w:p>
            <w:pPr>
              <w:ind w:left="60"/>
              <w:spacing w:after="0"/>
              <w:rPr>
                <w:sz w:val="20"/>
                <w:szCs w:val="20"/>
                <w:color w:val="auto"/>
              </w:rPr>
            </w:pPr>
            <w:r>
              <w:rPr>
                <w:rFonts w:ascii="Courier New" w:cs="Courier New" w:eastAsia="Courier New" w:hAnsi="Courier New"/>
                <w:sz w:val="15"/>
                <w:szCs w:val="15"/>
                <w:color w:val="auto"/>
              </w:rPr>
              <w:t>31,</w:t>
            </w:r>
          </w:p>
        </w:tc>
        <w:tc>
          <w:tcPr>
            <w:tcW w:w="11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DECEMBER 31,</w:t>
            </w:r>
          </w:p>
        </w:tc>
      </w:tr>
      <w:tr>
        <w:trPr>
          <w:trHeight w:val="170"/>
        </w:trPr>
        <w:tc>
          <w:tcPr>
            <w:tcW w:w="6740" w:type="dxa"/>
            <w:vAlign w:val="bottom"/>
          </w:tcPr>
          <w:p>
            <w:pPr>
              <w:spacing w:after="0"/>
              <w:rPr>
                <w:sz w:val="14"/>
                <w:szCs w:val="14"/>
                <w:color w:val="auto"/>
              </w:rPr>
            </w:pPr>
          </w:p>
        </w:tc>
        <w:tc>
          <w:tcPr>
            <w:tcW w:w="2240" w:type="dxa"/>
            <w:vAlign w:val="bottom"/>
            <w:gridSpan w:val="4"/>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87"/>
              <w:spacing w:after="0"/>
              <w:rPr>
                <w:sz w:val="20"/>
                <w:szCs w:val="20"/>
                <w:color w:val="auto"/>
              </w:rPr>
            </w:pPr>
            <w:r>
              <w:rPr>
                <w:rFonts w:ascii="Courier New" w:cs="Courier New" w:eastAsia="Courier New" w:hAnsi="Courier New"/>
                <w:sz w:val="15"/>
                <w:szCs w:val="15"/>
                <w:color w:val="auto"/>
              </w:rPr>
              <w:t>---------</w:t>
            </w:r>
          </w:p>
        </w:tc>
      </w:tr>
      <w:tr>
        <w:trPr>
          <w:trHeight w:val="170"/>
        </w:trPr>
        <w:tc>
          <w:tcPr>
            <w:tcW w:w="67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2006</w:t>
            </w:r>
          </w:p>
        </w:tc>
        <w:tc>
          <w:tcPr>
            <w:tcW w:w="180" w:type="dxa"/>
            <w:vAlign w:val="bottom"/>
          </w:tcPr>
          <w:p>
            <w:pPr>
              <w:spacing w:after="0"/>
              <w:rPr>
                <w:sz w:val="14"/>
                <w:szCs w:val="14"/>
                <w:color w:val="auto"/>
              </w:rPr>
            </w:pPr>
          </w:p>
        </w:tc>
        <w:tc>
          <w:tcPr>
            <w:tcW w:w="8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2005</w:t>
            </w:r>
          </w:p>
        </w:tc>
        <w:tc>
          <w:tcPr>
            <w:tcW w:w="300" w:type="dxa"/>
            <w:vAlign w:val="bottom"/>
          </w:tcPr>
          <w:p>
            <w:pPr>
              <w:spacing w:after="0"/>
              <w:rPr>
                <w:sz w:val="14"/>
                <w:szCs w:val="14"/>
                <w:color w:val="auto"/>
              </w:rPr>
            </w:pPr>
          </w:p>
        </w:tc>
        <w:tc>
          <w:tcPr>
            <w:tcW w:w="8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2005</w:t>
            </w:r>
          </w:p>
        </w:tc>
      </w:tr>
      <w:tr>
        <w:trPr>
          <w:trHeight w:val="170"/>
        </w:trPr>
        <w:tc>
          <w:tcPr>
            <w:tcW w:w="6740" w:type="dxa"/>
            <w:vAlign w:val="bottom"/>
          </w:tcPr>
          <w:p>
            <w:pPr>
              <w:spacing w:after="0"/>
              <w:rPr>
                <w:sz w:val="14"/>
                <w:szCs w:val="14"/>
                <w:color w:val="auto"/>
              </w:rPr>
            </w:pPr>
          </w:p>
        </w:tc>
        <w:tc>
          <w:tcPr>
            <w:tcW w:w="1220" w:type="dxa"/>
            <w:vAlign w:val="bottom"/>
            <w:gridSpan w:val="2"/>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87"/>
              <w:spacing w:after="0"/>
              <w:rPr>
                <w:sz w:val="20"/>
                <w:szCs w:val="20"/>
                <w:color w:val="auto"/>
              </w:rPr>
            </w:pPr>
            <w:r>
              <w:rPr>
                <w:rFonts w:ascii="Courier New" w:cs="Courier New" w:eastAsia="Courier New" w:hAnsi="Courier New"/>
                <w:sz w:val="15"/>
                <w:szCs w:val="15"/>
                <w:color w:val="auto"/>
              </w:rPr>
              <w:t>---------</w:t>
            </w:r>
          </w:p>
        </w:tc>
      </w:tr>
      <w:tr>
        <w:trPr>
          <w:trHeight w:val="170"/>
        </w:trPr>
        <w:tc>
          <w:tcPr>
            <w:tcW w:w="67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980" w:type="dxa"/>
            <w:vAlign w:val="bottom"/>
            <w:gridSpan w:val="3"/>
          </w:tcPr>
          <w:p>
            <w:pPr>
              <w:jc w:val="right"/>
              <w:ind w:right="547"/>
              <w:spacing w:after="0"/>
              <w:rPr>
                <w:sz w:val="20"/>
                <w:szCs w:val="20"/>
                <w:color w:val="auto"/>
              </w:rPr>
            </w:pPr>
            <w:r>
              <w:rPr>
                <w:rFonts w:ascii="Courier New" w:cs="Courier New" w:eastAsia="Courier New" w:hAnsi="Courier New"/>
                <w:sz w:val="15"/>
                <w:szCs w:val="15"/>
                <w:color w:val="auto"/>
              </w:rPr>
              <w:t>(UNAUDITED)</w:t>
            </w:r>
          </w:p>
        </w:tc>
        <w:tc>
          <w:tcPr>
            <w:tcW w:w="30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70"/>
        </w:trPr>
        <w:tc>
          <w:tcPr>
            <w:tcW w:w="6740" w:type="dxa"/>
            <w:vAlign w:val="bottom"/>
          </w:tcPr>
          <w:p>
            <w:pPr>
              <w:spacing w:after="0"/>
              <w:rPr>
                <w:sz w:val="14"/>
                <w:szCs w:val="14"/>
                <w:color w:val="auto"/>
              </w:rPr>
            </w:pPr>
          </w:p>
        </w:tc>
        <w:tc>
          <w:tcPr>
            <w:tcW w:w="2240" w:type="dxa"/>
            <w:vAlign w:val="bottom"/>
            <w:gridSpan w:val="4"/>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339"/>
        </w:trPr>
        <w:tc>
          <w:tcPr>
            <w:tcW w:w="6740" w:type="dxa"/>
            <w:vAlign w:val="bottom"/>
          </w:tcPr>
          <w:p>
            <w:pPr>
              <w:spacing w:after="0"/>
              <w:rPr>
                <w:sz w:val="20"/>
                <w:szCs w:val="20"/>
                <w:color w:val="auto"/>
              </w:rPr>
            </w:pPr>
            <w:r>
              <w:rPr>
                <w:rFonts w:ascii="Courier New" w:cs="Courier New" w:eastAsia="Courier New" w:hAnsi="Courier New"/>
                <w:sz w:val="15"/>
                <w:szCs w:val="15"/>
                <w:color w:val="auto"/>
              </w:rPr>
              <w:t>CASH FLOWS - OPERATING ACTIVITIES</w:t>
            </w: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339"/>
        </w:trPr>
        <w:tc>
          <w:tcPr>
            <w:tcW w:w="6740" w:type="dxa"/>
            <w:vAlign w:val="bottom"/>
          </w:tcPr>
          <w:p>
            <w:pPr>
              <w:ind w:left="340"/>
              <w:spacing w:after="0"/>
              <w:rPr>
                <w:sz w:val="20"/>
                <w:szCs w:val="20"/>
                <w:color w:val="auto"/>
              </w:rPr>
            </w:pPr>
            <w:r>
              <w:rPr>
                <w:rFonts w:ascii="Courier New" w:cs="Courier New" w:eastAsia="Courier New" w:hAnsi="Courier New"/>
                <w:sz w:val="15"/>
                <w:szCs w:val="15"/>
                <w:color w:val="auto"/>
              </w:rPr>
              <w:t>LOSS FOR THE PERIOD</w:t>
            </w:r>
          </w:p>
        </w:tc>
        <w:tc>
          <w:tcPr>
            <w:tcW w:w="122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 (45,056)</w:t>
            </w:r>
          </w:p>
        </w:tc>
        <w:tc>
          <w:tcPr>
            <w:tcW w:w="102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 (55,320)</w:t>
            </w:r>
          </w:p>
        </w:tc>
        <w:tc>
          <w:tcPr>
            <w:tcW w:w="114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$(203,082)</w:t>
            </w:r>
          </w:p>
        </w:tc>
      </w:tr>
      <w:tr>
        <w:trPr>
          <w:trHeight w:val="170"/>
        </w:trPr>
        <w:tc>
          <w:tcPr>
            <w:tcW w:w="6740" w:type="dxa"/>
            <w:vAlign w:val="bottom"/>
          </w:tcPr>
          <w:p>
            <w:pPr>
              <w:ind w:left="340"/>
              <w:spacing w:after="0"/>
              <w:rPr>
                <w:sz w:val="20"/>
                <w:szCs w:val="20"/>
                <w:color w:val="auto"/>
              </w:rPr>
            </w:pPr>
            <w:r>
              <w:rPr>
                <w:rFonts w:ascii="Courier New" w:cs="Courier New" w:eastAsia="Courier New" w:hAnsi="Courier New"/>
                <w:sz w:val="15"/>
                <w:szCs w:val="15"/>
                <w:color w:val="auto"/>
              </w:rPr>
              <w:t>ADJUSTMENTS TO RECONCILE LOSS FOR THE PERIOD</w:t>
            </w: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70"/>
        </w:trPr>
        <w:tc>
          <w:tcPr>
            <w:tcW w:w="6740" w:type="dxa"/>
            <w:vAlign w:val="bottom"/>
          </w:tcPr>
          <w:p>
            <w:pPr>
              <w:ind w:left="520"/>
              <w:spacing w:after="0"/>
              <w:rPr>
                <w:sz w:val="20"/>
                <w:szCs w:val="20"/>
                <w:color w:val="auto"/>
              </w:rPr>
            </w:pPr>
            <w:r>
              <w:rPr>
                <w:rFonts w:ascii="Courier New" w:cs="Courier New" w:eastAsia="Courier New" w:hAnsi="Courier New"/>
                <w:sz w:val="15"/>
                <w:szCs w:val="15"/>
                <w:color w:val="auto"/>
              </w:rPr>
              <w:t>TO NET CASH USED IN OPERATING ACTIVITIES:</w:t>
            </w: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70"/>
        </w:trPr>
        <w:tc>
          <w:tcPr>
            <w:tcW w:w="6740" w:type="dxa"/>
            <w:vAlign w:val="bottom"/>
          </w:tcPr>
          <w:p>
            <w:pPr>
              <w:ind w:left="700"/>
              <w:spacing w:after="0"/>
              <w:rPr>
                <w:sz w:val="20"/>
                <w:szCs w:val="20"/>
                <w:color w:val="auto"/>
              </w:rPr>
            </w:pPr>
            <w:r>
              <w:rPr>
                <w:rFonts w:ascii="Courier New" w:cs="Courier New" w:eastAsia="Courier New" w:hAnsi="Courier New"/>
                <w:sz w:val="15"/>
                <w:szCs w:val="15"/>
                <w:color w:val="auto"/>
              </w:rPr>
              <w:t>INCOME AND EXPENSE ITEMS NOT INVOLVING CASH FLOWS:</w:t>
            </w: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70"/>
        </w:trPr>
        <w:tc>
          <w:tcPr>
            <w:tcW w:w="6740" w:type="dxa"/>
            <w:vAlign w:val="bottom"/>
          </w:tcPr>
          <w:p>
            <w:pPr>
              <w:ind w:left="880"/>
              <w:spacing w:after="0"/>
              <w:rPr>
                <w:sz w:val="20"/>
                <w:szCs w:val="20"/>
                <w:color w:val="auto"/>
              </w:rPr>
            </w:pPr>
            <w:r>
              <w:rPr>
                <w:rFonts w:ascii="Courier New" w:cs="Courier New" w:eastAsia="Courier New" w:hAnsi="Courier New"/>
                <w:sz w:val="15"/>
                <w:szCs w:val="15"/>
                <w:color w:val="auto"/>
              </w:rPr>
              <w:t>DEPRECIATION AND AMORTIZATION</w:t>
            </w:r>
          </w:p>
        </w:tc>
        <w:tc>
          <w:tcPr>
            <w:tcW w:w="260" w:type="dxa"/>
            <w:vAlign w:val="bottom"/>
          </w:tcPr>
          <w:p>
            <w:pPr>
              <w:spacing w:after="0"/>
              <w:rPr>
                <w:sz w:val="14"/>
                <w:szCs w:val="14"/>
                <w:color w:val="auto"/>
              </w:rPr>
            </w:pPr>
          </w:p>
        </w:tc>
        <w:tc>
          <w:tcPr>
            <w:tcW w:w="9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38,076</w:t>
            </w:r>
          </w:p>
        </w:tc>
        <w:tc>
          <w:tcPr>
            <w:tcW w:w="180" w:type="dxa"/>
            <w:vAlign w:val="bottom"/>
          </w:tcPr>
          <w:p>
            <w:pPr>
              <w:spacing w:after="0"/>
              <w:rPr>
                <w:sz w:val="14"/>
                <w:szCs w:val="14"/>
                <w:color w:val="auto"/>
              </w:rPr>
            </w:pPr>
          </w:p>
        </w:tc>
        <w:tc>
          <w:tcPr>
            <w:tcW w:w="8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34,594</w:t>
            </w:r>
          </w:p>
        </w:tc>
        <w:tc>
          <w:tcPr>
            <w:tcW w:w="300" w:type="dxa"/>
            <w:vAlign w:val="bottom"/>
          </w:tcPr>
          <w:p>
            <w:pPr>
              <w:spacing w:after="0"/>
              <w:rPr>
                <w:sz w:val="14"/>
                <w:szCs w:val="14"/>
                <w:color w:val="auto"/>
              </w:rPr>
            </w:pPr>
          </w:p>
        </w:tc>
        <w:tc>
          <w:tcPr>
            <w:tcW w:w="8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144,852</w:t>
            </w:r>
          </w:p>
        </w:tc>
      </w:tr>
      <w:tr>
        <w:trPr>
          <w:trHeight w:val="170"/>
        </w:trPr>
        <w:tc>
          <w:tcPr>
            <w:tcW w:w="6740" w:type="dxa"/>
            <w:vAlign w:val="bottom"/>
          </w:tcPr>
          <w:p>
            <w:pPr>
              <w:ind w:left="880"/>
              <w:spacing w:after="0"/>
              <w:rPr>
                <w:sz w:val="20"/>
                <w:szCs w:val="20"/>
                <w:color w:val="auto"/>
              </w:rPr>
            </w:pPr>
            <w:r>
              <w:rPr>
                <w:rFonts w:ascii="Courier New" w:cs="Courier New" w:eastAsia="Courier New" w:hAnsi="Courier New"/>
                <w:sz w:val="15"/>
                <w:szCs w:val="15"/>
                <w:color w:val="auto"/>
              </w:rPr>
              <w:t>EFFECT OF INDEXATION AND TRANSLATION ON</w:t>
            </w: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70"/>
        </w:trPr>
        <w:tc>
          <w:tcPr>
            <w:tcW w:w="6740" w:type="dxa"/>
            <w:vAlign w:val="bottom"/>
          </w:tcPr>
          <w:p>
            <w:pPr>
              <w:ind w:left="1040"/>
              <w:spacing w:after="0"/>
              <w:rPr>
                <w:sz w:val="20"/>
                <w:szCs w:val="20"/>
                <w:color w:val="auto"/>
              </w:rPr>
            </w:pPr>
            <w:r>
              <w:rPr>
                <w:rFonts w:ascii="Courier New" w:cs="Courier New" w:eastAsia="Courier New" w:hAnsi="Courier New"/>
                <w:sz w:val="15"/>
                <w:szCs w:val="15"/>
                <w:color w:val="auto"/>
              </w:rPr>
              <w:t>CONVERTIBLE DEBENTURES</w:t>
            </w:r>
          </w:p>
        </w:tc>
        <w:tc>
          <w:tcPr>
            <w:tcW w:w="260" w:type="dxa"/>
            <w:vAlign w:val="bottom"/>
          </w:tcPr>
          <w:p>
            <w:pPr>
              <w:spacing w:after="0"/>
              <w:rPr>
                <w:sz w:val="14"/>
                <w:szCs w:val="14"/>
                <w:color w:val="auto"/>
              </w:rPr>
            </w:pPr>
          </w:p>
        </w:tc>
        <w:tc>
          <w:tcPr>
            <w:tcW w:w="9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(257)</w:t>
            </w:r>
          </w:p>
        </w:tc>
        <w:tc>
          <w:tcPr>
            <w:tcW w:w="180" w:type="dxa"/>
            <w:vAlign w:val="bottom"/>
          </w:tcPr>
          <w:p>
            <w:pPr>
              <w:spacing w:after="0"/>
              <w:rPr>
                <w:sz w:val="14"/>
                <w:szCs w:val="14"/>
                <w:color w:val="auto"/>
              </w:rPr>
            </w:pPr>
          </w:p>
        </w:tc>
        <w:tc>
          <w:tcPr>
            <w:tcW w:w="840" w:type="dxa"/>
            <w:vAlign w:val="bottom"/>
          </w:tcPr>
          <w:p>
            <w:pPr>
              <w:jc w:val="right"/>
              <w:ind w:right="7"/>
              <w:spacing w:after="0"/>
              <w:rPr>
                <w:sz w:val="20"/>
                <w:szCs w:val="20"/>
                <w:color w:val="auto"/>
              </w:rPr>
            </w:pPr>
            <w:r>
              <w:rPr>
                <w:rFonts w:ascii="Courier New" w:cs="Courier New" w:eastAsia="Courier New" w:hAnsi="Courier New"/>
                <w:sz w:val="15"/>
                <w:szCs w:val="15"/>
                <w:color w:val="auto"/>
              </w:rPr>
              <w:t>(403)</w:t>
            </w:r>
          </w:p>
        </w:tc>
        <w:tc>
          <w:tcPr>
            <w:tcW w:w="300" w:type="dxa"/>
            <w:vAlign w:val="bottom"/>
          </w:tcPr>
          <w:p>
            <w:pPr>
              <w:spacing w:after="0"/>
              <w:rPr>
                <w:sz w:val="14"/>
                <w:szCs w:val="14"/>
                <w:color w:val="auto"/>
              </w:rPr>
            </w:pPr>
          </w:p>
        </w:tc>
        <w:tc>
          <w:tcPr>
            <w:tcW w:w="840" w:type="dxa"/>
            <w:vAlign w:val="bottom"/>
          </w:tcPr>
          <w:p>
            <w:pPr>
              <w:jc w:val="right"/>
              <w:ind w:right="7"/>
              <w:spacing w:after="0"/>
              <w:rPr>
                <w:sz w:val="20"/>
                <w:szCs w:val="20"/>
                <w:color w:val="auto"/>
              </w:rPr>
            </w:pPr>
            <w:r>
              <w:rPr>
                <w:rFonts w:ascii="Courier New" w:cs="Courier New" w:eastAsia="Courier New" w:hAnsi="Courier New"/>
                <w:sz w:val="15"/>
                <w:szCs w:val="15"/>
                <w:color w:val="auto"/>
              </w:rPr>
              <w:t>(1,031)</w:t>
            </w:r>
          </w:p>
        </w:tc>
      </w:tr>
      <w:tr>
        <w:trPr>
          <w:trHeight w:val="170"/>
        </w:trPr>
        <w:tc>
          <w:tcPr>
            <w:tcW w:w="6740" w:type="dxa"/>
            <w:vAlign w:val="bottom"/>
          </w:tcPr>
          <w:p>
            <w:pPr>
              <w:ind w:left="880"/>
              <w:spacing w:after="0"/>
              <w:rPr>
                <w:sz w:val="20"/>
                <w:szCs w:val="20"/>
                <w:color w:val="auto"/>
              </w:rPr>
            </w:pPr>
            <w:r>
              <w:rPr>
                <w:rFonts w:ascii="Courier New" w:cs="Courier New" w:eastAsia="Courier New" w:hAnsi="Courier New"/>
                <w:sz w:val="15"/>
                <w:szCs w:val="15"/>
                <w:color w:val="auto"/>
              </w:rPr>
              <w:t>OTHER INCOME, NET</w:t>
            </w:r>
          </w:p>
        </w:tc>
        <w:tc>
          <w:tcPr>
            <w:tcW w:w="260" w:type="dxa"/>
            <w:vAlign w:val="bottom"/>
          </w:tcPr>
          <w:p>
            <w:pPr>
              <w:spacing w:after="0"/>
              <w:rPr>
                <w:sz w:val="14"/>
                <w:szCs w:val="14"/>
                <w:color w:val="auto"/>
              </w:rPr>
            </w:pPr>
          </w:p>
        </w:tc>
        <w:tc>
          <w:tcPr>
            <w:tcW w:w="9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(551)</w:t>
            </w:r>
          </w:p>
        </w:tc>
        <w:tc>
          <w:tcPr>
            <w:tcW w:w="180" w:type="dxa"/>
            <w:vAlign w:val="bottom"/>
          </w:tcPr>
          <w:p>
            <w:pPr>
              <w:spacing w:after="0"/>
              <w:rPr>
                <w:sz w:val="14"/>
                <w:szCs w:val="14"/>
                <w:color w:val="auto"/>
              </w:rPr>
            </w:pPr>
          </w:p>
        </w:tc>
        <w:tc>
          <w:tcPr>
            <w:tcW w:w="840" w:type="dxa"/>
            <w:vAlign w:val="bottom"/>
          </w:tcPr>
          <w:p>
            <w:pPr>
              <w:jc w:val="right"/>
              <w:ind w:right="7"/>
              <w:spacing w:after="0"/>
              <w:rPr>
                <w:sz w:val="20"/>
                <w:szCs w:val="20"/>
                <w:color w:val="auto"/>
              </w:rPr>
            </w:pPr>
            <w:r>
              <w:rPr>
                <w:rFonts w:ascii="Courier New" w:cs="Courier New" w:eastAsia="Courier New" w:hAnsi="Courier New"/>
                <w:sz w:val="15"/>
                <w:szCs w:val="15"/>
                <w:color w:val="auto"/>
              </w:rPr>
              <w:t>(193)</w:t>
            </w:r>
          </w:p>
        </w:tc>
        <w:tc>
          <w:tcPr>
            <w:tcW w:w="300" w:type="dxa"/>
            <w:vAlign w:val="bottom"/>
          </w:tcPr>
          <w:p>
            <w:pPr>
              <w:spacing w:after="0"/>
              <w:rPr>
                <w:sz w:val="14"/>
                <w:szCs w:val="14"/>
                <w:color w:val="auto"/>
              </w:rPr>
            </w:pPr>
          </w:p>
        </w:tc>
        <w:tc>
          <w:tcPr>
            <w:tcW w:w="840" w:type="dxa"/>
            <w:vAlign w:val="bottom"/>
          </w:tcPr>
          <w:p>
            <w:pPr>
              <w:jc w:val="right"/>
              <w:ind w:right="7"/>
              <w:spacing w:after="0"/>
              <w:rPr>
                <w:sz w:val="20"/>
                <w:szCs w:val="20"/>
                <w:color w:val="auto"/>
              </w:rPr>
            </w:pPr>
            <w:r>
              <w:rPr>
                <w:rFonts w:ascii="Courier New" w:cs="Courier New" w:eastAsia="Courier New" w:hAnsi="Courier New"/>
                <w:sz w:val="15"/>
                <w:szCs w:val="15"/>
                <w:color w:val="auto"/>
              </w:rPr>
              <w:t>(2,383)</w:t>
            </w:r>
          </w:p>
        </w:tc>
      </w:tr>
      <w:tr>
        <w:trPr>
          <w:trHeight w:val="170"/>
        </w:trPr>
        <w:tc>
          <w:tcPr>
            <w:tcW w:w="6740" w:type="dxa"/>
            <w:vAlign w:val="bottom"/>
          </w:tcPr>
          <w:p>
            <w:pPr>
              <w:ind w:left="700"/>
              <w:spacing w:after="0"/>
              <w:rPr>
                <w:sz w:val="20"/>
                <w:szCs w:val="20"/>
                <w:color w:val="auto"/>
              </w:rPr>
            </w:pPr>
            <w:r>
              <w:rPr>
                <w:rFonts w:ascii="Courier New" w:cs="Courier New" w:eastAsia="Courier New" w:hAnsi="Courier New"/>
                <w:sz w:val="15"/>
                <w:szCs w:val="15"/>
                <w:color w:val="auto"/>
              </w:rPr>
              <w:t>CHANGES IN ASSETS AND LIABILITIES:</w:t>
            </w: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70"/>
        </w:trPr>
        <w:tc>
          <w:tcPr>
            <w:tcW w:w="6740" w:type="dxa"/>
            <w:vAlign w:val="bottom"/>
          </w:tcPr>
          <w:p>
            <w:pPr>
              <w:ind w:left="880"/>
              <w:spacing w:after="0"/>
              <w:rPr>
                <w:sz w:val="20"/>
                <w:szCs w:val="20"/>
                <w:color w:val="auto"/>
              </w:rPr>
            </w:pPr>
            <w:r>
              <w:rPr>
                <w:rFonts w:ascii="Courier New" w:cs="Courier New" w:eastAsia="Courier New" w:hAnsi="Courier New"/>
                <w:sz w:val="15"/>
                <w:szCs w:val="15"/>
                <w:color w:val="auto"/>
              </w:rPr>
              <w:t>DECREASE (INCREASE) IN TRADE ACCOUNTS RECEIVABLE</w:t>
            </w:r>
          </w:p>
        </w:tc>
        <w:tc>
          <w:tcPr>
            <w:tcW w:w="260" w:type="dxa"/>
            <w:vAlign w:val="bottom"/>
          </w:tcPr>
          <w:p>
            <w:pPr>
              <w:spacing w:after="0"/>
              <w:rPr>
                <w:sz w:val="14"/>
                <w:szCs w:val="14"/>
                <w:color w:val="auto"/>
              </w:rPr>
            </w:pPr>
          </w:p>
        </w:tc>
        <w:tc>
          <w:tcPr>
            <w:tcW w:w="9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(2,106)</w:t>
            </w:r>
          </w:p>
        </w:tc>
        <w:tc>
          <w:tcPr>
            <w:tcW w:w="180" w:type="dxa"/>
            <w:vAlign w:val="bottom"/>
          </w:tcPr>
          <w:p>
            <w:pPr>
              <w:spacing w:after="0"/>
              <w:rPr>
                <w:sz w:val="14"/>
                <w:szCs w:val="14"/>
                <w:color w:val="auto"/>
              </w:rPr>
            </w:pPr>
          </w:p>
        </w:tc>
        <w:tc>
          <w:tcPr>
            <w:tcW w:w="8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7,145</w:t>
            </w:r>
          </w:p>
        </w:tc>
        <w:tc>
          <w:tcPr>
            <w:tcW w:w="300" w:type="dxa"/>
            <w:vAlign w:val="bottom"/>
          </w:tcPr>
          <w:p>
            <w:pPr>
              <w:spacing w:after="0"/>
              <w:rPr>
                <w:sz w:val="14"/>
                <w:szCs w:val="14"/>
                <w:color w:val="auto"/>
              </w:rPr>
            </w:pPr>
          </w:p>
        </w:tc>
        <w:tc>
          <w:tcPr>
            <w:tcW w:w="8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2,510</w:t>
            </w:r>
          </w:p>
        </w:tc>
      </w:tr>
      <w:tr>
        <w:trPr>
          <w:trHeight w:val="170"/>
        </w:trPr>
        <w:tc>
          <w:tcPr>
            <w:tcW w:w="6740" w:type="dxa"/>
            <w:vAlign w:val="bottom"/>
          </w:tcPr>
          <w:p>
            <w:pPr>
              <w:ind w:left="880"/>
              <w:spacing w:after="0"/>
              <w:rPr>
                <w:sz w:val="20"/>
                <w:szCs w:val="20"/>
                <w:color w:val="auto"/>
              </w:rPr>
            </w:pPr>
            <w:r>
              <w:rPr>
                <w:rFonts w:ascii="Courier New" w:cs="Courier New" w:eastAsia="Courier New" w:hAnsi="Courier New"/>
                <w:sz w:val="15"/>
                <w:szCs w:val="15"/>
                <w:color w:val="auto"/>
                <w:w w:val="99"/>
              </w:rPr>
              <w:t>DECREASE (INCREASE) IN OTHER RECEIVABLES AND OTHER CURRENT ASSETS</w:t>
            </w:r>
          </w:p>
        </w:tc>
        <w:tc>
          <w:tcPr>
            <w:tcW w:w="260" w:type="dxa"/>
            <w:vAlign w:val="bottom"/>
          </w:tcPr>
          <w:p>
            <w:pPr>
              <w:spacing w:after="0"/>
              <w:rPr>
                <w:sz w:val="14"/>
                <w:szCs w:val="14"/>
                <w:color w:val="auto"/>
              </w:rPr>
            </w:pPr>
          </w:p>
        </w:tc>
        <w:tc>
          <w:tcPr>
            <w:tcW w:w="9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(477)</w:t>
            </w:r>
          </w:p>
        </w:tc>
        <w:tc>
          <w:tcPr>
            <w:tcW w:w="180" w:type="dxa"/>
            <w:vAlign w:val="bottom"/>
          </w:tcPr>
          <w:p>
            <w:pPr>
              <w:spacing w:after="0"/>
              <w:rPr>
                <w:sz w:val="14"/>
                <w:szCs w:val="14"/>
                <w:color w:val="auto"/>
              </w:rPr>
            </w:pPr>
          </w:p>
        </w:tc>
        <w:tc>
          <w:tcPr>
            <w:tcW w:w="8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2,036</w:t>
            </w:r>
          </w:p>
        </w:tc>
        <w:tc>
          <w:tcPr>
            <w:tcW w:w="300" w:type="dxa"/>
            <w:vAlign w:val="bottom"/>
          </w:tcPr>
          <w:p>
            <w:pPr>
              <w:spacing w:after="0"/>
              <w:rPr>
                <w:sz w:val="14"/>
                <w:szCs w:val="14"/>
                <w:color w:val="auto"/>
              </w:rPr>
            </w:pPr>
          </w:p>
        </w:tc>
        <w:tc>
          <w:tcPr>
            <w:tcW w:w="8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1,988</w:t>
            </w:r>
          </w:p>
        </w:tc>
      </w:tr>
      <w:tr>
        <w:trPr>
          <w:trHeight w:val="170"/>
        </w:trPr>
        <w:tc>
          <w:tcPr>
            <w:tcW w:w="6740" w:type="dxa"/>
            <w:vAlign w:val="bottom"/>
          </w:tcPr>
          <w:p>
            <w:pPr>
              <w:ind w:left="880"/>
              <w:spacing w:after="0"/>
              <w:rPr>
                <w:sz w:val="20"/>
                <w:szCs w:val="20"/>
                <w:color w:val="auto"/>
              </w:rPr>
            </w:pPr>
            <w:r>
              <w:rPr>
                <w:rFonts w:ascii="Courier New" w:cs="Courier New" w:eastAsia="Courier New" w:hAnsi="Courier New"/>
                <w:sz w:val="15"/>
                <w:szCs w:val="15"/>
                <w:color w:val="auto"/>
              </w:rPr>
              <w:t>DECREASE (INCREASE) IN INVENTORIES</w:t>
            </w:r>
          </w:p>
        </w:tc>
        <w:tc>
          <w:tcPr>
            <w:tcW w:w="260" w:type="dxa"/>
            <w:vAlign w:val="bottom"/>
          </w:tcPr>
          <w:p>
            <w:pPr>
              <w:spacing w:after="0"/>
              <w:rPr>
                <w:sz w:val="14"/>
                <w:szCs w:val="14"/>
                <w:color w:val="auto"/>
              </w:rPr>
            </w:pPr>
          </w:p>
        </w:tc>
        <w:tc>
          <w:tcPr>
            <w:tcW w:w="9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(4,308)</w:t>
            </w:r>
          </w:p>
        </w:tc>
        <w:tc>
          <w:tcPr>
            <w:tcW w:w="180" w:type="dxa"/>
            <w:vAlign w:val="bottom"/>
          </w:tcPr>
          <w:p>
            <w:pPr>
              <w:spacing w:after="0"/>
              <w:rPr>
                <w:sz w:val="14"/>
                <w:szCs w:val="14"/>
                <w:color w:val="auto"/>
              </w:rPr>
            </w:pPr>
          </w:p>
        </w:tc>
        <w:tc>
          <w:tcPr>
            <w:tcW w:w="8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4,045</w:t>
            </w:r>
          </w:p>
        </w:tc>
        <w:tc>
          <w:tcPr>
            <w:tcW w:w="300" w:type="dxa"/>
            <w:vAlign w:val="bottom"/>
          </w:tcPr>
          <w:p>
            <w:pPr>
              <w:spacing w:after="0"/>
              <w:rPr>
                <w:sz w:val="14"/>
                <w:szCs w:val="14"/>
                <w:color w:val="auto"/>
              </w:rPr>
            </w:pPr>
          </w:p>
        </w:tc>
        <w:tc>
          <w:tcPr>
            <w:tcW w:w="8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1,293</w:t>
            </w:r>
          </w:p>
        </w:tc>
      </w:tr>
      <w:tr>
        <w:trPr>
          <w:trHeight w:val="170"/>
        </w:trPr>
        <w:tc>
          <w:tcPr>
            <w:tcW w:w="6740" w:type="dxa"/>
            <w:vAlign w:val="bottom"/>
          </w:tcPr>
          <w:p>
            <w:pPr>
              <w:ind w:left="880"/>
              <w:spacing w:after="0"/>
              <w:rPr>
                <w:sz w:val="20"/>
                <w:szCs w:val="20"/>
                <w:color w:val="auto"/>
              </w:rPr>
            </w:pPr>
            <w:r>
              <w:rPr>
                <w:rFonts w:ascii="Courier New" w:cs="Courier New" w:eastAsia="Courier New" w:hAnsi="Courier New"/>
                <w:sz w:val="15"/>
                <w:szCs w:val="15"/>
                <w:color w:val="auto"/>
              </w:rPr>
              <w:t>INCREASE (DECREASE) IN TRADE ACCOUNTS PAYABLE</w:t>
            </w:r>
          </w:p>
        </w:tc>
        <w:tc>
          <w:tcPr>
            <w:tcW w:w="260" w:type="dxa"/>
            <w:vAlign w:val="bottom"/>
          </w:tcPr>
          <w:p>
            <w:pPr>
              <w:spacing w:after="0"/>
              <w:rPr>
                <w:sz w:val="14"/>
                <w:szCs w:val="14"/>
                <w:color w:val="auto"/>
              </w:rPr>
            </w:pPr>
          </w:p>
        </w:tc>
        <w:tc>
          <w:tcPr>
            <w:tcW w:w="9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1,348</w:t>
            </w:r>
          </w:p>
        </w:tc>
        <w:tc>
          <w:tcPr>
            <w:tcW w:w="180" w:type="dxa"/>
            <w:vAlign w:val="bottom"/>
          </w:tcPr>
          <w:p>
            <w:pPr>
              <w:spacing w:after="0"/>
              <w:rPr>
                <w:sz w:val="14"/>
                <w:szCs w:val="14"/>
                <w:color w:val="auto"/>
              </w:rPr>
            </w:pPr>
          </w:p>
        </w:tc>
        <w:tc>
          <w:tcPr>
            <w:tcW w:w="840" w:type="dxa"/>
            <w:vAlign w:val="bottom"/>
          </w:tcPr>
          <w:p>
            <w:pPr>
              <w:jc w:val="right"/>
              <w:ind w:right="7"/>
              <w:spacing w:after="0"/>
              <w:rPr>
                <w:sz w:val="20"/>
                <w:szCs w:val="20"/>
                <w:color w:val="auto"/>
              </w:rPr>
            </w:pPr>
            <w:r>
              <w:rPr>
                <w:rFonts w:ascii="Courier New" w:cs="Courier New" w:eastAsia="Courier New" w:hAnsi="Courier New"/>
                <w:sz w:val="15"/>
                <w:szCs w:val="15"/>
                <w:color w:val="auto"/>
              </w:rPr>
              <w:t>(1,051)</w:t>
            </w:r>
          </w:p>
        </w:tc>
        <w:tc>
          <w:tcPr>
            <w:tcW w:w="300" w:type="dxa"/>
            <w:vAlign w:val="bottom"/>
          </w:tcPr>
          <w:p>
            <w:pPr>
              <w:spacing w:after="0"/>
              <w:rPr>
                <w:sz w:val="14"/>
                <w:szCs w:val="14"/>
                <w:color w:val="auto"/>
              </w:rPr>
            </w:pPr>
          </w:p>
        </w:tc>
        <w:tc>
          <w:tcPr>
            <w:tcW w:w="8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3,082</w:t>
            </w:r>
          </w:p>
        </w:tc>
      </w:tr>
      <w:tr>
        <w:trPr>
          <w:trHeight w:val="170"/>
        </w:trPr>
        <w:tc>
          <w:tcPr>
            <w:tcW w:w="6740" w:type="dxa"/>
            <w:vAlign w:val="bottom"/>
          </w:tcPr>
          <w:p>
            <w:pPr>
              <w:ind w:left="880"/>
              <w:spacing w:after="0"/>
              <w:rPr>
                <w:sz w:val="20"/>
                <w:szCs w:val="20"/>
                <w:color w:val="auto"/>
              </w:rPr>
            </w:pPr>
            <w:r>
              <w:rPr>
                <w:rFonts w:ascii="Courier New" w:cs="Courier New" w:eastAsia="Courier New" w:hAnsi="Courier New"/>
                <w:sz w:val="15"/>
                <w:szCs w:val="15"/>
                <w:color w:val="auto"/>
              </w:rPr>
              <w:t>DECREASE IN OTHER CURRENT LIABILITIES</w:t>
            </w:r>
          </w:p>
        </w:tc>
        <w:tc>
          <w:tcPr>
            <w:tcW w:w="260" w:type="dxa"/>
            <w:vAlign w:val="bottom"/>
          </w:tcPr>
          <w:p>
            <w:pPr>
              <w:spacing w:after="0"/>
              <w:rPr>
                <w:sz w:val="14"/>
                <w:szCs w:val="14"/>
                <w:color w:val="auto"/>
              </w:rPr>
            </w:pPr>
          </w:p>
        </w:tc>
        <w:tc>
          <w:tcPr>
            <w:tcW w:w="9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(179)</w:t>
            </w:r>
          </w:p>
        </w:tc>
        <w:tc>
          <w:tcPr>
            <w:tcW w:w="180" w:type="dxa"/>
            <w:vAlign w:val="bottom"/>
          </w:tcPr>
          <w:p>
            <w:pPr>
              <w:spacing w:after="0"/>
              <w:rPr>
                <w:sz w:val="14"/>
                <w:szCs w:val="14"/>
                <w:color w:val="auto"/>
              </w:rPr>
            </w:pPr>
          </w:p>
        </w:tc>
        <w:tc>
          <w:tcPr>
            <w:tcW w:w="840" w:type="dxa"/>
            <w:vAlign w:val="bottom"/>
          </w:tcPr>
          <w:p>
            <w:pPr>
              <w:jc w:val="right"/>
              <w:ind w:right="7"/>
              <w:spacing w:after="0"/>
              <w:rPr>
                <w:sz w:val="20"/>
                <w:szCs w:val="20"/>
                <w:color w:val="auto"/>
              </w:rPr>
            </w:pPr>
            <w:r>
              <w:rPr>
                <w:rFonts w:ascii="Courier New" w:cs="Courier New" w:eastAsia="Courier New" w:hAnsi="Courier New"/>
                <w:sz w:val="15"/>
                <w:szCs w:val="15"/>
                <w:color w:val="auto"/>
              </w:rPr>
              <w:t>(1,263)</w:t>
            </w:r>
          </w:p>
        </w:tc>
        <w:tc>
          <w:tcPr>
            <w:tcW w:w="300" w:type="dxa"/>
            <w:vAlign w:val="bottom"/>
          </w:tcPr>
          <w:p>
            <w:pPr>
              <w:spacing w:after="0"/>
              <w:rPr>
                <w:sz w:val="14"/>
                <w:szCs w:val="14"/>
                <w:color w:val="auto"/>
              </w:rPr>
            </w:pPr>
          </w:p>
        </w:tc>
        <w:tc>
          <w:tcPr>
            <w:tcW w:w="840" w:type="dxa"/>
            <w:vAlign w:val="bottom"/>
          </w:tcPr>
          <w:p>
            <w:pPr>
              <w:jc w:val="right"/>
              <w:ind w:right="7"/>
              <w:spacing w:after="0"/>
              <w:rPr>
                <w:sz w:val="20"/>
                <w:szCs w:val="20"/>
                <w:color w:val="auto"/>
              </w:rPr>
            </w:pPr>
            <w:r>
              <w:rPr>
                <w:rFonts w:ascii="Courier New" w:cs="Courier New" w:eastAsia="Courier New" w:hAnsi="Courier New"/>
                <w:sz w:val="15"/>
                <w:szCs w:val="15"/>
                <w:color w:val="auto"/>
              </w:rPr>
              <w:t>(1,839)</w:t>
            </w:r>
          </w:p>
        </w:tc>
      </w:tr>
      <w:tr>
        <w:trPr>
          <w:trHeight w:val="170"/>
        </w:trPr>
        <w:tc>
          <w:tcPr>
            <w:tcW w:w="6740" w:type="dxa"/>
            <w:vAlign w:val="bottom"/>
          </w:tcPr>
          <w:p>
            <w:pPr>
              <w:ind w:left="880"/>
              <w:spacing w:after="0"/>
              <w:rPr>
                <w:sz w:val="20"/>
                <w:szCs w:val="20"/>
                <w:color w:val="auto"/>
              </w:rPr>
            </w:pPr>
            <w:r>
              <w:rPr>
                <w:rFonts w:ascii="Courier New" w:cs="Courier New" w:eastAsia="Courier New" w:hAnsi="Courier New"/>
                <w:sz w:val="15"/>
                <w:szCs w:val="15"/>
                <w:color w:val="auto"/>
              </w:rPr>
              <w:t>DECREASE IN OTHER LONG-TERM LIABILITIES</w:t>
            </w:r>
          </w:p>
        </w:tc>
        <w:tc>
          <w:tcPr>
            <w:tcW w:w="260" w:type="dxa"/>
            <w:vAlign w:val="bottom"/>
          </w:tcPr>
          <w:p>
            <w:pPr>
              <w:spacing w:after="0"/>
              <w:rPr>
                <w:sz w:val="14"/>
                <w:szCs w:val="14"/>
                <w:color w:val="auto"/>
              </w:rPr>
            </w:pPr>
          </w:p>
        </w:tc>
        <w:tc>
          <w:tcPr>
            <w:tcW w:w="9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(1,206)</w:t>
            </w:r>
          </w:p>
        </w:tc>
        <w:tc>
          <w:tcPr>
            <w:tcW w:w="180" w:type="dxa"/>
            <w:vAlign w:val="bottom"/>
          </w:tcPr>
          <w:p>
            <w:pPr>
              <w:spacing w:after="0"/>
              <w:rPr>
                <w:sz w:val="14"/>
                <w:szCs w:val="14"/>
                <w:color w:val="auto"/>
              </w:rPr>
            </w:pPr>
          </w:p>
        </w:tc>
        <w:tc>
          <w:tcPr>
            <w:tcW w:w="840" w:type="dxa"/>
            <w:vAlign w:val="bottom"/>
          </w:tcPr>
          <w:p>
            <w:pPr>
              <w:jc w:val="right"/>
              <w:ind w:right="7"/>
              <w:spacing w:after="0"/>
              <w:rPr>
                <w:sz w:val="20"/>
                <w:szCs w:val="20"/>
                <w:color w:val="auto"/>
              </w:rPr>
            </w:pPr>
            <w:r>
              <w:rPr>
                <w:rFonts w:ascii="Courier New" w:cs="Courier New" w:eastAsia="Courier New" w:hAnsi="Courier New"/>
                <w:sz w:val="15"/>
                <w:szCs w:val="15"/>
                <w:color w:val="auto"/>
              </w:rPr>
              <w:t>(567)</w:t>
            </w:r>
          </w:p>
        </w:tc>
        <w:tc>
          <w:tcPr>
            <w:tcW w:w="300" w:type="dxa"/>
            <w:vAlign w:val="bottom"/>
          </w:tcPr>
          <w:p>
            <w:pPr>
              <w:spacing w:after="0"/>
              <w:rPr>
                <w:sz w:val="14"/>
                <w:szCs w:val="14"/>
                <w:color w:val="auto"/>
              </w:rPr>
            </w:pPr>
          </w:p>
        </w:tc>
        <w:tc>
          <w:tcPr>
            <w:tcW w:w="840" w:type="dxa"/>
            <w:vAlign w:val="bottom"/>
          </w:tcPr>
          <w:p>
            <w:pPr>
              <w:jc w:val="right"/>
              <w:ind w:right="7"/>
              <w:spacing w:after="0"/>
              <w:rPr>
                <w:sz w:val="20"/>
                <w:szCs w:val="20"/>
                <w:color w:val="auto"/>
              </w:rPr>
            </w:pPr>
            <w:r>
              <w:rPr>
                <w:rFonts w:ascii="Courier New" w:cs="Courier New" w:eastAsia="Courier New" w:hAnsi="Courier New"/>
                <w:sz w:val="15"/>
                <w:szCs w:val="15"/>
                <w:color w:val="auto"/>
              </w:rPr>
              <w:t>(5,368)</w:t>
            </w:r>
          </w:p>
        </w:tc>
      </w:tr>
      <w:tr>
        <w:trPr>
          <w:trHeight w:val="170"/>
        </w:trPr>
        <w:tc>
          <w:tcPr>
            <w:tcW w:w="6740" w:type="dxa"/>
            <w:vAlign w:val="bottom"/>
          </w:tcPr>
          <w:p>
            <w:pPr>
              <w:spacing w:after="0"/>
              <w:rPr>
                <w:sz w:val="14"/>
                <w:szCs w:val="14"/>
                <w:color w:val="auto"/>
              </w:rPr>
            </w:pPr>
          </w:p>
        </w:tc>
        <w:tc>
          <w:tcPr>
            <w:tcW w:w="1220" w:type="dxa"/>
            <w:vAlign w:val="bottom"/>
            <w:gridSpan w:val="2"/>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87"/>
              <w:spacing w:after="0"/>
              <w:rPr>
                <w:sz w:val="20"/>
                <w:szCs w:val="20"/>
                <w:color w:val="auto"/>
              </w:rPr>
            </w:pPr>
            <w:r>
              <w:rPr>
                <w:rFonts w:ascii="Courier New" w:cs="Courier New" w:eastAsia="Courier New" w:hAnsi="Courier New"/>
                <w:sz w:val="15"/>
                <w:szCs w:val="15"/>
                <w:color w:val="auto"/>
              </w:rPr>
              <w:t>---------</w:t>
            </w:r>
          </w:p>
        </w:tc>
      </w:tr>
      <w:tr>
        <w:trPr>
          <w:trHeight w:val="170"/>
        </w:trPr>
        <w:tc>
          <w:tcPr>
            <w:tcW w:w="67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9"/>
              </w:rPr>
              <w:t>(14,716)</w:t>
            </w:r>
          </w:p>
        </w:tc>
        <w:tc>
          <w:tcPr>
            <w:tcW w:w="180" w:type="dxa"/>
            <w:vAlign w:val="bottom"/>
          </w:tcPr>
          <w:p>
            <w:pPr>
              <w:spacing w:after="0"/>
              <w:rPr>
                <w:sz w:val="14"/>
                <w:szCs w:val="14"/>
                <w:color w:val="auto"/>
              </w:rPr>
            </w:pPr>
          </w:p>
        </w:tc>
        <w:tc>
          <w:tcPr>
            <w:tcW w:w="840" w:type="dxa"/>
            <w:vAlign w:val="bottom"/>
          </w:tcPr>
          <w:p>
            <w:pPr>
              <w:jc w:val="right"/>
              <w:ind w:right="7"/>
              <w:spacing w:after="0"/>
              <w:rPr>
                <w:sz w:val="20"/>
                <w:szCs w:val="20"/>
                <w:color w:val="auto"/>
              </w:rPr>
            </w:pPr>
            <w:r>
              <w:rPr>
                <w:rFonts w:ascii="Courier New" w:cs="Courier New" w:eastAsia="Courier New" w:hAnsi="Courier New"/>
                <w:sz w:val="15"/>
                <w:szCs w:val="15"/>
                <w:color w:val="auto"/>
              </w:rPr>
              <w:t>(10,977)</w:t>
            </w:r>
          </w:p>
        </w:tc>
        <w:tc>
          <w:tcPr>
            <w:tcW w:w="300" w:type="dxa"/>
            <w:vAlign w:val="bottom"/>
          </w:tcPr>
          <w:p>
            <w:pPr>
              <w:spacing w:after="0"/>
              <w:rPr>
                <w:sz w:val="14"/>
                <w:szCs w:val="14"/>
                <w:color w:val="auto"/>
              </w:rPr>
            </w:pPr>
          </w:p>
        </w:tc>
        <w:tc>
          <w:tcPr>
            <w:tcW w:w="840" w:type="dxa"/>
            <w:vAlign w:val="bottom"/>
          </w:tcPr>
          <w:p>
            <w:pPr>
              <w:jc w:val="right"/>
              <w:ind w:right="7"/>
              <w:spacing w:after="0"/>
              <w:rPr>
                <w:sz w:val="20"/>
                <w:szCs w:val="20"/>
                <w:color w:val="auto"/>
              </w:rPr>
            </w:pPr>
            <w:r>
              <w:rPr>
                <w:rFonts w:ascii="Courier New" w:cs="Courier New" w:eastAsia="Courier New" w:hAnsi="Courier New"/>
                <w:sz w:val="15"/>
                <w:szCs w:val="15"/>
                <w:color w:val="auto"/>
              </w:rPr>
              <w:t>(59,978)</w:t>
            </w:r>
          </w:p>
        </w:tc>
      </w:tr>
      <w:tr>
        <w:trPr>
          <w:trHeight w:val="170"/>
        </w:trPr>
        <w:tc>
          <w:tcPr>
            <w:tcW w:w="6740" w:type="dxa"/>
            <w:vAlign w:val="bottom"/>
          </w:tcPr>
          <w:p>
            <w:pPr>
              <w:ind w:left="880"/>
              <w:spacing w:after="0"/>
              <w:rPr>
                <w:sz w:val="20"/>
                <w:szCs w:val="20"/>
                <w:color w:val="auto"/>
              </w:rPr>
            </w:pPr>
            <w:r>
              <w:rPr>
                <w:rFonts w:ascii="Courier New" w:cs="Courier New" w:eastAsia="Courier New" w:hAnsi="Courier New"/>
                <w:sz w:val="15"/>
                <w:szCs w:val="15"/>
                <w:color w:val="auto"/>
              </w:rPr>
              <w:t>DECREASE IN LONG-TERM LIABILITY</w:t>
            </w: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70"/>
        </w:trPr>
        <w:tc>
          <w:tcPr>
            <w:tcW w:w="6740" w:type="dxa"/>
            <w:vAlign w:val="bottom"/>
          </w:tcPr>
          <w:p>
            <w:pPr>
              <w:ind w:left="1040"/>
              <w:spacing w:after="0"/>
              <w:rPr>
                <w:sz w:val="20"/>
                <w:szCs w:val="20"/>
                <w:color w:val="auto"/>
              </w:rPr>
            </w:pPr>
            <w:r>
              <w:rPr>
                <w:rFonts w:ascii="Courier New" w:cs="Courier New" w:eastAsia="Courier New" w:hAnsi="Courier New"/>
                <w:sz w:val="15"/>
                <w:szCs w:val="15"/>
                <w:color w:val="auto"/>
              </w:rPr>
              <w:t>IN RESPECT OF CUSTOMERS' ADVANCES, NET</w:t>
            </w:r>
          </w:p>
        </w:tc>
        <w:tc>
          <w:tcPr>
            <w:tcW w:w="260" w:type="dxa"/>
            <w:vAlign w:val="bottom"/>
          </w:tcPr>
          <w:p>
            <w:pPr>
              <w:spacing w:after="0"/>
              <w:rPr>
                <w:sz w:val="14"/>
                <w:szCs w:val="14"/>
                <w:color w:val="auto"/>
              </w:rPr>
            </w:pPr>
          </w:p>
        </w:tc>
        <w:tc>
          <w:tcPr>
            <w:tcW w:w="9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(415)</w:t>
            </w:r>
          </w:p>
        </w:tc>
        <w:tc>
          <w:tcPr>
            <w:tcW w:w="180" w:type="dxa"/>
            <w:vAlign w:val="bottom"/>
          </w:tcPr>
          <w:p>
            <w:pPr>
              <w:spacing w:after="0"/>
              <w:rPr>
                <w:sz w:val="14"/>
                <w:szCs w:val="14"/>
                <w:color w:val="auto"/>
              </w:rPr>
            </w:pPr>
          </w:p>
        </w:tc>
        <w:tc>
          <w:tcPr>
            <w:tcW w:w="840" w:type="dxa"/>
            <w:vAlign w:val="bottom"/>
          </w:tcPr>
          <w:p>
            <w:pPr>
              <w:jc w:val="right"/>
              <w:ind w:right="7"/>
              <w:spacing w:after="0"/>
              <w:rPr>
                <w:sz w:val="20"/>
                <w:szCs w:val="20"/>
                <w:color w:val="auto"/>
              </w:rPr>
            </w:pPr>
            <w:r>
              <w:rPr>
                <w:rFonts w:ascii="Courier New" w:cs="Courier New" w:eastAsia="Courier New" w:hAnsi="Courier New"/>
                <w:sz w:val="15"/>
                <w:szCs w:val="15"/>
                <w:color w:val="auto"/>
              </w:rPr>
              <w:t>(106)</w:t>
            </w:r>
          </w:p>
        </w:tc>
        <w:tc>
          <w:tcPr>
            <w:tcW w:w="300" w:type="dxa"/>
            <w:vAlign w:val="bottom"/>
          </w:tcPr>
          <w:p>
            <w:pPr>
              <w:spacing w:after="0"/>
              <w:rPr>
                <w:sz w:val="14"/>
                <w:szCs w:val="14"/>
                <w:color w:val="auto"/>
              </w:rPr>
            </w:pPr>
          </w:p>
        </w:tc>
        <w:tc>
          <w:tcPr>
            <w:tcW w:w="840" w:type="dxa"/>
            <w:vAlign w:val="bottom"/>
          </w:tcPr>
          <w:p>
            <w:pPr>
              <w:jc w:val="right"/>
              <w:ind w:right="7"/>
              <w:spacing w:after="0"/>
              <w:rPr>
                <w:sz w:val="20"/>
                <w:szCs w:val="20"/>
                <w:color w:val="auto"/>
              </w:rPr>
            </w:pPr>
            <w:r>
              <w:rPr>
                <w:rFonts w:ascii="Courier New" w:cs="Courier New" w:eastAsia="Courier New" w:hAnsi="Courier New"/>
                <w:sz w:val="15"/>
                <w:szCs w:val="15"/>
                <w:color w:val="auto"/>
              </w:rPr>
              <w:t>(760)</w:t>
            </w:r>
          </w:p>
        </w:tc>
      </w:tr>
      <w:tr>
        <w:trPr>
          <w:trHeight w:val="170"/>
        </w:trPr>
        <w:tc>
          <w:tcPr>
            <w:tcW w:w="6740" w:type="dxa"/>
            <w:vAlign w:val="bottom"/>
          </w:tcPr>
          <w:p>
            <w:pPr>
              <w:spacing w:after="0"/>
              <w:rPr>
                <w:sz w:val="14"/>
                <w:szCs w:val="14"/>
                <w:color w:val="auto"/>
              </w:rPr>
            </w:pPr>
          </w:p>
        </w:tc>
        <w:tc>
          <w:tcPr>
            <w:tcW w:w="1220" w:type="dxa"/>
            <w:vAlign w:val="bottom"/>
            <w:gridSpan w:val="2"/>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87"/>
              <w:spacing w:after="0"/>
              <w:rPr>
                <w:sz w:val="20"/>
                <w:szCs w:val="20"/>
                <w:color w:val="auto"/>
              </w:rPr>
            </w:pPr>
            <w:r>
              <w:rPr>
                <w:rFonts w:ascii="Courier New" w:cs="Courier New" w:eastAsia="Courier New" w:hAnsi="Courier New"/>
                <w:sz w:val="15"/>
                <w:szCs w:val="15"/>
                <w:color w:val="auto"/>
              </w:rPr>
              <w:t>---------</w:t>
            </w:r>
          </w:p>
        </w:tc>
      </w:tr>
      <w:tr>
        <w:trPr>
          <w:trHeight w:val="170"/>
        </w:trPr>
        <w:tc>
          <w:tcPr>
            <w:tcW w:w="6740" w:type="dxa"/>
            <w:vAlign w:val="bottom"/>
          </w:tcPr>
          <w:p>
            <w:pPr>
              <w:ind w:left="1040"/>
              <w:spacing w:after="0"/>
              <w:rPr>
                <w:sz w:val="20"/>
                <w:szCs w:val="20"/>
                <w:color w:val="auto"/>
              </w:rPr>
            </w:pPr>
            <w:r>
              <w:rPr>
                <w:rFonts w:ascii="Courier New" w:cs="Courier New" w:eastAsia="Courier New" w:hAnsi="Courier New"/>
                <w:sz w:val="15"/>
                <w:szCs w:val="15"/>
                <w:color w:val="auto"/>
              </w:rPr>
              <w:t>NET CASH USED IN OPERATING ACTIVITIES</w:t>
            </w:r>
          </w:p>
        </w:tc>
        <w:tc>
          <w:tcPr>
            <w:tcW w:w="260" w:type="dxa"/>
            <w:vAlign w:val="bottom"/>
          </w:tcPr>
          <w:p>
            <w:pPr>
              <w:spacing w:after="0"/>
              <w:rPr>
                <w:sz w:val="14"/>
                <w:szCs w:val="14"/>
                <w:color w:val="auto"/>
              </w:rPr>
            </w:pPr>
          </w:p>
        </w:tc>
        <w:tc>
          <w:tcPr>
            <w:tcW w:w="96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9"/>
              </w:rPr>
              <w:t>(15,131)</w:t>
            </w:r>
          </w:p>
        </w:tc>
        <w:tc>
          <w:tcPr>
            <w:tcW w:w="180" w:type="dxa"/>
            <w:vAlign w:val="bottom"/>
          </w:tcPr>
          <w:p>
            <w:pPr>
              <w:spacing w:after="0"/>
              <w:rPr>
                <w:sz w:val="14"/>
                <w:szCs w:val="14"/>
                <w:color w:val="auto"/>
              </w:rPr>
            </w:pPr>
          </w:p>
        </w:tc>
        <w:tc>
          <w:tcPr>
            <w:tcW w:w="840" w:type="dxa"/>
            <w:vAlign w:val="bottom"/>
          </w:tcPr>
          <w:p>
            <w:pPr>
              <w:jc w:val="right"/>
              <w:ind w:right="7"/>
              <w:spacing w:after="0"/>
              <w:rPr>
                <w:sz w:val="20"/>
                <w:szCs w:val="20"/>
                <w:color w:val="auto"/>
              </w:rPr>
            </w:pPr>
            <w:r>
              <w:rPr>
                <w:rFonts w:ascii="Courier New" w:cs="Courier New" w:eastAsia="Courier New" w:hAnsi="Courier New"/>
                <w:sz w:val="15"/>
                <w:szCs w:val="15"/>
                <w:color w:val="auto"/>
              </w:rPr>
              <w:t>(11,083)</w:t>
            </w:r>
          </w:p>
        </w:tc>
        <w:tc>
          <w:tcPr>
            <w:tcW w:w="300" w:type="dxa"/>
            <w:vAlign w:val="bottom"/>
          </w:tcPr>
          <w:p>
            <w:pPr>
              <w:spacing w:after="0"/>
              <w:rPr>
                <w:sz w:val="14"/>
                <w:szCs w:val="14"/>
                <w:color w:val="auto"/>
              </w:rPr>
            </w:pPr>
          </w:p>
        </w:tc>
        <w:tc>
          <w:tcPr>
            <w:tcW w:w="840" w:type="dxa"/>
            <w:vAlign w:val="bottom"/>
          </w:tcPr>
          <w:p>
            <w:pPr>
              <w:jc w:val="right"/>
              <w:ind w:right="7"/>
              <w:spacing w:after="0"/>
              <w:rPr>
                <w:sz w:val="20"/>
                <w:szCs w:val="20"/>
                <w:color w:val="auto"/>
              </w:rPr>
            </w:pPr>
            <w:r>
              <w:rPr>
                <w:rFonts w:ascii="Courier New" w:cs="Courier New" w:eastAsia="Courier New" w:hAnsi="Courier New"/>
                <w:sz w:val="15"/>
                <w:szCs w:val="15"/>
                <w:color w:val="auto"/>
              </w:rPr>
              <w:t>(60,738)</w:t>
            </w:r>
          </w:p>
        </w:tc>
      </w:tr>
      <w:tr>
        <w:trPr>
          <w:trHeight w:val="170"/>
        </w:trPr>
        <w:tc>
          <w:tcPr>
            <w:tcW w:w="6740" w:type="dxa"/>
            <w:vAlign w:val="bottom"/>
          </w:tcPr>
          <w:p>
            <w:pPr>
              <w:spacing w:after="0"/>
              <w:rPr>
                <w:sz w:val="14"/>
                <w:szCs w:val="14"/>
                <w:color w:val="auto"/>
              </w:rPr>
            </w:pPr>
          </w:p>
        </w:tc>
        <w:tc>
          <w:tcPr>
            <w:tcW w:w="1220" w:type="dxa"/>
            <w:vAlign w:val="bottom"/>
            <w:gridSpan w:val="2"/>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87"/>
              <w:spacing w:after="0"/>
              <w:rPr>
                <w:sz w:val="20"/>
                <w:szCs w:val="20"/>
                <w:color w:val="auto"/>
              </w:rPr>
            </w:pPr>
            <w:r>
              <w:rPr>
                <w:rFonts w:ascii="Courier New" w:cs="Courier New" w:eastAsia="Courier New" w:hAnsi="Courier New"/>
                <w:sz w:val="15"/>
                <w:szCs w:val="15"/>
                <w:color w:val="auto"/>
              </w:rPr>
              <w:t>---------</w:t>
            </w:r>
          </w:p>
        </w:tc>
      </w:tr>
      <w:tr>
        <w:trPr>
          <w:trHeight w:val="339"/>
        </w:trPr>
        <w:tc>
          <w:tcPr>
            <w:tcW w:w="6740" w:type="dxa"/>
            <w:vAlign w:val="bottom"/>
          </w:tcPr>
          <w:p>
            <w:pPr>
              <w:spacing w:after="0"/>
              <w:rPr>
                <w:sz w:val="20"/>
                <w:szCs w:val="20"/>
                <w:color w:val="auto"/>
              </w:rPr>
            </w:pPr>
            <w:r>
              <w:rPr>
                <w:rFonts w:ascii="Courier New" w:cs="Courier New" w:eastAsia="Courier New" w:hAnsi="Courier New"/>
                <w:sz w:val="15"/>
                <w:szCs w:val="15"/>
                <w:color w:val="auto"/>
              </w:rPr>
              <w:t>CASH FLOWS - INVESTING ACTIVITIES</w:t>
            </w: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339"/>
        </w:trPr>
        <w:tc>
          <w:tcPr>
            <w:tcW w:w="6740" w:type="dxa"/>
            <w:vAlign w:val="bottom"/>
          </w:tcPr>
          <w:p>
            <w:pPr>
              <w:ind w:left="340"/>
              <w:spacing w:after="0"/>
              <w:rPr>
                <w:sz w:val="20"/>
                <w:szCs w:val="20"/>
                <w:color w:val="auto"/>
              </w:rPr>
            </w:pPr>
            <w:r>
              <w:rPr>
                <w:rFonts w:ascii="Courier New" w:cs="Courier New" w:eastAsia="Courier New" w:hAnsi="Courier New"/>
                <w:sz w:val="15"/>
                <w:szCs w:val="15"/>
                <w:color w:val="auto"/>
              </w:rPr>
              <w:t>DECREASE IN DESIGNATED CASH, SHORT-TERM AND LONG-TERM</w:t>
            </w: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170"/>
        </w:trPr>
        <w:tc>
          <w:tcPr>
            <w:tcW w:w="6740" w:type="dxa"/>
            <w:vAlign w:val="bottom"/>
          </w:tcPr>
          <w:p>
            <w:pPr>
              <w:ind w:left="520"/>
              <w:spacing w:after="0"/>
              <w:rPr>
                <w:sz w:val="20"/>
                <w:szCs w:val="20"/>
                <w:color w:val="auto"/>
              </w:rPr>
            </w:pPr>
            <w:r>
              <w:rPr>
                <w:rFonts w:ascii="Courier New" w:cs="Courier New" w:eastAsia="Courier New" w:hAnsi="Courier New"/>
                <w:sz w:val="15"/>
                <w:szCs w:val="15"/>
                <w:color w:val="auto"/>
              </w:rPr>
              <w:t>INTEREST-BEARING DEPOSITS, NET</w:t>
            </w:r>
          </w:p>
        </w:tc>
        <w:tc>
          <w:tcPr>
            <w:tcW w:w="260" w:type="dxa"/>
            <w:vAlign w:val="bottom"/>
          </w:tcPr>
          <w:p>
            <w:pPr>
              <w:spacing w:after="0"/>
              <w:rPr>
                <w:sz w:val="14"/>
                <w:szCs w:val="14"/>
                <w:color w:val="auto"/>
              </w:rPr>
            </w:pPr>
          </w:p>
        </w:tc>
        <w:tc>
          <w:tcPr>
            <w:tcW w:w="9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16,535</w:t>
            </w:r>
          </w:p>
        </w:tc>
        <w:tc>
          <w:tcPr>
            <w:tcW w:w="180" w:type="dxa"/>
            <w:vAlign w:val="bottom"/>
          </w:tcPr>
          <w:p>
            <w:pPr>
              <w:spacing w:after="0"/>
              <w:rPr>
                <w:sz w:val="14"/>
                <w:szCs w:val="14"/>
                <w:color w:val="auto"/>
              </w:rPr>
            </w:pPr>
          </w:p>
        </w:tc>
        <w:tc>
          <w:tcPr>
            <w:tcW w:w="8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36,242</w:t>
            </w:r>
          </w:p>
        </w:tc>
        <w:tc>
          <w:tcPr>
            <w:tcW w:w="300" w:type="dxa"/>
            <w:vAlign w:val="bottom"/>
          </w:tcPr>
          <w:p>
            <w:pPr>
              <w:spacing w:after="0"/>
              <w:rPr>
                <w:sz w:val="14"/>
                <w:szCs w:val="14"/>
                <w:color w:val="auto"/>
              </w:rPr>
            </w:pPr>
          </w:p>
        </w:tc>
        <w:tc>
          <w:tcPr>
            <w:tcW w:w="8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27,266</w:t>
            </w:r>
          </w:p>
        </w:tc>
      </w:tr>
      <w:tr>
        <w:trPr>
          <w:trHeight w:val="170"/>
        </w:trPr>
        <w:tc>
          <w:tcPr>
            <w:tcW w:w="6740" w:type="dxa"/>
            <w:vAlign w:val="bottom"/>
          </w:tcPr>
          <w:p>
            <w:pPr>
              <w:ind w:left="340"/>
              <w:spacing w:after="0"/>
              <w:rPr>
                <w:sz w:val="20"/>
                <w:szCs w:val="20"/>
                <w:color w:val="auto"/>
              </w:rPr>
            </w:pPr>
            <w:r>
              <w:rPr>
                <w:rFonts w:ascii="Courier New" w:cs="Courier New" w:eastAsia="Courier New" w:hAnsi="Courier New"/>
                <w:sz w:val="15"/>
                <w:szCs w:val="15"/>
                <w:color w:val="auto"/>
              </w:rPr>
              <w:t>INVESTMENTS IN PROPERTY AND EQUIPMENT</w:t>
            </w:r>
          </w:p>
        </w:tc>
        <w:tc>
          <w:tcPr>
            <w:tcW w:w="260" w:type="dxa"/>
            <w:vAlign w:val="bottom"/>
          </w:tcPr>
          <w:p>
            <w:pPr>
              <w:spacing w:after="0"/>
              <w:rPr>
                <w:sz w:val="14"/>
                <w:szCs w:val="14"/>
                <w:color w:val="auto"/>
              </w:rPr>
            </w:pPr>
          </w:p>
        </w:tc>
        <w:tc>
          <w:tcPr>
            <w:tcW w:w="96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9"/>
              </w:rPr>
              <w:t>(13,404)</w:t>
            </w:r>
          </w:p>
        </w:tc>
        <w:tc>
          <w:tcPr>
            <w:tcW w:w="180" w:type="dxa"/>
            <w:vAlign w:val="bottom"/>
          </w:tcPr>
          <w:p>
            <w:pPr>
              <w:spacing w:after="0"/>
              <w:rPr>
                <w:sz w:val="14"/>
                <w:szCs w:val="14"/>
                <w:color w:val="auto"/>
              </w:rPr>
            </w:pPr>
          </w:p>
        </w:tc>
        <w:tc>
          <w:tcPr>
            <w:tcW w:w="840" w:type="dxa"/>
            <w:vAlign w:val="bottom"/>
          </w:tcPr>
          <w:p>
            <w:pPr>
              <w:jc w:val="right"/>
              <w:ind w:right="7"/>
              <w:spacing w:after="0"/>
              <w:rPr>
                <w:sz w:val="20"/>
                <w:szCs w:val="20"/>
                <w:color w:val="auto"/>
              </w:rPr>
            </w:pPr>
            <w:r>
              <w:rPr>
                <w:rFonts w:ascii="Courier New" w:cs="Courier New" w:eastAsia="Courier New" w:hAnsi="Courier New"/>
                <w:sz w:val="15"/>
                <w:szCs w:val="15"/>
                <w:color w:val="auto"/>
              </w:rPr>
              <w:t>(19,650)</w:t>
            </w:r>
          </w:p>
        </w:tc>
        <w:tc>
          <w:tcPr>
            <w:tcW w:w="300" w:type="dxa"/>
            <w:vAlign w:val="bottom"/>
          </w:tcPr>
          <w:p>
            <w:pPr>
              <w:spacing w:after="0"/>
              <w:rPr>
                <w:sz w:val="14"/>
                <w:szCs w:val="14"/>
                <w:color w:val="auto"/>
              </w:rPr>
            </w:pPr>
          </w:p>
        </w:tc>
        <w:tc>
          <w:tcPr>
            <w:tcW w:w="840" w:type="dxa"/>
            <w:vAlign w:val="bottom"/>
          </w:tcPr>
          <w:p>
            <w:pPr>
              <w:jc w:val="right"/>
              <w:ind w:right="7"/>
              <w:spacing w:after="0"/>
              <w:rPr>
                <w:sz w:val="20"/>
                <w:szCs w:val="20"/>
                <w:color w:val="auto"/>
              </w:rPr>
            </w:pPr>
            <w:r>
              <w:rPr>
                <w:rFonts w:ascii="Courier New" w:cs="Courier New" w:eastAsia="Courier New" w:hAnsi="Courier New"/>
                <w:sz w:val="15"/>
                <w:szCs w:val="15"/>
                <w:color w:val="auto"/>
              </w:rPr>
              <w:t>(38,878)</w:t>
            </w:r>
          </w:p>
        </w:tc>
      </w:tr>
      <w:tr>
        <w:trPr>
          <w:trHeight w:val="170"/>
        </w:trPr>
        <w:tc>
          <w:tcPr>
            <w:tcW w:w="6740" w:type="dxa"/>
            <w:vAlign w:val="bottom"/>
          </w:tcPr>
          <w:p>
            <w:pPr>
              <w:ind w:left="340"/>
              <w:spacing w:after="0"/>
              <w:rPr>
                <w:sz w:val="20"/>
                <w:szCs w:val="20"/>
                <w:color w:val="auto"/>
              </w:rPr>
            </w:pPr>
            <w:r>
              <w:rPr>
                <w:rFonts w:ascii="Courier New" w:cs="Courier New" w:eastAsia="Courier New" w:hAnsi="Courier New"/>
                <w:sz w:val="15"/>
                <w:szCs w:val="15"/>
                <w:color w:val="auto"/>
              </w:rPr>
              <w:t>INVESTMENT GRANTS RECEIVED</w:t>
            </w:r>
          </w:p>
        </w:tc>
        <w:tc>
          <w:tcPr>
            <w:tcW w:w="260" w:type="dxa"/>
            <w:vAlign w:val="bottom"/>
          </w:tcPr>
          <w:p>
            <w:pPr>
              <w:spacing w:after="0"/>
              <w:rPr>
                <w:sz w:val="14"/>
                <w:szCs w:val="14"/>
                <w:color w:val="auto"/>
              </w:rPr>
            </w:pPr>
          </w:p>
        </w:tc>
        <w:tc>
          <w:tcPr>
            <w:tcW w:w="9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872</w:t>
            </w:r>
          </w:p>
        </w:tc>
        <w:tc>
          <w:tcPr>
            <w:tcW w:w="180" w:type="dxa"/>
            <w:vAlign w:val="bottom"/>
          </w:tcPr>
          <w:p>
            <w:pPr>
              <w:spacing w:after="0"/>
              <w:rPr>
                <w:sz w:val="14"/>
                <w:szCs w:val="14"/>
                <w:color w:val="auto"/>
              </w:rPr>
            </w:pPr>
          </w:p>
        </w:tc>
        <w:tc>
          <w:tcPr>
            <w:tcW w:w="8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3,488</w:t>
            </w:r>
          </w:p>
        </w:tc>
        <w:tc>
          <w:tcPr>
            <w:tcW w:w="300" w:type="dxa"/>
            <w:vAlign w:val="bottom"/>
          </w:tcPr>
          <w:p>
            <w:pPr>
              <w:spacing w:after="0"/>
              <w:rPr>
                <w:sz w:val="14"/>
                <w:szCs w:val="14"/>
                <w:color w:val="auto"/>
              </w:rPr>
            </w:pPr>
          </w:p>
        </w:tc>
        <w:tc>
          <w:tcPr>
            <w:tcW w:w="8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7,496</w:t>
            </w:r>
          </w:p>
        </w:tc>
      </w:tr>
      <w:tr>
        <w:trPr>
          <w:trHeight w:val="170"/>
        </w:trPr>
        <w:tc>
          <w:tcPr>
            <w:tcW w:w="6740" w:type="dxa"/>
            <w:vAlign w:val="bottom"/>
          </w:tcPr>
          <w:p>
            <w:pPr>
              <w:ind w:left="340"/>
              <w:spacing w:after="0"/>
              <w:rPr>
                <w:sz w:val="20"/>
                <w:szCs w:val="20"/>
                <w:color w:val="auto"/>
              </w:rPr>
            </w:pPr>
            <w:r>
              <w:rPr>
                <w:rFonts w:ascii="Courier New" w:cs="Courier New" w:eastAsia="Courier New" w:hAnsi="Courier New"/>
                <w:sz w:val="15"/>
                <w:szCs w:val="15"/>
                <w:color w:val="auto"/>
              </w:rPr>
              <w:t>PROCEEDS RELATED TO SALE AND DISPOSAL OF PROPERTY AND EQUIPMENT</w:t>
            </w:r>
          </w:p>
        </w:tc>
        <w:tc>
          <w:tcPr>
            <w:tcW w:w="260" w:type="dxa"/>
            <w:vAlign w:val="bottom"/>
          </w:tcPr>
          <w:p>
            <w:pPr>
              <w:spacing w:after="0"/>
              <w:rPr>
                <w:sz w:val="14"/>
                <w:szCs w:val="14"/>
                <w:color w:val="auto"/>
              </w:rPr>
            </w:pPr>
          </w:p>
        </w:tc>
        <w:tc>
          <w:tcPr>
            <w:tcW w:w="9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551</w:t>
            </w:r>
          </w:p>
        </w:tc>
        <w:tc>
          <w:tcPr>
            <w:tcW w:w="180" w:type="dxa"/>
            <w:vAlign w:val="bottom"/>
          </w:tcPr>
          <w:p>
            <w:pPr>
              <w:spacing w:after="0"/>
              <w:rPr>
                <w:sz w:val="14"/>
                <w:szCs w:val="14"/>
                <w:color w:val="auto"/>
              </w:rPr>
            </w:pPr>
          </w:p>
        </w:tc>
        <w:tc>
          <w:tcPr>
            <w:tcW w:w="8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346</w:t>
            </w:r>
          </w:p>
        </w:tc>
        <w:tc>
          <w:tcPr>
            <w:tcW w:w="300" w:type="dxa"/>
            <w:vAlign w:val="bottom"/>
          </w:tcPr>
          <w:p>
            <w:pPr>
              <w:spacing w:after="0"/>
              <w:rPr>
                <w:sz w:val="14"/>
                <w:szCs w:val="14"/>
                <w:color w:val="auto"/>
              </w:rPr>
            </w:pPr>
          </w:p>
        </w:tc>
        <w:tc>
          <w:tcPr>
            <w:tcW w:w="8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2,179</w:t>
            </w:r>
          </w:p>
        </w:tc>
      </w:tr>
      <w:tr>
        <w:trPr>
          <w:trHeight w:val="170"/>
        </w:trPr>
        <w:tc>
          <w:tcPr>
            <w:tcW w:w="6740" w:type="dxa"/>
            <w:vAlign w:val="bottom"/>
          </w:tcPr>
          <w:p>
            <w:pPr>
              <w:ind w:left="340"/>
              <w:spacing w:after="0"/>
              <w:rPr>
                <w:sz w:val="20"/>
                <w:szCs w:val="20"/>
                <w:color w:val="auto"/>
              </w:rPr>
            </w:pPr>
            <w:r>
              <w:rPr>
                <w:rFonts w:ascii="Courier New" w:cs="Courier New" w:eastAsia="Courier New" w:hAnsi="Courier New"/>
                <w:sz w:val="15"/>
                <w:szCs w:val="15"/>
                <w:color w:val="auto"/>
              </w:rPr>
              <w:t>INVESTMENTS IN OTHER ASSETS</w:t>
            </w:r>
          </w:p>
        </w:tc>
        <w:tc>
          <w:tcPr>
            <w:tcW w:w="260" w:type="dxa"/>
            <w:vAlign w:val="bottom"/>
          </w:tcPr>
          <w:p>
            <w:pPr>
              <w:spacing w:after="0"/>
              <w:rPr>
                <w:sz w:val="14"/>
                <w:szCs w:val="14"/>
                <w:color w:val="auto"/>
              </w:rPr>
            </w:pPr>
          </w:p>
        </w:tc>
        <w:tc>
          <w:tcPr>
            <w:tcW w:w="9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(3,507)</w:t>
            </w:r>
          </w:p>
        </w:tc>
        <w:tc>
          <w:tcPr>
            <w:tcW w:w="180" w:type="dxa"/>
            <w:vAlign w:val="bottom"/>
          </w:tcPr>
          <w:p>
            <w:pPr>
              <w:spacing w:after="0"/>
              <w:rPr>
                <w:sz w:val="14"/>
                <w:szCs w:val="14"/>
                <w:color w:val="auto"/>
              </w:rPr>
            </w:pPr>
          </w:p>
        </w:tc>
        <w:tc>
          <w:tcPr>
            <w:tcW w:w="840" w:type="dxa"/>
            <w:vAlign w:val="bottom"/>
          </w:tcPr>
          <w:p>
            <w:pPr>
              <w:jc w:val="right"/>
              <w:ind w:right="7"/>
              <w:spacing w:after="0"/>
              <w:rPr>
                <w:sz w:val="20"/>
                <w:szCs w:val="20"/>
                <w:color w:val="auto"/>
              </w:rPr>
            </w:pPr>
            <w:r>
              <w:rPr>
                <w:rFonts w:ascii="Courier New" w:cs="Courier New" w:eastAsia="Courier New" w:hAnsi="Courier New"/>
                <w:sz w:val="15"/>
                <w:szCs w:val="15"/>
                <w:color w:val="auto"/>
              </w:rPr>
              <w:t>(2,500)</w:t>
            </w:r>
          </w:p>
        </w:tc>
        <w:tc>
          <w:tcPr>
            <w:tcW w:w="300" w:type="dxa"/>
            <w:vAlign w:val="bottom"/>
          </w:tcPr>
          <w:p>
            <w:pPr>
              <w:spacing w:after="0"/>
              <w:rPr>
                <w:sz w:val="14"/>
                <w:szCs w:val="14"/>
                <w:color w:val="auto"/>
              </w:rPr>
            </w:pPr>
          </w:p>
        </w:tc>
        <w:tc>
          <w:tcPr>
            <w:tcW w:w="840" w:type="dxa"/>
            <w:vAlign w:val="bottom"/>
          </w:tcPr>
          <w:p>
            <w:pPr>
              <w:jc w:val="right"/>
              <w:ind w:right="7"/>
              <w:spacing w:after="0"/>
              <w:rPr>
                <w:sz w:val="20"/>
                <w:szCs w:val="20"/>
                <w:color w:val="auto"/>
              </w:rPr>
            </w:pPr>
            <w:r>
              <w:rPr>
                <w:rFonts w:ascii="Courier New" w:cs="Courier New" w:eastAsia="Courier New" w:hAnsi="Courier New"/>
                <w:sz w:val="15"/>
                <w:szCs w:val="15"/>
                <w:color w:val="auto"/>
              </w:rPr>
              <w:t>(3,841)</w:t>
            </w:r>
          </w:p>
        </w:tc>
      </w:tr>
      <w:tr>
        <w:trPr>
          <w:trHeight w:val="170"/>
        </w:trPr>
        <w:tc>
          <w:tcPr>
            <w:tcW w:w="6740" w:type="dxa"/>
            <w:vAlign w:val="bottom"/>
          </w:tcPr>
          <w:p>
            <w:pPr>
              <w:spacing w:after="0"/>
              <w:rPr>
                <w:sz w:val="14"/>
                <w:szCs w:val="14"/>
                <w:color w:val="auto"/>
              </w:rPr>
            </w:pPr>
          </w:p>
        </w:tc>
        <w:tc>
          <w:tcPr>
            <w:tcW w:w="1220" w:type="dxa"/>
            <w:vAlign w:val="bottom"/>
            <w:gridSpan w:val="2"/>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87"/>
              <w:spacing w:after="0"/>
              <w:rPr>
                <w:sz w:val="20"/>
                <w:szCs w:val="20"/>
                <w:color w:val="auto"/>
              </w:rPr>
            </w:pPr>
            <w:r>
              <w:rPr>
                <w:rFonts w:ascii="Courier New" w:cs="Courier New" w:eastAsia="Courier New" w:hAnsi="Courier New"/>
                <w:sz w:val="15"/>
                <w:szCs w:val="15"/>
                <w:color w:val="auto"/>
              </w:rPr>
              <w:t>---------</w:t>
            </w:r>
          </w:p>
        </w:tc>
      </w:tr>
      <w:tr>
        <w:trPr>
          <w:trHeight w:val="170"/>
        </w:trPr>
        <w:tc>
          <w:tcPr>
            <w:tcW w:w="6740" w:type="dxa"/>
            <w:vAlign w:val="bottom"/>
          </w:tcPr>
          <w:p>
            <w:pPr>
              <w:ind w:left="1040"/>
              <w:spacing w:after="0"/>
              <w:rPr>
                <w:sz w:val="20"/>
                <w:szCs w:val="20"/>
                <w:color w:val="auto"/>
              </w:rPr>
            </w:pPr>
            <w:r>
              <w:rPr>
                <w:rFonts w:ascii="Courier New" w:cs="Courier New" w:eastAsia="Courier New" w:hAnsi="Courier New"/>
                <w:sz w:val="15"/>
                <w:szCs w:val="15"/>
                <w:color w:val="auto"/>
              </w:rPr>
              <w:t>NET CASH PROVIDED BY (USED IN) INVESTING ACTIVITIES</w:t>
            </w:r>
          </w:p>
        </w:tc>
        <w:tc>
          <w:tcPr>
            <w:tcW w:w="260" w:type="dxa"/>
            <w:vAlign w:val="bottom"/>
          </w:tcPr>
          <w:p>
            <w:pPr>
              <w:spacing w:after="0"/>
              <w:rPr>
                <w:sz w:val="14"/>
                <w:szCs w:val="14"/>
                <w:color w:val="auto"/>
              </w:rPr>
            </w:pPr>
          </w:p>
        </w:tc>
        <w:tc>
          <w:tcPr>
            <w:tcW w:w="9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1,047</w:t>
            </w:r>
          </w:p>
        </w:tc>
        <w:tc>
          <w:tcPr>
            <w:tcW w:w="180" w:type="dxa"/>
            <w:vAlign w:val="bottom"/>
          </w:tcPr>
          <w:p>
            <w:pPr>
              <w:spacing w:after="0"/>
              <w:rPr>
                <w:sz w:val="14"/>
                <w:szCs w:val="14"/>
                <w:color w:val="auto"/>
              </w:rPr>
            </w:pPr>
          </w:p>
        </w:tc>
        <w:tc>
          <w:tcPr>
            <w:tcW w:w="8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17,926</w:t>
            </w:r>
          </w:p>
        </w:tc>
        <w:tc>
          <w:tcPr>
            <w:tcW w:w="300" w:type="dxa"/>
            <w:vAlign w:val="bottom"/>
          </w:tcPr>
          <w:p>
            <w:pPr>
              <w:spacing w:after="0"/>
              <w:rPr>
                <w:sz w:val="14"/>
                <w:szCs w:val="14"/>
                <w:color w:val="auto"/>
              </w:rPr>
            </w:pPr>
          </w:p>
        </w:tc>
        <w:tc>
          <w:tcPr>
            <w:tcW w:w="840" w:type="dxa"/>
            <w:vAlign w:val="bottom"/>
          </w:tcPr>
          <w:p>
            <w:pPr>
              <w:jc w:val="right"/>
              <w:ind w:right="7"/>
              <w:spacing w:after="0"/>
              <w:rPr>
                <w:sz w:val="20"/>
                <w:szCs w:val="20"/>
                <w:color w:val="auto"/>
              </w:rPr>
            </w:pPr>
            <w:r>
              <w:rPr>
                <w:rFonts w:ascii="Courier New" w:cs="Courier New" w:eastAsia="Courier New" w:hAnsi="Courier New"/>
                <w:sz w:val="15"/>
                <w:szCs w:val="15"/>
                <w:color w:val="auto"/>
              </w:rPr>
              <w:t>(5,778)</w:t>
            </w:r>
          </w:p>
        </w:tc>
      </w:tr>
      <w:tr>
        <w:trPr>
          <w:trHeight w:val="170"/>
        </w:trPr>
        <w:tc>
          <w:tcPr>
            <w:tcW w:w="6740" w:type="dxa"/>
            <w:vAlign w:val="bottom"/>
          </w:tcPr>
          <w:p>
            <w:pPr>
              <w:spacing w:after="0"/>
              <w:rPr>
                <w:sz w:val="14"/>
                <w:szCs w:val="14"/>
                <w:color w:val="auto"/>
              </w:rPr>
            </w:pPr>
          </w:p>
        </w:tc>
        <w:tc>
          <w:tcPr>
            <w:tcW w:w="1220" w:type="dxa"/>
            <w:vAlign w:val="bottom"/>
            <w:gridSpan w:val="2"/>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87"/>
              <w:spacing w:after="0"/>
              <w:rPr>
                <w:sz w:val="20"/>
                <w:szCs w:val="20"/>
                <w:color w:val="auto"/>
              </w:rPr>
            </w:pPr>
            <w:r>
              <w:rPr>
                <w:rFonts w:ascii="Courier New" w:cs="Courier New" w:eastAsia="Courier New" w:hAnsi="Courier New"/>
                <w:sz w:val="15"/>
                <w:szCs w:val="15"/>
                <w:color w:val="auto"/>
              </w:rPr>
              <w:t>---------</w:t>
            </w:r>
          </w:p>
        </w:tc>
      </w:tr>
      <w:tr>
        <w:trPr>
          <w:trHeight w:val="170"/>
        </w:trPr>
        <w:tc>
          <w:tcPr>
            <w:tcW w:w="67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70"/>
        </w:trPr>
        <w:tc>
          <w:tcPr>
            <w:tcW w:w="6740" w:type="dxa"/>
            <w:vAlign w:val="bottom"/>
          </w:tcPr>
          <w:p>
            <w:pPr>
              <w:spacing w:after="0"/>
              <w:rPr>
                <w:sz w:val="20"/>
                <w:szCs w:val="20"/>
                <w:color w:val="auto"/>
              </w:rPr>
            </w:pPr>
            <w:r>
              <w:rPr>
                <w:rFonts w:ascii="Courier New" w:cs="Courier New" w:eastAsia="Courier New" w:hAnsi="Courier New"/>
                <w:sz w:val="15"/>
                <w:szCs w:val="15"/>
                <w:color w:val="auto"/>
              </w:rPr>
              <w:t>CASH FLOWS - FINANCING ACTIVITIES</w:t>
            </w: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339"/>
        </w:trPr>
        <w:tc>
          <w:tcPr>
            <w:tcW w:w="6740" w:type="dxa"/>
            <w:vAlign w:val="bottom"/>
          </w:tcPr>
          <w:p>
            <w:pPr>
              <w:ind w:left="340"/>
              <w:spacing w:after="0"/>
              <w:rPr>
                <w:sz w:val="20"/>
                <w:szCs w:val="20"/>
                <w:color w:val="auto"/>
              </w:rPr>
            </w:pPr>
            <w:r>
              <w:rPr>
                <w:rFonts w:ascii="Courier New" w:cs="Courier New" w:eastAsia="Courier New" w:hAnsi="Courier New"/>
                <w:sz w:val="15"/>
                <w:szCs w:val="15"/>
                <w:color w:val="auto"/>
              </w:rPr>
              <w:t>PROCEEDS FROM ISSUANCE OF CONVERTIBLE DEBENTURE, NET</w:t>
            </w:r>
          </w:p>
        </w:tc>
        <w:tc>
          <w:tcPr>
            <w:tcW w:w="260" w:type="dxa"/>
            <w:vAlign w:val="bottom"/>
          </w:tcPr>
          <w:p>
            <w:pPr>
              <w:spacing w:after="0"/>
              <w:rPr>
                <w:sz w:val="24"/>
                <w:szCs w:val="24"/>
                <w:color w:val="auto"/>
              </w:rPr>
            </w:pPr>
          </w:p>
        </w:tc>
        <w:tc>
          <w:tcPr>
            <w:tcW w:w="9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22,203</w:t>
            </w:r>
          </w:p>
        </w:tc>
        <w:tc>
          <w:tcPr>
            <w:tcW w:w="180" w:type="dxa"/>
            <w:vAlign w:val="bottom"/>
          </w:tcPr>
          <w:p>
            <w:pPr>
              <w:spacing w:after="0"/>
              <w:rPr>
                <w:sz w:val="24"/>
                <w:szCs w:val="24"/>
                <w:color w:val="auto"/>
              </w:rPr>
            </w:pPr>
          </w:p>
        </w:tc>
        <w:tc>
          <w:tcPr>
            <w:tcW w:w="8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24"/>
                <w:szCs w:val="24"/>
                <w:color w:val="auto"/>
              </w:rPr>
            </w:pPr>
          </w:p>
        </w:tc>
        <w:tc>
          <w:tcPr>
            <w:tcW w:w="8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25,086</w:t>
            </w:r>
          </w:p>
        </w:tc>
      </w:tr>
      <w:tr>
        <w:trPr>
          <w:trHeight w:val="170"/>
        </w:trPr>
        <w:tc>
          <w:tcPr>
            <w:tcW w:w="6740" w:type="dxa"/>
            <w:vAlign w:val="bottom"/>
          </w:tcPr>
          <w:p>
            <w:pPr>
              <w:ind w:left="340"/>
              <w:spacing w:after="0"/>
              <w:rPr>
                <w:sz w:val="20"/>
                <w:szCs w:val="20"/>
                <w:color w:val="auto"/>
              </w:rPr>
            </w:pPr>
            <w:r>
              <w:rPr>
                <w:rFonts w:ascii="Courier New" w:cs="Courier New" w:eastAsia="Courier New" w:hAnsi="Courier New"/>
                <w:sz w:val="15"/>
                <w:szCs w:val="15"/>
                <w:color w:val="auto"/>
              </w:rPr>
              <w:t>PROCEEDS FROM LONG-TERM DEBT</w:t>
            </w:r>
          </w:p>
        </w:tc>
        <w:tc>
          <w:tcPr>
            <w:tcW w:w="260" w:type="dxa"/>
            <w:vAlign w:val="bottom"/>
          </w:tcPr>
          <w:p>
            <w:pPr>
              <w:spacing w:after="0"/>
              <w:rPr>
                <w:sz w:val="14"/>
                <w:szCs w:val="14"/>
                <w:color w:val="auto"/>
              </w:rPr>
            </w:pPr>
          </w:p>
        </w:tc>
        <w:tc>
          <w:tcPr>
            <w:tcW w:w="9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8,590</w:t>
            </w:r>
          </w:p>
        </w:tc>
        <w:tc>
          <w:tcPr>
            <w:tcW w:w="180" w:type="dxa"/>
            <w:vAlign w:val="bottom"/>
          </w:tcPr>
          <w:p>
            <w:pPr>
              <w:spacing w:after="0"/>
              <w:rPr>
                <w:sz w:val="14"/>
                <w:szCs w:val="14"/>
                <w:color w:val="auto"/>
              </w:rPr>
            </w:pPr>
          </w:p>
        </w:tc>
        <w:tc>
          <w:tcPr>
            <w:tcW w:w="8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8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21,103</w:t>
            </w:r>
          </w:p>
        </w:tc>
      </w:tr>
      <w:tr>
        <w:trPr>
          <w:trHeight w:val="170"/>
        </w:trPr>
        <w:tc>
          <w:tcPr>
            <w:tcW w:w="6740" w:type="dxa"/>
            <w:vAlign w:val="bottom"/>
          </w:tcPr>
          <w:p>
            <w:pPr>
              <w:ind w:left="340"/>
              <w:spacing w:after="0"/>
              <w:rPr>
                <w:sz w:val="20"/>
                <w:szCs w:val="20"/>
                <w:color w:val="auto"/>
              </w:rPr>
            </w:pPr>
            <w:r>
              <w:rPr>
                <w:rFonts w:ascii="Courier New" w:cs="Courier New" w:eastAsia="Courier New" w:hAnsi="Courier New"/>
                <w:sz w:val="15"/>
                <w:szCs w:val="15"/>
                <w:color w:val="auto"/>
              </w:rPr>
              <w:t>REPAYMENT OF CONVERTIBLE DEBENTURES</w:t>
            </w:r>
          </w:p>
        </w:tc>
        <w:tc>
          <w:tcPr>
            <w:tcW w:w="260" w:type="dxa"/>
            <w:vAlign w:val="bottom"/>
          </w:tcPr>
          <w:p>
            <w:pPr>
              <w:spacing w:after="0"/>
              <w:rPr>
                <w:sz w:val="14"/>
                <w:szCs w:val="14"/>
                <w:color w:val="auto"/>
              </w:rPr>
            </w:pPr>
          </w:p>
        </w:tc>
        <w:tc>
          <w:tcPr>
            <w:tcW w:w="9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(6,476)</w:t>
            </w:r>
          </w:p>
        </w:tc>
        <w:tc>
          <w:tcPr>
            <w:tcW w:w="180" w:type="dxa"/>
            <w:vAlign w:val="bottom"/>
          </w:tcPr>
          <w:p>
            <w:pPr>
              <w:spacing w:after="0"/>
              <w:rPr>
                <w:sz w:val="14"/>
                <w:szCs w:val="14"/>
                <w:color w:val="auto"/>
              </w:rPr>
            </w:pPr>
          </w:p>
        </w:tc>
        <w:tc>
          <w:tcPr>
            <w:tcW w:w="8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8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r>
      <w:tr>
        <w:trPr>
          <w:trHeight w:val="170"/>
        </w:trPr>
        <w:tc>
          <w:tcPr>
            <w:tcW w:w="6740" w:type="dxa"/>
            <w:vAlign w:val="bottom"/>
          </w:tcPr>
          <w:p>
            <w:pPr>
              <w:spacing w:after="0"/>
              <w:rPr>
                <w:sz w:val="14"/>
                <w:szCs w:val="14"/>
                <w:color w:val="auto"/>
              </w:rPr>
            </w:pPr>
          </w:p>
        </w:tc>
        <w:tc>
          <w:tcPr>
            <w:tcW w:w="1220" w:type="dxa"/>
            <w:vAlign w:val="bottom"/>
            <w:gridSpan w:val="2"/>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87"/>
              <w:spacing w:after="0"/>
              <w:rPr>
                <w:sz w:val="20"/>
                <w:szCs w:val="20"/>
                <w:color w:val="auto"/>
              </w:rPr>
            </w:pPr>
            <w:r>
              <w:rPr>
                <w:rFonts w:ascii="Courier New" w:cs="Courier New" w:eastAsia="Courier New" w:hAnsi="Courier New"/>
                <w:sz w:val="15"/>
                <w:szCs w:val="15"/>
                <w:color w:val="auto"/>
              </w:rPr>
              <w:t>---------</w:t>
            </w:r>
          </w:p>
        </w:tc>
      </w:tr>
      <w:tr>
        <w:trPr>
          <w:trHeight w:val="170"/>
        </w:trPr>
        <w:tc>
          <w:tcPr>
            <w:tcW w:w="6740" w:type="dxa"/>
            <w:vAlign w:val="bottom"/>
          </w:tcPr>
          <w:p>
            <w:pPr>
              <w:ind w:left="1040"/>
              <w:spacing w:after="0"/>
              <w:rPr>
                <w:sz w:val="20"/>
                <w:szCs w:val="20"/>
                <w:color w:val="auto"/>
              </w:rPr>
            </w:pPr>
            <w:r>
              <w:rPr>
                <w:rFonts w:ascii="Courier New" w:cs="Courier New" w:eastAsia="Courier New" w:hAnsi="Courier New"/>
                <w:sz w:val="15"/>
                <w:szCs w:val="15"/>
                <w:color w:val="auto"/>
              </w:rPr>
              <w:t>NET CASH PROVIDED BY FINANCING ACTIVITIES</w:t>
            </w:r>
          </w:p>
        </w:tc>
        <w:tc>
          <w:tcPr>
            <w:tcW w:w="260" w:type="dxa"/>
            <w:vAlign w:val="bottom"/>
          </w:tcPr>
          <w:p>
            <w:pPr>
              <w:spacing w:after="0"/>
              <w:rPr>
                <w:sz w:val="14"/>
                <w:szCs w:val="14"/>
                <w:color w:val="auto"/>
              </w:rPr>
            </w:pPr>
          </w:p>
        </w:tc>
        <w:tc>
          <w:tcPr>
            <w:tcW w:w="9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24,317</w:t>
            </w:r>
          </w:p>
        </w:tc>
        <w:tc>
          <w:tcPr>
            <w:tcW w:w="180" w:type="dxa"/>
            <w:vAlign w:val="bottom"/>
          </w:tcPr>
          <w:p>
            <w:pPr>
              <w:spacing w:after="0"/>
              <w:rPr>
                <w:sz w:val="14"/>
                <w:szCs w:val="14"/>
                <w:color w:val="auto"/>
              </w:rPr>
            </w:pPr>
          </w:p>
        </w:tc>
        <w:tc>
          <w:tcPr>
            <w:tcW w:w="8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8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46,189</w:t>
            </w:r>
          </w:p>
        </w:tc>
      </w:tr>
      <w:tr>
        <w:trPr>
          <w:trHeight w:val="170"/>
        </w:trPr>
        <w:tc>
          <w:tcPr>
            <w:tcW w:w="6740" w:type="dxa"/>
            <w:vAlign w:val="bottom"/>
          </w:tcPr>
          <w:p>
            <w:pPr>
              <w:spacing w:after="0"/>
              <w:rPr>
                <w:sz w:val="14"/>
                <w:szCs w:val="14"/>
                <w:color w:val="auto"/>
              </w:rPr>
            </w:pPr>
          </w:p>
        </w:tc>
        <w:tc>
          <w:tcPr>
            <w:tcW w:w="1220" w:type="dxa"/>
            <w:vAlign w:val="bottom"/>
            <w:gridSpan w:val="2"/>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87"/>
              <w:spacing w:after="0"/>
              <w:rPr>
                <w:sz w:val="20"/>
                <w:szCs w:val="20"/>
                <w:color w:val="auto"/>
              </w:rPr>
            </w:pPr>
            <w:r>
              <w:rPr>
                <w:rFonts w:ascii="Courier New" w:cs="Courier New" w:eastAsia="Courier New" w:hAnsi="Courier New"/>
                <w:sz w:val="15"/>
                <w:szCs w:val="15"/>
                <w:color w:val="auto"/>
              </w:rPr>
              <w:t>=========</w:t>
            </w:r>
          </w:p>
        </w:tc>
      </w:tr>
      <w:tr>
        <w:trPr>
          <w:trHeight w:val="339"/>
        </w:trPr>
        <w:tc>
          <w:tcPr>
            <w:tcW w:w="6740" w:type="dxa"/>
            <w:vAlign w:val="bottom"/>
          </w:tcPr>
          <w:p>
            <w:pPr>
              <w:ind w:left="700"/>
              <w:spacing w:after="0"/>
              <w:rPr>
                <w:sz w:val="20"/>
                <w:szCs w:val="20"/>
                <w:color w:val="auto"/>
              </w:rPr>
            </w:pPr>
            <w:r>
              <w:rPr>
                <w:rFonts w:ascii="Courier New" w:cs="Courier New" w:eastAsia="Courier New" w:hAnsi="Courier New"/>
                <w:sz w:val="15"/>
                <w:szCs w:val="15"/>
                <w:color w:val="auto"/>
              </w:rPr>
              <w:t>INCREASE (DECREASE) IN CASH AND CASH EQUIVALENTS</w:t>
            </w:r>
          </w:p>
        </w:tc>
        <w:tc>
          <w:tcPr>
            <w:tcW w:w="260" w:type="dxa"/>
            <w:vAlign w:val="bottom"/>
          </w:tcPr>
          <w:p>
            <w:pPr>
              <w:spacing w:after="0"/>
              <w:rPr>
                <w:sz w:val="24"/>
                <w:szCs w:val="24"/>
                <w:color w:val="auto"/>
              </w:rPr>
            </w:pPr>
          </w:p>
        </w:tc>
        <w:tc>
          <w:tcPr>
            <w:tcW w:w="9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10,233</w:t>
            </w:r>
          </w:p>
        </w:tc>
        <w:tc>
          <w:tcPr>
            <w:tcW w:w="180" w:type="dxa"/>
            <w:vAlign w:val="bottom"/>
          </w:tcPr>
          <w:p>
            <w:pPr>
              <w:spacing w:after="0"/>
              <w:rPr>
                <w:sz w:val="24"/>
                <w:szCs w:val="24"/>
                <w:color w:val="auto"/>
              </w:rPr>
            </w:pPr>
          </w:p>
        </w:tc>
        <w:tc>
          <w:tcPr>
            <w:tcW w:w="8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6,843</w:t>
            </w:r>
          </w:p>
        </w:tc>
        <w:tc>
          <w:tcPr>
            <w:tcW w:w="300" w:type="dxa"/>
            <w:vAlign w:val="bottom"/>
          </w:tcPr>
          <w:p>
            <w:pPr>
              <w:spacing w:after="0"/>
              <w:rPr>
                <w:sz w:val="24"/>
                <w:szCs w:val="24"/>
                <w:color w:val="auto"/>
              </w:rPr>
            </w:pPr>
          </w:p>
        </w:tc>
        <w:tc>
          <w:tcPr>
            <w:tcW w:w="840" w:type="dxa"/>
            <w:vAlign w:val="bottom"/>
          </w:tcPr>
          <w:p>
            <w:pPr>
              <w:jc w:val="right"/>
              <w:ind w:right="7"/>
              <w:spacing w:after="0"/>
              <w:rPr>
                <w:sz w:val="20"/>
                <w:szCs w:val="20"/>
                <w:color w:val="auto"/>
              </w:rPr>
            </w:pPr>
            <w:r>
              <w:rPr>
                <w:rFonts w:ascii="Courier New" w:cs="Courier New" w:eastAsia="Courier New" w:hAnsi="Courier New"/>
                <w:sz w:val="15"/>
                <w:szCs w:val="15"/>
                <w:color w:val="auto"/>
              </w:rPr>
              <w:t>(20,327)</w:t>
            </w:r>
          </w:p>
        </w:tc>
      </w:tr>
      <w:tr>
        <w:trPr>
          <w:trHeight w:val="170"/>
        </w:trPr>
        <w:tc>
          <w:tcPr>
            <w:tcW w:w="6740" w:type="dxa"/>
            <w:vAlign w:val="bottom"/>
          </w:tcPr>
          <w:p>
            <w:pPr>
              <w:spacing w:after="0"/>
              <w:rPr>
                <w:sz w:val="20"/>
                <w:szCs w:val="20"/>
                <w:color w:val="auto"/>
              </w:rPr>
            </w:pPr>
            <w:r>
              <w:rPr>
                <w:rFonts w:ascii="Courier New" w:cs="Courier New" w:eastAsia="Courier New" w:hAnsi="Courier New"/>
                <w:sz w:val="15"/>
                <w:szCs w:val="15"/>
                <w:color w:val="auto"/>
              </w:rPr>
              <w:t>CASH AND CASH EQUIVALENTS - BEGINNING OF PERIOD</w:t>
            </w:r>
          </w:p>
        </w:tc>
        <w:tc>
          <w:tcPr>
            <w:tcW w:w="260" w:type="dxa"/>
            <w:vAlign w:val="bottom"/>
          </w:tcPr>
          <w:p>
            <w:pPr>
              <w:spacing w:after="0"/>
              <w:rPr>
                <w:sz w:val="14"/>
                <w:szCs w:val="14"/>
                <w:color w:val="auto"/>
              </w:rPr>
            </w:pPr>
          </w:p>
        </w:tc>
        <w:tc>
          <w:tcPr>
            <w:tcW w:w="9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7,337</w:t>
            </w:r>
          </w:p>
        </w:tc>
        <w:tc>
          <w:tcPr>
            <w:tcW w:w="180" w:type="dxa"/>
            <w:vAlign w:val="bottom"/>
          </w:tcPr>
          <w:p>
            <w:pPr>
              <w:spacing w:after="0"/>
              <w:rPr>
                <w:sz w:val="14"/>
                <w:szCs w:val="14"/>
                <w:color w:val="auto"/>
              </w:rPr>
            </w:pPr>
          </w:p>
        </w:tc>
        <w:tc>
          <w:tcPr>
            <w:tcW w:w="8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27,664</w:t>
            </w:r>
          </w:p>
        </w:tc>
        <w:tc>
          <w:tcPr>
            <w:tcW w:w="300" w:type="dxa"/>
            <w:vAlign w:val="bottom"/>
          </w:tcPr>
          <w:p>
            <w:pPr>
              <w:spacing w:after="0"/>
              <w:rPr>
                <w:sz w:val="14"/>
                <w:szCs w:val="14"/>
                <w:color w:val="auto"/>
              </w:rPr>
            </w:pPr>
          </w:p>
        </w:tc>
        <w:tc>
          <w:tcPr>
            <w:tcW w:w="8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27,664</w:t>
            </w:r>
          </w:p>
        </w:tc>
      </w:tr>
      <w:tr>
        <w:trPr>
          <w:trHeight w:val="170"/>
        </w:trPr>
        <w:tc>
          <w:tcPr>
            <w:tcW w:w="6740" w:type="dxa"/>
            <w:vAlign w:val="bottom"/>
          </w:tcPr>
          <w:p>
            <w:pPr>
              <w:spacing w:after="0"/>
              <w:rPr>
                <w:sz w:val="14"/>
                <w:szCs w:val="14"/>
                <w:color w:val="auto"/>
              </w:rPr>
            </w:pPr>
          </w:p>
        </w:tc>
        <w:tc>
          <w:tcPr>
            <w:tcW w:w="1220" w:type="dxa"/>
            <w:vAlign w:val="bottom"/>
            <w:gridSpan w:val="2"/>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87"/>
              <w:spacing w:after="0"/>
              <w:rPr>
                <w:sz w:val="20"/>
                <w:szCs w:val="20"/>
                <w:color w:val="auto"/>
              </w:rPr>
            </w:pPr>
            <w:r>
              <w:rPr>
                <w:rFonts w:ascii="Courier New" w:cs="Courier New" w:eastAsia="Courier New" w:hAnsi="Courier New"/>
                <w:sz w:val="15"/>
                <w:szCs w:val="15"/>
                <w:color w:val="auto"/>
              </w:rPr>
              <w:t>---------</w:t>
            </w:r>
          </w:p>
        </w:tc>
      </w:tr>
      <w:tr>
        <w:trPr>
          <w:trHeight w:val="339"/>
        </w:trPr>
        <w:tc>
          <w:tcPr>
            <w:tcW w:w="6740" w:type="dxa"/>
            <w:vAlign w:val="bottom"/>
          </w:tcPr>
          <w:p>
            <w:pPr>
              <w:ind w:left="700"/>
              <w:spacing w:after="0"/>
              <w:rPr>
                <w:sz w:val="20"/>
                <w:szCs w:val="20"/>
                <w:color w:val="auto"/>
              </w:rPr>
            </w:pPr>
            <w:r>
              <w:rPr>
                <w:rFonts w:ascii="Courier New" w:cs="Courier New" w:eastAsia="Courier New" w:hAnsi="Courier New"/>
                <w:sz w:val="15"/>
                <w:szCs w:val="15"/>
                <w:color w:val="auto"/>
              </w:rPr>
              <w:t>CASH AND CASH EQUIVALENTS - END OF PERIOD</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17,570</w:t>
            </w:r>
          </w:p>
        </w:tc>
        <w:tc>
          <w:tcPr>
            <w:tcW w:w="180" w:type="dxa"/>
            <w:vAlign w:val="bottom"/>
          </w:tcPr>
          <w:p>
            <w:pPr>
              <w:ind w:left="60"/>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34,507</w:t>
            </w:r>
          </w:p>
        </w:tc>
        <w:tc>
          <w:tcPr>
            <w:tcW w:w="30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7,337</w:t>
            </w:r>
          </w:p>
        </w:tc>
      </w:tr>
      <w:tr>
        <w:trPr>
          <w:trHeight w:val="170"/>
        </w:trPr>
        <w:tc>
          <w:tcPr>
            <w:tcW w:w="6740" w:type="dxa"/>
            <w:vAlign w:val="bottom"/>
          </w:tcPr>
          <w:p>
            <w:pPr>
              <w:spacing w:after="0"/>
              <w:rPr>
                <w:sz w:val="14"/>
                <w:szCs w:val="14"/>
                <w:color w:val="auto"/>
              </w:rPr>
            </w:pPr>
          </w:p>
        </w:tc>
        <w:tc>
          <w:tcPr>
            <w:tcW w:w="1220" w:type="dxa"/>
            <w:vAlign w:val="bottom"/>
            <w:gridSpan w:val="2"/>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87"/>
              <w:spacing w:after="0"/>
              <w:rPr>
                <w:sz w:val="20"/>
                <w:szCs w:val="20"/>
                <w:color w:val="auto"/>
              </w:rPr>
            </w:pPr>
            <w:r>
              <w:rPr>
                <w:rFonts w:ascii="Courier New" w:cs="Courier New" w:eastAsia="Courier New" w:hAnsi="Courier New"/>
                <w:sz w:val="15"/>
                <w:szCs w:val="15"/>
                <w:color w:val="auto"/>
              </w:rPr>
              <w:t>=========</w:t>
            </w:r>
          </w:p>
        </w:tc>
      </w:tr>
      <w:tr>
        <w:trPr>
          <w:trHeight w:val="339"/>
        </w:trPr>
        <w:tc>
          <w:tcPr>
            <w:tcW w:w="6740" w:type="dxa"/>
            <w:vAlign w:val="bottom"/>
          </w:tcPr>
          <w:p>
            <w:pPr>
              <w:spacing w:after="0"/>
              <w:rPr>
                <w:sz w:val="20"/>
                <w:szCs w:val="20"/>
                <w:color w:val="auto"/>
              </w:rPr>
            </w:pPr>
            <w:r>
              <w:rPr>
                <w:rFonts w:ascii="Courier New" w:cs="Courier New" w:eastAsia="Courier New" w:hAnsi="Courier New"/>
                <w:sz w:val="15"/>
                <w:szCs w:val="15"/>
                <w:color w:val="auto"/>
              </w:rPr>
              <w:t>NON-CASH ACTIVITIES</w:t>
            </w: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339"/>
        </w:trPr>
        <w:tc>
          <w:tcPr>
            <w:tcW w:w="6740" w:type="dxa"/>
            <w:vAlign w:val="bottom"/>
          </w:tcPr>
          <w:p>
            <w:pPr>
              <w:ind w:left="340"/>
              <w:spacing w:after="0"/>
              <w:rPr>
                <w:sz w:val="20"/>
                <w:szCs w:val="20"/>
                <w:color w:val="auto"/>
              </w:rPr>
            </w:pPr>
            <w:r>
              <w:rPr>
                <w:rFonts w:ascii="Courier New" w:cs="Courier New" w:eastAsia="Courier New" w:hAnsi="Courier New"/>
                <w:sz w:val="15"/>
                <w:szCs w:val="15"/>
                <w:color w:val="auto"/>
              </w:rPr>
              <w:t>INVESTMENTS IN PROPERTY AND EQUIPMENT</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1,901</w:t>
            </w:r>
          </w:p>
        </w:tc>
        <w:tc>
          <w:tcPr>
            <w:tcW w:w="180" w:type="dxa"/>
            <w:vAlign w:val="bottom"/>
          </w:tcPr>
          <w:p>
            <w:pPr>
              <w:ind w:left="60"/>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9,205</w:t>
            </w:r>
          </w:p>
        </w:tc>
        <w:tc>
          <w:tcPr>
            <w:tcW w:w="30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12,999</w:t>
            </w:r>
          </w:p>
        </w:tc>
      </w:tr>
      <w:tr>
        <w:trPr>
          <w:trHeight w:val="170"/>
        </w:trPr>
        <w:tc>
          <w:tcPr>
            <w:tcW w:w="6740" w:type="dxa"/>
            <w:vAlign w:val="bottom"/>
          </w:tcPr>
          <w:p>
            <w:pPr>
              <w:spacing w:after="0"/>
              <w:rPr>
                <w:sz w:val="14"/>
                <w:szCs w:val="14"/>
                <w:color w:val="auto"/>
              </w:rPr>
            </w:pPr>
          </w:p>
        </w:tc>
        <w:tc>
          <w:tcPr>
            <w:tcW w:w="1220" w:type="dxa"/>
            <w:vAlign w:val="bottom"/>
            <w:gridSpan w:val="2"/>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87"/>
              <w:spacing w:after="0"/>
              <w:rPr>
                <w:sz w:val="20"/>
                <w:szCs w:val="20"/>
                <w:color w:val="auto"/>
              </w:rPr>
            </w:pPr>
            <w:r>
              <w:rPr>
                <w:rFonts w:ascii="Courier New" w:cs="Courier New" w:eastAsia="Courier New" w:hAnsi="Courier New"/>
                <w:sz w:val="15"/>
                <w:szCs w:val="15"/>
                <w:color w:val="auto"/>
              </w:rPr>
              <w:t>=========</w:t>
            </w:r>
          </w:p>
        </w:tc>
      </w:tr>
      <w:tr>
        <w:trPr>
          <w:trHeight w:val="170"/>
        </w:trPr>
        <w:tc>
          <w:tcPr>
            <w:tcW w:w="6740" w:type="dxa"/>
            <w:vAlign w:val="bottom"/>
          </w:tcPr>
          <w:p>
            <w:pPr>
              <w:ind w:left="340"/>
              <w:spacing w:after="0"/>
              <w:rPr>
                <w:sz w:val="20"/>
                <w:szCs w:val="20"/>
                <w:color w:val="auto"/>
              </w:rPr>
            </w:pPr>
            <w:r>
              <w:rPr>
                <w:rFonts w:ascii="Courier New" w:cs="Courier New" w:eastAsia="Courier New" w:hAnsi="Courier New"/>
                <w:sz w:val="15"/>
                <w:szCs w:val="15"/>
                <w:color w:val="auto"/>
              </w:rPr>
              <w:t>STOCK-BASED COMPENSATION RELATED TO</w:t>
            </w: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70"/>
        </w:trPr>
        <w:tc>
          <w:tcPr>
            <w:tcW w:w="6740" w:type="dxa"/>
            <w:vAlign w:val="bottom"/>
          </w:tcPr>
          <w:p>
            <w:pPr>
              <w:ind w:left="520"/>
              <w:spacing w:after="0"/>
              <w:rPr>
                <w:sz w:val="20"/>
                <w:szCs w:val="20"/>
                <w:color w:val="auto"/>
              </w:rPr>
            </w:pPr>
            <w:r>
              <w:rPr>
                <w:rFonts w:ascii="Courier New" w:cs="Courier New" w:eastAsia="Courier New" w:hAnsi="Courier New"/>
                <w:sz w:val="15"/>
                <w:szCs w:val="15"/>
                <w:color w:val="auto"/>
              </w:rPr>
              <w:t>THE FACILITY AGREEMENT WITH THE BANKS</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ind w:left="60"/>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2,793</w:t>
            </w:r>
          </w:p>
        </w:tc>
      </w:tr>
      <w:tr>
        <w:trPr>
          <w:trHeight w:val="170"/>
        </w:trPr>
        <w:tc>
          <w:tcPr>
            <w:tcW w:w="6740" w:type="dxa"/>
            <w:vAlign w:val="bottom"/>
          </w:tcPr>
          <w:p>
            <w:pPr>
              <w:spacing w:after="0"/>
              <w:rPr>
                <w:sz w:val="14"/>
                <w:szCs w:val="14"/>
                <w:color w:val="auto"/>
              </w:rPr>
            </w:pPr>
          </w:p>
        </w:tc>
        <w:tc>
          <w:tcPr>
            <w:tcW w:w="1220" w:type="dxa"/>
            <w:vAlign w:val="bottom"/>
            <w:gridSpan w:val="2"/>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87"/>
              <w:spacing w:after="0"/>
              <w:rPr>
                <w:sz w:val="20"/>
                <w:szCs w:val="20"/>
                <w:color w:val="auto"/>
              </w:rPr>
            </w:pPr>
            <w:r>
              <w:rPr>
                <w:rFonts w:ascii="Courier New" w:cs="Courier New" w:eastAsia="Courier New" w:hAnsi="Courier New"/>
                <w:sz w:val="15"/>
                <w:szCs w:val="15"/>
                <w:color w:val="auto"/>
              </w:rPr>
              <w:t>=========</w:t>
            </w:r>
          </w:p>
        </w:tc>
      </w:tr>
      <w:tr>
        <w:trPr>
          <w:trHeight w:val="170"/>
        </w:trPr>
        <w:tc>
          <w:tcPr>
            <w:tcW w:w="6740" w:type="dxa"/>
            <w:vAlign w:val="bottom"/>
          </w:tcPr>
          <w:p>
            <w:pPr>
              <w:ind w:left="340"/>
              <w:spacing w:after="0"/>
              <w:rPr>
                <w:sz w:val="20"/>
                <w:szCs w:val="20"/>
                <w:color w:val="auto"/>
              </w:rPr>
            </w:pPr>
            <w:r>
              <w:rPr>
                <w:rFonts w:ascii="Courier New" w:cs="Courier New" w:eastAsia="Courier New" w:hAnsi="Courier New"/>
                <w:sz w:val="15"/>
                <w:szCs w:val="15"/>
                <w:color w:val="auto"/>
              </w:rPr>
              <w:t>STOCK-BASED COMPENSATION RELATED TO RIGHTS OFFERED</w:t>
            </w: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70"/>
        </w:trPr>
        <w:tc>
          <w:tcPr>
            <w:tcW w:w="6740" w:type="dxa"/>
            <w:vAlign w:val="bottom"/>
          </w:tcPr>
          <w:p>
            <w:pPr>
              <w:ind w:left="520"/>
              <w:spacing w:after="0"/>
              <w:rPr>
                <w:sz w:val="20"/>
                <w:szCs w:val="20"/>
                <w:color w:val="auto"/>
              </w:rPr>
            </w:pPr>
            <w:r>
              <w:rPr>
                <w:rFonts w:ascii="Courier New" w:cs="Courier New" w:eastAsia="Courier New" w:hAnsi="Courier New"/>
                <w:sz w:val="15"/>
                <w:szCs w:val="15"/>
                <w:color w:val="auto"/>
              </w:rPr>
              <w:t>TO EMPLOYEES</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ind w:left="60"/>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448</w:t>
            </w:r>
          </w:p>
        </w:tc>
      </w:tr>
      <w:tr>
        <w:trPr>
          <w:trHeight w:val="170"/>
        </w:trPr>
        <w:tc>
          <w:tcPr>
            <w:tcW w:w="6740" w:type="dxa"/>
            <w:vAlign w:val="bottom"/>
          </w:tcPr>
          <w:p>
            <w:pPr>
              <w:spacing w:after="0"/>
              <w:rPr>
                <w:sz w:val="14"/>
                <w:szCs w:val="14"/>
                <w:color w:val="auto"/>
              </w:rPr>
            </w:pPr>
          </w:p>
        </w:tc>
        <w:tc>
          <w:tcPr>
            <w:tcW w:w="1220" w:type="dxa"/>
            <w:vAlign w:val="bottom"/>
            <w:gridSpan w:val="2"/>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87"/>
              <w:spacing w:after="0"/>
              <w:rPr>
                <w:sz w:val="20"/>
                <w:szCs w:val="20"/>
                <w:color w:val="auto"/>
              </w:rPr>
            </w:pPr>
            <w:r>
              <w:rPr>
                <w:rFonts w:ascii="Courier New" w:cs="Courier New" w:eastAsia="Courier New" w:hAnsi="Courier New"/>
                <w:sz w:val="15"/>
                <w:szCs w:val="15"/>
                <w:color w:val="auto"/>
              </w:rPr>
              <w:t>=========</w:t>
            </w:r>
          </w:p>
        </w:tc>
      </w:tr>
      <w:tr>
        <w:trPr>
          <w:trHeight w:val="170"/>
        </w:trPr>
        <w:tc>
          <w:tcPr>
            <w:tcW w:w="6740" w:type="dxa"/>
            <w:vAlign w:val="bottom"/>
          </w:tcPr>
          <w:p>
            <w:pPr>
              <w:ind w:left="340"/>
              <w:spacing w:after="0"/>
              <w:rPr>
                <w:sz w:val="20"/>
                <w:szCs w:val="20"/>
                <w:color w:val="auto"/>
              </w:rPr>
            </w:pPr>
            <w:r>
              <w:rPr>
                <w:rFonts w:ascii="Courier New" w:cs="Courier New" w:eastAsia="Courier New" w:hAnsi="Courier New"/>
                <w:sz w:val="15"/>
                <w:szCs w:val="15"/>
                <w:color w:val="auto"/>
              </w:rPr>
              <w:t>INVESTMENTS IN OTHER ASSETS</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ind w:left="60"/>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1,283</w:t>
            </w:r>
          </w:p>
        </w:tc>
        <w:tc>
          <w:tcPr>
            <w:tcW w:w="30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442</w:t>
            </w:r>
          </w:p>
        </w:tc>
      </w:tr>
      <w:tr>
        <w:trPr>
          <w:trHeight w:val="170"/>
        </w:trPr>
        <w:tc>
          <w:tcPr>
            <w:tcW w:w="6740" w:type="dxa"/>
            <w:vAlign w:val="bottom"/>
          </w:tcPr>
          <w:p>
            <w:pPr>
              <w:spacing w:after="0"/>
              <w:rPr>
                <w:sz w:val="14"/>
                <w:szCs w:val="14"/>
                <w:color w:val="auto"/>
              </w:rPr>
            </w:pPr>
          </w:p>
        </w:tc>
        <w:tc>
          <w:tcPr>
            <w:tcW w:w="1220" w:type="dxa"/>
            <w:vAlign w:val="bottom"/>
            <w:gridSpan w:val="2"/>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87"/>
              <w:spacing w:after="0"/>
              <w:rPr>
                <w:sz w:val="20"/>
                <w:szCs w:val="20"/>
                <w:color w:val="auto"/>
              </w:rPr>
            </w:pPr>
            <w:r>
              <w:rPr>
                <w:rFonts w:ascii="Courier New" w:cs="Courier New" w:eastAsia="Courier New" w:hAnsi="Courier New"/>
                <w:sz w:val="15"/>
                <w:szCs w:val="15"/>
                <w:color w:val="auto"/>
              </w:rPr>
              <w:t>=========</w:t>
            </w:r>
          </w:p>
        </w:tc>
      </w:tr>
      <w:tr>
        <w:trPr>
          <w:trHeight w:val="170"/>
        </w:trPr>
        <w:tc>
          <w:tcPr>
            <w:tcW w:w="6740" w:type="dxa"/>
            <w:vAlign w:val="bottom"/>
          </w:tcPr>
          <w:p>
            <w:pPr>
              <w:ind w:left="340"/>
              <w:spacing w:after="0"/>
              <w:rPr>
                <w:sz w:val="20"/>
                <w:szCs w:val="20"/>
                <w:color w:val="auto"/>
              </w:rPr>
            </w:pPr>
            <w:r>
              <w:rPr>
                <w:rFonts w:ascii="Courier New" w:cs="Courier New" w:eastAsia="Courier New" w:hAnsi="Courier New"/>
                <w:sz w:val="15"/>
                <w:szCs w:val="15"/>
                <w:color w:val="auto"/>
              </w:rPr>
              <w:t>CONVERSION OF LONG-TERM LIABILITY IN RESPECT OF CUSTOMERS' ADVANCES</w:t>
            </w: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70"/>
        </w:trPr>
        <w:tc>
          <w:tcPr>
            <w:tcW w:w="6740" w:type="dxa"/>
            <w:vAlign w:val="bottom"/>
          </w:tcPr>
          <w:p>
            <w:pPr>
              <w:ind w:left="520"/>
              <w:spacing w:after="0"/>
              <w:rPr>
                <w:sz w:val="20"/>
                <w:szCs w:val="20"/>
                <w:color w:val="auto"/>
              </w:rPr>
            </w:pPr>
            <w:r>
              <w:rPr>
                <w:rFonts w:ascii="Courier New" w:cs="Courier New" w:eastAsia="Courier New" w:hAnsi="Courier New"/>
                <w:sz w:val="15"/>
                <w:szCs w:val="15"/>
                <w:color w:val="auto"/>
              </w:rPr>
              <w:t>TO SHARE CAPITAL</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4,287</w:t>
            </w:r>
          </w:p>
        </w:tc>
        <w:tc>
          <w:tcPr>
            <w:tcW w:w="180" w:type="dxa"/>
            <w:vAlign w:val="bottom"/>
          </w:tcPr>
          <w:p>
            <w:pPr>
              <w:ind w:left="60"/>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1,794</w:t>
            </w:r>
          </w:p>
        </w:tc>
      </w:tr>
      <w:tr>
        <w:trPr>
          <w:trHeight w:val="170"/>
        </w:trPr>
        <w:tc>
          <w:tcPr>
            <w:tcW w:w="6740" w:type="dxa"/>
            <w:vAlign w:val="bottom"/>
          </w:tcPr>
          <w:p>
            <w:pPr>
              <w:spacing w:after="0"/>
              <w:rPr>
                <w:sz w:val="14"/>
                <w:szCs w:val="14"/>
                <w:color w:val="auto"/>
              </w:rPr>
            </w:pPr>
          </w:p>
        </w:tc>
        <w:tc>
          <w:tcPr>
            <w:tcW w:w="1220" w:type="dxa"/>
            <w:vAlign w:val="bottom"/>
            <w:gridSpan w:val="2"/>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87"/>
              <w:spacing w:after="0"/>
              <w:rPr>
                <w:sz w:val="20"/>
                <w:szCs w:val="20"/>
                <w:color w:val="auto"/>
              </w:rPr>
            </w:pPr>
            <w:r>
              <w:rPr>
                <w:rFonts w:ascii="Courier New" w:cs="Courier New" w:eastAsia="Courier New" w:hAnsi="Courier New"/>
                <w:sz w:val="15"/>
                <w:szCs w:val="15"/>
                <w:color w:val="auto"/>
              </w:rPr>
              <w:t>=========</w:t>
            </w:r>
          </w:p>
        </w:tc>
      </w:tr>
      <w:tr>
        <w:trPr>
          <w:trHeight w:val="170"/>
        </w:trPr>
        <w:tc>
          <w:tcPr>
            <w:tcW w:w="6740" w:type="dxa"/>
            <w:vAlign w:val="bottom"/>
          </w:tcPr>
          <w:p>
            <w:pPr>
              <w:ind w:left="340"/>
              <w:spacing w:after="0"/>
              <w:rPr>
                <w:sz w:val="20"/>
                <w:szCs w:val="20"/>
                <w:color w:val="auto"/>
              </w:rPr>
            </w:pPr>
            <w:r>
              <w:rPr>
                <w:rFonts w:ascii="Courier New" w:cs="Courier New" w:eastAsia="Courier New" w:hAnsi="Courier New"/>
                <w:sz w:val="15"/>
                <w:szCs w:val="15"/>
                <w:color w:val="auto"/>
              </w:rPr>
              <w:t>CONVERSION OF CONVERTIBLE DEBENTURES INTO SHARES</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3,672</w:t>
            </w:r>
          </w:p>
        </w:tc>
        <w:tc>
          <w:tcPr>
            <w:tcW w:w="180" w:type="dxa"/>
            <w:vAlign w:val="bottom"/>
          </w:tcPr>
          <w:p>
            <w:pPr>
              <w:ind w:left="60"/>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r>
      <w:tr>
        <w:trPr>
          <w:trHeight w:val="170"/>
        </w:trPr>
        <w:tc>
          <w:tcPr>
            <w:tcW w:w="6740" w:type="dxa"/>
            <w:vAlign w:val="bottom"/>
          </w:tcPr>
          <w:p>
            <w:pPr>
              <w:spacing w:after="0"/>
              <w:rPr>
                <w:sz w:val="14"/>
                <w:szCs w:val="14"/>
                <w:color w:val="auto"/>
              </w:rPr>
            </w:pPr>
          </w:p>
        </w:tc>
        <w:tc>
          <w:tcPr>
            <w:tcW w:w="1220" w:type="dxa"/>
            <w:vAlign w:val="bottom"/>
            <w:gridSpan w:val="2"/>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87"/>
              <w:spacing w:after="0"/>
              <w:rPr>
                <w:sz w:val="20"/>
                <w:szCs w:val="20"/>
                <w:color w:val="auto"/>
              </w:rPr>
            </w:pPr>
            <w:r>
              <w:rPr>
                <w:rFonts w:ascii="Courier New" w:cs="Courier New" w:eastAsia="Courier New" w:hAnsi="Courier New"/>
                <w:sz w:val="15"/>
                <w:szCs w:val="15"/>
                <w:color w:val="auto"/>
              </w:rPr>
              <w:t>=========</w:t>
            </w:r>
          </w:p>
        </w:tc>
      </w:tr>
      <w:tr>
        <w:trPr>
          <w:trHeight w:val="509"/>
        </w:trPr>
        <w:tc>
          <w:tcPr>
            <w:tcW w:w="6740" w:type="dxa"/>
            <w:vAlign w:val="bottom"/>
          </w:tcPr>
          <w:p>
            <w:pPr>
              <w:spacing w:after="0"/>
              <w:rPr>
                <w:sz w:val="20"/>
                <w:szCs w:val="20"/>
                <w:color w:val="auto"/>
              </w:rPr>
            </w:pPr>
            <w:r>
              <w:rPr>
                <w:rFonts w:ascii="Courier New" w:cs="Courier New" w:eastAsia="Courier New" w:hAnsi="Courier New"/>
                <w:sz w:val="15"/>
                <w:szCs w:val="15"/>
                <w:color w:val="auto"/>
              </w:rPr>
              <w:t>SUPPLEMENTAL DISCLOSURE OF CASH FLOW INFORMATION</w:t>
            </w: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339"/>
        </w:trPr>
        <w:tc>
          <w:tcPr>
            <w:tcW w:w="6740" w:type="dxa"/>
            <w:vAlign w:val="bottom"/>
          </w:tcPr>
          <w:p>
            <w:pPr>
              <w:ind w:left="340"/>
              <w:spacing w:after="0"/>
              <w:rPr>
                <w:sz w:val="20"/>
                <w:szCs w:val="20"/>
                <w:color w:val="auto"/>
              </w:rPr>
            </w:pPr>
            <w:r>
              <w:rPr>
                <w:rFonts w:ascii="Courier New" w:cs="Courier New" w:eastAsia="Courier New" w:hAnsi="Courier New"/>
                <w:sz w:val="15"/>
                <w:szCs w:val="15"/>
                <w:color w:val="auto"/>
              </w:rPr>
              <w:t>CASH PAID DURING THE PERIOD FOR INTEREST</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10,546</w:t>
            </w:r>
          </w:p>
        </w:tc>
        <w:tc>
          <w:tcPr>
            <w:tcW w:w="180" w:type="dxa"/>
            <w:vAlign w:val="bottom"/>
          </w:tcPr>
          <w:p>
            <w:pPr>
              <w:ind w:left="60"/>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8,316</w:t>
            </w:r>
          </w:p>
        </w:tc>
        <w:tc>
          <w:tcPr>
            <w:tcW w:w="30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32,805</w:t>
            </w:r>
          </w:p>
        </w:tc>
      </w:tr>
      <w:tr>
        <w:trPr>
          <w:trHeight w:val="170"/>
        </w:trPr>
        <w:tc>
          <w:tcPr>
            <w:tcW w:w="6740" w:type="dxa"/>
            <w:vAlign w:val="bottom"/>
          </w:tcPr>
          <w:p>
            <w:pPr>
              <w:spacing w:after="0"/>
              <w:rPr>
                <w:sz w:val="14"/>
                <w:szCs w:val="14"/>
                <w:color w:val="auto"/>
              </w:rPr>
            </w:pPr>
          </w:p>
        </w:tc>
        <w:tc>
          <w:tcPr>
            <w:tcW w:w="1220" w:type="dxa"/>
            <w:vAlign w:val="bottom"/>
            <w:gridSpan w:val="2"/>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87"/>
              <w:spacing w:after="0"/>
              <w:rPr>
                <w:sz w:val="20"/>
                <w:szCs w:val="20"/>
                <w:color w:val="auto"/>
              </w:rPr>
            </w:pPr>
            <w:r>
              <w:rPr>
                <w:rFonts w:ascii="Courier New" w:cs="Courier New" w:eastAsia="Courier New" w:hAnsi="Courier New"/>
                <w:sz w:val="15"/>
                <w:szCs w:val="15"/>
                <w:color w:val="auto"/>
              </w:rPr>
              <w:t>=========</w:t>
            </w:r>
          </w:p>
        </w:tc>
      </w:tr>
      <w:tr>
        <w:trPr>
          <w:trHeight w:val="170"/>
        </w:trPr>
        <w:tc>
          <w:tcPr>
            <w:tcW w:w="6740" w:type="dxa"/>
            <w:vAlign w:val="bottom"/>
          </w:tcPr>
          <w:p>
            <w:pPr>
              <w:ind w:left="340"/>
              <w:spacing w:after="0"/>
              <w:rPr>
                <w:sz w:val="20"/>
                <w:szCs w:val="20"/>
                <w:color w:val="auto"/>
              </w:rPr>
            </w:pPr>
            <w:r>
              <w:rPr>
                <w:rFonts w:ascii="Courier New" w:cs="Courier New" w:eastAsia="Courier New" w:hAnsi="Courier New"/>
                <w:sz w:val="15"/>
                <w:szCs w:val="15"/>
                <w:color w:val="auto"/>
              </w:rPr>
              <w:t>CASH PAID DURING THE PERIOD FOR INCOME TAXES</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14</w:t>
            </w:r>
          </w:p>
        </w:tc>
        <w:tc>
          <w:tcPr>
            <w:tcW w:w="180" w:type="dxa"/>
            <w:vAlign w:val="bottom"/>
          </w:tcPr>
          <w:p>
            <w:pPr>
              <w:ind w:left="60"/>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4</w:t>
            </w:r>
          </w:p>
        </w:tc>
        <w:tc>
          <w:tcPr>
            <w:tcW w:w="30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86</w:t>
            </w:r>
          </w:p>
        </w:tc>
      </w:tr>
      <w:tr>
        <w:trPr>
          <w:trHeight w:val="170"/>
        </w:trPr>
        <w:tc>
          <w:tcPr>
            <w:tcW w:w="6740" w:type="dxa"/>
            <w:vAlign w:val="bottom"/>
          </w:tcPr>
          <w:p>
            <w:pPr>
              <w:spacing w:after="0"/>
              <w:rPr>
                <w:sz w:val="14"/>
                <w:szCs w:val="14"/>
                <w:color w:val="auto"/>
              </w:rPr>
            </w:pPr>
          </w:p>
        </w:tc>
        <w:tc>
          <w:tcPr>
            <w:tcW w:w="1220" w:type="dxa"/>
            <w:vAlign w:val="bottom"/>
            <w:gridSpan w:val="2"/>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87"/>
              <w:spacing w:after="0"/>
              <w:rPr>
                <w:sz w:val="20"/>
                <w:szCs w:val="20"/>
                <w:color w:val="auto"/>
              </w:rPr>
            </w:pPr>
            <w:r>
              <w:rPr>
                <w:rFonts w:ascii="Courier New" w:cs="Courier New" w:eastAsia="Courier New" w:hAnsi="Courier New"/>
                <w:sz w:val="15"/>
                <w:szCs w:val="15"/>
                <w:color w:val="auto"/>
              </w:rPr>
              <w:t>=========</w:t>
            </w:r>
          </w:p>
        </w:tc>
      </w:tr>
    </w:tbl>
    <w:p>
      <w:pPr>
        <w:sectPr>
          <w:pgSz w:w="11900" w:h="16838" w:orient="portrait"/>
          <w:cols w:equalWidth="0" w:num="1">
            <w:col w:w="10219"/>
          </w:cols>
          <w:pgMar w:left="240" w:top="622" w:right="1440" w:bottom="57" w:gutter="0" w:footer="0" w:header="0"/>
        </w:sectPr>
      </w:pPr>
    </w:p>
    <w:bookmarkStart w:id="8" w:name="page9"/>
    <w:bookmarkEnd w:id="8"/>
    <w:p>
      <w:pPr>
        <w:spacing w:after="0"/>
        <w:rPr>
          <w:sz w:val="20"/>
          <w:szCs w:val="20"/>
          <w:color w:val="auto"/>
        </w:rPr>
      </w:pPr>
      <w:r>
        <w:rPr>
          <w:rFonts w:ascii="Courier New" w:cs="Courier New" w:eastAsia="Courier New" w:hAnsi="Courier New"/>
          <w:sz w:val="14"/>
          <w:szCs w:val="14"/>
          <w:color w:val="auto"/>
        </w:rPr>
        <w:t>SEE NOTES TO CONDENSED INTERIM CONSOLIDATED FINANCIAL STATEMENTS.</w:t>
      </w:r>
    </w:p>
    <w:p>
      <w:pPr>
        <w:sectPr>
          <w:pgSz w:w="11900" w:h="16838" w:orient="portrait"/>
          <w:cols w:equalWidth="0" w:num="1">
            <w:col w:w="10219"/>
          </w:cols>
          <w:pgMar w:left="240" w:top="141" w:right="1440" w:bottom="1440" w:gutter="0" w:footer="0" w:header="0"/>
        </w:sectPr>
      </w:pPr>
    </w:p>
    <w:p>
      <w:pPr>
        <w:spacing w:after="0" w:line="350" w:lineRule="exact"/>
        <w:rPr>
          <w:sz w:val="20"/>
          <w:szCs w:val="20"/>
          <w:color w:val="auto"/>
        </w:rPr>
      </w:pPr>
    </w:p>
    <w:p>
      <w:pPr>
        <w:ind w:left="3260"/>
        <w:spacing w:after="0"/>
        <w:rPr>
          <w:sz w:val="20"/>
          <w:szCs w:val="20"/>
          <w:color w:val="auto"/>
        </w:rPr>
      </w:pPr>
      <w:r>
        <w:rPr>
          <w:rFonts w:ascii="Courier New" w:cs="Courier New" w:eastAsia="Courier New" w:hAnsi="Courier New"/>
          <w:sz w:val="14"/>
          <w:szCs w:val="14"/>
          <w:color w:val="auto"/>
        </w:rPr>
        <w:t>- 4 -</w:t>
      </w:r>
    </w:p>
    <w:p>
      <w:pPr>
        <w:sectPr>
          <w:pgSz w:w="11900" w:h="16838" w:orient="portrait"/>
          <w:cols w:equalWidth="0" w:num="1">
            <w:col w:w="10219"/>
          </w:cols>
          <w:pgMar w:left="240" w:top="141" w:right="1440" w:bottom="1440" w:gutter="0" w:footer="0" w:header="0"/>
          <w:type w:val="continuous"/>
        </w:sectPr>
      </w:pPr>
    </w:p>
    <w:bookmarkStart w:id="9" w:name="page10"/>
    <w:bookmarkEnd w:id="9"/>
    <w:p>
      <w:pPr>
        <w:jc w:val="center"/>
        <w:ind w:right="3099"/>
        <w:spacing w:after="0"/>
        <w:rPr>
          <w:sz w:val="20"/>
          <w:szCs w:val="20"/>
          <w:color w:val="auto"/>
        </w:rPr>
      </w:pPr>
      <w:r>
        <w:rPr>
          <w:rFonts w:ascii="Courier New" w:cs="Courier New" w:eastAsia="Courier New" w:hAnsi="Courier New"/>
          <w:sz w:val="15"/>
          <w:szCs w:val="15"/>
          <w:color w:val="auto"/>
        </w:rPr>
        <w:t>TOWER SEMICONDUCTOR LTD. AND SUBSIDIARY</w:t>
      </w:r>
    </w:p>
    <w:p>
      <w:pPr>
        <w:jc w:val="center"/>
        <w:ind w:right="3099"/>
        <w:spacing w:after="0"/>
        <w:rPr>
          <w:sz w:val="20"/>
          <w:szCs w:val="20"/>
          <w:color w:val="auto"/>
        </w:rPr>
      </w:pPr>
      <w:r>
        <w:rPr>
          <w:rFonts w:ascii="Courier New" w:cs="Courier New" w:eastAsia="Courier New" w:hAnsi="Courier New"/>
          <w:sz w:val="15"/>
          <w:szCs w:val="15"/>
          <w:color w:val="auto"/>
        </w:rPr>
        <w:t>NOTES TO UNAUDITED CONDENSED INTERIM CONSOLIDATED</w:t>
      </w:r>
    </w:p>
    <w:p>
      <w:pPr>
        <w:jc w:val="center"/>
        <w:ind w:right="3099"/>
        <w:spacing w:after="0"/>
        <w:rPr>
          <w:sz w:val="20"/>
          <w:szCs w:val="20"/>
          <w:color w:val="auto"/>
        </w:rPr>
      </w:pPr>
      <w:r>
        <w:rPr>
          <w:rFonts w:ascii="Courier New" w:cs="Courier New" w:eastAsia="Courier New" w:hAnsi="Courier New"/>
          <w:sz w:val="15"/>
          <w:szCs w:val="15"/>
          <w:color w:val="auto"/>
        </w:rPr>
        <w:t>FINANCIAL STATEMENTS AS OF MARCH 31, 2006</w:t>
      </w:r>
    </w:p>
    <w:p>
      <w:pPr>
        <w:jc w:val="center"/>
        <w:ind w:right="3179"/>
        <w:spacing w:after="0" w:line="238" w:lineRule="auto"/>
        <w:rPr>
          <w:sz w:val="20"/>
          <w:szCs w:val="20"/>
          <w:color w:val="auto"/>
        </w:rPr>
      </w:pPr>
      <w:r>
        <w:rPr>
          <w:rFonts w:ascii="Courier New" w:cs="Courier New" w:eastAsia="Courier New" w:hAnsi="Courier New"/>
          <w:sz w:val="15"/>
          <w:szCs w:val="15"/>
          <w:color w:val="auto"/>
        </w:rPr>
        <w:t>(dollars in thousands, except share data and per share data)</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1 - GENERAL</w:t>
      </w:r>
    </w:p>
    <w:p>
      <w:pPr>
        <w:spacing w:after="0" w:line="169" w:lineRule="exact"/>
        <w:rPr>
          <w:sz w:val="20"/>
          <w:szCs w:val="20"/>
          <w:color w:val="auto"/>
        </w:rPr>
      </w:pPr>
    </w:p>
    <w:p>
      <w:pPr>
        <w:ind w:left="880" w:hanging="449"/>
        <w:spacing w:after="0"/>
        <w:tabs>
          <w:tab w:leader="none" w:pos="880"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BASIS FOR PRESENTATION</w:t>
      </w:r>
    </w:p>
    <w:p>
      <w:pPr>
        <w:spacing w:after="0" w:line="174" w:lineRule="exact"/>
        <w:rPr>
          <w:rFonts w:ascii="Courier New" w:cs="Courier New" w:eastAsia="Courier New" w:hAnsi="Courier New"/>
          <w:sz w:val="15"/>
          <w:szCs w:val="15"/>
          <w:color w:val="auto"/>
        </w:rPr>
      </w:pPr>
    </w:p>
    <w:p>
      <w:pPr>
        <w:ind w:left="1320" w:right="3179" w:hanging="448"/>
        <w:spacing w:after="0" w:line="257" w:lineRule="auto"/>
        <w:tabs>
          <w:tab w:leader="none" w:pos="1320" w:val="left"/>
        </w:tabs>
        <w:numPr>
          <w:ilvl w:val="1"/>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unaudited condensed interim consolidated financial statements as of March 31, 2006 and for the three months then ended ("interim financial statements") of Tower Semiconductor Ltd. and subsidiary ("the Company") should be read in conjunction with the audited consolidated financial statements of the Company as of December 31, 2005 and for the year then ended, including the notes thereto. In the opinion of management, the interim financial statements include all adjustments necessary for a fair presentation of the financial position and results of operations as of the date and for the interim periods presented. The results of operations for the interim periods are not necessarily indicative of the results to be expected on a full-year basis.</w:t>
      </w:r>
    </w:p>
    <w:p>
      <w:pPr>
        <w:spacing w:after="0" w:line="165" w:lineRule="exact"/>
        <w:rPr>
          <w:rFonts w:ascii="Courier New" w:cs="Courier New" w:eastAsia="Courier New" w:hAnsi="Courier New"/>
          <w:sz w:val="14"/>
          <w:szCs w:val="14"/>
          <w:color w:val="auto"/>
        </w:rPr>
      </w:pPr>
    </w:p>
    <w:p>
      <w:pPr>
        <w:ind w:left="1320" w:right="3179" w:hanging="448"/>
        <w:spacing w:after="0" w:line="237" w:lineRule="auto"/>
        <w:tabs>
          <w:tab w:leader="none" w:pos="1320" w:val="left"/>
        </w:tabs>
        <w:numPr>
          <w:ilvl w:val="1"/>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interim financial statements have been prepared in conformity with generally accepted accounting principles ("GAAP") in Israel ("Israeli GAAP"), for interim financial statement, which differ in certain respects from GAAP in the United States of America ("U.S. GAAP"), as indicated in Note 6.</w:t>
      </w:r>
    </w:p>
    <w:p>
      <w:pPr>
        <w:spacing w:after="0" w:line="178" w:lineRule="exact"/>
        <w:rPr>
          <w:rFonts w:ascii="Courier New" w:cs="Courier New" w:eastAsia="Courier New" w:hAnsi="Courier New"/>
          <w:sz w:val="15"/>
          <w:szCs w:val="15"/>
          <w:color w:val="auto"/>
        </w:rPr>
      </w:pPr>
    </w:p>
    <w:p>
      <w:pPr>
        <w:ind w:left="1320" w:right="3179"/>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accounting principles applied in the preparation of these interim financial statements are consistent with those principles applied in the preparation of the most recent annual audited financial statements, except for the accounting principles detailed in paragraph 3 below.</w:t>
      </w:r>
    </w:p>
    <w:p>
      <w:pPr>
        <w:spacing w:after="0" w:line="178" w:lineRule="exact"/>
        <w:rPr>
          <w:rFonts w:ascii="Courier New" w:cs="Courier New" w:eastAsia="Courier New" w:hAnsi="Courier New"/>
          <w:sz w:val="15"/>
          <w:szCs w:val="15"/>
          <w:color w:val="auto"/>
        </w:rPr>
      </w:pPr>
    </w:p>
    <w:p>
      <w:pPr>
        <w:ind w:left="1320" w:right="3799" w:hanging="448"/>
        <w:spacing w:after="0" w:line="235" w:lineRule="auto"/>
        <w:tabs>
          <w:tab w:leader="none" w:pos="1320" w:val="left"/>
        </w:tabs>
        <w:numPr>
          <w:ilvl w:val="1"/>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RECENT ACCOUNTING PRONOUNCEMENTS BY THE ISRAELI ACCOUNTING STANDARDS BOARD</w:t>
      </w:r>
    </w:p>
    <w:p>
      <w:pPr>
        <w:spacing w:after="0" w:line="170" w:lineRule="exact"/>
        <w:rPr>
          <w:rFonts w:ascii="Courier New" w:cs="Courier New" w:eastAsia="Courier New" w:hAnsi="Courier New"/>
          <w:sz w:val="15"/>
          <w:szCs w:val="15"/>
          <w:color w:val="auto"/>
        </w:rPr>
      </w:pPr>
    </w:p>
    <w:p>
      <w:pPr>
        <w:ind w:left="1760" w:hanging="447"/>
        <w:spacing w:after="0"/>
        <w:tabs>
          <w:tab w:leader="none" w:pos="1760" w:val="left"/>
        </w:tabs>
        <w:numPr>
          <w:ilvl w:val="2"/>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ACCOUNTING STANDARD NO. 21 "EARNINGS PER SHARE"</w:t>
      </w:r>
    </w:p>
    <w:p>
      <w:pPr>
        <w:spacing w:after="0" w:line="174" w:lineRule="exact"/>
        <w:rPr>
          <w:rFonts w:ascii="Courier New" w:cs="Courier New" w:eastAsia="Courier New" w:hAnsi="Courier New"/>
          <w:sz w:val="15"/>
          <w:szCs w:val="15"/>
          <w:color w:val="auto"/>
        </w:rPr>
      </w:pPr>
    </w:p>
    <w:p>
      <w:pPr>
        <w:ind w:left="1760" w:right="3539"/>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In February 2006, the Israeli Accounting Standards Board approved for publication Accounting Standard No. 21, "Earnings Per Share" ("Standard No. 21").</w:t>
      </w:r>
    </w:p>
    <w:p>
      <w:pPr>
        <w:spacing w:after="0" w:line="174" w:lineRule="exact"/>
        <w:rPr>
          <w:rFonts w:ascii="Courier New" w:cs="Courier New" w:eastAsia="Courier New" w:hAnsi="Courier New"/>
          <w:sz w:val="15"/>
          <w:szCs w:val="15"/>
          <w:color w:val="auto"/>
        </w:rPr>
      </w:pPr>
    </w:p>
    <w:p>
      <w:pPr>
        <w:jc w:val="both"/>
        <w:ind w:left="1760" w:right="3179"/>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With the initial adoption of Standard No. 21, Opinion No. 55 of the Institute of Certified Public Accountants in Israel - Earnings per share is cancelled.</w:t>
      </w:r>
    </w:p>
    <w:p>
      <w:pPr>
        <w:spacing w:after="0" w:line="174" w:lineRule="exact"/>
        <w:rPr>
          <w:rFonts w:ascii="Courier New" w:cs="Courier New" w:eastAsia="Courier New" w:hAnsi="Courier New"/>
          <w:sz w:val="15"/>
          <w:szCs w:val="15"/>
          <w:color w:val="auto"/>
        </w:rPr>
      </w:pPr>
    </w:p>
    <w:p>
      <w:pPr>
        <w:ind w:left="1760" w:right="3179"/>
        <w:spacing w:after="0" w:line="257"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Standard No. 21 prescribes that an entity shall calculate basic earnings per share amounts for profit or loss attributable to ordinary equity holders of the entity. The basic earnings per share shall be calculated by dividing profit or loss attributable to ordinary equity holders of the entity (the numerator) by the weighted average number of ordinary shares outstanding (the denominator) during the reported period. For the purpose of calculating diluted earnings per share, an entity shall adjust profit or loss attributable to ordinary equity holders of the entity, and the weighted average number of shares outstanding, for the effects of all dilutive potential ordinary shares.</w:t>
      </w:r>
    </w:p>
    <w:p>
      <w:pPr>
        <w:spacing w:after="0" w:line="329" w:lineRule="exact"/>
        <w:rPr>
          <w:rFonts w:ascii="Courier New" w:cs="Courier New" w:eastAsia="Courier New" w:hAnsi="Courier New"/>
          <w:sz w:val="15"/>
          <w:szCs w:val="15"/>
          <w:color w:val="auto"/>
        </w:rPr>
      </w:pPr>
    </w:p>
    <w:p>
      <w:pPr>
        <w:ind w:left="3420" w:hanging="168"/>
        <w:spacing w:after="0"/>
        <w:tabs>
          <w:tab w:leader="none" w:pos="3420" w:val="left"/>
        </w:tabs>
        <w:numPr>
          <w:ilvl w:val="3"/>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5 -</w:t>
      </w:r>
    </w:p>
    <w:p>
      <w:pPr>
        <w:sectPr>
          <w:pgSz w:w="11900" w:h="16838" w:orient="portrait"/>
          <w:cols w:equalWidth="0" w:num="1">
            <w:col w:w="10219"/>
          </w:cols>
          <w:pgMar w:left="240" w:top="791" w:right="1440" w:bottom="1440" w:gutter="0" w:footer="0" w:header="0"/>
        </w:sectPr>
      </w:pPr>
    </w:p>
    <w:bookmarkStart w:id="10" w:name="page11"/>
    <w:bookmarkEnd w:id="10"/>
    <w:p>
      <w:pPr>
        <w:jc w:val="center"/>
        <w:ind w:right="3099"/>
        <w:spacing w:after="0"/>
        <w:rPr>
          <w:sz w:val="20"/>
          <w:szCs w:val="20"/>
          <w:color w:val="auto"/>
        </w:rPr>
      </w:pPr>
      <w:r>
        <w:rPr>
          <w:rFonts w:ascii="Courier New" w:cs="Courier New" w:eastAsia="Courier New" w:hAnsi="Courier New"/>
          <w:sz w:val="15"/>
          <w:szCs w:val="15"/>
          <w:color w:val="auto"/>
        </w:rPr>
        <w:t>TOWER SEMICONDUCTOR LTD. AND SUBSIDIARY</w:t>
      </w:r>
    </w:p>
    <w:p>
      <w:pPr>
        <w:jc w:val="center"/>
        <w:ind w:right="3099"/>
        <w:spacing w:after="0"/>
        <w:rPr>
          <w:sz w:val="20"/>
          <w:szCs w:val="20"/>
          <w:color w:val="auto"/>
        </w:rPr>
      </w:pPr>
      <w:r>
        <w:rPr>
          <w:rFonts w:ascii="Courier New" w:cs="Courier New" w:eastAsia="Courier New" w:hAnsi="Courier New"/>
          <w:sz w:val="15"/>
          <w:szCs w:val="15"/>
          <w:color w:val="auto"/>
        </w:rPr>
        <w:t>NOTES TO UNAUDITED CONDENSED INTERIM CONSOLIDATED</w:t>
      </w:r>
    </w:p>
    <w:p>
      <w:pPr>
        <w:jc w:val="center"/>
        <w:ind w:right="3099"/>
        <w:spacing w:after="0"/>
        <w:rPr>
          <w:sz w:val="20"/>
          <w:szCs w:val="20"/>
          <w:color w:val="auto"/>
        </w:rPr>
      </w:pPr>
      <w:r>
        <w:rPr>
          <w:rFonts w:ascii="Courier New" w:cs="Courier New" w:eastAsia="Courier New" w:hAnsi="Courier New"/>
          <w:sz w:val="15"/>
          <w:szCs w:val="15"/>
          <w:color w:val="auto"/>
        </w:rPr>
        <w:t>FINANCIAL STATEMENTS AS OF MARCH 31, 2006</w:t>
      </w:r>
    </w:p>
    <w:p>
      <w:pPr>
        <w:jc w:val="center"/>
        <w:ind w:right="3179"/>
        <w:spacing w:after="0" w:line="238" w:lineRule="auto"/>
        <w:rPr>
          <w:sz w:val="20"/>
          <w:szCs w:val="20"/>
          <w:color w:val="auto"/>
        </w:rPr>
      </w:pPr>
      <w:r>
        <w:rPr>
          <w:rFonts w:ascii="Courier New" w:cs="Courier New" w:eastAsia="Courier New" w:hAnsi="Courier New"/>
          <w:sz w:val="15"/>
          <w:szCs w:val="15"/>
          <w:color w:val="auto"/>
        </w:rPr>
        <w:t>(dollars in thousands, except share data and per share data)</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1 - GENERAL (cont.)</w:t>
      </w:r>
    </w:p>
    <w:p>
      <w:pPr>
        <w:spacing w:after="0" w:line="169" w:lineRule="exact"/>
        <w:rPr>
          <w:sz w:val="20"/>
          <w:szCs w:val="20"/>
          <w:color w:val="auto"/>
        </w:rPr>
      </w:pPr>
    </w:p>
    <w:p>
      <w:pPr>
        <w:ind w:left="880" w:hanging="449"/>
        <w:spacing w:after="0"/>
        <w:tabs>
          <w:tab w:leader="none" w:pos="880"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BASIS FOR PRESENTATION (cont.)</w:t>
      </w:r>
    </w:p>
    <w:p>
      <w:pPr>
        <w:spacing w:after="0" w:line="174" w:lineRule="exact"/>
        <w:rPr>
          <w:rFonts w:ascii="Courier New" w:cs="Courier New" w:eastAsia="Courier New" w:hAnsi="Courier New"/>
          <w:sz w:val="15"/>
          <w:szCs w:val="15"/>
          <w:color w:val="auto"/>
        </w:rPr>
      </w:pPr>
    </w:p>
    <w:p>
      <w:pPr>
        <w:ind w:left="1320" w:right="3799" w:hanging="448"/>
        <w:spacing w:after="0" w:line="235" w:lineRule="auto"/>
        <w:tabs>
          <w:tab w:leader="none" w:pos="1320" w:val="left"/>
        </w:tabs>
        <w:numPr>
          <w:ilvl w:val="1"/>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RECENT ACCOUNTING PRONOUNCEMENTS BY THE ISRAELI ACCOUNTING STANDARDS BOARD (cont.)</w:t>
      </w:r>
    </w:p>
    <w:p>
      <w:pPr>
        <w:spacing w:after="0" w:line="170" w:lineRule="exact"/>
        <w:rPr>
          <w:rFonts w:ascii="Courier New" w:cs="Courier New" w:eastAsia="Courier New" w:hAnsi="Courier New"/>
          <w:sz w:val="15"/>
          <w:szCs w:val="15"/>
          <w:color w:val="auto"/>
        </w:rPr>
      </w:pPr>
    </w:p>
    <w:p>
      <w:pPr>
        <w:ind w:left="1760" w:hanging="447"/>
        <w:spacing w:after="0"/>
        <w:tabs>
          <w:tab w:leader="none" w:pos="1760" w:val="left"/>
        </w:tabs>
        <w:numPr>
          <w:ilvl w:val="2"/>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ACCOUNTING STANDARD NO. 21 "EARNINGS PER SHARE" (cont.)</w:t>
      </w:r>
    </w:p>
    <w:p>
      <w:pPr>
        <w:spacing w:after="0" w:line="174" w:lineRule="exact"/>
        <w:rPr>
          <w:rFonts w:ascii="Courier New" w:cs="Courier New" w:eastAsia="Courier New" w:hAnsi="Courier New"/>
          <w:sz w:val="15"/>
          <w:szCs w:val="15"/>
          <w:color w:val="auto"/>
        </w:rPr>
      </w:pPr>
    </w:p>
    <w:p>
      <w:pPr>
        <w:ind w:left="1760" w:right="3179"/>
        <w:spacing w:after="0" w:line="257"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Standard No. 21 is effective for financial statements for periods commencing January 1, 2006 or thereafter. The adoption of Standard No. 21 is accounted for retrospectively and a comparative earnings per share data for prior periods is adjusted. Accordingly, the loss per share presented in the financial statements for the 12 months ended December 31, 2005 was adjusted from $2.55 to $3.06.</w:t>
      </w:r>
    </w:p>
    <w:p>
      <w:pPr>
        <w:spacing w:after="0" w:line="167" w:lineRule="exact"/>
        <w:rPr>
          <w:rFonts w:ascii="Courier New" w:cs="Courier New" w:eastAsia="Courier New" w:hAnsi="Courier New"/>
          <w:sz w:val="15"/>
          <w:szCs w:val="15"/>
          <w:color w:val="auto"/>
        </w:rPr>
      </w:pPr>
    </w:p>
    <w:p>
      <w:pPr>
        <w:ind w:left="1760" w:right="4059" w:hanging="447"/>
        <w:spacing w:after="0" w:line="235" w:lineRule="auto"/>
        <w:tabs>
          <w:tab w:leader="none" w:pos="1760" w:val="left"/>
        </w:tabs>
        <w:numPr>
          <w:ilvl w:val="2"/>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ACCOUNTING STANDARD NO. 22 "FINANCIAL INSTRUMENTS: DISCLOSURE AND PRESENTATION"</w:t>
      </w:r>
    </w:p>
    <w:p>
      <w:pPr>
        <w:spacing w:after="0" w:line="175" w:lineRule="exact"/>
        <w:rPr>
          <w:rFonts w:ascii="Courier New" w:cs="Courier New" w:eastAsia="Courier New" w:hAnsi="Courier New"/>
          <w:sz w:val="15"/>
          <w:szCs w:val="15"/>
          <w:color w:val="auto"/>
        </w:rPr>
      </w:pPr>
    </w:p>
    <w:p>
      <w:pPr>
        <w:ind w:left="1760" w:right="3879"/>
        <w:spacing w:after="0" w:line="256"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In July 2005, the Israeli Accounting Standards Board approved for publication Accounting Standard No. 22 "Financial Instruments: Disclosure and Presentation"</w:t>
      </w:r>
    </w:p>
    <w:p>
      <w:pPr>
        <w:ind w:left="1760" w:right="3179"/>
        <w:spacing w:after="0" w:line="239"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("Standard No. 22"). A financial instrument under Standard No. 22 is defined, in general, as any contract that establishes a financial asset of an entity, or a financial liability or equity instrument of another entity. Standard No. 22 establishes the requirements for presentation of financial instruments in the financial statements and indicates the information that should be disclosed in relation thereto, and, in certain cases, the method to measure their impact on the entity's financial statements. The presentation requirements relate to the classification of financial instruments as financial assets, financial liabilities or equity instruments. It also deals with the classification of related interest, dividends, losses and gains and to the circumstances under which financial assets and financial liabilities are to be offset. Standard No. 22 establishes requirements for disclosure of information relating to factors affecting the amount, timing and certainty of the entity's future cash flows relating to financial instruments and accounting policy implemented in respect of these instruments. Standard No. 22 also establishes requirements for disclosure of information about the nature and the extent of an entity's use of financial instruments, the business purposes they serve, the risks associated with them and management's policies for the oversight of those risks.</w:t>
      </w:r>
    </w:p>
    <w:p>
      <w:pPr>
        <w:spacing w:after="0" w:line="176" w:lineRule="exact"/>
        <w:rPr>
          <w:rFonts w:ascii="Courier New" w:cs="Courier New" w:eastAsia="Courier New" w:hAnsi="Courier New"/>
          <w:sz w:val="15"/>
          <w:szCs w:val="15"/>
          <w:color w:val="auto"/>
        </w:rPr>
      </w:pPr>
    </w:p>
    <w:p>
      <w:pPr>
        <w:ind w:left="1760" w:right="3179"/>
        <w:spacing w:after="0" w:line="257"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Standard No. 22 is effective for financial statements for periods commencing January 1, 2006 or thereafter. Financial instruments issued before the effective date of Standard No. 22 will be classified and presented in accordance with its provisions commencing from the effective date. Comparative financial statements for prior periods are not to be adjusted. The Company issued two series of convertible debentures that are considered compound instruments under Standard No. 22. A compound instrument has to be separated to its components, the equity component and the liability component. The equity component is classified as shareholders' equity and is determined as the excess of the total value over the fair value of the liability component.</w:t>
      </w:r>
    </w:p>
    <w:p>
      <w:pPr>
        <w:spacing w:after="0" w:line="329" w:lineRule="exact"/>
        <w:rPr>
          <w:rFonts w:ascii="Courier New" w:cs="Courier New" w:eastAsia="Courier New" w:hAnsi="Courier New"/>
          <w:sz w:val="15"/>
          <w:szCs w:val="15"/>
          <w:color w:val="auto"/>
        </w:rPr>
      </w:pPr>
    </w:p>
    <w:p>
      <w:pPr>
        <w:ind w:left="3420" w:hanging="168"/>
        <w:spacing w:after="0"/>
        <w:tabs>
          <w:tab w:leader="none" w:pos="3420" w:val="left"/>
        </w:tabs>
        <w:numPr>
          <w:ilvl w:val="3"/>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6 -</w:t>
      </w:r>
    </w:p>
    <w:p>
      <w:pPr>
        <w:sectPr>
          <w:pgSz w:w="11900" w:h="16838" w:orient="portrait"/>
          <w:cols w:equalWidth="0" w:num="1">
            <w:col w:w="10219"/>
          </w:cols>
          <w:pgMar w:left="240" w:top="791" w:right="1440" w:bottom="1440" w:gutter="0" w:footer="0" w:header="0"/>
        </w:sectPr>
      </w:pPr>
    </w:p>
    <w:bookmarkStart w:id="11" w:name="page12"/>
    <w:bookmarkEnd w:id="11"/>
    <w:p>
      <w:pPr>
        <w:jc w:val="center"/>
        <w:ind w:right="3099"/>
        <w:spacing w:after="0"/>
        <w:rPr>
          <w:sz w:val="20"/>
          <w:szCs w:val="20"/>
          <w:color w:val="auto"/>
        </w:rPr>
      </w:pPr>
      <w:r>
        <w:rPr>
          <w:rFonts w:ascii="Courier New" w:cs="Courier New" w:eastAsia="Courier New" w:hAnsi="Courier New"/>
          <w:sz w:val="15"/>
          <w:szCs w:val="15"/>
          <w:color w:val="auto"/>
        </w:rPr>
        <w:t>TOWER SEMICONDUCTOR LTD. AND SUBSIDIARY</w:t>
      </w:r>
    </w:p>
    <w:p>
      <w:pPr>
        <w:jc w:val="center"/>
        <w:ind w:right="3099"/>
        <w:spacing w:after="0"/>
        <w:rPr>
          <w:sz w:val="20"/>
          <w:szCs w:val="20"/>
          <w:color w:val="auto"/>
        </w:rPr>
      </w:pPr>
      <w:r>
        <w:rPr>
          <w:rFonts w:ascii="Courier New" w:cs="Courier New" w:eastAsia="Courier New" w:hAnsi="Courier New"/>
          <w:sz w:val="15"/>
          <w:szCs w:val="15"/>
          <w:color w:val="auto"/>
        </w:rPr>
        <w:t>NOTES TO UNAUDITED CONDENSED INTERIM CONSOLIDATED</w:t>
      </w:r>
    </w:p>
    <w:p>
      <w:pPr>
        <w:jc w:val="center"/>
        <w:ind w:right="3099"/>
        <w:spacing w:after="0"/>
        <w:rPr>
          <w:sz w:val="20"/>
          <w:szCs w:val="20"/>
          <w:color w:val="auto"/>
        </w:rPr>
      </w:pPr>
      <w:r>
        <w:rPr>
          <w:rFonts w:ascii="Courier New" w:cs="Courier New" w:eastAsia="Courier New" w:hAnsi="Courier New"/>
          <w:sz w:val="15"/>
          <w:szCs w:val="15"/>
          <w:color w:val="auto"/>
        </w:rPr>
        <w:t>FINANCIAL STATEMENTS AS OF MARCH 31, 2006</w:t>
      </w:r>
    </w:p>
    <w:p>
      <w:pPr>
        <w:jc w:val="center"/>
        <w:ind w:right="3179"/>
        <w:spacing w:after="0" w:line="238" w:lineRule="auto"/>
        <w:rPr>
          <w:sz w:val="20"/>
          <w:szCs w:val="20"/>
          <w:color w:val="auto"/>
        </w:rPr>
      </w:pPr>
      <w:r>
        <w:rPr>
          <w:rFonts w:ascii="Courier New" w:cs="Courier New" w:eastAsia="Courier New" w:hAnsi="Courier New"/>
          <w:sz w:val="15"/>
          <w:szCs w:val="15"/>
          <w:color w:val="auto"/>
        </w:rPr>
        <w:t>(dollars in thousands, except share data and per share data)</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1 - GENERAL (cont.)</w:t>
      </w:r>
    </w:p>
    <w:p>
      <w:pPr>
        <w:spacing w:after="0" w:line="169" w:lineRule="exact"/>
        <w:rPr>
          <w:sz w:val="20"/>
          <w:szCs w:val="20"/>
          <w:color w:val="auto"/>
        </w:rPr>
      </w:pPr>
    </w:p>
    <w:p>
      <w:pPr>
        <w:ind w:left="880" w:hanging="449"/>
        <w:spacing w:after="0"/>
        <w:tabs>
          <w:tab w:leader="none" w:pos="880"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BASIS FOR PRESENTATION (cont.)</w:t>
      </w:r>
    </w:p>
    <w:p>
      <w:pPr>
        <w:spacing w:after="0" w:line="174" w:lineRule="exact"/>
        <w:rPr>
          <w:rFonts w:ascii="Courier New" w:cs="Courier New" w:eastAsia="Courier New" w:hAnsi="Courier New"/>
          <w:sz w:val="15"/>
          <w:szCs w:val="15"/>
          <w:color w:val="auto"/>
        </w:rPr>
      </w:pPr>
    </w:p>
    <w:p>
      <w:pPr>
        <w:ind w:left="1320" w:right="3799" w:hanging="448"/>
        <w:spacing w:after="0" w:line="235" w:lineRule="auto"/>
        <w:tabs>
          <w:tab w:leader="none" w:pos="1320" w:val="left"/>
        </w:tabs>
        <w:numPr>
          <w:ilvl w:val="1"/>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RECENT ACCOUNTING PRONOUNCEMENTS BY THE ISRAELI ACCOUNTING STANDARDS BOARD (cont.)</w:t>
      </w:r>
    </w:p>
    <w:p>
      <w:pPr>
        <w:spacing w:after="0" w:line="170" w:lineRule="exact"/>
        <w:rPr>
          <w:rFonts w:ascii="Courier New" w:cs="Courier New" w:eastAsia="Courier New" w:hAnsi="Courier New"/>
          <w:sz w:val="15"/>
          <w:szCs w:val="15"/>
          <w:color w:val="auto"/>
        </w:rPr>
      </w:pPr>
    </w:p>
    <w:p>
      <w:pPr>
        <w:ind w:left="1760" w:hanging="447"/>
        <w:spacing w:after="0"/>
        <w:tabs>
          <w:tab w:leader="none" w:pos="1760" w:val="left"/>
        </w:tabs>
        <w:numPr>
          <w:ilvl w:val="2"/>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ACCOUNTING STANDARD NO. 25 "REVENUES"</w:t>
      </w:r>
    </w:p>
    <w:p>
      <w:pPr>
        <w:spacing w:after="0" w:line="174" w:lineRule="exact"/>
        <w:rPr>
          <w:rFonts w:ascii="Courier New" w:cs="Courier New" w:eastAsia="Courier New" w:hAnsi="Courier New"/>
          <w:sz w:val="15"/>
          <w:szCs w:val="15"/>
          <w:color w:val="auto"/>
        </w:rPr>
      </w:pPr>
    </w:p>
    <w:p>
      <w:pPr>
        <w:ind w:left="1760" w:right="3539"/>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In February 2006, the Israeli Accounting Standards Board approved for publication Accounting Standard No. 25, "Revenues" ("Standard No. 25").</w:t>
      </w:r>
    </w:p>
    <w:p>
      <w:pPr>
        <w:spacing w:after="0" w:line="174" w:lineRule="exact"/>
        <w:rPr>
          <w:rFonts w:ascii="Courier New" w:cs="Courier New" w:eastAsia="Courier New" w:hAnsi="Courier New"/>
          <w:sz w:val="15"/>
          <w:szCs w:val="15"/>
          <w:color w:val="auto"/>
        </w:rPr>
      </w:pPr>
    </w:p>
    <w:p>
      <w:pPr>
        <w:ind w:left="1760" w:right="3179"/>
        <w:spacing w:after="0" w:line="257"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Standard No. 25 establishes the requirements for recognition criteria, measurement, disclosure and presentation of revenues arising from sale of goods, rendering of services and from the use by others of entity assets yielding interest, royalties and dividends. Standard No. 25 prescribes that revenue shall be measured at the fair value of the consideration received or receivable.</w:t>
      </w:r>
    </w:p>
    <w:p>
      <w:pPr>
        <w:spacing w:after="0" w:line="167" w:lineRule="exact"/>
        <w:rPr>
          <w:rFonts w:ascii="Courier New" w:cs="Courier New" w:eastAsia="Courier New" w:hAnsi="Courier New"/>
          <w:sz w:val="15"/>
          <w:szCs w:val="15"/>
          <w:color w:val="auto"/>
        </w:rPr>
      </w:pPr>
    </w:p>
    <w:p>
      <w:pPr>
        <w:ind w:left="1760" w:right="3439"/>
        <w:spacing w:after="0" w:line="235"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Standard No. 25 is effective for financial statements for periods commencing January 1, 2006 or thereafter.</w:t>
      </w:r>
    </w:p>
    <w:p>
      <w:pPr>
        <w:spacing w:after="0" w:line="175" w:lineRule="exact"/>
        <w:rPr>
          <w:rFonts w:ascii="Courier New" w:cs="Courier New" w:eastAsia="Courier New" w:hAnsi="Courier New"/>
          <w:sz w:val="15"/>
          <w:szCs w:val="15"/>
          <w:color w:val="auto"/>
        </w:rPr>
      </w:pPr>
    </w:p>
    <w:p>
      <w:pPr>
        <w:ind w:left="1760" w:right="3359"/>
        <w:spacing w:after="0" w:line="235"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adoption of the standard had no material effect on the financial statements.</w:t>
      </w:r>
    </w:p>
    <w:p>
      <w:pPr>
        <w:spacing w:after="0" w:line="170" w:lineRule="exact"/>
        <w:rPr>
          <w:rFonts w:ascii="Courier New" w:cs="Courier New" w:eastAsia="Courier New" w:hAnsi="Courier New"/>
          <w:sz w:val="15"/>
          <w:szCs w:val="15"/>
          <w:color w:val="auto"/>
        </w:rPr>
      </w:pPr>
    </w:p>
    <w:p>
      <w:pPr>
        <w:ind w:left="880" w:hanging="449"/>
        <w:spacing w:after="0"/>
        <w:tabs>
          <w:tab w:leader="none" w:pos="880"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ESTABLISHMENT AND OPERATIONS OF NEW FABRICATION FACILITY ("FAB 2")</w:t>
      </w:r>
    </w:p>
    <w:p>
      <w:pPr>
        <w:spacing w:after="0" w:line="174" w:lineRule="exact"/>
        <w:rPr>
          <w:rFonts w:ascii="Courier New" w:cs="Courier New" w:eastAsia="Courier New" w:hAnsi="Courier New"/>
          <w:sz w:val="15"/>
          <w:szCs w:val="15"/>
          <w:color w:val="auto"/>
        </w:rPr>
      </w:pPr>
    </w:p>
    <w:p>
      <w:pPr>
        <w:ind w:left="880" w:right="3179"/>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In January 2001, the Company's Board of Directors approved the establishment of a new wafer fabrication facility in Israel ("Fab 2"). Fab 2 is designated to manufacture semiconductor integrated circuits on silicon wafers in geometries of 0.18 micron and below on</w:t>
      </w:r>
    </w:p>
    <w:p>
      <w:pPr>
        <w:spacing w:after="0" w:line="6" w:lineRule="exact"/>
        <w:rPr>
          <w:rFonts w:ascii="Courier New" w:cs="Courier New" w:eastAsia="Courier New" w:hAnsi="Courier New"/>
          <w:sz w:val="15"/>
          <w:szCs w:val="15"/>
          <w:color w:val="auto"/>
        </w:rPr>
      </w:pPr>
    </w:p>
    <w:p>
      <w:pPr>
        <w:ind w:left="880" w:right="3179"/>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200-millimeter wafers. The Company has entered into several related agreements and other arrangements and has completed public and private financing deals, which, as of the approval date of the interim financial statements, have provided an aggregate of approximately $1,260,000 of financing for Fab 2.</w:t>
      </w:r>
    </w:p>
    <w:p>
      <w:pPr>
        <w:spacing w:after="0" w:line="178" w:lineRule="exact"/>
        <w:rPr>
          <w:rFonts w:ascii="Courier New" w:cs="Courier New" w:eastAsia="Courier New" w:hAnsi="Courier New"/>
          <w:sz w:val="15"/>
          <w:szCs w:val="15"/>
          <w:color w:val="auto"/>
        </w:rPr>
      </w:pPr>
    </w:p>
    <w:p>
      <w:pPr>
        <w:ind w:left="880" w:right="3259"/>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Fab 2 project is a complex undertaking, which entails substantial risks and uncertainties. For further details concerning the Fab 2 project and related agreements, some of which were amended several times, risks and uncertainties, see Note 11A to the 2005 audited consolidated financial statements.</w:t>
      </w:r>
    </w:p>
    <w:p>
      <w:pPr>
        <w:spacing w:after="0" w:line="342" w:lineRule="exact"/>
        <w:rPr>
          <w:rFonts w:ascii="Courier New" w:cs="Courier New" w:eastAsia="Courier New" w:hAnsi="Courier New"/>
          <w:sz w:val="15"/>
          <w:szCs w:val="15"/>
          <w:color w:val="auto"/>
        </w:rPr>
      </w:pPr>
    </w:p>
    <w:p>
      <w:pPr>
        <w:ind w:left="3420" w:hanging="168"/>
        <w:spacing w:after="0"/>
        <w:tabs>
          <w:tab w:leader="none" w:pos="3420" w:val="left"/>
        </w:tabs>
        <w:numPr>
          <w:ilvl w:val="3"/>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7 -</w:t>
      </w:r>
    </w:p>
    <w:p>
      <w:pPr>
        <w:sectPr>
          <w:pgSz w:w="11900" w:h="16838" w:orient="portrait"/>
          <w:cols w:equalWidth="0" w:num="1">
            <w:col w:w="10219"/>
          </w:cols>
          <w:pgMar w:left="240" w:top="791" w:right="1440" w:bottom="1440" w:gutter="0" w:footer="0" w:header="0"/>
        </w:sectPr>
      </w:pPr>
    </w:p>
    <w:bookmarkStart w:id="12" w:name="page13"/>
    <w:bookmarkEnd w:id="12"/>
    <w:p>
      <w:pPr>
        <w:jc w:val="center"/>
        <w:ind w:right="3099"/>
        <w:spacing w:after="0"/>
        <w:rPr>
          <w:sz w:val="20"/>
          <w:szCs w:val="20"/>
          <w:color w:val="auto"/>
        </w:rPr>
      </w:pPr>
      <w:r>
        <w:rPr>
          <w:rFonts w:ascii="Courier New" w:cs="Courier New" w:eastAsia="Courier New" w:hAnsi="Courier New"/>
          <w:sz w:val="15"/>
          <w:szCs w:val="15"/>
          <w:color w:val="auto"/>
        </w:rPr>
        <w:t>TOWER SEMICONDUCTOR LTD. AND SUBSIDIARY</w:t>
      </w:r>
    </w:p>
    <w:p>
      <w:pPr>
        <w:jc w:val="center"/>
        <w:ind w:right="3099"/>
        <w:spacing w:after="0"/>
        <w:rPr>
          <w:sz w:val="20"/>
          <w:szCs w:val="20"/>
          <w:color w:val="auto"/>
        </w:rPr>
      </w:pPr>
      <w:r>
        <w:rPr>
          <w:rFonts w:ascii="Courier New" w:cs="Courier New" w:eastAsia="Courier New" w:hAnsi="Courier New"/>
          <w:sz w:val="15"/>
          <w:szCs w:val="15"/>
          <w:color w:val="auto"/>
        </w:rPr>
        <w:t>NOTES TO UNAUDITED CONDENSED INTERIM CONSOLIDATED</w:t>
      </w:r>
    </w:p>
    <w:p>
      <w:pPr>
        <w:jc w:val="center"/>
        <w:ind w:right="3099"/>
        <w:spacing w:after="0"/>
        <w:rPr>
          <w:sz w:val="20"/>
          <w:szCs w:val="20"/>
          <w:color w:val="auto"/>
        </w:rPr>
      </w:pPr>
      <w:r>
        <w:rPr>
          <w:rFonts w:ascii="Courier New" w:cs="Courier New" w:eastAsia="Courier New" w:hAnsi="Courier New"/>
          <w:sz w:val="15"/>
          <w:szCs w:val="15"/>
          <w:color w:val="auto"/>
        </w:rPr>
        <w:t>FINANCIAL STATEMENTS AS OF MARCH 31, 2006</w:t>
      </w:r>
    </w:p>
    <w:p>
      <w:pPr>
        <w:jc w:val="center"/>
        <w:ind w:right="3179"/>
        <w:spacing w:after="0" w:line="238" w:lineRule="auto"/>
        <w:rPr>
          <w:sz w:val="20"/>
          <w:szCs w:val="20"/>
          <w:color w:val="auto"/>
        </w:rPr>
      </w:pPr>
      <w:r>
        <w:rPr>
          <w:rFonts w:ascii="Courier New" w:cs="Courier New" w:eastAsia="Courier New" w:hAnsi="Courier New"/>
          <w:sz w:val="15"/>
          <w:szCs w:val="15"/>
          <w:color w:val="auto"/>
        </w:rPr>
        <w:t>(dollars in thousands, except share data and per share data)</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1 - GENERAL (cont.)</w:t>
      </w:r>
    </w:p>
    <w:p>
      <w:pPr>
        <w:spacing w:after="0" w:line="169" w:lineRule="exact"/>
        <w:rPr>
          <w:sz w:val="20"/>
          <w:szCs w:val="20"/>
          <w:color w:val="auto"/>
        </w:rPr>
      </w:pPr>
    </w:p>
    <w:p>
      <w:pPr>
        <w:ind w:left="880" w:hanging="449"/>
        <w:spacing w:after="0"/>
        <w:tabs>
          <w:tab w:leader="none" w:pos="880"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FINANCING OF THE COMPANY'S ONGOING OPERATIONS</w:t>
      </w:r>
    </w:p>
    <w:p>
      <w:pPr>
        <w:spacing w:after="0" w:line="174" w:lineRule="exact"/>
        <w:rPr>
          <w:rFonts w:ascii="Courier New" w:cs="Courier New" w:eastAsia="Courier New" w:hAnsi="Courier New"/>
          <w:sz w:val="15"/>
          <w:szCs w:val="15"/>
          <w:color w:val="auto"/>
        </w:rPr>
      </w:pPr>
    </w:p>
    <w:p>
      <w:pPr>
        <w:ind w:left="880" w:right="3179"/>
        <w:spacing w:after="0" w:line="238"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In the three months ended March 31, 2006 and in recent years, the Company has experienced significant recurring losses from operations, recurring negative cash flows from operating activities, an increasing accumulated deficit and a deficit in shareholders equity. According to the Company's approved short-term working plan, based on the current prevailing semiconductor market conditions, the Company needs to raise funds in order to finance its short-term activities and liabilities in 2006.</w:t>
      </w:r>
    </w:p>
    <w:p>
      <w:pPr>
        <w:spacing w:after="0" w:line="177" w:lineRule="exact"/>
        <w:rPr>
          <w:rFonts w:ascii="Courier New" w:cs="Courier New" w:eastAsia="Courier New" w:hAnsi="Courier New"/>
          <w:sz w:val="15"/>
          <w:szCs w:val="15"/>
          <w:color w:val="auto"/>
        </w:rPr>
      </w:pPr>
    </w:p>
    <w:p>
      <w:pPr>
        <w:ind w:left="880" w:right="3259"/>
        <w:spacing w:after="0" w:line="259"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In May 2006 the Company signed an amendment to the Facility Agreement with its Banks, according to which repayments of long-terms loans in the amount of approximately $100,000, formerly scheduled to be paid between October 2006 and June 2007, were deferred to July 2007.</w:t>
      </w:r>
    </w:p>
    <w:p>
      <w:pPr>
        <w:spacing w:after="0" w:line="162" w:lineRule="exact"/>
        <w:rPr>
          <w:rFonts w:ascii="Courier New" w:cs="Courier New" w:eastAsia="Courier New" w:hAnsi="Courier New"/>
          <w:sz w:val="15"/>
          <w:szCs w:val="15"/>
          <w:color w:val="auto"/>
        </w:rPr>
      </w:pPr>
    </w:p>
    <w:p>
      <w:pPr>
        <w:ind w:left="880" w:right="3179"/>
        <w:spacing w:after="0" w:line="238"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In March 2006, the Company's Board of Directors approved the Company's plan to ramp up Fab 2 in order to meet the Company's customer and product qualification needs, based on its customer pipeline, reinforced by forecasted market conditions. According to this plan, the Company will need to raise approximately $130,000 during 2006, which will take the current Fab 2 capacity to approximately 24,000 wafers per month.</w:t>
      </w:r>
    </w:p>
    <w:p>
      <w:pPr>
        <w:spacing w:after="0" w:line="176" w:lineRule="exact"/>
        <w:rPr>
          <w:rFonts w:ascii="Courier New" w:cs="Courier New" w:eastAsia="Courier New" w:hAnsi="Courier New"/>
          <w:sz w:val="15"/>
          <w:szCs w:val="15"/>
          <w:color w:val="auto"/>
        </w:rPr>
      </w:pPr>
    </w:p>
    <w:p>
      <w:pPr>
        <w:ind w:left="880" w:right="3179"/>
        <w:spacing w:after="0" w:line="256"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As part of the financing efforts for that expansion plan, in May 2006, the Company and its Banks signed a Memorandum of Understanding ("MOU") for the refinancing of the $526,693 in long term debt, according to which: (i) 30% of such debt will be converted to equity for 51,973,684 ordinary shares of the Company, based on a formula using the average closing price during the 10-day period prior to signing the MOU; (ii) the interest rate of the long-term loans will be decreased from LIBOR plus 2.5% per annum to LIBOR plus 1.1% per annum; and (iii) the commencement date for the repayment of principal shall be postponed from July 2007 to September 2009. The terms of the MOU are subject to a commitment of Israel Corporation Ltd. ("TIC") to the Company's Banks to invest $100,000 in the Company's capacity expansion as described below. The MOU is further subject to reaching a definitive amendment to the Facility Agreement based on the terms of the MOU. In this regard, TIC has committed to invest $100,000 in the Company for 65,789,474 ordinary shares of the Company, based on the base price used in the formula under which the banks will be issued shares. Such amount may include amounts that may be payable by the Company to TIC in connection with the agreement for the ordering of equipment described below. TIC's investment is subject to the signing of a definitive investment agreement between the Company and TIC, the approval of the Company's audit committee, board of directors and shareholders and the closing of a definitive amendment to the Facility Agreement with the Banks based on the terms of the MOU.</w:t>
      </w:r>
    </w:p>
    <w:p>
      <w:pPr>
        <w:spacing w:after="0" w:line="346" w:lineRule="exact"/>
        <w:rPr>
          <w:rFonts w:ascii="Courier New" w:cs="Courier New" w:eastAsia="Courier New" w:hAnsi="Courier New"/>
          <w:sz w:val="15"/>
          <w:szCs w:val="15"/>
          <w:color w:val="auto"/>
        </w:rPr>
      </w:pPr>
    </w:p>
    <w:p>
      <w:pPr>
        <w:ind w:left="880" w:right="3179"/>
        <w:spacing w:after="0" w:line="235"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is currently examining alternatives for additional funding sources.</w:t>
      </w:r>
    </w:p>
    <w:p>
      <w:pPr>
        <w:spacing w:after="0" w:line="339" w:lineRule="exact"/>
        <w:rPr>
          <w:rFonts w:ascii="Courier New" w:cs="Courier New" w:eastAsia="Courier New" w:hAnsi="Courier New"/>
          <w:sz w:val="15"/>
          <w:szCs w:val="15"/>
          <w:color w:val="auto"/>
        </w:rPr>
      </w:pPr>
    </w:p>
    <w:p>
      <w:pPr>
        <w:ind w:left="3420" w:hanging="168"/>
        <w:spacing w:after="0"/>
        <w:tabs>
          <w:tab w:leader="none" w:pos="3420" w:val="left"/>
        </w:tabs>
        <w:numPr>
          <w:ilvl w:val="1"/>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8 -</w:t>
      </w:r>
    </w:p>
    <w:p>
      <w:pPr>
        <w:sectPr>
          <w:pgSz w:w="11900" w:h="16838" w:orient="portrait"/>
          <w:cols w:equalWidth="0" w:num="1">
            <w:col w:w="10219"/>
          </w:cols>
          <w:pgMar w:left="240" w:top="791" w:right="1440" w:bottom="1440" w:gutter="0" w:footer="0" w:header="0"/>
        </w:sectPr>
      </w:pPr>
    </w:p>
    <w:bookmarkStart w:id="13" w:name="page14"/>
    <w:bookmarkEnd w:id="13"/>
    <w:p>
      <w:pPr>
        <w:jc w:val="center"/>
        <w:ind w:right="3099"/>
        <w:spacing w:after="0"/>
        <w:rPr>
          <w:sz w:val="20"/>
          <w:szCs w:val="20"/>
          <w:color w:val="auto"/>
        </w:rPr>
      </w:pPr>
      <w:r>
        <w:rPr>
          <w:rFonts w:ascii="Courier New" w:cs="Courier New" w:eastAsia="Courier New" w:hAnsi="Courier New"/>
          <w:sz w:val="15"/>
          <w:szCs w:val="15"/>
          <w:color w:val="auto"/>
        </w:rPr>
        <w:t>TOWER SEMICONDUCTOR LTD. AND SUBSIDIARY</w:t>
      </w:r>
    </w:p>
    <w:p>
      <w:pPr>
        <w:jc w:val="center"/>
        <w:ind w:right="3099"/>
        <w:spacing w:after="0"/>
        <w:rPr>
          <w:sz w:val="20"/>
          <w:szCs w:val="20"/>
          <w:color w:val="auto"/>
        </w:rPr>
      </w:pPr>
      <w:r>
        <w:rPr>
          <w:rFonts w:ascii="Courier New" w:cs="Courier New" w:eastAsia="Courier New" w:hAnsi="Courier New"/>
          <w:sz w:val="15"/>
          <w:szCs w:val="15"/>
          <w:color w:val="auto"/>
        </w:rPr>
        <w:t>NOTES TO UNAUDITED CONDENSED INTERIM CONSOLIDATED</w:t>
      </w:r>
    </w:p>
    <w:p>
      <w:pPr>
        <w:jc w:val="center"/>
        <w:ind w:right="3099"/>
        <w:spacing w:after="0"/>
        <w:rPr>
          <w:sz w:val="20"/>
          <w:szCs w:val="20"/>
          <w:color w:val="auto"/>
        </w:rPr>
      </w:pPr>
      <w:r>
        <w:rPr>
          <w:rFonts w:ascii="Courier New" w:cs="Courier New" w:eastAsia="Courier New" w:hAnsi="Courier New"/>
          <w:sz w:val="15"/>
          <w:szCs w:val="15"/>
          <w:color w:val="auto"/>
        </w:rPr>
        <w:t>FINANCIAL STATEMENTS AS OF MARCH 31, 2006</w:t>
      </w:r>
    </w:p>
    <w:p>
      <w:pPr>
        <w:jc w:val="center"/>
        <w:ind w:right="3179"/>
        <w:spacing w:after="0" w:line="238" w:lineRule="auto"/>
        <w:rPr>
          <w:sz w:val="20"/>
          <w:szCs w:val="20"/>
          <w:color w:val="auto"/>
        </w:rPr>
      </w:pPr>
      <w:r>
        <w:rPr>
          <w:rFonts w:ascii="Courier New" w:cs="Courier New" w:eastAsia="Courier New" w:hAnsi="Courier New"/>
          <w:sz w:val="15"/>
          <w:szCs w:val="15"/>
          <w:color w:val="auto"/>
        </w:rPr>
        <w:t>(dollars in thousands, except share data and per share data)</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1 - GENERAL (cont.)</w:t>
      </w:r>
    </w:p>
    <w:p>
      <w:pPr>
        <w:spacing w:after="0" w:line="169" w:lineRule="exact"/>
        <w:rPr>
          <w:sz w:val="20"/>
          <w:szCs w:val="20"/>
          <w:color w:val="auto"/>
        </w:rPr>
      </w:pPr>
    </w:p>
    <w:p>
      <w:pPr>
        <w:ind w:left="880" w:hanging="449"/>
        <w:spacing w:after="0"/>
        <w:tabs>
          <w:tab w:leader="none" w:pos="880"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FINANCING OF THE COMPANY'S ONGOING OPERATIONS (cont.)</w:t>
      </w:r>
    </w:p>
    <w:p>
      <w:pPr>
        <w:spacing w:after="0" w:line="174" w:lineRule="exact"/>
        <w:rPr>
          <w:rFonts w:ascii="Courier New" w:cs="Courier New" w:eastAsia="Courier New" w:hAnsi="Courier New"/>
          <w:sz w:val="15"/>
          <w:szCs w:val="15"/>
          <w:color w:val="auto"/>
        </w:rPr>
      </w:pPr>
    </w:p>
    <w:p>
      <w:pPr>
        <w:ind w:left="880" w:right="3259"/>
        <w:spacing w:after="0" w:line="256"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In order to implement the acceleration plan in a timely manner, the Company and TIC entered into an agreement according to which TIC will order up to approximately $100,000 worth of equipment in connection with the ramp-up of Fab 2. Under the terms of the agreement: (i) TIC has the right to sell the equipment to the Company at cost, plus related expenses; (ii) the Company has the right to purchase the equipment from TIC at cost, plus related expenses, subject to the Company having raised $100,000; (iii) upon the sale of the equipment by TIC to the Company, the Company will assume TIC's obligations to the equipment suppliers; and (iv) if after 5 months from the signing of the agreement, the equipment has not been sold to the Company by TIC, TIC may sell the equipment to a third party and the Company will pay TIC the difference between the cost, plus related expenses, for the purchase of the equipment by TIC and the net sale price. This agreement was approved by the Audit Committee and the Board of Directors of the Company in May 2006 and may require the approval of the Company's shareholders if the Company shall have received by May 31, 2006 a written request by a shareholder or shareholders who hold at least 1% of the Company's issued and outstanding shares to bring the agreement to the Company's shareholders for approval.</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2 - INVENTORIES</w:t>
      </w:r>
    </w:p>
    <w:p>
      <w:pPr>
        <w:spacing w:after="0" w:line="169"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Inventories consist of the following (*):</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240" w:type="dxa"/>
            <w:vAlign w:val="bottom"/>
          </w:tcPr>
          <w:p>
            <w:pPr>
              <w:spacing w:after="0"/>
              <w:rPr>
                <w:sz w:val="14"/>
                <w:szCs w:val="14"/>
                <w:color w:val="auto"/>
              </w:rPr>
            </w:pPr>
          </w:p>
        </w:tc>
        <w:tc>
          <w:tcPr>
            <w:tcW w:w="1680" w:type="dxa"/>
            <w:vAlign w:val="bottom"/>
            <w:gridSpan w:val="2"/>
          </w:tcPr>
          <w:p>
            <w:pPr>
              <w:jc w:val="right"/>
              <w:ind w:right="247"/>
              <w:spacing w:after="0"/>
              <w:rPr>
                <w:sz w:val="20"/>
                <w:szCs w:val="20"/>
                <w:color w:val="auto"/>
              </w:rPr>
            </w:pPr>
            <w:r>
              <w:rPr>
                <w:rFonts w:ascii="Courier New" w:cs="Courier New" w:eastAsia="Courier New" w:hAnsi="Courier New"/>
                <w:sz w:val="15"/>
                <w:szCs w:val="15"/>
                <w:color w:val="auto"/>
              </w:rPr>
              <w:t>March 31,</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w w:val="99"/>
              </w:rPr>
              <w:t>December 31,</w:t>
            </w:r>
          </w:p>
        </w:tc>
      </w:tr>
      <w:tr>
        <w:trPr>
          <w:trHeight w:val="170"/>
        </w:trPr>
        <w:tc>
          <w:tcPr>
            <w:tcW w:w="2240" w:type="dxa"/>
            <w:vAlign w:val="bottom"/>
          </w:tcPr>
          <w:p>
            <w:pPr>
              <w:spacing w:after="0"/>
              <w:rPr>
                <w:sz w:val="14"/>
                <w:szCs w:val="14"/>
                <w:color w:val="auto"/>
              </w:rPr>
            </w:pPr>
          </w:p>
        </w:tc>
        <w:tc>
          <w:tcPr>
            <w:tcW w:w="16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r>
      <w:tr>
        <w:trPr>
          <w:trHeight w:val="170"/>
        </w:trPr>
        <w:tc>
          <w:tcPr>
            <w:tcW w:w="2240" w:type="dxa"/>
            <w:vAlign w:val="bottom"/>
          </w:tcPr>
          <w:p>
            <w:pPr>
              <w:spacing w:after="0"/>
              <w:rPr>
                <w:sz w:val="14"/>
                <w:szCs w:val="14"/>
                <w:color w:val="auto"/>
              </w:rPr>
            </w:pPr>
          </w:p>
        </w:tc>
        <w:tc>
          <w:tcPr>
            <w:tcW w:w="8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2006</w:t>
            </w:r>
          </w:p>
        </w:tc>
        <w:tc>
          <w:tcPr>
            <w:tcW w:w="8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2005</w:t>
            </w:r>
          </w:p>
        </w:tc>
        <w:tc>
          <w:tcPr>
            <w:tcW w:w="11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2005</w:t>
            </w:r>
          </w:p>
        </w:tc>
      </w:tr>
      <w:tr>
        <w:trPr>
          <w:trHeight w:val="170"/>
        </w:trPr>
        <w:tc>
          <w:tcPr>
            <w:tcW w:w="2240" w:type="dxa"/>
            <w:vAlign w:val="bottom"/>
          </w:tcPr>
          <w:p>
            <w:pPr>
              <w:spacing w:after="0"/>
              <w:rPr>
                <w:sz w:val="14"/>
                <w:szCs w:val="14"/>
                <w:color w:val="auto"/>
              </w:rPr>
            </w:pPr>
          </w:p>
        </w:tc>
        <w:tc>
          <w:tcPr>
            <w:tcW w:w="8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r>
      <w:tr>
        <w:trPr>
          <w:trHeight w:val="170"/>
        </w:trPr>
        <w:tc>
          <w:tcPr>
            <w:tcW w:w="2240" w:type="dxa"/>
            <w:vAlign w:val="bottom"/>
          </w:tcPr>
          <w:p>
            <w:pPr>
              <w:spacing w:after="0"/>
              <w:rPr>
                <w:sz w:val="14"/>
                <w:szCs w:val="14"/>
                <w:color w:val="auto"/>
              </w:rPr>
            </w:pPr>
          </w:p>
        </w:tc>
        <w:tc>
          <w:tcPr>
            <w:tcW w:w="1680" w:type="dxa"/>
            <w:vAlign w:val="bottom"/>
            <w:gridSpan w:val="2"/>
          </w:tcPr>
          <w:p>
            <w:pPr>
              <w:jc w:val="right"/>
              <w:ind w:right="247"/>
              <w:spacing w:after="0"/>
              <w:rPr>
                <w:sz w:val="20"/>
                <w:szCs w:val="20"/>
                <w:color w:val="auto"/>
              </w:rPr>
            </w:pPr>
            <w:r>
              <w:rPr>
                <w:rFonts w:ascii="Courier New" w:cs="Courier New" w:eastAsia="Courier New" w:hAnsi="Courier New"/>
                <w:sz w:val="15"/>
                <w:szCs w:val="15"/>
                <w:color w:val="auto"/>
              </w:rPr>
              <w:t>(unaudited)</w:t>
            </w:r>
          </w:p>
        </w:tc>
        <w:tc>
          <w:tcPr>
            <w:tcW w:w="1100" w:type="dxa"/>
            <w:vAlign w:val="bottom"/>
          </w:tcPr>
          <w:p>
            <w:pPr>
              <w:spacing w:after="0"/>
              <w:rPr>
                <w:sz w:val="14"/>
                <w:szCs w:val="14"/>
                <w:color w:val="auto"/>
              </w:rPr>
            </w:pPr>
          </w:p>
        </w:tc>
      </w:tr>
      <w:tr>
        <w:trPr>
          <w:trHeight w:val="339"/>
        </w:trPr>
        <w:tc>
          <w:tcPr>
            <w:tcW w:w="2240" w:type="dxa"/>
            <w:vAlign w:val="bottom"/>
          </w:tcPr>
          <w:p>
            <w:pPr>
              <w:spacing w:after="0"/>
              <w:rPr>
                <w:sz w:val="20"/>
                <w:szCs w:val="20"/>
                <w:color w:val="auto"/>
              </w:rPr>
            </w:pPr>
            <w:r>
              <w:rPr>
                <w:rFonts w:ascii="Courier New" w:cs="Courier New" w:eastAsia="Courier New" w:hAnsi="Courier New"/>
                <w:sz w:val="15"/>
                <w:szCs w:val="15"/>
                <w:color w:val="auto"/>
              </w:rPr>
              <w:t>Raw materials</w:t>
            </w:r>
          </w:p>
        </w:tc>
        <w:tc>
          <w:tcPr>
            <w:tcW w:w="8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$ 7,293</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$ 8,941</w:t>
            </w:r>
          </w:p>
        </w:tc>
        <w:tc>
          <w:tcPr>
            <w:tcW w:w="11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$ 6,777</w:t>
            </w:r>
          </w:p>
        </w:tc>
      </w:tr>
      <w:tr>
        <w:trPr>
          <w:trHeight w:val="170"/>
        </w:trPr>
        <w:tc>
          <w:tcPr>
            <w:tcW w:w="2240" w:type="dxa"/>
            <w:vAlign w:val="bottom"/>
          </w:tcPr>
          <w:p>
            <w:pPr>
              <w:spacing w:after="0"/>
              <w:rPr>
                <w:sz w:val="20"/>
                <w:szCs w:val="20"/>
                <w:color w:val="auto"/>
              </w:rPr>
            </w:pPr>
            <w:r>
              <w:rPr>
                <w:rFonts w:ascii="Courier New" w:cs="Courier New" w:eastAsia="Courier New" w:hAnsi="Courier New"/>
                <w:sz w:val="15"/>
                <w:szCs w:val="15"/>
                <w:color w:val="auto"/>
              </w:rPr>
              <w:t>Spare parts and supplies</w:t>
            </w:r>
          </w:p>
        </w:tc>
        <w:tc>
          <w:tcPr>
            <w:tcW w:w="8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4,280</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4,072</w:t>
            </w:r>
          </w:p>
        </w:tc>
        <w:tc>
          <w:tcPr>
            <w:tcW w:w="11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3,738</w:t>
            </w:r>
          </w:p>
        </w:tc>
      </w:tr>
      <w:tr>
        <w:trPr>
          <w:trHeight w:val="170"/>
        </w:trPr>
        <w:tc>
          <w:tcPr>
            <w:tcW w:w="2240" w:type="dxa"/>
            <w:vAlign w:val="bottom"/>
          </w:tcPr>
          <w:p>
            <w:pPr>
              <w:spacing w:after="0"/>
              <w:rPr>
                <w:sz w:val="20"/>
                <w:szCs w:val="20"/>
                <w:color w:val="auto"/>
              </w:rPr>
            </w:pPr>
            <w:r>
              <w:rPr>
                <w:rFonts w:ascii="Courier New" w:cs="Courier New" w:eastAsia="Courier New" w:hAnsi="Courier New"/>
                <w:sz w:val="15"/>
                <w:szCs w:val="15"/>
                <w:color w:val="auto"/>
              </w:rPr>
              <w:t>Work in process</w:t>
            </w:r>
          </w:p>
        </w:tc>
        <w:tc>
          <w:tcPr>
            <w:tcW w:w="8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14,552</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7,502</w:t>
            </w:r>
          </w:p>
        </w:tc>
        <w:tc>
          <w:tcPr>
            <w:tcW w:w="11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11,502</w:t>
            </w:r>
          </w:p>
        </w:tc>
      </w:tr>
      <w:tr>
        <w:trPr>
          <w:trHeight w:val="170"/>
        </w:trPr>
        <w:tc>
          <w:tcPr>
            <w:tcW w:w="2240" w:type="dxa"/>
            <w:vAlign w:val="bottom"/>
          </w:tcPr>
          <w:p>
            <w:pPr>
              <w:spacing w:after="0"/>
              <w:rPr>
                <w:sz w:val="20"/>
                <w:szCs w:val="20"/>
                <w:color w:val="auto"/>
              </w:rPr>
            </w:pPr>
            <w:r>
              <w:rPr>
                <w:rFonts w:ascii="Courier New" w:cs="Courier New" w:eastAsia="Courier New" w:hAnsi="Courier New"/>
                <w:sz w:val="15"/>
                <w:szCs w:val="15"/>
                <w:color w:val="auto"/>
              </w:rPr>
              <w:t>Finished goods</w:t>
            </w:r>
          </w:p>
        </w:tc>
        <w:tc>
          <w:tcPr>
            <w:tcW w:w="8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2,559</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1,109</w:t>
            </w:r>
          </w:p>
        </w:tc>
        <w:tc>
          <w:tcPr>
            <w:tcW w:w="11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2,359</w:t>
            </w:r>
          </w:p>
        </w:tc>
      </w:tr>
      <w:tr>
        <w:trPr>
          <w:trHeight w:val="170"/>
        </w:trPr>
        <w:tc>
          <w:tcPr>
            <w:tcW w:w="2240" w:type="dxa"/>
            <w:vAlign w:val="bottom"/>
          </w:tcPr>
          <w:p>
            <w:pPr>
              <w:spacing w:after="0"/>
              <w:rPr>
                <w:sz w:val="14"/>
                <w:szCs w:val="14"/>
                <w:color w:val="auto"/>
              </w:rPr>
            </w:pPr>
          </w:p>
        </w:tc>
        <w:tc>
          <w:tcPr>
            <w:tcW w:w="8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r>
      <w:tr>
        <w:trPr>
          <w:trHeight w:val="170"/>
        </w:trPr>
        <w:tc>
          <w:tcPr>
            <w:tcW w:w="2240" w:type="dxa"/>
            <w:vAlign w:val="bottom"/>
          </w:tcPr>
          <w:p>
            <w:pPr>
              <w:spacing w:after="0"/>
              <w:rPr>
                <w:sz w:val="14"/>
                <w:szCs w:val="14"/>
                <w:color w:val="auto"/>
              </w:rPr>
            </w:pPr>
          </w:p>
        </w:tc>
        <w:tc>
          <w:tcPr>
            <w:tcW w:w="8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$28,684</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$21,624</w:t>
            </w:r>
          </w:p>
        </w:tc>
        <w:tc>
          <w:tcPr>
            <w:tcW w:w="11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$24,376</w:t>
            </w:r>
          </w:p>
        </w:tc>
      </w:tr>
      <w:tr>
        <w:trPr>
          <w:trHeight w:val="170"/>
        </w:trPr>
        <w:tc>
          <w:tcPr>
            <w:tcW w:w="2240" w:type="dxa"/>
            <w:vAlign w:val="bottom"/>
          </w:tcPr>
          <w:p>
            <w:pPr>
              <w:spacing w:after="0"/>
              <w:rPr>
                <w:sz w:val="14"/>
                <w:szCs w:val="14"/>
                <w:color w:val="auto"/>
              </w:rPr>
            </w:pPr>
          </w:p>
        </w:tc>
        <w:tc>
          <w:tcPr>
            <w:tcW w:w="8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r>
    </w:tbl>
    <w:p>
      <w:pPr>
        <w:spacing w:after="0" w:line="175" w:lineRule="exact"/>
        <w:rPr>
          <w:sz w:val="20"/>
          <w:szCs w:val="20"/>
          <w:color w:val="auto"/>
        </w:rPr>
      </w:pPr>
    </w:p>
    <w:p>
      <w:pPr>
        <w:ind w:left="1320" w:right="3179" w:hanging="448"/>
        <w:spacing w:after="0" w:line="237" w:lineRule="auto"/>
        <w:tabs>
          <w:tab w:leader="none" w:pos="1320"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Net of aggregate write downs to net realizable value of $ $4,018, $2,895 and $3,259 as of March 31, 2006, March 31, 2005 and December 31, 2005, respectively.</w:t>
      </w:r>
    </w:p>
    <w:p>
      <w:pPr>
        <w:spacing w:after="0" w:line="338" w:lineRule="exact"/>
        <w:rPr>
          <w:rFonts w:ascii="Courier New" w:cs="Courier New" w:eastAsia="Courier New" w:hAnsi="Courier New"/>
          <w:sz w:val="15"/>
          <w:szCs w:val="15"/>
          <w:color w:val="auto"/>
        </w:rPr>
      </w:pPr>
    </w:p>
    <w:p>
      <w:pPr>
        <w:ind w:left="3420" w:hanging="168"/>
        <w:spacing w:after="0"/>
        <w:tabs>
          <w:tab w:leader="none" w:pos="3420" w:val="left"/>
        </w:tabs>
        <w:numPr>
          <w:ilvl w:val="1"/>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9 -</w:t>
      </w:r>
    </w:p>
    <w:p>
      <w:pPr>
        <w:sectPr>
          <w:pgSz w:w="11900" w:h="16838" w:orient="portrait"/>
          <w:cols w:equalWidth="0" w:num="1">
            <w:col w:w="10219"/>
          </w:cols>
          <w:pgMar w:left="240" w:top="791" w:right="1440" w:bottom="1440" w:gutter="0" w:footer="0" w:header="0"/>
        </w:sectPr>
      </w:pPr>
    </w:p>
    <w:bookmarkStart w:id="14" w:name="page15"/>
    <w:bookmarkEnd w:id="14"/>
    <w:p>
      <w:pPr>
        <w:jc w:val="center"/>
        <w:ind w:right="3099"/>
        <w:spacing w:after="0"/>
        <w:rPr>
          <w:sz w:val="20"/>
          <w:szCs w:val="20"/>
          <w:color w:val="auto"/>
        </w:rPr>
      </w:pPr>
      <w:r>
        <w:rPr>
          <w:rFonts w:ascii="Courier New" w:cs="Courier New" w:eastAsia="Courier New" w:hAnsi="Courier New"/>
          <w:sz w:val="15"/>
          <w:szCs w:val="15"/>
          <w:color w:val="auto"/>
        </w:rPr>
        <w:t>TOWER SEMICONDUCTOR LTD. AND SUBSIDIARY</w:t>
      </w:r>
    </w:p>
    <w:p>
      <w:pPr>
        <w:jc w:val="center"/>
        <w:ind w:right="3099"/>
        <w:spacing w:after="0"/>
        <w:rPr>
          <w:sz w:val="20"/>
          <w:szCs w:val="20"/>
          <w:color w:val="auto"/>
        </w:rPr>
      </w:pPr>
      <w:r>
        <w:rPr>
          <w:rFonts w:ascii="Courier New" w:cs="Courier New" w:eastAsia="Courier New" w:hAnsi="Courier New"/>
          <w:sz w:val="15"/>
          <w:szCs w:val="15"/>
          <w:color w:val="auto"/>
        </w:rPr>
        <w:t>NOTES TO UNAUDITED CONDENSED INTERIM CONSOLIDATED</w:t>
      </w:r>
    </w:p>
    <w:p>
      <w:pPr>
        <w:jc w:val="center"/>
        <w:ind w:right="3099"/>
        <w:spacing w:after="0"/>
        <w:rPr>
          <w:sz w:val="20"/>
          <w:szCs w:val="20"/>
          <w:color w:val="auto"/>
        </w:rPr>
      </w:pPr>
      <w:r>
        <w:rPr>
          <w:rFonts w:ascii="Courier New" w:cs="Courier New" w:eastAsia="Courier New" w:hAnsi="Courier New"/>
          <w:sz w:val="15"/>
          <w:szCs w:val="15"/>
          <w:color w:val="auto"/>
        </w:rPr>
        <w:t>FINANCIAL STATEMENTS AS OF MARCH 31, 2006</w:t>
      </w:r>
    </w:p>
    <w:p>
      <w:pPr>
        <w:jc w:val="center"/>
        <w:ind w:right="3179"/>
        <w:spacing w:after="0" w:line="238" w:lineRule="auto"/>
        <w:rPr>
          <w:sz w:val="20"/>
          <w:szCs w:val="20"/>
          <w:color w:val="auto"/>
        </w:rPr>
      </w:pPr>
      <w:r>
        <w:rPr>
          <w:rFonts w:ascii="Courier New" w:cs="Courier New" w:eastAsia="Courier New" w:hAnsi="Courier New"/>
          <w:sz w:val="15"/>
          <w:szCs w:val="15"/>
          <w:color w:val="auto"/>
        </w:rPr>
        <w:t>(dollars in thousands, except share data and per share data)</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3 - MAJOR CUSTOMERS</w:t>
      </w:r>
    </w:p>
    <w:p>
      <w:pPr>
        <w:spacing w:after="0" w:line="175" w:lineRule="exact"/>
        <w:rPr>
          <w:sz w:val="20"/>
          <w:szCs w:val="20"/>
          <w:color w:val="auto"/>
        </w:rPr>
      </w:pPr>
    </w:p>
    <w:p>
      <w:pPr>
        <w:ind w:left="880" w:right="3359"/>
        <w:spacing w:after="0" w:line="235" w:lineRule="auto"/>
        <w:rPr>
          <w:sz w:val="20"/>
          <w:szCs w:val="20"/>
          <w:color w:val="auto"/>
        </w:rPr>
      </w:pPr>
      <w:r>
        <w:rPr>
          <w:rFonts w:ascii="Courier New" w:cs="Courier New" w:eastAsia="Courier New" w:hAnsi="Courier New"/>
          <w:sz w:val="15"/>
          <w:szCs w:val="15"/>
          <w:color w:val="auto"/>
        </w:rPr>
        <w:t>Revenues from major customers as a percentage of total revenues were as follows: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260" w:type="dxa"/>
            <w:vAlign w:val="bottom"/>
          </w:tcPr>
          <w:p>
            <w:pPr>
              <w:spacing w:after="0"/>
              <w:rPr>
                <w:sz w:val="14"/>
                <w:szCs w:val="14"/>
                <w:color w:val="auto"/>
              </w:rPr>
            </w:pPr>
          </w:p>
        </w:tc>
        <w:tc>
          <w:tcPr>
            <w:tcW w:w="222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Three months ended</w:t>
            </w:r>
          </w:p>
        </w:tc>
        <w:tc>
          <w:tcPr>
            <w:tcW w:w="12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Year ended</w:t>
            </w:r>
          </w:p>
        </w:tc>
      </w:tr>
      <w:tr>
        <w:trPr>
          <w:trHeight w:val="170"/>
        </w:trPr>
        <w:tc>
          <w:tcPr>
            <w:tcW w:w="12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60" w:type="dxa"/>
            <w:vAlign w:val="bottom"/>
          </w:tcPr>
          <w:p>
            <w:pPr>
              <w:jc w:val="right"/>
              <w:ind w:right="587"/>
              <w:spacing w:after="0"/>
              <w:rPr>
                <w:sz w:val="20"/>
                <w:szCs w:val="20"/>
                <w:color w:val="auto"/>
              </w:rPr>
            </w:pPr>
            <w:r>
              <w:rPr>
                <w:rFonts w:ascii="Courier New" w:cs="Courier New" w:eastAsia="Courier New" w:hAnsi="Courier New"/>
                <w:sz w:val="15"/>
                <w:szCs w:val="15"/>
                <w:color w:val="auto"/>
                <w:w w:val="96"/>
              </w:rPr>
              <w:t>March 31,</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December 31,</w:t>
            </w:r>
          </w:p>
        </w:tc>
      </w:tr>
      <w:tr>
        <w:trPr>
          <w:trHeight w:val="170"/>
        </w:trPr>
        <w:tc>
          <w:tcPr>
            <w:tcW w:w="1260" w:type="dxa"/>
            <w:vAlign w:val="bottom"/>
          </w:tcPr>
          <w:p>
            <w:pPr>
              <w:spacing w:after="0"/>
              <w:rPr>
                <w:sz w:val="14"/>
                <w:szCs w:val="14"/>
                <w:color w:val="auto"/>
              </w:rPr>
            </w:pPr>
          </w:p>
        </w:tc>
        <w:tc>
          <w:tcPr>
            <w:tcW w:w="2220" w:type="dxa"/>
            <w:vAlign w:val="bottom"/>
            <w:gridSpan w:val="2"/>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387"/>
              <w:spacing w:after="0"/>
              <w:rPr>
                <w:sz w:val="20"/>
                <w:szCs w:val="20"/>
                <w:color w:val="auto"/>
              </w:rPr>
            </w:pPr>
            <w:r>
              <w:rPr>
                <w:rFonts w:ascii="Courier New" w:cs="Courier New" w:eastAsia="Courier New" w:hAnsi="Courier New"/>
                <w:sz w:val="15"/>
                <w:szCs w:val="15"/>
                <w:color w:val="auto"/>
              </w:rPr>
              <w:t>----</w:t>
            </w:r>
          </w:p>
        </w:tc>
      </w:tr>
      <w:tr>
        <w:trPr>
          <w:trHeight w:val="170"/>
        </w:trPr>
        <w:tc>
          <w:tcPr>
            <w:tcW w:w="1260" w:type="dxa"/>
            <w:vAlign w:val="bottom"/>
          </w:tcPr>
          <w:p>
            <w:pPr>
              <w:spacing w:after="0"/>
              <w:rPr>
                <w:sz w:val="14"/>
                <w:szCs w:val="14"/>
                <w:color w:val="auto"/>
              </w:rPr>
            </w:pPr>
          </w:p>
        </w:tc>
        <w:tc>
          <w:tcPr>
            <w:tcW w:w="760" w:type="dxa"/>
            <w:vAlign w:val="bottom"/>
          </w:tcPr>
          <w:p>
            <w:pPr>
              <w:jc w:val="center"/>
              <w:ind w:left="327"/>
              <w:spacing w:after="0"/>
              <w:rPr>
                <w:sz w:val="20"/>
                <w:szCs w:val="20"/>
                <w:color w:val="auto"/>
              </w:rPr>
            </w:pPr>
            <w:r>
              <w:rPr>
                <w:rFonts w:ascii="Courier New" w:cs="Courier New" w:eastAsia="Courier New" w:hAnsi="Courier New"/>
                <w:sz w:val="15"/>
                <w:szCs w:val="15"/>
                <w:color w:val="auto"/>
                <w:w w:val="99"/>
              </w:rPr>
              <w:t>2006</w:t>
            </w:r>
          </w:p>
        </w:tc>
        <w:tc>
          <w:tcPr>
            <w:tcW w:w="146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2005</w:t>
            </w:r>
          </w:p>
        </w:tc>
        <w:tc>
          <w:tcPr>
            <w:tcW w:w="1280" w:type="dxa"/>
            <w:vAlign w:val="bottom"/>
          </w:tcPr>
          <w:p>
            <w:pPr>
              <w:jc w:val="right"/>
              <w:ind w:right="387"/>
              <w:spacing w:after="0"/>
              <w:rPr>
                <w:sz w:val="20"/>
                <w:szCs w:val="20"/>
                <w:color w:val="auto"/>
              </w:rPr>
            </w:pPr>
            <w:r>
              <w:rPr>
                <w:rFonts w:ascii="Courier New" w:cs="Courier New" w:eastAsia="Courier New" w:hAnsi="Courier New"/>
                <w:sz w:val="15"/>
                <w:szCs w:val="15"/>
                <w:color w:val="auto"/>
              </w:rPr>
              <w:t>2005</w:t>
            </w:r>
          </w:p>
        </w:tc>
      </w:tr>
      <w:tr>
        <w:trPr>
          <w:trHeight w:val="170"/>
        </w:trPr>
        <w:tc>
          <w:tcPr>
            <w:tcW w:w="1260" w:type="dxa"/>
            <w:vAlign w:val="bottom"/>
          </w:tcPr>
          <w:p>
            <w:pPr>
              <w:spacing w:after="0"/>
              <w:rPr>
                <w:sz w:val="14"/>
                <w:szCs w:val="14"/>
                <w:color w:val="auto"/>
              </w:rPr>
            </w:pPr>
          </w:p>
        </w:tc>
        <w:tc>
          <w:tcPr>
            <w:tcW w:w="760" w:type="dxa"/>
            <w:vAlign w:val="bottom"/>
          </w:tcPr>
          <w:p>
            <w:pPr>
              <w:jc w:val="center"/>
              <w:ind w:left="327"/>
              <w:spacing w:after="0"/>
              <w:rPr>
                <w:sz w:val="20"/>
                <w:szCs w:val="20"/>
                <w:color w:val="auto"/>
              </w:rPr>
            </w:pPr>
            <w:r>
              <w:rPr>
                <w:rFonts w:ascii="Courier New" w:cs="Courier New" w:eastAsia="Courier New" w:hAnsi="Courier New"/>
                <w:sz w:val="15"/>
                <w:szCs w:val="15"/>
                <w:color w:val="auto"/>
                <w:w w:val="99"/>
              </w:rPr>
              <w:t>----</w:t>
            </w:r>
          </w:p>
        </w:tc>
        <w:tc>
          <w:tcPr>
            <w:tcW w:w="146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387"/>
              <w:spacing w:after="0"/>
              <w:rPr>
                <w:sz w:val="20"/>
                <w:szCs w:val="20"/>
                <w:color w:val="auto"/>
              </w:rPr>
            </w:pPr>
            <w:r>
              <w:rPr>
                <w:rFonts w:ascii="Courier New" w:cs="Courier New" w:eastAsia="Courier New" w:hAnsi="Courier New"/>
                <w:sz w:val="15"/>
                <w:szCs w:val="15"/>
                <w:color w:val="auto"/>
              </w:rPr>
              <w:t>----</w:t>
            </w:r>
          </w:p>
        </w:tc>
      </w:tr>
      <w:tr>
        <w:trPr>
          <w:trHeight w:val="170"/>
        </w:trPr>
        <w:tc>
          <w:tcPr>
            <w:tcW w:w="1260" w:type="dxa"/>
            <w:vAlign w:val="bottom"/>
          </w:tcPr>
          <w:p>
            <w:pPr>
              <w:spacing w:after="0"/>
              <w:rPr>
                <w:sz w:val="14"/>
                <w:szCs w:val="14"/>
                <w:color w:val="auto"/>
              </w:rPr>
            </w:pPr>
          </w:p>
        </w:tc>
        <w:tc>
          <w:tcPr>
            <w:tcW w:w="2220" w:type="dxa"/>
            <w:vAlign w:val="bottom"/>
            <w:gridSpan w:val="2"/>
          </w:tcPr>
          <w:p>
            <w:pPr>
              <w:jc w:val="right"/>
              <w:ind w:right="507"/>
              <w:spacing w:after="0"/>
              <w:rPr>
                <w:sz w:val="20"/>
                <w:szCs w:val="20"/>
                <w:color w:val="auto"/>
              </w:rPr>
            </w:pPr>
            <w:r>
              <w:rPr>
                <w:rFonts w:ascii="Courier New" w:cs="Courier New" w:eastAsia="Courier New" w:hAnsi="Courier New"/>
                <w:sz w:val="15"/>
                <w:szCs w:val="15"/>
                <w:color w:val="auto"/>
              </w:rPr>
              <w:t>(unaudited)</w:t>
            </w:r>
          </w:p>
        </w:tc>
        <w:tc>
          <w:tcPr>
            <w:tcW w:w="1280" w:type="dxa"/>
            <w:vAlign w:val="bottom"/>
          </w:tcPr>
          <w:p>
            <w:pPr>
              <w:spacing w:after="0"/>
              <w:rPr>
                <w:sz w:val="14"/>
                <w:szCs w:val="14"/>
                <w:color w:val="auto"/>
              </w:rPr>
            </w:pPr>
          </w:p>
        </w:tc>
      </w:tr>
      <w:tr>
        <w:trPr>
          <w:trHeight w:val="339"/>
        </w:trPr>
        <w:tc>
          <w:tcPr>
            <w:tcW w:w="1260" w:type="dxa"/>
            <w:vAlign w:val="bottom"/>
          </w:tcPr>
          <w:p>
            <w:pPr>
              <w:spacing w:after="0"/>
              <w:rPr>
                <w:sz w:val="20"/>
                <w:szCs w:val="20"/>
                <w:color w:val="auto"/>
              </w:rPr>
            </w:pPr>
            <w:r>
              <w:rPr>
                <w:rFonts w:ascii="Courier New" w:cs="Courier New" w:eastAsia="Courier New" w:hAnsi="Courier New"/>
                <w:sz w:val="15"/>
                <w:szCs w:val="15"/>
                <w:color w:val="auto"/>
              </w:rPr>
              <w:t>Customer A</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18%</w:t>
            </w:r>
          </w:p>
        </w:tc>
        <w:tc>
          <w:tcPr>
            <w:tcW w:w="146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42%</w:t>
            </w:r>
          </w:p>
        </w:tc>
        <w:tc>
          <w:tcPr>
            <w:tcW w:w="1280" w:type="dxa"/>
            <w:vAlign w:val="bottom"/>
          </w:tcPr>
          <w:p>
            <w:pPr>
              <w:jc w:val="right"/>
              <w:ind w:right="387"/>
              <w:spacing w:after="0"/>
              <w:rPr>
                <w:sz w:val="20"/>
                <w:szCs w:val="20"/>
                <w:color w:val="auto"/>
              </w:rPr>
            </w:pPr>
            <w:r>
              <w:rPr>
                <w:rFonts w:ascii="Courier New" w:cs="Courier New" w:eastAsia="Courier New" w:hAnsi="Courier New"/>
                <w:sz w:val="15"/>
                <w:szCs w:val="15"/>
                <w:color w:val="auto"/>
              </w:rPr>
              <w:t>22%</w:t>
            </w:r>
          </w:p>
        </w:tc>
      </w:tr>
      <w:tr>
        <w:trPr>
          <w:trHeight w:val="170"/>
        </w:trPr>
        <w:tc>
          <w:tcPr>
            <w:tcW w:w="1260" w:type="dxa"/>
            <w:vAlign w:val="bottom"/>
          </w:tcPr>
          <w:p>
            <w:pPr>
              <w:spacing w:after="0"/>
              <w:rPr>
                <w:sz w:val="20"/>
                <w:szCs w:val="20"/>
                <w:color w:val="auto"/>
              </w:rPr>
            </w:pPr>
            <w:r>
              <w:rPr>
                <w:rFonts w:ascii="Courier New" w:cs="Courier New" w:eastAsia="Courier New" w:hAnsi="Courier New"/>
                <w:sz w:val="15"/>
                <w:szCs w:val="15"/>
                <w:color w:val="auto"/>
              </w:rPr>
              <w:t>Customer B</w:t>
            </w:r>
          </w:p>
        </w:tc>
        <w:tc>
          <w:tcPr>
            <w:tcW w:w="760" w:type="dxa"/>
            <w:vAlign w:val="bottom"/>
          </w:tcPr>
          <w:p>
            <w:pPr>
              <w:jc w:val="center"/>
              <w:ind w:left="327"/>
              <w:spacing w:after="0"/>
              <w:rPr>
                <w:sz w:val="20"/>
                <w:szCs w:val="20"/>
                <w:color w:val="auto"/>
              </w:rPr>
            </w:pPr>
            <w:r>
              <w:rPr>
                <w:rFonts w:ascii="Courier New" w:cs="Courier New" w:eastAsia="Courier New" w:hAnsi="Courier New"/>
                <w:sz w:val="15"/>
                <w:szCs w:val="15"/>
                <w:color w:val="auto"/>
                <w:w w:val="88"/>
              </w:rPr>
              <w:t>14</w:t>
            </w:r>
          </w:p>
        </w:tc>
        <w:tc>
          <w:tcPr>
            <w:tcW w:w="14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12</w:t>
            </w:r>
          </w:p>
        </w:tc>
        <w:tc>
          <w:tcPr>
            <w:tcW w:w="128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14</w:t>
            </w:r>
          </w:p>
        </w:tc>
      </w:tr>
      <w:tr>
        <w:trPr>
          <w:trHeight w:val="170"/>
        </w:trPr>
        <w:tc>
          <w:tcPr>
            <w:tcW w:w="1260" w:type="dxa"/>
            <w:vAlign w:val="bottom"/>
          </w:tcPr>
          <w:p>
            <w:pPr>
              <w:spacing w:after="0"/>
              <w:rPr>
                <w:sz w:val="20"/>
                <w:szCs w:val="20"/>
                <w:color w:val="auto"/>
              </w:rPr>
            </w:pPr>
            <w:r>
              <w:rPr>
                <w:rFonts w:ascii="Courier New" w:cs="Courier New" w:eastAsia="Courier New" w:hAnsi="Courier New"/>
                <w:sz w:val="15"/>
                <w:szCs w:val="15"/>
                <w:color w:val="auto"/>
              </w:rPr>
              <w:t>Customer C</w:t>
            </w:r>
          </w:p>
        </w:tc>
        <w:tc>
          <w:tcPr>
            <w:tcW w:w="760" w:type="dxa"/>
            <w:vAlign w:val="bottom"/>
          </w:tcPr>
          <w:p>
            <w:pPr>
              <w:jc w:val="center"/>
              <w:ind w:left="327"/>
              <w:spacing w:after="0"/>
              <w:rPr>
                <w:sz w:val="20"/>
                <w:szCs w:val="20"/>
                <w:color w:val="auto"/>
              </w:rPr>
            </w:pPr>
            <w:r>
              <w:rPr>
                <w:rFonts w:ascii="Courier New" w:cs="Courier New" w:eastAsia="Courier New" w:hAnsi="Courier New"/>
                <w:sz w:val="15"/>
                <w:szCs w:val="15"/>
                <w:color w:val="auto"/>
                <w:w w:val="88"/>
              </w:rPr>
              <w:t>12</w:t>
            </w:r>
          </w:p>
        </w:tc>
        <w:tc>
          <w:tcPr>
            <w:tcW w:w="14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2</w:t>
            </w:r>
          </w:p>
        </w:tc>
        <w:tc>
          <w:tcPr>
            <w:tcW w:w="128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7</w:t>
            </w:r>
          </w:p>
        </w:tc>
      </w:tr>
      <w:tr>
        <w:trPr>
          <w:trHeight w:val="170"/>
        </w:trPr>
        <w:tc>
          <w:tcPr>
            <w:tcW w:w="1260" w:type="dxa"/>
            <w:vAlign w:val="bottom"/>
          </w:tcPr>
          <w:p>
            <w:pPr>
              <w:spacing w:after="0"/>
              <w:rPr>
                <w:sz w:val="20"/>
                <w:szCs w:val="20"/>
                <w:color w:val="auto"/>
              </w:rPr>
            </w:pPr>
            <w:r>
              <w:rPr>
                <w:rFonts w:ascii="Courier New" w:cs="Courier New" w:eastAsia="Courier New" w:hAnsi="Courier New"/>
                <w:sz w:val="15"/>
                <w:szCs w:val="15"/>
                <w:color w:val="auto"/>
              </w:rPr>
              <w:t>Customer D</w:t>
            </w:r>
          </w:p>
        </w:tc>
        <w:tc>
          <w:tcPr>
            <w:tcW w:w="760" w:type="dxa"/>
            <w:vAlign w:val="bottom"/>
          </w:tcPr>
          <w:p>
            <w:pPr>
              <w:jc w:val="center"/>
              <w:ind w:left="327"/>
              <w:spacing w:after="0"/>
              <w:rPr>
                <w:sz w:val="20"/>
                <w:szCs w:val="20"/>
                <w:color w:val="auto"/>
              </w:rPr>
            </w:pPr>
            <w:r>
              <w:rPr>
                <w:rFonts w:ascii="Courier New" w:cs="Courier New" w:eastAsia="Courier New" w:hAnsi="Courier New"/>
                <w:sz w:val="15"/>
                <w:szCs w:val="15"/>
                <w:color w:val="auto"/>
                <w:w w:val="88"/>
              </w:rPr>
              <w:t>11</w:t>
            </w:r>
          </w:p>
        </w:tc>
        <w:tc>
          <w:tcPr>
            <w:tcW w:w="14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5</w:t>
            </w:r>
          </w:p>
        </w:tc>
      </w:tr>
    </w:tbl>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4 - RECENT DEVELOPMENTS RELATING TO FAB 2</w:t>
      </w:r>
    </w:p>
    <w:p>
      <w:pPr>
        <w:spacing w:after="0" w:line="169" w:lineRule="exact"/>
        <w:rPr>
          <w:sz w:val="20"/>
          <w:szCs w:val="20"/>
          <w:color w:val="auto"/>
        </w:rPr>
      </w:pPr>
    </w:p>
    <w:p>
      <w:pPr>
        <w:ind w:left="880" w:hanging="449"/>
        <w:spacing w:after="0"/>
        <w:tabs>
          <w:tab w:leader="none" w:pos="880"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APPROVED ENTERPRISE STATUS</w:t>
      </w:r>
    </w:p>
    <w:p>
      <w:pPr>
        <w:spacing w:after="0" w:line="174" w:lineRule="exact"/>
        <w:rPr>
          <w:rFonts w:ascii="Courier New" w:cs="Courier New" w:eastAsia="Courier New" w:hAnsi="Courier New"/>
          <w:sz w:val="15"/>
          <w:szCs w:val="15"/>
          <w:color w:val="auto"/>
        </w:rPr>
      </w:pPr>
    </w:p>
    <w:p>
      <w:pPr>
        <w:ind w:left="880" w:right="3179"/>
        <w:spacing w:after="0" w:line="238"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Under the terms of the approved enterprise program for Fab 2, the Company was eligible to receive grants of 20% of up to $1,250,000 invested in Fab 2 plant and equipment, or an aggregate of up to $250,000 for investments made by December 31, 2005, of which as of the balance sheet date, an aggregate of approximately $159,000 has been received from the Investment Center.</w:t>
      </w:r>
    </w:p>
    <w:p>
      <w:pPr>
        <w:spacing w:after="0" w:line="175" w:lineRule="exact"/>
        <w:rPr>
          <w:rFonts w:ascii="Courier New" w:cs="Courier New" w:eastAsia="Courier New" w:hAnsi="Courier New"/>
          <w:sz w:val="15"/>
          <w:szCs w:val="15"/>
          <w:color w:val="auto"/>
        </w:rPr>
      </w:pPr>
    </w:p>
    <w:p>
      <w:pPr>
        <w:ind w:left="880" w:right="3259"/>
        <w:spacing w:after="0" w:line="257"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Under the terms of the program, investments in respect of Fab 2 were to be completed by December 31, 2005, five years from the date the approval certificate was obtained. Due to the later than planned construction of Fab 2, market conditions and slower than planned ramp-up, the Company completed approximately 73% of the investments under the approved enterprise program. The Company has been holding discussions with the Investment Center to achieve satisfactory arrangements to approve a new expansion program commencing as of January 1, 2006. During 2005, the Company received letters from the Israeli Minister of Industry, Trade and Employment and from the General Manager of the Investment Center stating that they will act under Israeli law to support such expansion. In April 2005, at the Investment Center's request, the Company submitted a revised business plan to the Investment Center for the period commencing as of January 1, 2006. As of the approval date of the interim financial statements, the Company's management cannot estimate when, if at all, the Company will receive approval of its request for a new expansion program.</w:t>
      </w:r>
    </w:p>
    <w:p>
      <w:pPr>
        <w:spacing w:after="0" w:line="327" w:lineRule="exact"/>
        <w:rPr>
          <w:rFonts w:ascii="Courier New" w:cs="Courier New" w:eastAsia="Courier New" w:hAnsi="Courier New"/>
          <w:sz w:val="15"/>
          <w:szCs w:val="15"/>
          <w:color w:val="auto"/>
        </w:rPr>
      </w:pPr>
    </w:p>
    <w:p>
      <w:pPr>
        <w:ind w:left="3420" w:hanging="168"/>
        <w:spacing w:after="0"/>
        <w:tabs>
          <w:tab w:leader="none" w:pos="3420" w:val="left"/>
        </w:tabs>
        <w:numPr>
          <w:ilvl w:val="1"/>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10 -</w:t>
      </w:r>
    </w:p>
    <w:p>
      <w:pPr>
        <w:sectPr>
          <w:pgSz w:w="11900" w:h="16838" w:orient="portrait"/>
          <w:cols w:equalWidth="0" w:num="1">
            <w:col w:w="10219"/>
          </w:cols>
          <w:pgMar w:left="240" w:top="791" w:right="1440" w:bottom="1440" w:gutter="0" w:footer="0" w:header="0"/>
        </w:sectPr>
      </w:pPr>
    </w:p>
    <w:bookmarkStart w:id="15" w:name="page16"/>
    <w:bookmarkEnd w:id="15"/>
    <w:p>
      <w:pPr>
        <w:jc w:val="center"/>
        <w:ind w:right="3099"/>
        <w:spacing w:after="0"/>
        <w:rPr>
          <w:sz w:val="20"/>
          <w:szCs w:val="20"/>
          <w:color w:val="auto"/>
        </w:rPr>
      </w:pPr>
      <w:r>
        <w:rPr>
          <w:rFonts w:ascii="Courier New" w:cs="Courier New" w:eastAsia="Courier New" w:hAnsi="Courier New"/>
          <w:sz w:val="15"/>
          <w:szCs w:val="15"/>
          <w:color w:val="auto"/>
        </w:rPr>
        <w:t>TOWER SEMICONDUCTOR LTD. AND SUBSIDIARY</w:t>
      </w:r>
    </w:p>
    <w:p>
      <w:pPr>
        <w:jc w:val="center"/>
        <w:ind w:right="3099"/>
        <w:spacing w:after="0"/>
        <w:rPr>
          <w:sz w:val="20"/>
          <w:szCs w:val="20"/>
          <w:color w:val="auto"/>
        </w:rPr>
      </w:pPr>
      <w:r>
        <w:rPr>
          <w:rFonts w:ascii="Courier New" w:cs="Courier New" w:eastAsia="Courier New" w:hAnsi="Courier New"/>
          <w:sz w:val="15"/>
          <w:szCs w:val="15"/>
          <w:color w:val="auto"/>
        </w:rPr>
        <w:t>NOTES TO UNAUDITED CONDENSED INTERIM CONSOLIDATED</w:t>
      </w:r>
    </w:p>
    <w:p>
      <w:pPr>
        <w:jc w:val="center"/>
        <w:ind w:right="3099"/>
        <w:spacing w:after="0"/>
        <w:rPr>
          <w:sz w:val="20"/>
          <w:szCs w:val="20"/>
          <w:color w:val="auto"/>
        </w:rPr>
      </w:pPr>
      <w:r>
        <w:rPr>
          <w:rFonts w:ascii="Courier New" w:cs="Courier New" w:eastAsia="Courier New" w:hAnsi="Courier New"/>
          <w:sz w:val="15"/>
          <w:szCs w:val="15"/>
          <w:color w:val="auto"/>
        </w:rPr>
        <w:t>FINANCIAL STATEMENTS AS OF MARCH 31, 2006</w:t>
      </w:r>
    </w:p>
    <w:p>
      <w:pPr>
        <w:jc w:val="center"/>
        <w:ind w:right="3179"/>
        <w:spacing w:after="0" w:line="238" w:lineRule="auto"/>
        <w:rPr>
          <w:sz w:val="20"/>
          <w:szCs w:val="20"/>
          <w:color w:val="auto"/>
        </w:rPr>
      </w:pPr>
      <w:r>
        <w:rPr>
          <w:rFonts w:ascii="Courier New" w:cs="Courier New" w:eastAsia="Courier New" w:hAnsi="Courier New"/>
          <w:sz w:val="15"/>
          <w:szCs w:val="15"/>
          <w:color w:val="auto"/>
        </w:rPr>
        <w:t>(dollars in thousands, except share data and per share data)</w:t>
      </w:r>
    </w:p>
    <w:p>
      <w:pPr>
        <w:spacing w:after="0" w:line="169"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5"/>
          <w:szCs w:val="15"/>
          <w:color w:val="auto"/>
        </w:rPr>
        <w:t>NOTE 4</w:t>
      </w:r>
      <w:r>
        <w:rPr>
          <w:sz w:val="20"/>
          <w:szCs w:val="20"/>
          <w:color w:val="auto"/>
        </w:rPr>
        <w:tab/>
      </w:r>
      <w:r>
        <w:rPr>
          <w:rFonts w:ascii="Courier New" w:cs="Courier New" w:eastAsia="Courier New" w:hAnsi="Courier New"/>
          <w:sz w:val="14"/>
          <w:szCs w:val="14"/>
          <w:color w:val="auto"/>
        </w:rPr>
        <w:t>- RECENT DEVELOPMENTS RELATING TO FAB 2 (cont.)</w:t>
      </w:r>
    </w:p>
    <w:p>
      <w:pPr>
        <w:spacing w:after="0" w:line="169" w:lineRule="exact"/>
        <w:rPr>
          <w:sz w:val="20"/>
          <w:szCs w:val="20"/>
          <w:color w:val="auto"/>
        </w:rPr>
      </w:pPr>
    </w:p>
    <w:p>
      <w:pPr>
        <w:ind w:left="880" w:hanging="449"/>
        <w:spacing w:after="0"/>
        <w:tabs>
          <w:tab w:leader="none" w:pos="880"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FACILITY AGREEMENT</w:t>
      </w:r>
    </w:p>
    <w:p>
      <w:pPr>
        <w:spacing w:after="0" w:line="174" w:lineRule="exact"/>
        <w:rPr>
          <w:rFonts w:ascii="Courier New" w:cs="Courier New" w:eastAsia="Courier New" w:hAnsi="Courier New"/>
          <w:sz w:val="15"/>
          <w:szCs w:val="15"/>
          <w:color w:val="auto"/>
        </w:rPr>
      </w:pPr>
    </w:p>
    <w:p>
      <w:pPr>
        <w:ind w:left="880" w:right="3179"/>
        <w:spacing w:after="0" w:line="238"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In July 2005, the Company and its Banks entered into a definitive amendment to the Facility Agreement. Pursuant to such amendment, the Company borrowed $29,693 and was required to raise through the issuance of shares or convertible debentures $23,500 by December 31, 2005 and an additional $6,500 by March 31, 2006. In January 2006, as described in Note 5C below, the Company completed a rights offering of convertible debentures in which it raised $48,169, $25,500 of which was raised in December 2005, thereby satisfying the abovementioned obligations to raise additional funds. Under the amended Facility Agreement the Company is required to raise an additional approximately $8,000 by June 30, 2006.</w:t>
      </w:r>
    </w:p>
    <w:p>
      <w:pPr>
        <w:spacing w:after="0" w:line="180" w:lineRule="exact"/>
        <w:rPr>
          <w:rFonts w:ascii="Courier New" w:cs="Courier New" w:eastAsia="Courier New" w:hAnsi="Courier New"/>
          <w:sz w:val="15"/>
          <w:szCs w:val="15"/>
          <w:color w:val="auto"/>
        </w:rPr>
      </w:pPr>
    </w:p>
    <w:p>
      <w:pPr>
        <w:ind w:left="880" w:right="3179"/>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In addition, in May 2006, the Company and its Banks entered into an amendment to the Facility Agreement, according to which the repayments of long-term loans in the amount of approximately $100,000, formerly scheduled to be paid between October 2006 and June 2007, were deferred to July 2007.</w:t>
      </w:r>
    </w:p>
    <w:p>
      <w:pPr>
        <w:spacing w:after="0" w:line="178" w:lineRule="exact"/>
        <w:rPr>
          <w:rFonts w:ascii="Courier New" w:cs="Courier New" w:eastAsia="Courier New" w:hAnsi="Courier New"/>
          <w:sz w:val="15"/>
          <w:szCs w:val="15"/>
          <w:color w:val="auto"/>
        </w:rPr>
      </w:pPr>
    </w:p>
    <w:p>
      <w:pPr>
        <w:ind w:left="880" w:right="3179"/>
        <w:spacing w:after="0" w:line="238"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As part of the financing efforts for the accelerated expansion plan, in May 2006, the Company and its Banks signed an MOU for the refinancing of the $526,693 in long term debt, according to which: (i) 30% of such debt will be converted to equity for 51,973,684 ordinary shares of the Company, based on a formula using the average closing price during the 10-day period prior to signing the MOU ; (ii) the interest rate of the long-term loans will be decreased from LIBOR plus 2.5% per annum to LIBOR plus 1.1% per annum; and (iii) the commencement date for the repayment of principal shall be postponed from July 2007 to September 2009. The terms of the MOU are subject to a commitment of TIC to the Banks to invest $100,000 in the Company's capacity expansion as described above in Note 1C. The MOU is further subject to reaching a definitive amendment to the Facility Agreement based on the terms of the MOU.</w:t>
      </w:r>
    </w:p>
    <w:p>
      <w:pPr>
        <w:spacing w:after="0" w:line="183" w:lineRule="exact"/>
        <w:rPr>
          <w:rFonts w:ascii="Courier New" w:cs="Courier New" w:eastAsia="Courier New" w:hAnsi="Courier New"/>
          <w:sz w:val="15"/>
          <w:szCs w:val="15"/>
          <w:color w:val="auto"/>
        </w:rPr>
      </w:pPr>
    </w:p>
    <w:p>
      <w:pPr>
        <w:ind w:left="880" w:right="3179"/>
        <w:spacing w:after="0" w:line="257"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As of the balance sheet date, the Company was in full compliance with all of the financial ratios and covenants under the amended Facility Agreement. As of the approval date of the financial statements, the Company anticipates that it will be in compliance with all of the financial ratios and covenants under the amended Facility Agreement through the third quarter of 2006, however, under the current terms of the Facility Agreement, if not amended, it will not be in compliance with all of the financial ratios and covenants under the amended Facility Agreement from the fourth quarter of 2006. According to the Facility Agreement, satisfying the financial ratios and covenants is a material provision. The amended Facility Agreement provides that if, as a result of any default, the Banks were to accelerate the Company's obligations, the Company would be obligated, among other matters, to immediately repay all loans made by the Banks (which as of the balance sheet date amounted to $526,693) plus penalties, and the Banks would be entitled to exercise the remedies available to them under the Facility Agreement, including enforcement of their lien against all of the Company's assets.</w:t>
      </w:r>
    </w:p>
    <w:p>
      <w:pPr>
        <w:spacing w:after="0" w:line="200" w:lineRule="exact"/>
        <w:rPr>
          <w:rFonts w:ascii="Courier New" w:cs="Courier New" w:eastAsia="Courier New" w:hAnsi="Courier New"/>
          <w:sz w:val="15"/>
          <w:szCs w:val="15"/>
          <w:color w:val="auto"/>
        </w:rPr>
      </w:pPr>
    </w:p>
    <w:p>
      <w:pPr>
        <w:spacing w:after="0" w:line="297" w:lineRule="exact"/>
        <w:rPr>
          <w:rFonts w:ascii="Courier New" w:cs="Courier New" w:eastAsia="Courier New" w:hAnsi="Courier New"/>
          <w:sz w:val="15"/>
          <w:szCs w:val="15"/>
          <w:color w:val="auto"/>
        </w:rPr>
      </w:pPr>
    </w:p>
    <w:p>
      <w:pPr>
        <w:ind w:left="3420" w:hanging="168"/>
        <w:spacing w:after="0"/>
        <w:tabs>
          <w:tab w:leader="none" w:pos="3420" w:val="left"/>
        </w:tabs>
        <w:numPr>
          <w:ilvl w:val="1"/>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11 -</w:t>
      </w:r>
    </w:p>
    <w:p>
      <w:pPr>
        <w:sectPr>
          <w:pgSz w:w="11900" w:h="16838" w:orient="portrait"/>
          <w:cols w:equalWidth="0" w:num="1">
            <w:col w:w="10219"/>
          </w:cols>
          <w:pgMar w:left="240" w:top="791" w:right="1440" w:bottom="1440" w:gutter="0" w:footer="0" w:header="0"/>
        </w:sectPr>
      </w:pPr>
    </w:p>
    <w:bookmarkStart w:id="16" w:name="page17"/>
    <w:bookmarkEnd w:id="16"/>
    <w:p>
      <w:pPr>
        <w:jc w:val="center"/>
        <w:ind w:right="3099"/>
        <w:spacing w:after="0"/>
        <w:rPr>
          <w:sz w:val="20"/>
          <w:szCs w:val="20"/>
          <w:color w:val="auto"/>
        </w:rPr>
      </w:pPr>
      <w:r>
        <w:rPr>
          <w:rFonts w:ascii="Courier New" w:cs="Courier New" w:eastAsia="Courier New" w:hAnsi="Courier New"/>
          <w:sz w:val="15"/>
          <w:szCs w:val="15"/>
          <w:color w:val="auto"/>
        </w:rPr>
        <w:t>TOWER SEMICONDUCTOR LTD. AND SUBSIDIARY</w:t>
      </w:r>
    </w:p>
    <w:p>
      <w:pPr>
        <w:jc w:val="center"/>
        <w:ind w:right="3099"/>
        <w:spacing w:after="0"/>
        <w:rPr>
          <w:sz w:val="20"/>
          <w:szCs w:val="20"/>
          <w:color w:val="auto"/>
        </w:rPr>
      </w:pPr>
      <w:r>
        <w:rPr>
          <w:rFonts w:ascii="Courier New" w:cs="Courier New" w:eastAsia="Courier New" w:hAnsi="Courier New"/>
          <w:sz w:val="15"/>
          <w:szCs w:val="15"/>
          <w:color w:val="auto"/>
        </w:rPr>
        <w:t>NOTES TO UNAUDITED CONDENSED INTERIM CONSOLIDATED</w:t>
      </w:r>
    </w:p>
    <w:p>
      <w:pPr>
        <w:jc w:val="center"/>
        <w:ind w:right="3099"/>
        <w:spacing w:after="0"/>
        <w:rPr>
          <w:sz w:val="20"/>
          <w:szCs w:val="20"/>
          <w:color w:val="auto"/>
        </w:rPr>
      </w:pPr>
      <w:r>
        <w:rPr>
          <w:rFonts w:ascii="Courier New" w:cs="Courier New" w:eastAsia="Courier New" w:hAnsi="Courier New"/>
          <w:sz w:val="15"/>
          <w:szCs w:val="15"/>
          <w:color w:val="auto"/>
        </w:rPr>
        <w:t>FINANCIAL STATEMENTS AS OF MARCH 31, 2006</w:t>
      </w:r>
    </w:p>
    <w:p>
      <w:pPr>
        <w:jc w:val="center"/>
        <w:ind w:right="3179"/>
        <w:spacing w:after="0" w:line="238" w:lineRule="auto"/>
        <w:rPr>
          <w:sz w:val="20"/>
          <w:szCs w:val="20"/>
          <w:color w:val="auto"/>
        </w:rPr>
      </w:pPr>
      <w:r>
        <w:rPr>
          <w:rFonts w:ascii="Courier New" w:cs="Courier New" w:eastAsia="Courier New" w:hAnsi="Courier New"/>
          <w:sz w:val="15"/>
          <w:szCs w:val="15"/>
          <w:color w:val="auto"/>
        </w:rPr>
        <w:t>(dollars in thousands, except share data and per share data)</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5 - OTHER RECENT DEVELOPMENTS</w:t>
      </w:r>
    </w:p>
    <w:p>
      <w:pPr>
        <w:spacing w:after="0" w:line="169" w:lineRule="exact"/>
        <w:rPr>
          <w:sz w:val="20"/>
          <w:szCs w:val="20"/>
          <w:color w:val="auto"/>
        </w:rPr>
      </w:pPr>
    </w:p>
    <w:p>
      <w:pPr>
        <w:ind w:left="880" w:hanging="449"/>
        <w:spacing w:after="0"/>
        <w:tabs>
          <w:tab w:leader="none" w:pos="88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CLASS ACTION</w:t>
      </w:r>
    </w:p>
    <w:p>
      <w:pPr>
        <w:spacing w:after="0" w:line="174" w:lineRule="exact"/>
        <w:rPr>
          <w:rFonts w:ascii="Courier New" w:cs="Courier New" w:eastAsia="Courier New" w:hAnsi="Courier New"/>
          <w:sz w:val="15"/>
          <w:szCs w:val="15"/>
          <w:color w:val="auto"/>
        </w:rPr>
      </w:pPr>
    </w:p>
    <w:p>
      <w:pPr>
        <w:ind w:left="880" w:right="3179"/>
        <w:spacing w:after="0" w:line="238"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In August 2004, the United States District Court dismissed the class action filed in July 2003 by certain of the Company's shareholders in the United States against the Company and certain of its directors, Wafer Partners and Equity Investors (the "Defendants"). The plaintiffs had asserted claims arising under the Securities Exchange Act of 1934, alleging misstatements and omissions made by the Defendants in materials sent to the Company's shareholders in April 2002 with respect to the approval of an amendment to the Company's investment agreements with its Fab 2 investors. In December 2004, one of the lead plaintiffs filed an appeal of the decision dismissing the complaint. The Company believes that the complaint is without merit and is vigorously contesting it.</w:t>
      </w:r>
    </w:p>
    <w:p>
      <w:pPr>
        <w:spacing w:after="0" w:line="176" w:lineRule="exact"/>
        <w:rPr>
          <w:rFonts w:ascii="Courier New" w:cs="Courier New" w:eastAsia="Courier New" w:hAnsi="Courier New"/>
          <w:sz w:val="15"/>
          <w:szCs w:val="15"/>
          <w:color w:val="auto"/>
        </w:rPr>
      </w:pPr>
    </w:p>
    <w:p>
      <w:pPr>
        <w:ind w:left="880" w:hanging="449"/>
        <w:spacing w:after="0"/>
        <w:tabs>
          <w:tab w:leader="none" w:pos="88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SHARE OPTION PLANS</w:t>
      </w:r>
    </w:p>
    <w:p>
      <w:pPr>
        <w:spacing w:after="0" w:line="169" w:lineRule="exact"/>
        <w:rPr>
          <w:rFonts w:ascii="Courier New" w:cs="Courier New" w:eastAsia="Courier New" w:hAnsi="Courier New"/>
          <w:sz w:val="15"/>
          <w:szCs w:val="15"/>
          <w:color w:val="auto"/>
        </w:rPr>
      </w:pPr>
    </w:p>
    <w:p>
      <w:pPr>
        <w:ind w:left="1320" w:hanging="448"/>
        <w:spacing w:after="0"/>
        <w:tabs>
          <w:tab w:leader="none" w:pos="1320" w:val="left"/>
        </w:tabs>
        <w:numPr>
          <w:ilvl w:val="1"/>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OPTIONS GRANTED TO THE CHIEF EXECUTIVE OFFICER ("CEO")</w:t>
      </w:r>
    </w:p>
    <w:p>
      <w:pPr>
        <w:spacing w:after="0" w:line="174" w:lineRule="exact"/>
        <w:rPr>
          <w:rFonts w:ascii="Courier New" w:cs="Courier New" w:eastAsia="Courier New" w:hAnsi="Courier New"/>
          <w:sz w:val="15"/>
          <w:szCs w:val="15"/>
          <w:color w:val="auto"/>
        </w:rPr>
      </w:pPr>
    </w:p>
    <w:p>
      <w:pPr>
        <w:ind w:left="1320" w:right="3179"/>
        <w:spacing w:after="0" w:line="257"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In May 2006, the Audit Committee and Board of Directors approved the grant of options to the CEO of the Company, who also serves as a director, in addition to the options granted to him in April 2005, such that in total, the CEO will hold options to purchase shares that represent 4% of the Company's shares on a fully diluted basis during the two-year period from the approval of the Audit Committee. The exercise price of the initial grant of additional options will be $1.45, the 90 day average closing price of the Company's shares prior to the Board of Directors' approval. In the event of a future equity financing, additional options will be granted to the CEO as described above with an exercise price equal to the price per share of such investment.</w:t>
      </w:r>
    </w:p>
    <w:p>
      <w:pPr>
        <w:spacing w:after="0" w:line="165" w:lineRule="exact"/>
        <w:rPr>
          <w:rFonts w:ascii="Courier New" w:cs="Courier New" w:eastAsia="Courier New" w:hAnsi="Courier New"/>
          <w:sz w:val="15"/>
          <w:szCs w:val="15"/>
          <w:color w:val="auto"/>
        </w:rPr>
      </w:pPr>
    </w:p>
    <w:p>
      <w:pPr>
        <w:ind w:left="1320" w:right="3179"/>
        <w:spacing w:after="0" w:line="238"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vesting period of the new options will be identical to the vesting period of the existing options. No additional options will be granted under the CEO's employment agreement, which was approved by the Company's shareholders in October 2005. The new grant of options and its terms are subject to the approval of the Company's shareholders.</w:t>
      </w:r>
    </w:p>
    <w:p>
      <w:pPr>
        <w:spacing w:after="0" w:line="169" w:lineRule="exact"/>
        <w:rPr>
          <w:rFonts w:ascii="Courier New" w:cs="Courier New" w:eastAsia="Courier New" w:hAnsi="Courier New"/>
          <w:sz w:val="15"/>
          <w:szCs w:val="15"/>
          <w:color w:val="auto"/>
        </w:rPr>
      </w:pPr>
    </w:p>
    <w:p>
      <w:pPr>
        <w:ind w:left="1320" w:hanging="448"/>
        <w:spacing w:after="0"/>
        <w:tabs>
          <w:tab w:leader="none" w:pos="1320" w:val="left"/>
        </w:tabs>
        <w:numPr>
          <w:ilvl w:val="1"/>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RE-PRICING OF EMPLOYEE OPTIONS</w:t>
      </w:r>
    </w:p>
    <w:p>
      <w:pPr>
        <w:spacing w:after="0" w:line="174" w:lineRule="exact"/>
        <w:rPr>
          <w:rFonts w:ascii="Courier New" w:cs="Courier New" w:eastAsia="Courier New" w:hAnsi="Courier New"/>
          <w:sz w:val="15"/>
          <w:szCs w:val="15"/>
          <w:color w:val="auto"/>
        </w:rPr>
      </w:pPr>
    </w:p>
    <w:p>
      <w:pPr>
        <w:ind w:left="1320" w:right="3179"/>
        <w:spacing w:after="0" w:line="257"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The Board of Directors approved a plan to re-price the exercise price of existing options held by the Company's employees at each employee's discretion. The new exercise price of the options will be $1.45, which is the 90 day average closing price of the Company's shares prior to the Board of Directors' approval. The new options will be granted based on terms similar to the existing option plan with new vesting periods. The Board of Directors further approved that if the total number of employee options, including the options to the CEO, during the coming 24 months will represent less than 8% of the Company's shares on a fully diluted basis, additional options will be allocated for grants to be made to the Company's employees.</w:t>
      </w:r>
    </w:p>
    <w:p>
      <w:pPr>
        <w:spacing w:after="0" w:line="335" w:lineRule="exact"/>
        <w:rPr>
          <w:rFonts w:ascii="Courier New" w:cs="Courier New" w:eastAsia="Courier New" w:hAnsi="Courier New"/>
          <w:sz w:val="15"/>
          <w:szCs w:val="15"/>
          <w:color w:val="auto"/>
        </w:rPr>
      </w:pPr>
    </w:p>
    <w:p>
      <w:pPr>
        <w:ind w:left="1320" w:right="3439"/>
        <w:spacing w:after="0" w:line="235"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No options have been granted under such plan as of the date of the approval of the financial statements.</w:t>
      </w:r>
    </w:p>
    <w:p>
      <w:pPr>
        <w:spacing w:after="0" w:line="339" w:lineRule="exact"/>
        <w:rPr>
          <w:rFonts w:ascii="Courier New" w:cs="Courier New" w:eastAsia="Courier New" w:hAnsi="Courier New"/>
          <w:sz w:val="15"/>
          <w:szCs w:val="15"/>
          <w:color w:val="auto"/>
        </w:rPr>
      </w:pPr>
    </w:p>
    <w:p>
      <w:pPr>
        <w:ind w:left="3420" w:hanging="168"/>
        <w:spacing w:after="0"/>
        <w:tabs>
          <w:tab w:leader="none" w:pos="3420" w:val="left"/>
        </w:tabs>
        <w:numPr>
          <w:ilvl w:val="2"/>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12 -</w:t>
      </w:r>
    </w:p>
    <w:p>
      <w:pPr>
        <w:sectPr>
          <w:pgSz w:w="11900" w:h="16838" w:orient="portrait"/>
          <w:cols w:equalWidth="0" w:num="1">
            <w:col w:w="10219"/>
          </w:cols>
          <w:pgMar w:left="240" w:top="791" w:right="1440" w:bottom="1440" w:gutter="0" w:footer="0" w:header="0"/>
        </w:sectPr>
      </w:pPr>
    </w:p>
    <w:bookmarkStart w:id="17" w:name="page18"/>
    <w:bookmarkEnd w:id="17"/>
    <w:p>
      <w:pPr>
        <w:jc w:val="center"/>
        <w:ind w:right="3099"/>
        <w:spacing w:after="0"/>
        <w:rPr>
          <w:sz w:val="20"/>
          <w:szCs w:val="20"/>
          <w:color w:val="auto"/>
        </w:rPr>
      </w:pPr>
      <w:r>
        <w:rPr>
          <w:rFonts w:ascii="Courier New" w:cs="Courier New" w:eastAsia="Courier New" w:hAnsi="Courier New"/>
          <w:sz w:val="15"/>
          <w:szCs w:val="15"/>
          <w:color w:val="auto"/>
        </w:rPr>
        <w:t>TOWER SEMICONDUCTOR LTD. AND SUBSIDIARY</w:t>
      </w:r>
    </w:p>
    <w:p>
      <w:pPr>
        <w:jc w:val="center"/>
        <w:ind w:right="3099"/>
        <w:spacing w:after="0"/>
        <w:rPr>
          <w:sz w:val="20"/>
          <w:szCs w:val="20"/>
          <w:color w:val="auto"/>
        </w:rPr>
      </w:pPr>
      <w:r>
        <w:rPr>
          <w:rFonts w:ascii="Courier New" w:cs="Courier New" w:eastAsia="Courier New" w:hAnsi="Courier New"/>
          <w:sz w:val="15"/>
          <w:szCs w:val="15"/>
          <w:color w:val="auto"/>
        </w:rPr>
        <w:t>NOTES TO UNAUDITED CONDENSED INTERIM CONSOLIDATED</w:t>
      </w:r>
    </w:p>
    <w:p>
      <w:pPr>
        <w:jc w:val="center"/>
        <w:ind w:right="3099"/>
        <w:spacing w:after="0"/>
        <w:rPr>
          <w:sz w:val="20"/>
          <w:szCs w:val="20"/>
          <w:color w:val="auto"/>
        </w:rPr>
      </w:pPr>
      <w:r>
        <w:rPr>
          <w:rFonts w:ascii="Courier New" w:cs="Courier New" w:eastAsia="Courier New" w:hAnsi="Courier New"/>
          <w:sz w:val="15"/>
          <w:szCs w:val="15"/>
          <w:color w:val="auto"/>
        </w:rPr>
        <w:t>FINANCIAL STATEMENTS AS OF MARCH 31, 2006</w:t>
      </w:r>
    </w:p>
    <w:p>
      <w:pPr>
        <w:jc w:val="center"/>
        <w:ind w:right="3179"/>
        <w:spacing w:after="0" w:line="238" w:lineRule="auto"/>
        <w:rPr>
          <w:sz w:val="20"/>
          <w:szCs w:val="20"/>
          <w:color w:val="auto"/>
        </w:rPr>
      </w:pPr>
      <w:r>
        <w:rPr>
          <w:rFonts w:ascii="Courier New" w:cs="Courier New" w:eastAsia="Courier New" w:hAnsi="Courier New"/>
          <w:sz w:val="15"/>
          <w:szCs w:val="15"/>
          <w:color w:val="auto"/>
        </w:rPr>
        <w:t>(dollars in thousands, except share data and per share data)</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5 - OTHER RECENT DEVELOPMENTS (cont.)</w:t>
      </w:r>
    </w:p>
    <w:p>
      <w:pPr>
        <w:spacing w:after="0" w:line="169" w:lineRule="exact"/>
        <w:rPr>
          <w:sz w:val="20"/>
          <w:szCs w:val="20"/>
          <w:color w:val="auto"/>
        </w:rPr>
      </w:pPr>
    </w:p>
    <w:p>
      <w:pPr>
        <w:ind w:left="880" w:hanging="449"/>
        <w:spacing w:after="0"/>
        <w:tabs>
          <w:tab w:leader="none" w:pos="880"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2005 RIGHTS OFFERING</w:t>
      </w:r>
    </w:p>
    <w:p>
      <w:pPr>
        <w:spacing w:after="0" w:line="174" w:lineRule="exact"/>
        <w:rPr>
          <w:rFonts w:ascii="Courier New" w:cs="Courier New" w:eastAsia="Courier New" w:hAnsi="Courier New"/>
          <w:sz w:val="15"/>
          <w:szCs w:val="15"/>
          <w:color w:val="auto"/>
        </w:rPr>
      </w:pPr>
    </w:p>
    <w:p>
      <w:pPr>
        <w:ind w:left="880" w:right="3179"/>
        <w:spacing w:after="0" w:line="257"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In December 2005, the Company filed in Israel and the U.S. a prospectus for the distribution of transferable rights to purchase up to $50,000 U.S. dollar denominated debentures that are convertible into up to 45,454,545 of the Company's Ordinary Shares. The rights were distributed to the shareholders of record of the Company on December 20, 2005 (the record date), and to certain employees who on the record date held options to purchase the Company's Ordinary Shares under share option plans that entitle the option holders to participate in a rights offering. Each 138.98 Ordinary Shares and/or eligible employee options held on the record date entitled their holder to one right. The rights were exercisable until January 12, 2006. Each right entitled its holder to purchase, at a subscription price of $100.00, 100 U.S. dollar denominated convertible debentures.</w:t>
      </w:r>
    </w:p>
    <w:p>
      <w:pPr>
        <w:spacing w:after="0" w:line="165" w:lineRule="exact"/>
        <w:rPr>
          <w:rFonts w:ascii="Courier New" w:cs="Courier New" w:eastAsia="Courier New" w:hAnsi="Courier New"/>
          <w:sz w:val="15"/>
          <w:szCs w:val="15"/>
          <w:color w:val="auto"/>
        </w:rPr>
      </w:pPr>
    </w:p>
    <w:p>
      <w:pPr>
        <w:ind w:left="880" w:right="3259"/>
        <w:spacing w:after="0" w:line="238"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In connection with the exercise of the rights, the Company issued 48,169,300 convertible debentures, with each debenture of $1.00 in principal amount, or total of $48,169 principal amount of debentures, which bear annual interest at the rate of 5%. The principal of the debentures, together with accrued interest, is payable in one installment on January 12, 2012.</w:t>
      </w:r>
    </w:p>
    <w:p>
      <w:pPr>
        <w:spacing w:after="0" w:line="175" w:lineRule="exact"/>
        <w:rPr>
          <w:rFonts w:ascii="Courier New" w:cs="Courier New" w:eastAsia="Courier New" w:hAnsi="Courier New"/>
          <w:sz w:val="15"/>
          <w:szCs w:val="15"/>
          <w:color w:val="auto"/>
        </w:rPr>
      </w:pPr>
    </w:p>
    <w:p>
      <w:pPr>
        <w:ind w:left="880" w:right="3179"/>
        <w:spacing w:after="0" w:line="238"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debentures are convertible into the Company's Ordinary Shares at a rate of one ordinary share per $1.10 aggregate principal amount of debentures. The conversion price is subject to downward adjustment under certain circumstances in which the Company sells securities in future financings at a price per share which is lower than the conversion price, provided that such financings close through December 2006 (or under certain conditions, through June 2007).</w:t>
      </w:r>
    </w:p>
    <w:p>
      <w:pPr>
        <w:spacing w:after="0" w:line="176" w:lineRule="exact"/>
        <w:rPr>
          <w:rFonts w:ascii="Courier New" w:cs="Courier New" w:eastAsia="Courier New" w:hAnsi="Courier New"/>
          <w:sz w:val="15"/>
          <w:szCs w:val="15"/>
          <w:color w:val="auto"/>
        </w:rPr>
      </w:pPr>
    </w:p>
    <w:p>
      <w:pPr>
        <w:ind w:left="880" w:right="3439"/>
        <w:spacing w:after="0" w:line="265"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During the first quarter of 2006, 6,600,812 convertibles debentures were converted into 6,000,737 ordinary shares of the Company.</w:t>
      </w:r>
    </w:p>
    <w:p>
      <w:pPr>
        <w:spacing w:after="0" w:line="158" w:lineRule="exact"/>
        <w:rPr>
          <w:rFonts w:ascii="Courier New" w:cs="Courier New" w:eastAsia="Courier New" w:hAnsi="Courier New"/>
          <w:sz w:val="15"/>
          <w:szCs w:val="15"/>
          <w:color w:val="auto"/>
        </w:rPr>
      </w:pPr>
    </w:p>
    <w:p>
      <w:pPr>
        <w:ind w:left="880" w:right="3539"/>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Subject to the Facility Agreement, the Company may at its option announce the early redemption of the debentures, provided that the outstanding aggregate balance of principal on account of the debentures is equal to or less than $500.</w:t>
      </w:r>
    </w:p>
    <w:p>
      <w:pPr>
        <w:spacing w:after="0" w:line="176" w:lineRule="exact"/>
        <w:rPr>
          <w:rFonts w:ascii="Courier New" w:cs="Courier New" w:eastAsia="Courier New" w:hAnsi="Courier New"/>
          <w:sz w:val="15"/>
          <w:szCs w:val="15"/>
          <w:color w:val="auto"/>
        </w:rPr>
      </w:pPr>
    </w:p>
    <w:p>
      <w:pPr>
        <w:ind w:left="880" w:right="3259"/>
        <w:spacing w:after="0" w:line="235"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debentures are listed and quoted on the NASDAQ Capital Market and the Tel Aviv Stock Exchange.</w:t>
      </w:r>
    </w:p>
    <w:p>
      <w:pPr>
        <w:spacing w:after="0" w:line="175" w:lineRule="exact"/>
        <w:rPr>
          <w:rFonts w:ascii="Courier New" w:cs="Courier New" w:eastAsia="Courier New" w:hAnsi="Courier New"/>
          <w:sz w:val="15"/>
          <w:szCs w:val="15"/>
          <w:color w:val="auto"/>
        </w:rPr>
      </w:pPr>
    </w:p>
    <w:p>
      <w:pPr>
        <w:ind w:left="880" w:right="3259"/>
        <w:spacing w:after="0" w:line="235"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Certain of the Company's Equity Investors and Wafer Partners invested $27,811 in the framework of the rights offering.</w:t>
      </w:r>
    </w:p>
    <w:p>
      <w:pPr>
        <w:spacing w:after="0" w:line="175" w:lineRule="exact"/>
        <w:rPr>
          <w:rFonts w:ascii="Courier New" w:cs="Courier New" w:eastAsia="Courier New" w:hAnsi="Courier New"/>
          <w:sz w:val="15"/>
          <w:szCs w:val="15"/>
          <w:color w:val="auto"/>
        </w:rPr>
      </w:pPr>
    </w:p>
    <w:p>
      <w:pPr>
        <w:ind w:left="880" w:right="3259"/>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debentures and interest thereon are unsecured and rank behind the Company's existing and future secured indebtedness, including indebtedness to the Banks under the Facility Agreement, as well as to the government of Israel in connection with grants the Company received under its approved enterprise programs and to Siliconix.</w:t>
      </w:r>
    </w:p>
    <w:p>
      <w:pPr>
        <w:spacing w:after="0" w:line="342" w:lineRule="exact"/>
        <w:rPr>
          <w:rFonts w:ascii="Courier New" w:cs="Courier New" w:eastAsia="Courier New" w:hAnsi="Courier New"/>
          <w:sz w:val="15"/>
          <w:szCs w:val="15"/>
          <w:color w:val="auto"/>
        </w:rPr>
      </w:pPr>
    </w:p>
    <w:p>
      <w:pPr>
        <w:ind w:left="3420" w:hanging="168"/>
        <w:spacing w:after="0"/>
        <w:tabs>
          <w:tab w:leader="none" w:pos="3420" w:val="left"/>
        </w:tabs>
        <w:numPr>
          <w:ilvl w:val="1"/>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13 -</w:t>
      </w:r>
    </w:p>
    <w:p>
      <w:pPr>
        <w:sectPr>
          <w:pgSz w:w="11900" w:h="16838" w:orient="portrait"/>
          <w:cols w:equalWidth="0" w:num="1">
            <w:col w:w="10219"/>
          </w:cols>
          <w:pgMar w:left="240" w:top="791" w:right="1440" w:bottom="1440" w:gutter="0" w:footer="0" w:header="0"/>
        </w:sectPr>
      </w:pPr>
    </w:p>
    <w:bookmarkStart w:id="18" w:name="page19"/>
    <w:bookmarkEnd w:id="18"/>
    <w:p>
      <w:pPr>
        <w:jc w:val="center"/>
        <w:ind w:right="3099"/>
        <w:spacing w:after="0"/>
        <w:rPr>
          <w:sz w:val="20"/>
          <w:szCs w:val="20"/>
          <w:color w:val="auto"/>
        </w:rPr>
      </w:pPr>
      <w:r>
        <w:rPr>
          <w:rFonts w:ascii="Courier New" w:cs="Courier New" w:eastAsia="Courier New" w:hAnsi="Courier New"/>
          <w:sz w:val="15"/>
          <w:szCs w:val="15"/>
          <w:color w:val="auto"/>
        </w:rPr>
        <w:t>TOWER SEMICONDUCTOR LTD. AND SUBSIDIARY</w:t>
      </w:r>
    </w:p>
    <w:p>
      <w:pPr>
        <w:jc w:val="center"/>
        <w:ind w:right="3099"/>
        <w:spacing w:after="0"/>
        <w:rPr>
          <w:sz w:val="20"/>
          <w:szCs w:val="20"/>
          <w:color w:val="auto"/>
        </w:rPr>
      </w:pPr>
      <w:r>
        <w:rPr>
          <w:rFonts w:ascii="Courier New" w:cs="Courier New" w:eastAsia="Courier New" w:hAnsi="Courier New"/>
          <w:sz w:val="15"/>
          <w:szCs w:val="15"/>
          <w:color w:val="auto"/>
        </w:rPr>
        <w:t>NOTES TO UNAUDITED CONDENSED INTERIM CONSOLIDATED</w:t>
      </w:r>
    </w:p>
    <w:p>
      <w:pPr>
        <w:jc w:val="center"/>
        <w:ind w:right="3099"/>
        <w:spacing w:after="0"/>
        <w:rPr>
          <w:sz w:val="20"/>
          <w:szCs w:val="20"/>
          <w:color w:val="auto"/>
        </w:rPr>
      </w:pPr>
      <w:r>
        <w:rPr>
          <w:rFonts w:ascii="Courier New" w:cs="Courier New" w:eastAsia="Courier New" w:hAnsi="Courier New"/>
          <w:sz w:val="15"/>
          <w:szCs w:val="15"/>
          <w:color w:val="auto"/>
        </w:rPr>
        <w:t>FINANCIAL STATEMENTS AS OF MARCH 31, 2006</w:t>
      </w:r>
    </w:p>
    <w:p>
      <w:pPr>
        <w:jc w:val="center"/>
        <w:ind w:right="3179"/>
        <w:spacing w:after="0" w:line="238" w:lineRule="auto"/>
        <w:rPr>
          <w:sz w:val="20"/>
          <w:szCs w:val="20"/>
          <w:color w:val="auto"/>
        </w:rPr>
      </w:pPr>
      <w:r>
        <w:rPr>
          <w:rFonts w:ascii="Courier New" w:cs="Courier New" w:eastAsia="Courier New" w:hAnsi="Courier New"/>
          <w:sz w:val="15"/>
          <w:szCs w:val="15"/>
          <w:color w:val="auto"/>
        </w:rPr>
        <w:t>(dollars in thousands, except share data and per share data)</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5 - OTHER RECENT DEVELOPMENTS (cont.)</w:t>
      </w:r>
    </w:p>
    <w:p>
      <w:pPr>
        <w:spacing w:after="0" w:line="169" w:lineRule="exact"/>
        <w:rPr>
          <w:sz w:val="20"/>
          <w:szCs w:val="20"/>
          <w:color w:val="auto"/>
        </w:rPr>
      </w:pPr>
    </w:p>
    <w:p>
      <w:pPr>
        <w:ind w:left="880" w:hanging="449"/>
        <w:spacing w:after="0"/>
        <w:tabs>
          <w:tab w:leader="none" w:pos="880"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2005 RIGHTS OFFERING (cont.)</w:t>
      </w:r>
    </w:p>
    <w:p>
      <w:pPr>
        <w:spacing w:after="0" w:line="174" w:lineRule="exact"/>
        <w:rPr>
          <w:rFonts w:ascii="Courier New" w:cs="Courier New" w:eastAsia="Courier New" w:hAnsi="Courier New"/>
          <w:sz w:val="15"/>
          <w:szCs w:val="15"/>
          <w:color w:val="auto"/>
        </w:rPr>
      </w:pPr>
    </w:p>
    <w:p>
      <w:pPr>
        <w:ind w:left="880" w:right="3259"/>
        <w:spacing w:after="0" w:line="238"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If on the payment date of the principal and interest on the debentures, there exists an infringement of certain covenants and conditions under the Facility Agreement, the date for payment of the interest and principal on the debentures may be postponed, depending on various scenarios under the Facility Agreement until such covenant or condition is settled.</w:t>
      </w:r>
    </w:p>
    <w:p>
      <w:pPr>
        <w:spacing w:after="0" w:line="175" w:lineRule="exact"/>
        <w:rPr>
          <w:rFonts w:ascii="Courier New" w:cs="Courier New" w:eastAsia="Courier New" w:hAnsi="Courier New"/>
          <w:sz w:val="15"/>
          <w:szCs w:val="15"/>
          <w:color w:val="auto"/>
        </w:rPr>
      </w:pPr>
    </w:p>
    <w:p>
      <w:pPr>
        <w:ind w:left="880" w:right="3359"/>
        <w:spacing w:after="0" w:line="235"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See Note 6 for the presentation of the rights offering in accordance with U.S. GAAP.</w:t>
      </w:r>
    </w:p>
    <w:p>
      <w:pPr>
        <w:spacing w:after="0" w:line="170" w:lineRule="exact"/>
        <w:rPr>
          <w:rFonts w:ascii="Courier New" w:cs="Courier New" w:eastAsia="Courier New" w:hAnsi="Courier New"/>
          <w:sz w:val="15"/>
          <w:szCs w:val="15"/>
          <w:color w:val="auto"/>
        </w:rPr>
      </w:pPr>
    </w:p>
    <w:p>
      <w:pPr>
        <w:ind w:left="880" w:hanging="449"/>
        <w:spacing w:after="0"/>
        <w:tabs>
          <w:tab w:leader="none" w:pos="880"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AUTHORIZED SHARES</w:t>
      </w:r>
    </w:p>
    <w:p>
      <w:pPr>
        <w:spacing w:after="0" w:line="174" w:lineRule="exact"/>
        <w:rPr>
          <w:rFonts w:ascii="Courier New" w:cs="Courier New" w:eastAsia="Courier New" w:hAnsi="Courier New"/>
          <w:sz w:val="15"/>
          <w:szCs w:val="15"/>
          <w:color w:val="auto"/>
        </w:rPr>
      </w:pPr>
    </w:p>
    <w:p>
      <w:pPr>
        <w:ind w:left="880" w:right="3179"/>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In March 2006, the Board of Directors of the Company approved the increase of the Company's authorized shares from 500,000,000 to 800,000,000. This increase is subject to the approval of the Company's shareholders.</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6 - MATERIAL DIFFERENCES BETWEEN ISRAELI AND U.S. GAAP</w:t>
      </w:r>
    </w:p>
    <w:p>
      <w:pPr>
        <w:spacing w:after="0" w:line="175" w:lineRule="exact"/>
        <w:rPr>
          <w:sz w:val="20"/>
          <w:szCs w:val="20"/>
          <w:color w:val="auto"/>
        </w:rPr>
      </w:pPr>
    </w:p>
    <w:p>
      <w:pPr>
        <w:ind w:left="440" w:right="3179"/>
        <w:spacing w:after="0" w:line="237" w:lineRule="auto"/>
        <w:rPr>
          <w:sz w:val="20"/>
          <w:szCs w:val="20"/>
          <w:color w:val="auto"/>
        </w:rPr>
      </w:pPr>
      <w:r>
        <w:rPr>
          <w:rFonts w:ascii="Courier New" w:cs="Courier New" w:eastAsia="Courier New" w:hAnsi="Courier New"/>
          <w:sz w:val="15"/>
          <w:szCs w:val="15"/>
          <w:color w:val="auto"/>
        </w:rPr>
        <w:t>With regard to the Company's interim financial statements, the material differences between GAAP in Israel and in the U.S. relate to the following. See H below for the presentation of the Company's unaudited balance sheet as of March 31, 2006 in accordance with U.S. GAAP.</w:t>
      </w:r>
    </w:p>
    <w:p>
      <w:pPr>
        <w:spacing w:after="0" w:line="171" w:lineRule="exact"/>
        <w:rPr>
          <w:sz w:val="20"/>
          <w:szCs w:val="20"/>
          <w:color w:val="auto"/>
        </w:rPr>
      </w:pPr>
    </w:p>
    <w:p>
      <w:pPr>
        <w:ind w:left="880" w:hanging="449"/>
        <w:spacing w:after="0"/>
        <w:tabs>
          <w:tab w:leader="none" w:pos="880"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RECENT ACCOUNTING PRONOUNCEMENTS BY THE FASB</w:t>
      </w:r>
    </w:p>
    <w:p>
      <w:pPr>
        <w:spacing w:after="0" w:line="169" w:lineRule="exact"/>
        <w:rPr>
          <w:rFonts w:ascii="Courier New" w:cs="Courier New" w:eastAsia="Courier New" w:hAnsi="Courier New"/>
          <w:sz w:val="15"/>
          <w:szCs w:val="15"/>
          <w:color w:val="auto"/>
        </w:rPr>
      </w:pPr>
    </w:p>
    <w:p>
      <w:pPr>
        <w:ind w:left="88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SFAS NO. 155. ACCOUNTING FOR CERTAIN HYBRID FINANCIAL INSTRUMENTS -</w:t>
      </w:r>
    </w:p>
    <w:p>
      <w:pPr>
        <w:spacing w:after="0" w:line="174" w:lineRule="exact"/>
        <w:rPr>
          <w:rFonts w:ascii="Courier New" w:cs="Courier New" w:eastAsia="Courier New" w:hAnsi="Courier New"/>
          <w:sz w:val="15"/>
          <w:szCs w:val="15"/>
          <w:color w:val="auto"/>
        </w:rPr>
      </w:pPr>
    </w:p>
    <w:p>
      <w:pPr>
        <w:ind w:left="880" w:right="3179"/>
        <w:spacing w:after="0" w:line="256"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In February 2006, the FASB issued SFAS 155, "Accounting for Certain Hybrid Financial Instruments". Key provisions of SFAS 155 include: (1) a broad fair value measurement option for certain hybrid financial instruments that contain an embedded derivative that would otherwise require bifurcation; (2) clarification that only the simplest separations of interest payments and principal payments qualify for the exception afforded to interest-only strips and principal-only strips from derivative accounting under paragraph 14 of FAS 133 (thereby narrowing such exception); (3) a requirement that beneficial interests in securitized financial assets be analyzed to determine whether they are freestanding derivatives or whether they are hybrid instruments that contain embedded derivatives requiring bifurcation;</w:t>
      </w:r>
    </w:p>
    <w:p>
      <w:pPr>
        <w:spacing w:after="0" w:line="4" w:lineRule="exact"/>
        <w:rPr>
          <w:rFonts w:ascii="Courier New" w:cs="Courier New" w:eastAsia="Courier New" w:hAnsi="Courier New"/>
          <w:sz w:val="15"/>
          <w:szCs w:val="15"/>
          <w:color w:val="auto"/>
        </w:rPr>
      </w:pPr>
    </w:p>
    <w:p>
      <w:pPr>
        <w:ind w:left="880" w:right="3179" w:hanging="8"/>
        <w:spacing w:after="0" w:line="238" w:lineRule="auto"/>
        <w:tabs>
          <w:tab w:leader="none" w:pos="1233" w:val="left"/>
        </w:tabs>
        <w:numPr>
          <w:ilvl w:val="1"/>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clarification that concentrations of credit risk in the form of subordination are not embedded derivatives; and (5) elimination of the prohibition on a QSPE holding passive derivative financial instruments that pertain to beneficial interests that are or contain a derivative financial instrument. In general, these changes will reduce the operational complexity associated with bifurcating embedded derivatives, and increase the number of beneficial interests in securitization transactions, including interest-only strips and principal-only strips, required to be accounted for in accordance with FAS 133. Management does not believe that SFAS 155 will have a material effect on the financial condition, results of operations, or liquidity of the Company.</w:t>
      </w:r>
    </w:p>
    <w:p>
      <w:pPr>
        <w:spacing w:after="0" w:line="345" w:lineRule="exact"/>
        <w:rPr>
          <w:rFonts w:ascii="Courier New" w:cs="Courier New" w:eastAsia="Courier New" w:hAnsi="Courier New"/>
          <w:sz w:val="15"/>
          <w:szCs w:val="15"/>
          <w:color w:val="auto"/>
        </w:rPr>
      </w:pPr>
    </w:p>
    <w:p>
      <w:pPr>
        <w:ind w:left="3420" w:hanging="168"/>
        <w:spacing w:after="0"/>
        <w:tabs>
          <w:tab w:leader="none" w:pos="3420" w:val="left"/>
        </w:tabs>
        <w:numPr>
          <w:ilvl w:val="2"/>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14 -</w:t>
      </w:r>
    </w:p>
    <w:p>
      <w:pPr>
        <w:sectPr>
          <w:pgSz w:w="11900" w:h="16838" w:orient="portrait"/>
          <w:cols w:equalWidth="0" w:num="1">
            <w:col w:w="10219"/>
          </w:cols>
          <w:pgMar w:left="240" w:top="791" w:right="1440" w:bottom="1440" w:gutter="0" w:footer="0" w:header="0"/>
        </w:sectPr>
      </w:pPr>
    </w:p>
    <w:bookmarkStart w:id="19" w:name="page20"/>
    <w:bookmarkEnd w:id="19"/>
    <w:p>
      <w:pPr>
        <w:jc w:val="center"/>
        <w:ind w:right="3099"/>
        <w:spacing w:after="0"/>
        <w:rPr>
          <w:sz w:val="20"/>
          <w:szCs w:val="20"/>
          <w:color w:val="auto"/>
        </w:rPr>
      </w:pPr>
      <w:r>
        <w:rPr>
          <w:rFonts w:ascii="Courier New" w:cs="Courier New" w:eastAsia="Courier New" w:hAnsi="Courier New"/>
          <w:sz w:val="15"/>
          <w:szCs w:val="15"/>
          <w:color w:val="auto"/>
        </w:rPr>
        <w:t>TOWER SEMICONDUCTOR LTD. AND SUBSIDIARY</w:t>
      </w:r>
    </w:p>
    <w:p>
      <w:pPr>
        <w:jc w:val="center"/>
        <w:ind w:right="3099"/>
        <w:spacing w:after="0"/>
        <w:rPr>
          <w:sz w:val="20"/>
          <w:szCs w:val="20"/>
          <w:color w:val="auto"/>
        </w:rPr>
      </w:pPr>
      <w:r>
        <w:rPr>
          <w:rFonts w:ascii="Courier New" w:cs="Courier New" w:eastAsia="Courier New" w:hAnsi="Courier New"/>
          <w:sz w:val="15"/>
          <w:szCs w:val="15"/>
          <w:color w:val="auto"/>
        </w:rPr>
        <w:t>NOTES TO UNAUDITED CONDENSED INTERIM CONSOLIDATED</w:t>
      </w:r>
    </w:p>
    <w:p>
      <w:pPr>
        <w:jc w:val="center"/>
        <w:ind w:right="3099"/>
        <w:spacing w:after="0"/>
        <w:rPr>
          <w:sz w:val="20"/>
          <w:szCs w:val="20"/>
          <w:color w:val="auto"/>
        </w:rPr>
      </w:pPr>
      <w:r>
        <w:rPr>
          <w:rFonts w:ascii="Courier New" w:cs="Courier New" w:eastAsia="Courier New" w:hAnsi="Courier New"/>
          <w:sz w:val="15"/>
          <w:szCs w:val="15"/>
          <w:color w:val="auto"/>
        </w:rPr>
        <w:t>FINANCIAL STATEMENTS AS OF MARCH 31, 2006</w:t>
      </w:r>
    </w:p>
    <w:p>
      <w:pPr>
        <w:jc w:val="center"/>
        <w:ind w:right="3179"/>
        <w:spacing w:after="0" w:line="238" w:lineRule="auto"/>
        <w:rPr>
          <w:sz w:val="20"/>
          <w:szCs w:val="20"/>
          <w:color w:val="auto"/>
        </w:rPr>
      </w:pPr>
      <w:r>
        <w:rPr>
          <w:rFonts w:ascii="Courier New" w:cs="Courier New" w:eastAsia="Courier New" w:hAnsi="Courier New"/>
          <w:sz w:val="15"/>
          <w:szCs w:val="15"/>
          <w:color w:val="auto"/>
        </w:rPr>
        <w:t>(dollars in thousands, except share data and per share data)</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6 - MATERIAL DIFFERENCES BETWEEN ISRAELI AND U.S. GAAP (cont.)</w:t>
      </w:r>
    </w:p>
    <w:p>
      <w:pPr>
        <w:spacing w:after="0" w:line="175" w:lineRule="exact"/>
        <w:rPr>
          <w:sz w:val="20"/>
          <w:szCs w:val="20"/>
          <w:color w:val="auto"/>
        </w:rPr>
      </w:pPr>
    </w:p>
    <w:p>
      <w:pPr>
        <w:ind w:left="880" w:right="3799" w:hanging="449"/>
        <w:spacing w:after="0" w:line="235" w:lineRule="auto"/>
        <w:tabs>
          <w:tab w:leader="none" w:pos="880"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PRESENTATION OF DESIGNATED CASH AND SHORT-TERM INTEREST-BEARING DEPOSITS</w:t>
      </w:r>
    </w:p>
    <w:p>
      <w:pPr>
        <w:spacing w:after="0" w:line="175" w:lineRule="exact"/>
        <w:rPr>
          <w:rFonts w:ascii="Courier New" w:cs="Courier New" w:eastAsia="Courier New" w:hAnsi="Courier New"/>
          <w:sz w:val="15"/>
          <w:szCs w:val="15"/>
          <w:color w:val="auto"/>
        </w:rPr>
      </w:pPr>
    </w:p>
    <w:p>
      <w:pPr>
        <w:ind w:left="880" w:right="3179"/>
        <w:spacing w:after="0" w:line="238"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In accordance with U.S. GAAP, the Company's designated cash and short-term interest-bearing deposits should be excluded from current assets and presented separately as a non-current asset. Accordingly, as of March 31, 2006, $15,126 was reclassified from current assets to a long-term asset (as of December 31, 2005 - $31,661, was reclassified from current assets and long-term investments, respectively, to a long-term asset).</w:t>
      </w:r>
    </w:p>
    <w:p>
      <w:pPr>
        <w:spacing w:after="0" w:line="170" w:lineRule="exact"/>
        <w:rPr>
          <w:rFonts w:ascii="Courier New" w:cs="Courier New" w:eastAsia="Courier New" w:hAnsi="Courier New"/>
          <w:sz w:val="15"/>
          <w:szCs w:val="15"/>
          <w:color w:val="auto"/>
        </w:rPr>
      </w:pPr>
    </w:p>
    <w:p>
      <w:pPr>
        <w:ind w:left="880" w:hanging="449"/>
        <w:spacing w:after="0"/>
        <w:tabs>
          <w:tab w:leader="none" w:pos="880"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PRESENTATION OF NET LONG-TERM LIABILITIES IN RESPECT OF EMPLOYEES</w:t>
      </w:r>
    </w:p>
    <w:p>
      <w:pPr>
        <w:spacing w:after="0" w:line="174" w:lineRule="exact"/>
        <w:rPr>
          <w:rFonts w:ascii="Courier New" w:cs="Courier New" w:eastAsia="Courier New" w:hAnsi="Courier New"/>
          <w:sz w:val="15"/>
          <w:szCs w:val="15"/>
          <w:color w:val="auto"/>
        </w:rPr>
      </w:pPr>
    </w:p>
    <w:p>
      <w:pPr>
        <w:ind w:left="880" w:right="3179"/>
        <w:spacing w:after="0" w:line="238"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Under U.S. GAAP, assets and liabilities relating to severance arrangements are to be presented separately and are not to be offset, while according to Israeli GAAP such an offset is required. Accordingly, as of March 31, 2006, an amount of $13,587 was reclassified from other long-term liabilities to long-term investments (as of December 31, 2005 - $13,658).</w:t>
      </w:r>
    </w:p>
    <w:p>
      <w:pPr>
        <w:spacing w:after="0" w:line="169" w:lineRule="exact"/>
        <w:rPr>
          <w:rFonts w:ascii="Courier New" w:cs="Courier New" w:eastAsia="Courier New" w:hAnsi="Courier New"/>
          <w:sz w:val="15"/>
          <w:szCs w:val="15"/>
          <w:color w:val="auto"/>
        </w:rPr>
      </w:pPr>
    </w:p>
    <w:p>
      <w:pPr>
        <w:ind w:left="880" w:hanging="449"/>
        <w:spacing w:after="0"/>
        <w:tabs>
          <w:tab w:leader="none" w:pos="880"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HEDGING ACTIVITIES IN ACCORDANCE WITH U.S. GAAP (SFAS 133)</w:t>
      </w:r>
    </w:p>
    <w:p>
      <w:pPr>
        <w:spacing w:after="0" w:line="174" w:lineRule="exact"/>
        <w:rPr>
          <w:rFonts w:ascii="Courier New" w:cs="Courier New" w:eastAsia="Courier New" w:hAnsi="Courier New"/>
          <w:sz w:val="15"/>
          <w:szCs w:val="15"/>
          <w:color w:val="auto"/>
        </w:rPr>
      </w:pPr>
    </w:p>
    <w:p>
      <w:pPr>
        <w:ind w:left="880" w:right="3179"/>
        <w:spacing w:after="0" w:line="257"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Complying with SFAS 133 as amended and the related interpretations thereon with respect to the Company's hedging transactions as of March 31, 2006 would have resulted in: an increase in other long-term investments in the amount of $2,493; a decrease in other comprehensive loss for the three months ended March 31, 2006 in the net amount of $1,058; an accumulated other comprehensive loss component of equity balance as of March 31, 2006 in the amount of $496; and in a decrease of $ 2,959 in property and equipment, net as of March 31, 2006.</w:t>
      </w:r>
    </w:p>
    <w:p>
      <w:pPr>
        <w:spacing w:after="0" w:line="161" w:lineRule="exact"/>
        <w:rPr>
          <w:rFonts w:ascii="Courier New" w:cs="Courier New" w:eastAsia="Courier New" w:hAnsi="Courier New"/>
          <w:sz w:val="15"/>
          <w:szCs w:val="15"/>
          <w:color w:val="auto"/>
        </w:rPr>
      </w:pPr>
    </w:p>
    <w:p>
      <w:pPr>
        <w:ind w:left="880" w:hanging="449"/>
        <w:spacing w:after="0"/>
        <w:tabs>
          <w:tab w:leader="none" w:pos="880"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DEFERRED FINANCING CHARGES</w:t>
      </w:r>
    </w:p>
    <w:p>
      <w:pPr>
        <w:spacing w:after="0" w:line="174" w:lineRule="exact"/>
        <w:rPr>
          <w:rFonts w:ascii="Courier New" w:cs="Courier New" w:eastAsia="Courier New" w:hAnsi="Courier New"/>
          <w:sz w:val="15"/>
          <w:szCs w:val="15"/>
          <w:color w:val="auto"/>
        </w:rPr>
      </w:pPr>
    </w:p>
    <w:p>
      <w:pPr>
        <w:jc w:val="both"/>
        <w:ind w:left="880" w:right="3539"/>
        <w:spacing w:after="0" w:line="256"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Under U.S. GAAP, deferred-financing charges are to be presented in other assets, while according to Israeli GAAP effective January 1,</w:t>
      </w:r>
    </w:p>
    <w:p>
      <w:pPr>
        <w:ind w:left="880" w:right="3359"/>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2006 such amount is required to be offset from the related long-term debt. Accordingly, as of March 31, 2006, an amount of $11,727 was reclassified from long-term debt to other assets.</w:t>
      </w:r>
    </w:p>
    <w:p>
      <w:pPr>
        <w:spacing w:after="0" w:line="169" w:lineRule="exact"/>
        <w:rPr>
          <w:rFonts w:ascii="Courier New" w:cs="Courier New" w:eastAsia="Courier New" w:hAnsi="Courier New"/>
          <w:sz w:val="15"/>
          <w:szCs w:val="15"/>
          <w:color w:val="auto"/>
        </w:rPr>
      </w:pPr>
    </w:p>
    <w:p>
      <w:pPr>
        <w:ind w:left="880" w:hanging="449"/>
        <w:spacing w:after="0"/>
        <w:tabs>
          <w:tab w:leader="none" w:pos="880"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SALE OF CONVERTIBLE DEBENTURES</w:t>
      </w:r>
    </w:p>
    <w:p>
      <w:pPr>
        <w:spacing w:after="0" w:line="174" w:lineRule="exact"/>
        <w:rPr>
          <w:rFonts w:ascii="Courier New" w:cs="Courier New" w:eastAsia="Courier New" w:hAnsi="Courier New"/>
          <w:sz w:val="15"/>
          <w:szCs w:val="15"/>
          <w:color w:val="auto"/>
        </w:rPr>
      </w:pPr>
    </w:p>
    <w:p>
      <w:pPr>
        <w:ind w:left="880" w:right="3179"/>
        <w:spacing w:after="0" w:line="257"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Under Accounting Principles Board Opinion No. 14 ("APB 14"), the proceeds from the sale of the securities in January 2002 are to be allocated to each of the securities issued based on their relative fair value, while according to Israeli GAAP such treatment was not required. Complying with APB 14, based on the average market value of each of the components issued in the first three days following their issuance (in January 2002), would have resulted in an increase in shareholders' equity as of the issuance date in the amount of $2,363 (net of $196 related issuance expenses), and a decrease in convertible debentures as of such date in the amount of $2,559. The accumulated effect of amortization of the discount on the convertible debentures under U.S.GAAP as of March 31, 2006 would have been $2,099.</w:t>
      </w:r>
    </w:p>
    <w:p>
      <w:pPr>
        <w:spacing w:after="0" w:line="329" w:lineRule="exact"/>
        <w:rPr>
          <w:rFonts w:ascii="Courier New" w:cs="Courier New" w:eastAsia="Courier New" w:hAnsi="Courier New"/>
          <w:sz w:val="15"/>
          <w:szCs w:val="15"/>
          <w:color w:val="auto"/>
        </w:rPr>
      </w:pPr>
    </w:p>
    <w:p>
      <w:pPr>
        <w:ind w:left="3420" w:hanging="168"/>
        <w:spacing w:after="0"/>
        <w:tabs>
          <w:tab w:leader="none" w:pos="3420" w:val="left"/>
        </w:tabs>
        <w:numPr>
          <w:ilvl w:val="1"/>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15 -</w:t>
      </w:r>
    </w:p>
    <w:p>
      <w:pPr>
        <w:sectPr>
          <w:pgSz w:w="11900" w:h="16838" w:orient="portrait"/>
          <w:cols w:equalWidth="0" w:num="1">
            <w:col w:w="10219"/>
          </w:cols>
          <w:pgMar w:left="240" w:top="791" w:right="1440" w:bottom="1440" w:gutter="0" w:footer="0" w:header="0"/>
        </w:sectPr>
      </w:pPr>
    </w:p>
    <w:bookmarkStart w:id="20" w:name="page21"/>
    <w:bookmarkEnd w:id="20"/>
    <w:p>
      <w:pPr>
        <w:jc w:val="center"/>
        <w:ind w:right="3099"/>
        <w:spacing w:after="0"/>
        <w:rPr>
          <w:sz w:val="20"/>
          <w:szCs w:val="20"/>
          <w:color w:val="auto"/>
        </w:rPr>
      </w:pPr>
      <w:r>
        <w:rPr>
          <w:rFonts w:ascii="Courier New" w:cs="Courier New" w:eastAsia="Courier New" w:hAnsi="Courier New"/>
          <w:sz w:val="15"/>
          <w:szCs w:val="15"/>
          <w:color w:val="auto"/>
        </w:rPr>
        <w:t>TOWER SEMICONDUCTOR LTD. AND SUBSIDIARY</w:t>
      </w:r>
    </w:p>
    <w:p>
      <w:pPr>
        <w:jc w:val="center"/>
        <w:ind w:right="3099"/>
        <w:spacing w:after="0"/>
        <w:rPr>
          <w:sz w:val="20"/>
          <w:szCs w:val="20"/>
          <w:color w:val="auto"/>
        </w:rPr>
      </w:pPr>
      <w:r>
        <w:rPr>
          <w:rFonts w:ascii="Courier New" w:cs="Courier New" w:eastAsia="Courier New" w:hAnsi="Courier New"/>
          <w:sz w:val="15"/>
          <w:szCs w:val="15"/>
          <w:color w:val="auto"/>
        </w:rPr>
        <w:t>NOTES TO UNAUDITED CONDENSED INTERIM CONSOLIDATED</w:t>
      </w:r>
    </w:p>
    <w:p>
      <w:pPr>
        <w:jc w:val="center"/>
        <w:ind w:right="3099"/>
        <w:spacing w:after="0"/>
        <w:rPr>
          <w:sz w:val="20"/>
          <w:szCs w:val="20"/>
          <w:color w:val="auto"/>
        </w:rPr>
      </w:pPr>
      <w:r>
        <w:rPr>
          <w:rFonts w:ascii="Courier New" w:cs="Courier New" w:eastAsia="Courier New" w:hAnsi="Courier New"/>
          <w:sz w:val="15"/>
          <w:szCs w:val="15"/>
          <w:color w:val="auto"/>
        </w:rPr>
        <w:t>FINANCIAL STATEMENTS AS OF MARCH 31, 2006</w:t>
      </w:r>
    </w:p>
    <w:p>
      <w:pPr>
        <w:jc w:val="center"/>
        <w:ind w:right="3179"/>
        <w:spacing w:after="0" w:line="238" w:lineRule="auto"/>
        <w:rPr>
          <w:sz w:val="20"/>
          <w:szCs w:val="20"/>
          <w:color w:val="auto"/>
        </w:rPr>
      </w:pPr>
      <w:r>
        <w:rPr>
          <w:rFonts w:ascii="Courier New" w:cs="Courier New" w:eastAsia="Courier New" w:hAnsi="Courier New"/>
          <w:sz w:val="15"/>
          <w:szCs w:val="15"/>
          <w:color w:val="auto"/>
        </w:rPr>
        <w:t>(dollars in thousands, except share data and per share data)</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6 - MATERIAL DIFFERENCES BETWEEN ISRAELI AND U.S. GAAP (cont.)</w:t>
      </w:r>
    </w:p>
    <w:p>
      <w:pPr>
        <w:spacing w:after="0" w:line="169" w:lineRule="exact"/>
        <w:rPr>
          <w:sz w:val="20"/>
          <w:szCs w:val="20"/>
          <w:color w:val="auto"/>
        </w:rPr>
      </w:pPr>
    </w:p>
    <w:p>
      <w:pPr>
        <w:ind w:left="880" w:hanging="449"/>
        <w:spacing w:after="0"/>
        <w:tabs>
          <w:tab w:leader="none" w:pos="880"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SALE OF CONVERTIBLE DEBENTURES (cont.)</w:t>
      </w:r>
    </w:p>
    <w:p>
      <w:pPr>
        <w:spacing w:after="0" w:line="174" w:lineRule="exact"/>
        <w:rPr>
          <w:rFonts w:ascii="Courier New" w:cs="Courier New" w:eastAsia="Courier New" w:hAnsi="Courier New"/>
          <w:sz w:val="15"/>
          <w:szCs w:val="15"/>
          <w:color w:val="auto"/>
        </w:rPr>
      </w:pPr>
    </w:p>
    <w:p>
      <w:pPr>
        <w:ind w:left="880" w:right="3179"/>
        <w:spacing w:after="0" w:line="257"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Under US GAAP, convertible debentures have to be evaluated to determine if they contain embedded derivative that warrant bifurcation. Conversion feature embedded in convertible debentures will need to be evaluated as to whether they can be classified as equity based on the criteria established in EITF Issue 00-19 and 05-2. The Company evaluated the conversion features embedded in both debentures (i.e., sale of convertible debentures in 2002 - "2002 debentures" and sale of convertible debentures in 2005 and 2006- "2005 debentures") and concluded that the conversion feature embedded in the 2005 debentures warrant bifurcation while the conversion feature embedded in the 2002 debentures is scoped out (for the discussion on the accounting for the debentures under Israeli GAAP see Note 1A(3)b).</w:t>
      </w:r>
    </w:p>
    <w:p>
      <w:pPr>
        <w:spacing w:after="0" w:line="160" w:lineRule="exact"/>
        <w:rPr>
          <w:rFonts w:ascii="Courier New" w:cs="Courier New" w:eastAsia="Courier New" w:hAnsi="Courier New"/>
          <w:sz w:val="15"/>
          <w:szCs w:val="15"/>
          <w:color w:val="auto"/>
        </w:rPr>
      </w:pPr>
    </w:p>
    <w:p>
      <w:pPr>
        <w:ind w:left="88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2002 DEBENTURES:</w:t>
      </w:r>
    </w:p>
    <w:p>
      <w:pPr>
        <w:spacing w:after="0" w:line="174" w:lineRule="exact"/>
        <w:rPr>
          <w:rFonts w:ascii="Courier New" w:cs="Courier New" w:eastAsia="Courier New" w:hAnsi="Courier New"/>
          <w:sz w:val="15"/>
          <w:szCs w:val="15"/>
          <w:color w:val="auto"/>
        </w:rPr>
      </w:pPr>
    </w:p>
    <w:p>
      <w:pPr>
        <w:ind w:left="880" w:right="3179"/>
        <w:spacing w:after="0" w:line="265"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Under US GAAP, the equity component, in the amount of $1,681, classified in equity under Israeli GAAP was reclassified to liability.</w:t>
      </w:r>
    </w:p>
    <w:p>
      <w:pPr>
        <w:spacing w:after="0" w:line="152" w:lineRule="exact"/>
        <w:rPr>
          <w:rFonts w:ascii="Courier New" w:cs="Courier New" w:eastAsia="Courier New" w:hAnsi="Courier New"/>
          <w:sz w:val="15"/>
          <w:szCs w:val="15"/>
          <w:color w:val="auto"/>
        </w:rPr>
      </w:pPr>
    </w:p>
    <w:p>
      <w:pPr>
        <w:ind w:left="88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2005 DEBENTURES:</w:t>
      </w:r>
    </w:p>
    <w:p>
      <w:pPr>
        <w:spacing w:after="0" w:line="174" w:lineRule="exact"/>
        <w:rPr>
          <w:rFonts w:ascii="Courier New" w:cs="Courier New" w:eastAsia="Courier New" w:hAnsi="Courier New"/>
          <w:sz w:val="15"/>
          <w:szCs w:val="15"/>
          <w:color w:val="auto"/>
        </w:rPr>
      </w:pPr>
    </w:p>
    <w:p>
      <w:pPr>
        <w:ind w:left="880" w:right="3179"/>
        <w:spacing w:after="0" w:line="238"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Under US GAAP, the equity component, in the amount of $17,517 classified as equity under Israeli GAAP was reclassified to liability and the conversion feature was bifurcated from the debt host and marked to market through earnings. The initial amount allocated to the bifurcated conversion feature was determined using the "with and without" method based on the fair value of the embedded derivative prescribed in DIG Issue B6.</w:t>
      </w:r>
    </w:p>
    <w:p>
      <w:pPr>
        <w:spacing w:after="0" w:line="176" w:lineRule="exact"/>
        <w:rPr>
          <w:rFonts w:ascii="Courier New" w:cs="Courier New" w:eastAsia="Courier New" w:hAnsi="Courier New"/>
          <w:sz w:val="15"/>
          <w:szCs w:val="15"/>
          <w:color w:val="auto"/>
        </w:rPr>
      </w:pPr>
    </w:p>
    <w:p>
      <w:pPr>
        <w:ind w:left="880" w:right="3179"/>
        <w:spacing w:after="0" w:line="238"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All the above resulted as of March 31, 2006 mainly in: an increase in convertible debentures in the amount of $13,283; an increase in the shareholder's deficit in the amount of $11,370 and an increase in other assets in the amount of $1,561. The Company's loss for the three months period ended March 31, 2006 would have decreased in the amount of $5,434.</w:t>
      </w:r>
    </w:p>
    <w:p>
      <w:pPr>
        <w:spacing w:after="0" w:line="169" w:lineRule="exact"/>
        <w:rPr>
          <w:rFonts w:ascii="Courier New" w:cs="Courier New" w:eastAsia="Courier New" w:hAnsi="Courier New"/>
          <w:sz w:val="15"/>
          <w:szCs w:val="15"/>
          <w:color w:val="auto"/>
        </w:rPr>
      </w:pPr>
    </w:p>
    <w:p>
      <w:pPr>
        <w:ind w:left="880" w:hanging="449"/>
        <w:spacing w:after="0"/>
        <w:tabs>
          <w:tab w:leader="none" w:pos="880"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EMPLOYEE STOCK BASED COMPENSATION</w:t>
      </w:r>
    </w:p>
    <w:p>
      <w:pPr>
        <w:spacing w:after="0" w:line="174" w:lineRule="exact"/>
        <w:rPr>
          <w:rFonts w:ascii="Courier New" w:cs="Courier New" w:eastAsia="Courier New" w:hAnsi="Courier New"/>
          <w:sz w:val="15"/>
          <w:szCs w:val="15"/>
          <w:color w:val="auto"/>
        </w:rPr>
      </w:pPr>
    </w:p>
    <w:p>
      <w:pPr>
        <w:ind w:left="880" w:right="3179"/>
        <w:spacing w:after="0" w:line="238"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adopted effective January 1, 2006 SFAS 123R according to which the compensation expense related to employee and directors share option awards would have been resulted in an increase in the compensations expenses for the period ending March 31, 2006 and an increase in the unearned compensation as of such date in the amount of $602. The Company elected the modified prospective method as its transition method.</w:t>
      </w:r>
    </w:p>
    <w:p>
      <w:pPr>
        <w:spacing w:after="0" w:line="340" w:lineRule="exact"/>
        <w:rPr>
          <w:rFonts w:ascii="Courier New" w:cs="Courier New" w:eastAsia="Courier New" w:hAnsi="Courier New"/>
          <w:sz w:val="15"/>
          <w:szCs w:val="15"/>
          <w:color w:val="auto"/>
        </w:rPr>
      </w:pPr>
    </w:p>
    <w:p>
      <w:pPr>
        <w:ind w:left="3420" w:hanging="168"/>
        <w:spacing w:after="0"/>
        <w:tabs>
          <w:tab w:leader="none" w:pos="3420" w:val="left"/>
        </w:tabs>
        <w:numPr>
          <w:ilvl w:val="1"/>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16 -</w:t>
      </w:r>
    </w:p>
    <w:p>
      <w:pPr>
        <w:sectPr>
          <w:pgSz w:w="11900" w:h="16838" w:orient="portrait"/>
          <w:cols w:equalWidth="0" w:num="1">
            <w:col w:w="10219"/>
          </w:cols>
          <w:pgMar w:left="240" w:top="791" w:right="1440" w:bottom="1440" w:gutter="0" w:footer="0" w:header="0"/>
        </w:sectPr>
      </w:pPr>
    </w:p>
    <w:bookmarkStart w:id="21" w:name="page22"/>
    <w:bookmarkEnd w:id="21"/>
    <w:p>
      <w:pPr>
        <w:ind w:left="1840"/>
        <w:spacing w:after="0"/>
        <w:rPr>
          <w:sz w:val="20"/>
          <w:szCs w:val="20"/>
          <w:color w:val="auto"/>
        </w:rPr>
      </w:pPr>
      <w:r>
        <w:rPr>
          <w:rFonts w:ascii="Courier New" w:cs="Courier New" w:eastAsia="Courier New" w:hAnsi="Courier New"/>
          <w:sz w:val="15"/>
          <w:szCs w:val="15"/>
          <w:color w:val="auto"/>
        </w:rPr>
        <w:t>TOWER SEMICONDUCTOR LTD. AND SUBSIDIARY</w:t>
      </w:r>
    </w:p>
    <w:p>
      <w:pPr>
        <w:ind w:left="1400"/>
        <w:spacing w:after="0"/>
        <w:rPr>
          <w:sz w:val="20"/>
          <w:szCs w:val="20"/>
          <w:color w:val="auto"/>
        </w:rPr>
      </w:pPr>
      <w:r>
        <w:rPr>
          <w:rFonts w:ascii="Courier New" w:cs="Courier New" w:eastAsia="Courier New" w:hAnsi="Courier New"/>
          <w:sz w:val="15"/>
          <w:szCs w:val="15"/>
          <w:color w:val="auto"/>
        </w:rPr>
        <w:t>NOTES TO UNAUDITED CONDENSED INTERIM CONSOLIDATED</w:t>
      </w:r>
    </w:p>
    <w:p>
      <w:pPr>
        <w:ind w:left="1660"/>
        <w:spacing w:after="0"/>
        <w:rPr>
          <w:sz w:val="20"/>
          <w:szCs w:val="20"/>
          <w:color w:val="auto"/>
        </w:rPr>
      </w:pPr>
      <w:r>
        <w:rPr>
          <w:rFonts w:ascii="Courier New" w:cs="Courier New" w:eastAsia="Courier New" w:hAnsi="Courier New"/>
          <w:sz w:val="15"/>
          <w:szCs w:val="15"/>
          <w:color w:val="auto"/>
        </w:rPr>
        <w:t>FINANCIAL STATEMENNTS AS OF MARCH 31, 2006</w:t>
      </w:r>
    </w:p>
    <w:p>
      <w:pPr>
        <w:ind w:left="880"/>
        <w:spacing w:after="0" w:line="238" w:lineRule="auto"/>
        <w:rPr>
          <w:sz w:val="20"/>
          <w:szCs w:val="20"/>
          <w:color w:val="auto"/>
        </w:rPr>
      </w:pPr>
      <w:r>
        <w:rPr>
          <w:rFonts w:ascii="Courier New" w:cs="Courier New" w:eastAsia="Courier New" w:hAnsi="Courier New"/>
          <w:sz w:val="15"/>
          <w:szCs w:val="15"/>
          <w:color w:val="auto"/>
        </w:rPr>
        <w:t>(dollars in thousands, except share data and per share data)</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6 - MATERIAL DIFFERENCES BETWEEN ISRAELI AND U.S. GAAP (cont.)</w:t>
      </w:r>
    </w:p>
    <w:p>
      <w:pPr>
        <w:spacing w:after="0" w:line="169" w:lineRule="exact"/>
        <w:rPr>
          <w:sz w:val="20"/>
          <w:szCs w:val="20"/>
          <w:color w:val="auto"/>
        </w:rPr>
      </w:pPr>
    </w:p>
    <w:p>
      <w:pPr>
        <w:ind w:left="440"/>
        <w:spacing w:after="0"/>
        <w:tabs>
          <w:tab w:leader="none" w:pos="860" w:val="left"/>
        </w:tabs>
        <w:rPr>
          <w:sz w:val="20"/>
          <w:szCs w:val="20"/>
          <w:color w:val="auto"/>
        </w:rPr>
      </w:pPr>
      <w:r>
        <w:rPr>
          <w:rFonts w:ascii="Courier New" w:cs="Courier New" w:eastAsia="Courier New" w:hAnsi="Courier New"/>
          <w:sz w:val="15"/>
          <w:szCs w:val="15"/>
          <w:color w:val="auto"/>
        </w:rPr>
        <w:t>H.</w:t>
      </w:r>
      <w:r>
        <w:rPr>
          <w:sz w:val="20"/>
          <w:szCs w:val="20"/>
          <w:color w:val="auto"/>
        </w:rPr>
        <w:tab/>
      </w:r>
      <w:r>
        <w:rPr>
          <w:rFonts w:ascii="Courier New" w:cs="Courier New" w:eastAsia="Courier New" w:hAnsi="Courier New"/>
          <w:sz w:val="15"/>
          <w:szCs w:val="15"/>
          <w:color w:val="auto"/>
        </w:rPr>
        <w:t>BALANCE SHEETS IN ACCORDANCE WITH U.S. GAAP</w:t>
      </w:r>
    </w:p>
    <w:p>
      <w:pPr>
        <w:spacing w:after="0" w:line="200" w:lineRule="exact"/>
        <w:rPr>
          <w:sz w:val="20"/>
          <w:szCs w:val="20"/>
          <w:color w:val="auto"/>
        </w:rPr>
      </w:pPr>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8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80" w:type="dxa"/>
            <w:vAlign w:val="bottom"/>
            <w:gridSpan w:val="4"/>
          </w:tcPr>
          <w:p>
            <w:pPr>
              <w:jc w:val="right"/>
              <w:ind w:right="687"/>
              <w:spacing w:after="0"/>
              <w:rPr>
                <w:sz w:val="20"/>
                <w:szCs w:val="20"/>
                <w:color w:val="auto"/>
              </w:rPr>
            </w:pPr>
            <w:r>
              <w:rPr>
                <w:rFonts w:ascii="Courier New" w:cs="Courier New" w:eastAsia="Courier New" w:hAnsi="Courier New"/>
                <w:sz w:val="15"/>
                <w:szCs w:val="15"/>
                <w:color w:val="auto"/>
              </w:rPr>
              <w:t>AS OF MARCH 31, 2006</w:t>
            </w:r>
          </w:p>
        </w:tc>
        <w:tc>
          <w:tcPr>
            <w:tcW w:w="120" w:type="dxa"/>
            <w:vAlign w:val="bottom"/>
          </w:tcPr>
          <w:p>
            <w:pPr>
              <w:spacing w:after="0"/>
              <w:rPr>
                <w:sz w:val="14"/>
                <w:szCs w:val="14"/>
                <w:color w:val="auto"/>
              </w:rPr>
            </w:pPr>
          </w:p>
        </w:tc>
        <w:tc>
          <w:tcPr>
            <w:tcW w:w="2720" w:type="dxa"/>
            <w:vAlign w:val="bottom"/>
            <w:gridSpan w:val="4"/>
          </w:tcPr>
          <w:p>
            <w:pPr>
              <w:jc w:val="center"/>
              <w:ind w:right="87"/>
              <w:spacing w:after="0"/>
              <w:rPr>
                <w:sz w:val="20"/>
                <w:szCs w:val="20"/>
                <w:color w:val="auto"/>
              </w:rPr>
            </w:pPr>
            <w:r>
              <w:rPr>
                <w:rFonts w:ascii="Courier New" w:cs="Courier New" w:eastAsia="Courier New" w:hAnsi="Courier New"/>
                <w:sz w:val="15"/>
                <w:szCs w:val="15"/>
                <w:color w:val="auto"/>
                <w:w w:val="98"/>
              </w:rPr>
              <w:t>AS OF DECEMBER 31, 2005</w:t>
            </w:r>
          </w:p>
        </w:tc>
      </w:tr>
      <w:tr>
        <w:trPr>
          <w:trHeight w:val="170"/>
        </w:trPr>
        <w:tc>
          <w:tcPr>
            <w:tcW w:w="48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100" w:type="dxa"/>
            <w:vAlign w:val="bottom"/>
            <w:gridSpan w:val="5"/>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2840" w:type="dxa"/>
            <w:vAlign w:val="bottom"/>
            <w:gridSpan w:val="5"/>
          </w:tcPr>
          <w:p>
            <w:pPr>
              <w:jc w:val="right"/>
              <w:ind w:right="7"/>
              <w:spacing w:after="0"/>
              <w:rPr>
                <w:sz w:val="20"/>
                <w:szCs w:val="20"/>
                <w:color w:val="auto"/>
              </w:rPr>
            </w:pPr>
            <w:r>
              <w:rPr>
                <w:rFonts w:ascii="Courier New" w:cs="Courier New" w:eastAsia="Courier New" w:hAnsi="Courier New"/>
                <w:sz w:val="15"/>
                <w:szCs w:val="15"/>
                <w:color w:val="auto"/>
                <w:w w:val="98"/>
              </w:rPr>
              <w:t>-------------------------------</w:t>
            </w:r>
          </w:p>
        </w:tc>
      </w:tr>
      <w:tr>
        <w:trPr>
          <w:trHeight w:val="170"/>
        </w:trPr>
        <w:tc>
          <w:tcPr>
            <w:tcW w:w="4840" w:type="dxa"/>
            <w:vAlign w:val="bottom"/>
          </w:tcPr>
          <w:p>
            <w:pPr>
              <w:spacing w:after="0"/>
              <w:rPr>
                <w:sz w:val="14"/>
                <w:szCs w:val="14"/>
                <w:color w:val="auto"/>
              </w:rPr>
            </w:pPr>
          </w:p>
        </w:tc>
        <w:tc>
          <w:tcPr>
            <w:tcW w:w="740" w:type="dxa"/>
            <w:vAlign w:val="bottom"/>
          </w:tcPr>
          <w:p>
            <w:pPr>
              <w:ind w:left="260"/>
              <w:spacing w:after="0"/>
              <w:rPr>
                <w:sz w:val="20"/>
                <w:szCs w:val="20"/>
                <w:color w:val="auto"/>
              </w:rPr>
            </w:pPr>
            <w:r>
              <w:rPr>
                <w:rFonts w:ascii="Courier New" w:cs="Courier New" w:eastAsia="Courier New" w:hAnsi="Courier New"/>
                <w:sz w:val="15"/>
                <w:szCs w:val="15"/>
                <w:color w:val="auto"/>
              </w:rPr>
              <w:t>U.S.</w:t>
            </w:r>
          </w:p>
        </w:tc>
        <w:tc>
          <w:tcPr>
            <w:tcW w:w="220" w:type="dxa"/>
            <w:vAlign w:val="bottom"/>
          </w:tcPr>
          <w:p>
            <w:pPr>
              <w:spacing w:after="0"/>
              <w:rPr>
                <w:sz w:val="14"/>
                <w:szCs w:val="14"/>
                <w:color w:val="auto"/>
              </w:rPr>
            </w:pP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AS PER</w:t>
            </w:r>
          </w:p>
        </w:tc>
        <w:tc>
          <w:tcPr>
            <w:tcW w:w="10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jc w:val="right"/>
              <w:ind w:right="247"/>
              <w:spacing w:after="0"/>
              <w:rPr>
                <w:sz w:val="20"/>
                <w:szCs w:val="20"/>
                <w:color w:val="auto"/>
              </w:rPr>
            </w:pPr>
            <w:r>
              <w:rPr>
                <w:rFonts w:ascii="Courier New" w:cs="Courier New" w:eastAsia="Courier New" w:hAnsi="Courier New"/>
                <w:sz w:val="15"/>
                <w:szCs w:val="15"/>
                <w:color w:val="auto"/>
                <w:w w:val="92"/>
              </w:rPr>
              <w:t>AS PER</w:t>
            </w:r>
          </w:p>
        </w:tc>
        <w:tc>
          <w:tcPr>
            <w:tcW w:w="120" w:type="dxa"/>
            <w:vAlign w:val="bottom"/>
          </w:tcPr>
          <w:p>
            <w:pPr>
              <w:spacing w:after="0"/>
              <w:rPr>
                <w:sz w:val="14"/>
                <w:szCs w:val="14"/>
                <w:color w:val="auto"/>
              </w:rPr>
            </w:pP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AS PER</w:t>
            </w: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ind w:left="100"/>
              <w:spacing w:after="0"/>
              <w:rPr>
                <w:sz w:val="20"/>
                <w:szCs w:val="20"/>
                <w:color w:val="auto"/>
              </w:rPr>
            </w:pPr>
            <w:r>
              <w:rPr>
                <w:rFonts w:ascii="Courier New" w:cs="Courier New" w:eastAsia="Courier New" w:hAnsi="Courier New"/>
                <w:sz w:val="15"/>
                <w:szCs w:val="15"/>
                <w:color w:val="auto"/>
              </w:rPr>
              <w:t>AS PER</w:t>
            </w:r>
          </w:p>
        </w:tc>
      </w:tr>
      <w:tr>
        <w:trPr>
          <w:trHeight w:val="170"/>
        </w:trPr>
        <w:tc>
          <w:tcPr>
            <w:tcW w:w="4840" w:type="dxa"/>
            <w:vAlign w:val="bottom"/>
          </w:tcPr>
          <w:p>
            <w:pPr>
              <w:spacing w:after="0"/>
              <w:rPr>
                <w:sz w:val="14"/>
                <w:szCs w:val="14"/>
                <w:color w:val="auto"/>
              </w:rPr>
            </w:pPr>
          </w:p>
        </w:tc>
        <w:tc>
          <w:tcPr>
            <w:tcW w:w="740" w:type="dxa"/>
            <w:vAlign w:val="bottom"/>
          </w:tcPr>
          <w:p>
            <w:pPr>
              <w:ind w:left="260"/>
              <w:spacing w:after="0"/>
              <w:rPr>
                <w:sz w:val="20"/>
                <w:szCs w:val="20"/>
                <w:color w:val="auto"/>
              </w:rPr>
            </w:pPr>
            <w:r>
              <w:rPr>
                <w:rFonts w:ascii="Courier New" w:cs="Courier New" w:eastAsia="Courier New" w:hAnsi="Courier New"/>
                <w:sz w:val="15"/>
                <w:szCs w:val="15"/>
                <w:color w:val="auto"/>
              </w:rPr>
              <w:t>GAAP</w:t>
            </w:r>
          </w:p>
        </w:tc>
        <w:tc>
          <w:tcPr>
            <w:tcW w:w="220" w:type="dxa"/>
            <w:vAlign w:val="bottom"/>
          </w:tcPr>
          <w:p>
            <w:pPr>
              <w:spacing w:after="0"/>
              <w:rPr>
                <w:sz w:val="14"/>
                <w:szCs w:val="14"/>
                <w:color w:val="auto"/>
              </w:rPr>
            </w:pP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5"/>
              </w:rPr>
              <w:t>ISRAELI</w:t>
            </w:r>
          </w:p>
        </w:tc>
        <w:tc>
          <w:tcPr>
            <w:tcW w:w="1020" w:type="dxa"/>
            <w:vAlign w:val="bottom"/>
          </w:tcPr>
          <w:p>
            <w:pPr>
              <w:ind w:left="220"/>
              <w:spacing w:after="0"/>
              <w:rPr>
                <w:sz w:val="20"/>
                <w:szCs w:val="20"/>
                <w:color w:val="auto"/>
              </w:rPr>
            </w:pPr>
            <w:r>
              <w:rPr>
                <w:rFonts w:ascii="Courier New" w:cs="Courier New" w:eastAsia="Courier New" w:hAnsi="Courier New"/>
                <w:sz w:val="15"/>
                <w:szCs w:val="15"/>
                <w:color w:val="auto"/>
              </w:rPr>
              <w:t>ADJUST-</w:t>
            </w:r>
          </w:p>
        </w:tc>
        <w:tc>
          <w:tcPr>
            <w:tcW w:w="180" w:type="dxa"/>
            <w:vAlign w:val="bottom"/>
          </w:tcPr>
          <w:p>
            <w:pPr>
              <w:spacing w:after="0"/>
              <w:rPr>
                <w:sz w:val="14"/>
                <w:szCs w:val="14"/>
                <w:color w:val="auto"/>
              </w:rPr>
            </w:pPr>
          </w:p>
        </w:tc>
        <w:tc>
          <w:tcPr>
            <w:tcW w:w="8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U.S.</w:t>
            </w:r>
          </w:p>
        </w:tc>
        <w:tc>
          <w:tcPr>
            <w:tcW w:w="120" w:type="dxa"/>
            <w:vAlign w:val="bottom"/>
          </w:tcPr>
          <w:p>
            <w:pPr>
              <w:spacing w:after="0"/>
              <w:rPr>
                <w:sz w:val="14"/>
                <w:szCs w:val="14"/>
                <w:color w:val="auto"/>
              </w:rPr>
            </w:pP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5"/>
              </w:rPr>
              <w:t>ISRAELI</w:t>
            </w:r>
          </w:p>
        </w:tc>
        <w:tc>
          <w:tcPr>
            <w:tcW w:w="980" w:type="dxa"/>
            <w:vAlign w:val="bottom"/>
          </w:tcPr>
          <w:p>
            <w:pPr>
              <w:jc w:val="center"/>
              <w:ind w:right="7"/>
              <w:spacing w:after="0"/>
              <w:rPr>
                <w:sz w:val="20"/>
                <w:szCs w:val="20"/>
                <w:color w:val="auto"/>
              </w:rPr>
            </w:pPr>
            <w:r>
              <w:rPr>
                <w:rFonts w:ascii="Courier New" w:cs="Courier New" w:eastAsia="Courier New" w:hAnsi="Courier New"/>
                <w:sz w:val="15"/>
                <w:szCs w:val="15"/>
                <w:color w:val="auto"/>
                <w:w w:val="98"/>
              </w:rPr>
              <w:t>ADJUST-</w:t>
            </w:r>
          </w:p>
        </w:tc>
        <w:tc>
          <w:tcPr>
            <w:tcW w:w="120" w:type="dxa"/>
            <w:vAlign w:val="bottom"/>
          </w:tcPr>
          <w:p>
            <w:pPr>
              <w:spacing w:after="0"/>
              <w:rPr>
                <w:sz w:val="14"/>
                <w:szCs w:val="14"/>
                <w:color w:val="auto"/>
              </w:rPr>
            </w:pPr>
          </w:p>
        </w:tc>
        <w:tc>
          <w:tcPr>
            <w:tcW w:w="780" w:type="dxa"/>
            <w:vAlign w:val="bottom"/>
          </w:tcPr>
          <w:p>
            <w:pPr>
              <w:jc w:val="right"/>
              <w:ind w:right="167"/>
              <w:spacing w:after="0"/>
              <w:rPr>
                <w:sz w:val="20"/>
                <w:szCs w:val="20"/>
                <w:color w:val="auto"/>
              </w:rPr>
            </w:pPr>
            <w:r>
              <w:rPr>
                <w:rFonts w:ascii="Courier New" w:cs="Courier New" w:eastAsia="Courier New" w:hAnsi="Courier New"/>
                <w:sz w:val="15"/>
                <w:szCs w:val="15"/>
                <w:color w:val="auto"/>
              </w:rPr>
              <w:t>U.S.</w:t>
            </w:r>
          </w:p>
        </w:tc>
      </w:tr>
      <w:tr>
        <w:trPr>
          <w:trHeight w:val="170"/>
        </w:trPr>
        <w:tc>
          <w:tcPr>
            <w:tcW w:w="4840" w:type="dxa"/>
            <w:vAlign w:val="bottom"/>
          </w:tcPr>
          <w:p>
            <w:pPr>
              <w:spacing w:after="0"/>
              <w:rPr>
                <w:sz w:val="14"/>
                <w:szCs w:val="14"/>
                <w:color w:val="auto"/>
              </w:rPr>
            </w:pPr>
          </w:p>
        </w:tc>
        <w:tc>
          <w:tcPr>
            <w:tcW w:w="740" w:type="dxa"/>
            <w:vAlign w:val="bottom"/>
          </w:tcPr>
          <w:p>
            <w:pPr>
              <w:jc w:val="center"/>
              <w:spacing w:after="0"/>
              <w:rPr>
                <w:sz w:val="20"/>
                <w:szCs w:val="20"/>
                <w:color w:val="auto"/>
              </w:rPr>
            </w:pPr>
            <w:r>
              <w:rPr>
                <w:rFonts w:ascii="Courier New" w:cs="Courier New" w:eastAsia="Courier New" w:hAnsi="Courier New"/>
                <w:sz w:val="15"/>
                <w:szCs w:val="15"/>
                <w:color w:val="auto"/>
                <w:w w:val="97"/>
              </w:rPr>
              <w:t>EMARK</w:t>
            </w:r>
          </w:p>
        </w:tc>
        <w:tc>
          <w:tcPr>
            <w:tcW w:w="220" w:type="dxa"/>
            <w:vAlign w:val="bottom"/>
          </w:tcPr>
          <w:p>
            <w:pPr>
              <w:spacing w:after="0"/>
              <w:rPr>
                <w:sz w:val="14"/>
                <w:szCs w:val="14"/>
                <w:color w:val="auto"/>
              </w:rPr>
            </w:pPr>
          </w:p>
        </w:tc>
        <w:tc>
          <w:tcPr>
            <w:tcW w:w="8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GAAP</w:t>
            </w:r>
          </w:p>
        </w:tc>
        <w:tc>
          <w:tcPr>
            <w:tcW w:w="1020" w:type="dxa"/>
            <w:vAlign w:val="bottom"/>
          </w:tcPr>
          <w:p>
            <w:pPr>
              <w:ind w:left="220"/>
              <w:spacing w:after="0"/>
              <w:rPr>
                <w:sz w:val="20"/>
                <w:szCs w:val="20"/>
                <w:color w:val="auto"/>
              </w:rPr>
            </w:pPr>
            <w:r>
              <w:rPr>
                <w:rFonts w:ascii="Courier New" w:cs="Courier New" w:eastAsia="Courier New" w:hAnsi="Courier New"/>
                <w:sz w:val="15"/>
                <w:szCs w:val="15"/>
                <w:color w:val="auto"/>
              </w:rPr>
              <w:t>MENTS</w:t>
            </w:r>
          </w:p>
        </w:tc>
        <w:tc>
          <w:tcPr>
            <w:tcW w:w="180" w:type="dxa"/>
            <w:vAlign w:val="bottom"/>
          </w:tcPr>
          <w:p>
            <w:pPr>
              <w:spacing w:after="0"/>
              <w:rPr>
                <w:sz w:val="14"/>
                <w:szCs w:val="14"/>
                <w:color w:val="auto"/>
              </w:rPr>
            </w:pPr>
          </w:p>
        </w:tc>
        <w:tc>
          <w:tcPr>
            <w:tcW w:w="8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GAAP</w:t>
            </w:r>
          </w:p>
        </w:tc>
        <w:tc>
          <w:tcPr>
            <w:tcW w:w="120" w:type="dxa"/>
            <w:vAlign w:val="bottom"/>
          </w:tcPr>
          <w:p>
            <w:pPr>
              <w:spacing w:after="0"/>
              <w:rPr>
                <w:sz w:val="14"/>
                <w:szCs w:val="14"/>
                <w:color w:val="auto"/>
              </w:rPr>
            </w:pPr>
          </w:p>
        </w:tc>
        <w:tc>
          <w:tcPr>
            <w:tcW w:w="8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GAAP</w:t>
            </w:r>
          </w:p>
        </w:tc>
        <w:tc>
          <w:tcPr>
            <w:tcW w:w="980" w:type="dxa"/>
            <w:vAlign w:val="bottom"/>
          </w:tcPr>
          <w:p>
            <w:pPr>
              <w:jc w:val="center"/>
              <w:ind w:right="27"/>
              <w:spacing w:after="0"/>
              <w:rPr>
                <w:sz w:val="20"/>
                <w:szCs w:val="20"/>
                <w:color w:val="auto"/>
              </w:rPr>
            </w:pPr>
            <w:r>
              <w:rPr>
                <w:rFonts w:ascii="Courier New" w:cs="Courier New" w:eastAsia="Courier New" w:hAnsi="Courier New"/>
                <w:sz w:val="15"/>
                <w:szCs w:val="15"/>
                <w:color w:val="auto"/>
                <w:w w:val="97"/>
              </w:rPr>
              <w:t>MENTS</w:t>
            </w:r>
          </w:p>
        </w:tc>
        <w:tc>
          <w:tcPr>
            <w:tcW w:w="120" w:type="dxa"/>
            <w:vAlign w:val="bottom"/>
          </w:tcPr>
          <w:p>
            <w:pPr>
              <w:spacing w:after="0"/>
              <w:rPr>
                <w:sz w:val="14"/>
                <w:szCs w:val="14"/>
                <w:color w:val="auto"/>
              </w:rPr>
            </w:pPr>
          </w:p>
        </w:tc>
        <w:tc>
          <w:tcPr>
            <w:tcW w:w="780" w:type="dxa"/>
            <w:vAlign w:val="bottom"/>
          </w:tcPr>
          <w:p>
            <w:pPr>
              <w:ind w:left="100"/>
              <w:spacing w:after="0"/>
              <w:rPr>
                <w:sz w:val="20"/>
                <w:szCs w:val="20"/>
                <w:color w:val="auto"/>
              </w:rPr>
            </w:pPr>
            <w:r>
              <w:rPr>
                <w:rFonts w:ascii="Courier New" w:cs="Courier New" w:eastAsia="Courier New" w:hAnsi="Courier New"/>
                <w:sz w:val="15"/>
                <w:szCs w:val="15"/>
                <w:color w:val="auto"/>
              </w:rPr>
              <w:t>GAAP</w:t>
            </w:r>
          </w:p>
        </w:tc>
      </w:tr>
      <w:tr>
        <w:trPr>
          <w:trHeight w:val="170"/>
        </w:trPr>
        <w:tc>
          <w:tcPr>
            <w:tcW w:w="4840" w:type="dxa"/>
            <w:vAlign w:val="bottom"/>
          </w:tcPr>
          <w:p>
            <w:pPr>
              <w:spacing w:after="0"/>
              <w:rPr>
                <w:sz w:val="14"/>
                <w:szCs w:val="14"/>
                <w:color w:val="auto"/>
              </w:rPr>
            </w:pPr>
          </w:p>
        </w:tc>
        <w:tc>
          <w:tcPr>
            <w:tcW w:w="1800" w:type="dxa"/>
            <w:vAlign w:val="bottom"/>
            <w:gridSpan w:val="3"/>
          </w:tcPr>
          <w:p>
            <w:pPr>
              <w:jc w:val="right"/>
              <w:ind w:right="47"/>
              <w:spacing w:after="0"/>
              <w:rPr>
                <w:sz w:val="20"/>
                <w:szCs w:val="20"/>
                <w:color w:val="auto"/>
              </w:rPr>
            </w:pPr>
            <w:r>
              <w:rPr>
                <w:rFonts w:ascii="Courier New" w:cs="Courier New" w:eastAsia="Courier New" w:hAnsi="Courier New"/>
                <w:sz w:val="15"/>
                <w:szCs w:val="15"/>
                <w:color w:val="auto"/>
              </w:rPr>
              <w:t>------- ---------</w:t>
            </w:r>
          </w:p>
        </w:tc>
        <w:tc>
          <w:tcPr>
            <w:tcW w:w="10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w w:val="98"/>
              </w:rPr>
              <w:t>---------</w:t>
            </w:r>
          </w:p>
        </w:tc>
        <w:tc>
          <w:tcPr>
            <w:tcW w:w="9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90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w w:val="98"/>
              </w:rPr>
              <w:t>---------</w:t>
            </w:r>
          </w:p>
        </w:tc>
      </w:tr>
      <w:tr>
        <w:trPr>
          <w:trHeight w:val="339"/>
        </w:trPr>
        <w:tc>
          <w:tcPr>
            <w:tcW w:w="4840" w:type="dxa"/>
            <w:vAlign w:val="bottom"/>
          </w:tcPr>
          <w:p>
            <w:pPr>
              <w:spacing w:after="0"/>
              <w:rPr>
                <w:sz w:val="20"/>
                <w:szCs w:val="20"/>
                <w:color w:val="auto"/>
              </w:rPr>
            </w:pPr>
            <w:r>
              <w:rPr>
                <w:rFonts w:ascii="Courier New" w:cs="Courier New" w:eastAsia="Courier New" w:hAnsi="Courier New"/>
                <w:sz w:val="15"/>
                <w:szCs w:val="15"/>
                <w:color w:val="auto"/>
              </w:rPr>
              <w:t>A S S E T S</w:t>
            </w: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339"/>
        </w:trPr>
        <w:tc>
          <w:tcPr>
            <w:tcW w:w="4840" w:type="dxa"/>
            <w:vAlign w:val="bottom"/>
          </w:tcPr>
          <w:p>
            <w:pPr>
              <w:ind w:left="260"/>
              <w:spacing w:after="0"/>
              <w:rPr>
                <w:sz w:val="20"/>
                <w:szCs w:val="20"/>
                <w:color w:val="auto"/>
              </w:rPr>
            </w:pPr>
            <w:r>
              <w:rPr>
                <w:rFonts w:ascii="Courier New" w:cs="Courier New" w:eastAsia="Courier New" w:hAnsi="Courier New"/>
                <w:sz w:val="15"/>
                <w:szCs w:val="15"/>
                <w:color w:val="auto"/>
              </w:rPr>
              <w:t>CURRENT ASSETS</w:t>
            </w: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70"/>
        </w:trPr>
        <w:tc>
          <w:tcPr>
            <w:tcW w:w="4840" w:type="dxa"/>
            <w:vAlign w:val="bottom"/>
          </w:tcPr>
          <w:p>
            <w:pPr>
              <w:ind w:left="440"/>
              <w:spacing w:after="0"/>
              <w:rPr>
                <w:sz w:val="20"/>
                <w:szCs w:val="20"/>
                <w:color w:val="auto"/>
              </w:rPr>
            </w:pPr>
            <w:r>
              <w:rPr>
                <w:rFonts w:ascii="Courier New" w:cs="Courier New" w:eastAsia="Courier New" w:hAnsi="Courier New"/>
                <w:sz w:val="15"/>
                <w:szCs w:val="15"/>
                <w:color w:val="auto"/>
              </w:rPr>
              <w:t>CASH AND CASH EQUIVALENTS</w:t>
            </w:r>
          </w:p>
        </w:tc>
        <w:tc>
          <w:tcPr>
            <w:tcW w:w="740" w:type="dxa"/>
            <w:vAlign w:val="bottom"/>
          </w:tcPr>
          <w:p>
            <w:pPr>
              <w:spacing w:after="0"/>
              <w:rPr>
                <w:sz w:val="14"/>
                <w:szCs w:val="14"/>
                <w:color w:val="auto"/>
              </w:rPr>
            </w:pP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17,570</w:t>
            </w:r>
          </w:p>
        </w:tc>
        <w:tc>
          <w:tcPr>
            <w:tcW w:w="1020" w:type="dxa"/>
            <w:vAlign w:val="bottom"/>
          </w:tcPr>
          <w:p>
            <w:pPr>
              <w:jc w:val="right"/>
              <w:ind w:right="727"/>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17,570</w:t>
            </w:r>
          </w:p>
        </w:tc>
        <w:tc>
          <w:tcPr>
            <w:tcW w:w="1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7,337</w:t>
            </w:r>
          </w:p>
        </w:tc>
        <w:tc>
          <w:tcPr>
            <w:tcW w:w="980" w:type="dxa"/>
            <w:vAlign w:val="bottom"/>
          </w:tcPr>
          <w:p>
            <w:pPr>
              <w:jc w:val="right"/>
              <w:ind w:right="767"/>
              <w:spacing w:after="0"/>
              <w:rPr>
                <w:sz w:val="20"/>
                <w:szCs w:val="20"/>
                <w:color w:val="auto"/>
              </w:rPr>
            </w:pPr>
            <w:r>
              <w:rPr>
                <w:rFonts w:ascii="Courier New" w:cs="Courier New" w:eastAsia="Courier New" w:hAnsi="Courier New"/>
                <w:sz w:val="15"/>
                <w:szCs w:val="15"/>
                <w:color w:val="auto"/>
              </w:rPr>
              <w:t>$</w:t>
            </w:r>
          </w:p>
        </w:tc>
        <w:tc>
          <w:tcPr>
            <w:tcW w:w="1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7,337</w:t>
            </w:r>
          </w:p>
        </w:tc>
      </w:tr>
      <w:tr>
        <w:trPr>
          <w:trHeight w:val="170"/>
        </w:trPr>
        <w:tc>
          <w:tcPr>
            <w:tcW w:w="4840" w:type="dxa"/>
            <w:vAlign w:val="bottom"/>
          </w:tcPr>
          <w:p>
            <w:pPr>
              <w:ind w:left="440"/>
              <w:spacing w:after="0"/>
              <w:rPr>
                <w:sz w:val="20"/>
                <w:szCs w:val="20"/>
                <w:color w:val="auto"/>
              </w:rPr>
            </w:pPr>
            <w:r>
              <w:rPr>
                <w:rFonts w:ascii="Courier New" w:cs="Courier New" w:eastAsia="Courier New" w:hAnsi="Courier New"/>
                <w:sz w:val="15"/>
                <w:szCs w:val="15"/>
                <w:color w:val="auto"/>
              </w:rPr>
              <w:t>DESIGNATED CASH AND SHORT-TERM</w:t>
            </w: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70"/>
        </w:trPr>
        <w:tc>
          <w:tcPr>
            <w:tcW w:w="4840" w:type="dxa"/>
            <w:vAlign w:val="bottom"/>
          </w:tcPr>
          <w:p>
            <w:pPr>
              <w:ind w:left="600"/>
              <w:spacing w:after="0"/>
              <w:rPr>
                <w:sz w:val="20"/>
                <w:szCs w:val="20"/>
                <w:color w:val="auto"/>
              </w:rPr>
            </w:pPr>
            <w:r>
              <w:rPr>
                <w:rFonts w:ascii="Courier New" w:cs="Courier New" w:eastAsia="Courier New" w:hAnsi="Courier New"/>
                <w:sz w:val="15"/>
                <w:szCs w:val="15"/>
                <w:color w:val="auto"/>
              </w:rPr>
              <w:t>INTEREST-BEARING DEPOSITS</w:t>
            </w:r>
          </w:p>
        </w:tc>
        <w:tc>
          <w:tcPr>
            <w:tcW w:w="740" w:type="dxa"/>
            <w:vAlign w:val="bottom"/>
          </w:tcPr>
          <w:p>
            <w:pPr>
              <w:ind w:left="180"/>
              <w:spacing w:after="0"/>
              <w:rPr>
                <w:sz w:val="20"/>
                <w:szCs w:val="20"/>
                <w:color w:val="auto"/>
              </w:rPr>
            </w:pPr>
            <w:r>
              <w:rPr>
                <w:rFonts w:ascii="Courier New" w:cs="Courier New" w:eastAsia="Courier New" w:hAnsi="Courier New"/>
                <w:sz w:val="15"/>
                <w:szCs w:val="15"/>
                <w:color w:val="auto"/>
              </w:rPr>
              <w:t>B</w:t>
            </w:r>
          </w:p>
        </w:tc>
        <w:tc>
          <w:tcPr>
            <w:tcW w:w="220" w:type="dxa"/>
            <w:vAlign w:val="bottom"/>
          </w:tcPr>
          <w:p>
            <w:pPr>
              <w:spacing w:after="0"/>
              <w:rPr>
                <w:sz w:val="14"/>
                <w:szCs w:val="14"/>
                <w:color w:val="auto"/>
              </w:rPr>
            </w:pPr>
          </w:p>
        </w:tc>
        <w:tc>
          <w:tcPr>
            <w:tcW w:w="8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15,126</w:t>
            </w:r>
          </w:p>
        </w:tc>
        <w:tc>
          <w:tcPr>
            <w:tcW w:w="1020" w:type="dxa"/>
            <w:vAlign w:val="bottom"/>
          </w:tcPr>
          <w:p>
            <w:pPr>
              <w:jc w:val="right"/>
              <w:ind w:right="7"/>
              <w:spacing w:after="0"/>
              <w:rPr>
                <w:sz w:val="20"/>
                <w:szCs w:val="20"/>
                <w:color w:val="auto"/>
              </w:rPr>
            </w:pPr>
            <w:r>
              <w:rPr>
                <w:rFonts w:ascii="Courier New" w:cs="Courier New" w:eastAsia="Courier New" w:hAnsi="Courier New"/>
                <w:sz w:val="15"/>
                <w:szCs w:val="15"/>
                <w:color w:val="auto"/>
              </w:rPr>
              <w:t>(15,126)</w:t>
            </w:r>
          </w:p>
        </w:tc>
        <w:tc>
          <w:tcPr>
            <w:tcW w:w="180" w:type="dxa"/>
            <w:vAlign w:val="bottom"/>
          </w:tcPr>
          <w:p>
            <w:pPr>
              <w:spacing w:after="0"/>
              <w:rPr>
                <w:sz w:val="14"/>
                <w:szCs w:val="14"/>
                <w:color w:val="auto"/>
              </w:rPr>
            </w:pPr>
          </w:p>
        </w:tc>
        <w:tc>
          <w:tcPr>
            <w:tcW w:w="8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20" w:type="dxa"/>
            <w:vAlign w:val="bottom"/>
          </w:tcPr>
          <w:p>
            <w:pPr>
              <w:spacing w:after="0"/>
              <w:rPr>
                <w:sz w:val="14"/>
                <w:szCs w:val="14"/>
                <w:color w:val="auto"/>
              </w:rPr>
            </w:pPr>
          </w:p>
        </w:tc>
        <w:tc>
          <w:tcPr>
            <w:tcW w:w="8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31,661</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(31,661)</w:t>
            </w:r>
          </w:p>
        </w:tc>
        <w:tc>
          <w:tcPr>
            <w:tcW w:w="120" w:type="dxa"/>
            <w:vAlign w:val="bottom"/>
          </w:tcPr>
          <w:p>
            <w:pPr>
              <w:spacing w:after="0"/>
              <w:rPr>
                <w:sz w:val="14"/>
                <w:szCs w:val="14"/>
                <w:color w:val="auto"/>
              </w:rPr>
            </w:pP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4840" w:type="dxa"/>
            <w:vAlign w:val="bottom"/>
          </w:tcPr>
          <w:p>
            <w:pPr>
              <w:ind w:left="440"/>
              <w:spacing w:after="0"/>
              <w:rPr>
                <w:sz w:val="20"/>
                <w:szCs w:val="20"/>
                <w:color w:val="auto"/>
              </w:rPr>
            </w:pPr>
            <w:r>
              <w:rPr>
                <w:rFonts w:ascii="Courier New" w:cs="Courier New" w:eastAsia="Courier New" w:hAnsi="Courier New"/>
                <w:sz w:val="15"/>
                <w:szCs w:val="15"/>
                <w:color w:val="auto"/>
              </w:rPr>
              <w:t>TRADE ACCOUNTS RECEIVABLE:</w:t>
            </w: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70"/>
        </w:trPr>
        <w:tc>
          <w:tcPr>
            <w:tcW w:w="4840" w:type="dxa"/>
            <w:vAlign w:val="bottom"/>
          </w:tcPr>
          <w:p>
            <w:pPr>
              <w:ind w:left="440"/>
              <w:spacing w:after="0"/>
              <w:rPr>
                <w:sz w:val="20"/>
                <w:szCs w:val="20"/>
                <w:color w:val="auto"/>
              </w:rPr>
            </w:pPr>
            <w:r>
              <w:rPr>
                <w:rFonts w:ascii="Courier New" w:cs="Courier New" w:eastAsia="Courier New" w:hAnsi="Courier New"/>
                <w:sz w:val="15"/>
                <w:szCs w:val="15"/>
                <w:color w:val="auto"/>
              </w:rPr>
              <w:t>RELATED PARTIES</w:t>
            </w: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6,938</w:t>
            </w:r>
          </w:p>
        </w:tc>
        <w:tc>
          <w:tcPr>
            <w:tcW w:w="10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6,938</w:t>
            </w:r>
          </w:p>
        </w:tc>
        <w:tc>
          <w:tcPr>
            <w:tcW w:w="120" w:type="dxa"/>
            <w:vAlign w:val="bottom"/>
          </w:tcPr>
          <w:p>
            <w:pPr>
              <w:spacing w:after="0"/>
              <w:rPr>
                <w:sz w:val="14"/>
                <w:szCs w:val="14"/>
                <w:color w:val="auto"/>
              </w:rPr>
            </w:pPr>
          </w:p>
        </w:tc>
        <w:tc>
          <w:tcPr>
            <w:tcW w:w="8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5,309</w:t>
            </w: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5,309</w:t>
            </w:r>
          </w:p>
        </w:tc>
      </w:tr>
      <w:tr>
        <w:trPr>
          <w:trHeight w:val="170"/>
        </w:trPr>
        <w:tc>
          <w:tcPr>
            <w:tcW w:w="4840" w:type="dxa"/>
            <w:vAlign w:val="bottom"/>
          </w:tcPr>
          <w:p>
            <w:pPr>
              <w:ind w:left="440"/>
              <w:spacing w:after="0"/>
              <w:rPr>
                <w:sz w:val="20"/>
                <w:szCs w:val="20"/>
                <w:color w:val="auto"/>
              </w:rPr>
            </w:pPr>
            <w:r>
              <w:rPr>
                <w:rFonts w:ascii="Courier New" w:cs="Courier New" w:eastAsia="Courier New" w:hAnsi="Courier New"/>
                <w:sz w:val="15"/>
                <w:szCs w:val="15"/>
                <w:color w:val="auto"/>
              </w:rPr>
              <w:t>OTHERS</w:t>
            </w: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11,944</w:t>
            </w:r>
          </w:p>
        </w:tc>
        <w:tc>
          <w:tcPr>
            <w:tcW w:w="10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11,944</w:t>
            </w:r>
          </w:p>
        </w:tc>
        <w:tc>
          <w:tcPr>
            <w:tcW w:w="120" w:type="dxa"/>
            <w:vAlign w:val="bottom"/>
          </w:tcPr>
          <w:p>
            <w:pPr>
              <w:spacing w:after="0"/>
              <w:rPr>
                <w:sz w:val="14"/>
                <w:szCs w:val="14"/>
                <w:color w:val="auto"/>
              </w:rPr>
            </w:pPr>
          </w:p>
        </w:tc>
        <w:tc>
          <w:tcPr>
            <w:tcW w:w="8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11,467</w:t>
            </w: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11,467</w:t>
            </w:r>
          </w:p>
        </w:tc>
      </w:tr>
      <w:tr>
        <w:trPr>
          <w:trHeight w:val="170"/>
        </w:trPr>
        <w:tc>
          <w:tcPr>
            <w:tcW w:w="4840" w:type="dxa"/>
            <w:vAlign w:val="bottom"/>
          </w:tcPr>
          <w:p>
            <w:pPr>
              <w:ind w:left="440"/>
              <w:spacing w:after="0"/>
              <w:rPr>
                <w:sz w:val="20"/>
                <w:szCs w:val="20"/>
                <w:color w:val="auto"/>
              </w:rPr>
            </w:pPr>
            <w:r>
              <w:rPr>
                <w:rFonts w:ascii="Courier New" w:cs="Courier New" w:eastAsia="Courier New" w:hAnsi="Courier New"/>
                <w:sz w:val="15"/>
                <w:szCs w:val="15"/>
                <w:color w:val="auto"/>
              </w:rPr>
              <w:t>OTHER RECEIVABLES</w:t>
            </w: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8,937</w:t>
            </w:r>
          </w:p>
        </w:tc>
        <w:tc>
          <w:tcPr>
            <w:tcW w:w="10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8,937</w:t>
            </w:r>
          </w:p>
        </w:tc>
        <w:tc>
          <w:tcPr>
            <w:tcW w:w="120" w:type="dxa"/>
            <w:vAlign w:val="bottom"/>
          </w:tcPr>
          <w:p>
            <w:pPr>
              <w:spacing w:after="0"/>
              <w:rPr>
                <w:sz w:val="14"/>
                <w:szCs w:val="14"/>
                <w:color w:val="auto"/>
              </w:rPr>
            </w:pPr>
          </w:p>
        </w:tc>
        <w:tc>
          <w:tcPr>
            <w:tcW w:w="8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9,043</w:t>
            </w: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9,043</w:t>
            </w:r>
          </w:p>
        </w:tc>
      </w:tr>
      <w:tr>
        <w:trPr>
          <w:trHeight w:val="170"/>
        </w:trPr>
        <w:tc>
          <w:tcPr>
            <w:tcW w:w="4840" w:type="dxa"/>
            <w:vAlign w:val="bottom"/>
          </w:tcPr>
          <w:p>
            <w:pPr>
              <w:ind w:left="440"/>
              <w:spacing w:after="0"/>
              <w:rPr>
                <w:sz w:val="20"/>
                <w:szCs w:val="20"/>
                <w:color w:val="auto"/>
              </w:rPr>
            </w:pPr>
            <w:r>
              <w:rPr>
                <w:rFonts w:ascii="Courier New" w:cs="Courier New" w:eastAsia="Courier New" w:hAnsi="Courier New"/>
                <w:sz w:val="15"/>
                <w:szCs w:val="15"/>
                <w:color w:val="auto"/>
              </w:rPr>
              <w:t>INVENTORIES</w:t>
            </w: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28,684</w:t>
            </w:r>
          </w:p>
        </w:tc>
        <w:tc>
          <w:tcPr>
            <w:tcW w:w="10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28,684</w:t>
            </w:r>
          </w:p>
        </w:tc>
        <w:tc>
          <w:tcPr>
            <w:tcW w:w="120" w:type="dxa"/>
            <w:vAlign w:val="bottom"/>
          </w:tcPr>
          <w:p>
            <w:pPr>
              <w:spacing w:after="0"/>
              <w:rPr>
                <w:sz w:val="14"/>
                <w:szCs w:val="14"/>
                <w:color w:val="auto"/>
              </w:rPr>
            </w:pPr>
          </w:p>
        </w:tc>
        <w:tc>
          <w:tcPr>
            <w:tcW w:w="8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24,376</w:t>
            </w: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24,376</w:t>
            </w:r>
          </w:p>
        </w:tc>
      </w:tr>
      <w:tr>
        <w:trPr>
          <w:trHeight w:val="170"/>
        </w:trPr>
        <w:tc>
          <w:tcPr>
            <w:tcW w:w="4840" w:type="dxa"/>
            <w:vAlign w:val="bottom"/>
          </w:tcPr>
          <w:p>
            <w:pPr>
              <w:ind w:left="440"/>
              <w:spacing w:after="0"/>
              <w:rPr>
                <w:sz w:val="20"/>
                <w:szCs w:val="20"/>
                <w:color w:val="auto"/>
              </w:rPr>
            </w:pPr>
            <w:r>
              <w:rPr>
                <w:rFonts w:ascii="Courier New" w:cs="Courier New" w:eastAsia="Courier New" w:hAnsi="Courier New"/>
                <w:sz w:val="15"/>
                <w:szCs w:val="15"/>
                <w:color w:val="auto"/>
              </w:rPr>
              <w:t>OTHER CURRENT ASSETS</w:t>
            </w: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1,350</w:t>
            </w:r>
          </w:p>
        </w:tc>
        <w:tc>
          <w:tcPr>
            <w:tcW w:w="10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1,350</w:t>
            </w:r>
          </w:p>
        </w:tc>
        <w:tc>
          <w:tcPr>
            <w:tcW w:w="120" w:type="dxa"/>
            <w:vAlign w:val="bottom"/>
          </w:tcPr>
          <w:p>
            <w:pPr>
              <w:spacing w:after="0"/>
              <w:rPr>
                <w:sz w:val="14"/>
                <w:szCs w:val="14"/>
                <w:color w:val="auto"/>
              </w:rPr>
            </w:pPr>
          </w:p>
        </w:tc>
        <w:tc>
          <w:tcPr>
            <w:tcW w:w="8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1,048</w:t>
            </w: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1,048</w:t>
            </w:r>
          </w:p>
        </w:tc>
      </w:tr>
      <w:tr>
        <w:trPr>
          <w:trHeight w:val="170"/>
        </w:trPr>
        <w:tc>
          <w:tcPr>
            <w:tcW w:w="48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60" w:type="dxa"/>
            <w:vAlign w:val="bottom"/>
            <w:gridSpan w:val="2"/>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w w:val="98"/>
              </w:rPr>
              <w:t>---------</w:t>
            </w:r>
          </w:p>
        </w:tc>
        <w:tc>
          <w:tcPr>
            <w:tcW w:w="9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90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w w:val="98"/>
              </w:rPr>
              <w:t>---------</w:t>
            </w:r>
          </w:p>
        </w:tc>
      </w:tr>
      <w:tr>
        <w:trPr>
          <w:trHeight w:val="170"/>
        </w:trPr>
        <w:tc>
          <w:tcPr>
            <w:tcW w:w="4840" w:type="dxa"/>
            <w:vAlign w:val="bottom"/>
          </w:tcPr>
          <w:p>
            <w:pPr>
              <w:ind w:left="700"/>
              <w:spacing w:after="0"/>
              <w:rPr>
                <w:sz w:val="20"/>
                <w:szCs w:val="20"/>
                <w:color w:val="auto"/>
              </w:rPr>
            </w:pPr>
            <w:r>
              <w:rPr>
                <w:rFonts w:ascii="Courier New" w:cs="Courier New" w:eastAsia="Courier New" w:hAnsi="Courier New"/>
                <w:sz w:val="15"/>
                <w:szCs w:val="15"/>
                <w:color w:val="auto"/>
              </w:rPr>
              <w:t>TOTAL CURRENT ASSETS</w:t>
            </w: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90,549</w:t>
            </w:r>
          </w:p>
        </w:tc>
        <w:tc>
          <w:tcPr>
            <w:tcW w:w="1020" w:type="dxa"/>
            <w:vAlign w:val="bottom"/>
          </w:tcPr>
          <w:p>
            <w:pPr>
              <w:jc w:val="right"/>
              <w:ind w:right="7"/>
              <w:spacing w:after="0"/>
              <w:rPr>
                <w:sz w:val="20"/>
                <w:szCs w:val="20"/>
                <w:color w:val="auto"/>
              </w:rPr>
            </w:pPr>
            <w:r>
              <w:rPr>
                <w:rFonts w:ascii="Courier New" w:cs="Courier New" w:eastAsia="Courier New" w:hAnsi="Courier New"/>
                <w:sz w:val="15"/>
                <w:szCs w:val="15"/>
                <w:color w:val="auto"/>
              </w:rPr>
              <w:t>(15,126)</w:t>
            </w:r>
          </w:p>
        </w:tc>
        <w:tc>
          <w:tcPr>
            <w:tcW w:w="180" w:type="dxa"/>
            <w:vAlign w:val="bottom"/>
          </w:tcPr>
          <w:p>
            <w:pPr>
              <w:spacing w:after="0"/>
              <w:rPr>
                <w:sz w:val="14"/>
                <w:szCs w:val="14"/>
                <w:color w:val="auto"/>
              </w:rPr>
            </w:pPr>
          </w:p>
        </w:tc>
        <w:tc>
          <w:tcPr>
            <w:tcW w:w="8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75,423</w:t>
            </w:r>
          </w:p>
        </w:tc>
        <w:tc>
          <w:tcPr>
            <w:tcW w:w="120" w:type="dxa"/>
            <w:vAlign w:val="bottom"/>
          </w:tcPr>
          <w:p>
            <w:pPr>
              <w:spacing w:after="0"/>
              <w:rPr>
                <w:sz w:val="14"/>
                <w:szCs w:val="14"/>
                <w:color w:val="auto"/>
              </w:rPr>
            </w:pPr>
          </w:p>
        </w:tc>
        <w:tc>
          <w:tcPr>
            <w:tcW w:w="8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90,241</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(31,661)</w:t>
            </w:r>
          </w:p>
        </w:tc>
        <w:tc>
          <w:tcPr>
            <w:tcW w:w="120" w:type="dxa"/>
            <w:vAlign w:val="bottom"/>
          </w:tcPr>
          <w:p>
            <w:pPr>
              <w:spacing w:after="0"/>
              <w:rPr>
                <w:sz w:val="14"/>
                <w:szCs w:val="14"/>
                <w:color w:val="auto"/>
              </w:rPr>
            </w:pP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58,580</w:t>
            </w:r>
          </w:p>
        </w:tc>
      </w:tr>
      <w:tr>
        <w:trPr>
          <w:trHeight w:val="170"/>
        </w:trPr>
        <w:tc>
          <w:tcPr>
            <w:tcW w:w="48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60" w:type="dxa"/>
            <w:vAlign w:val="bottom"/>
            <w:gridSpan w:val="2"/>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w w:val="98"/>
              </w:rPr>
              <w:t>---------</w:t>
            </w:r>
          </w:p>
        </w:tc>
        <w:tc>
          <w:tcPr>
            <w:tcW w:w="9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90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w w:val="98"/>
              </w:rPr>
              <w:t>---------</w:t>
            </w:r>
          </w:p>
        </w:tc>
      </w:tr>
      <w:tr>
        <w:trPr>
          <w:trHeight w:val="339"/>
        </w:trPr>
        <w:tc>
          <w:tcPr>
            <w:tcW w:w="4840" w:type="dxa"/>
            <w:vAlign w:val="bottom"/>
          </w:tcPr>
          <w:p>
            <w:pPr>
              <w:ind w:left="440"/>
              <w:spacing w:after="0"/>
              <w:rPr>
                <w:sz w:val="20"/>
                <w:szCs w:val="20"/>
                <w:color w:val="auto"/>
              </w:rPr>
            </w:pPr>
            <w:r>
              <w:rPr>
                <w:rFonts w:ascii="Courier New" w:cs="Courier New" w:eastAsia="Courier New" w:hAnsi="Courier New"/>
                <w:sz w:val="15"/>
                <w:szCs w:val="15"/>
                <w:color w:val="auto"/>
              </w:rPr>
              <w:t>OTHER LONG-TERM INVESTMENT</w:t>
            </w:r>
          </w:p>
        </w:tc>
        <w:tc>
          <w:tcPr>
            <w:tcW w:w="740" w:type="dxa"/>
            <w:vAlign w:val="bottom"/>
          </w:tcPr>
          <w:p>
            <w:pPr>
              <w:jc w:val="center"/>
              <w:spacing w:after="0"/>
              <w:rPr>
                <w:sz w:val="20"/>
                <w:szCs w:val="20"/>
                <w:color w:val="auto"/>
              </w:rPr>
            </w:pPr>
            <w:r>
              <w:rPr>
                <w:rFonts w:ascii="Courier New" w:cs="Courier New" w:eastAsia="Courier New" w:hAnsi="Courier New"/>
                <w:sz w:val="15"/>
                <w:szCs w:val="15"/>
                <w:color w:val="auto"/>
                <w:w w:val="96"/>
              </w:rPr>
              <w:t>C,D</w:t>
            </w:r>
          </w:p>
        </w:tc>
        <w:tc>
          <w:tcPr>
            <w:tcW w:w="220" w:type="dxa"/>
            <w:vAlign w:val="bottom"/>
          </w:tcPr>
          <w:p>
            <w:pPr>
              <w:spacing w:after="0"/>
              <w:rPr>
                <w:sz w:val="24"/>
                <w:szCs w:val="24"/>
                <w:color w:val="auto"/>
              </w:rPr>
            </w:pPr>
          </w:p>
        </w:tc>
        <w:tc>
          <w:tcPr>
            <w:tcW w:w="8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16,080</w:t>
            </w:r>
          </w:p>
        </w:tc>
        <w:tc>
          <w:tcPr>
            <w:tcW w:w="180" w:type="dxa"/>
            <w:vAlign w:val="bottom"/>
          </w:tcPr>
          <w:p>
            <w:pPr>
              <w:spacing w:after="0"/>
              <w:rPr>
                <w:sz w:val="24"/>
                <w:szCs w:val="24"/>
                <w:color w:val="auto"/>
              </w:rPr>
            </w:pPr>
          </w:p>
        </w:tc>
        <w:tc>
          <w:tcPr>
            <w:tcW w:w="8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16,080</w:t>
            </w:r>
          </w:p>
        </w:tc>
        <w:tc>
          <w:tcPr>
            <w:tcW w:w="120" w:type="dxa"/>
            <w:vAlign w:val="bottom"/>
          </w:tcPr>
          <w:p>
            <w:pPr>
              <w:spacing w:after="0"/>
              <w:rPr>
                <w:sz w:val="24"/>
                <w:szCs w:val="24"/>
                <w:color w:val="auto"/>
              </w:rPr>
            </w:pPr>
          </w:p>
        </w:tc>
        <w:tc>
          <w:tcPr>
            <w:tcW w:w="8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15,425</w:t>
            </w:r>
          </w:p>
        </w:tc>
        <w:tc>
          <w:tcPr>
            <w:tcW w:w="120" w:type="dxa"/>
            <w:vAlign w:val="bottom"/>
          </w:tcPr>
          <w:p>
            <w:pPr>
              <w:spacing w:after="0"/>
              <w:rPr>
                <w:sz w:val="24"/>
                <w:szCs w:val="24"/>
                <w:color w:val="auto"/>
              </w:rPr>
            </w:pP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15,425</w:t>
            </w:r>
          </w:p>
        </w:tc>
      </w:tr>
      <w:tr>
        <w:trPr>
          <w:trHeight w:val="170"/>
        </w:trPr>
        <w:tc>
          <w:tcPr>
            <w:tcW w:w="48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60" w:type="dxa"/>
            <w:vAlign w:val="bottom"/>
            <w:gridSpan w:val="2"/>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w w:val="98"/>
              </w:rPr>
              <w:t>---------</w:t>
            </w:r>
          </w:p>
        </w:tc>
        <w:tc>
          <w:tcPr>
            <w:tcW w:w="9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90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w w:val="98"/>
              </w:rPr>
              <w:t>---------</w:t>
            </w:r>
          </w:p>
        </w:tc>
      </w:tr>
      <w:tr>
        <w:trPr>
          <w:trHeight w:val="170"/>
        </w:trPr>
        <w:tc>
          <w:tcPr>
            <w:tcW w:w="48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16,080</w:t>
            </w:r>
          </w:p>
        </w:tc>
        <w:tc>
          <w:tcPr>
            <w:tcW w:w="180" w:type="dxa"/>
            <w:vAlign w:val="bottom"/>
          </w:tcPr>
          <w:p>
            <w:pPr>
              <w:spacing w:after="0"/>
              <w:rPr>
                <w:sz w:val="14"/>
                <w:szCs w:val="14"/>
                <w:color w:val="auto"/>
              </w:rPr>
            </w:pPr>
          </w:p>
        </w:tc>
        <w:tc>
          <w:tcPr>
            <w:tcW w:w="8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16,080</w:t>
            </w:r>
          </w:p>
        </w:tc>
        <w:tc>
          <w:tcPr>
            <w:tcW w:w="120" w:type="dxa"/>
            <w:vAlign w:val="bottom"/>
          </w:tcPr>
          <w:p>
            <w:pPr>
              <w:spacing w:after="0"/>
              <w:rPr>
                <w:sz w:val="14"/>
                <w:szCs w:val="14"/>
                <w:color w:val="auto"/>
              </w:rPr>
            </w:pPr>
          </w:p>
        </w:tc>
        <w:tc>
          <w:tcPr>
            <w:tcW w:w="8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15,425</w:t>
            </w:r>
          </w:p>
        </w:tc>
        <w:tc>
          <w:tcPr>
            <w:tcW w:w="120" w:type="dxa"/>
            <w:vAlign w:val="bottom"/>
          </w:tcPr>
          <w:p>
            <w:pPr>
              <w:spacing w:after="0"/>
              <w:rPr>
                <w:sz w:val="14"/>
                <w:szCs w:val="14"/>
                <w:color w:val="auto"/>
              </w:rPr>
            </w:pP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15,425</w:t>
            </w:r>
          </w:p>
        </w:tc>
      </w:tr>
      <w:tr>
        <w:trPr>
          <w:trHeight w:val="170"/>
        </w:trPr>
        <w:tc>
          <w:tcPr>
            <w:tcW w:w="48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60" w:type="dxa"/>
            <w:vAlign w:val="bottom"/>
            <w:gridSpan w:val="2"/>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w w:val="98"/>
              </w:rPr>
              <w:t>---------</w:t>
            </w:r>
          </w:p>
        </w:tc>
        <w:tc>
          <w:tcPr>
            <w:tcW w:w="9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90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w w:val="98"/>
              </w:rPr>
              <w:t>---------</w:t>
            </w:r>
          </w:p>
        </w:tc>
      </w:tr>
      <w:tr>
        <w:trPr>
          <w:trHeight w:val="339"/>
        </w:trPr>
        <w:tc>
          <w:tcPr>
            <w:tcW w:w="4840" w:type="dxa"/>
            <w:vAlign w:val="bottom"/>
          </w:tcPr>
          <w:p>
            <w:pPr>
              <w:ind w:left="260"/>
              <w:spacing w:after="0"/>
              <w:rPr>
                <w:sz w:val="20"/>
                <w:szCs w:val="20"/>
                <w:color w:val="auto"/>
              </w:rPr>
            </w:pPr>
            <w:r>
              <w:rPr>
                <w:rFonts w:ascii="Courier New" w:cs="Courier New" w:eastAsia="Courier New" w:hAnsi="Courier New"/>
                <w:sz w:val="15"/>
                <w:szCs w:val="15"/>
                <w:color w:val="auto"/>
              </w:rPr>
              <w:t>PROPERTY AND EQUIPMENT, NET</w:t>
            </w:r>
          </w:p>
        </w:tc>
        <w:tc>
          <w:tcPr>
            <w:tcW w:w="740" w:type="dxa"/>
            <w:vAlign w:val="bottom"/>
          </w:tcPr>
          <w:p>
            <w:pPr>
              <w:jc w:val="center"/>
              <w:spacing w:after="0"/>
              <w:rPr>
                <w:sz w:val="20"/>
                <w:szCs w:val="20"/>
                <w:color w:val="auto"/>
              </w:rPr>
            </w:pPr>
            <w:r>
              <w:rPr>
                <w:rFonts w:ascii="Courier New" w:cs="Courier New" w:eastAsia="Courier New" w:hAnsi="Courier New"/>
                <w:sz w:val="15"/>
                <w:szCs w:val="15"/>
                <w:color w:val="auto"/>
                <w:w w:val="96"/>
              </w:rPr>
              <w:t>D,F</w:t>
            </w:r>
          </w:p>
        </w:tc>
        <w:tc>
          <w:tcPr>
            <w:tcW w:w="220" w:type="dxa"/>
            <w:vAlign w:val="bottom"/>
          </w:tcPr>
          <w:p>
            <w:pPr>
              <w:spacing w:after="0"/>
              <w:rPr>
                <w:sz w:val="24"/>
                <w:szCs w:val="24"/>
                <w:color w:val="auto"/>
              </w:rPr>
            </w:pPr>
          </w:p>
        </w:tc>
        <w:tc>
          <w:tcPr>
            <w:tcW w:w="8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484,289</w:t>
            </w:r>
          </w:p>
        </w:tc>
        <w:tc>
          <w:tcPr>
            <w:tcW w:w="1020" w:type="dxa"/>
            <w:vAlign w:val="bottom"/>
          </w:tcPr>
          <w:p>
            <w:pPr>
              <w:jc w:val="right"/>
              <w:ind w:right="7"/>
              <w:spacing w:after="0"/>
              <w:rPr>
                <w:sz w:val="20"/>
                <w:szCs w:val="20"/>
                <w:color w:val="auto"/>
              </w:rPr>
            </w:pPr>
            <w:r>
              <w:rPr>
                <w:rFonts w:ascii="Courier New" w:cs="Courier New" w:eastAsia="Courier New" w:hAnsi="Courier New"/>
                <w:sz w:val="15"/>
                <w:szCs w:val="15"/>
                <w:color w:val="auto"/>
              </w:rPr>
              <w:t>(2,133)</w:t>
            </w:r>
          </w:p>
        </w:tc>
        <w:tc>
          <w:tcPr>
            <w:tcW w:w="180" w:type="dxa"/>
            <w:vAlign w:val="bottom"/>
          </w:tcPr>
          <w:p>
            <w:pPr>
              <w:spacing w:after="0"/>
              <w:rPr>
                <w:sz w:val="24"/>
                <w:szCs w:val="24"/>
                <w:color w:val="auto"/>
              </w:rPr>
            </w:pPr>
          </w:p>
        </w:tc>
        <w:tc>
          <w:tcPr>
            <w:tcW w:w="8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482,156</w:t>
            </w:r>
          </w:p>
        </w:tc>
        <w:tc>
          <w:tcPr>
            <w:tcW w:w="120" w:type="dxa"/>
            <w:vAlign w:val="bottom"/>
          </w:tcPr>
          <w:p>
            <w:pPr>
              <w:spacing w:after="0"/>
              <w:rPr>
                <w:sz w:val="24"/>
                <w:szCs w:val="24"/>
                <w:color w:val="auto"/>
              </w:rPr>
            </w:pPr>
          </w:p>
        </w:tc>
        <w:tc>
          <w:tcPr>
            <w:tcW w:w="8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510,645</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(3,291)</w:t>
            </w:r>
          </w:p>
        </w:tc>
        <w:tc>
          <w:tcPr>
            <w:tcW w:w="120" w:type="dxa"/>
            <w:vAlign w:val="bottom"/>
          </w:tcPr>
          <w:p>
            <w:pPr>
              <w:spacing w:after="0"/>
              <w:rPr>
                <w:sz w:val="24"/>
                <w:szCs w:val="24"/>
                <w:color w:val="auto"/>
              </w:rPr>
            </w:pP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507,354</w:t>
            </w:r>
          </w:p>
        </w:tc>
      </w:tr>
      <w:tr>
        <w:trPr>
          <w:trHeight w:val="170"/>
        </w:trPr>
        <w:tc>
          <w:tcPr>
            <w:tcW w:w="48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60" w:type="dxa"/>
            <w:vAlign w:val="bottom"/>
            <w:gridSpan w:val="2"/>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w w:val="98"/>
              </w:rPr>
              <w:t>---------</w:t>
            </w:r>
          </w:p>
        </w:tc>
        <w:tc>
          <w:tcPr>
            <w:tcW w:w="9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90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w w:val="98"/>
              </w:rPr>
              <w:t>---------</w:t>
            </w:r>
          </w:p>
        </w:tc>
      </w:tr>
      <w:tr>
        <w:trPr>
          <w:trHeight w:val="339"/>
        </w:trPr>
        <w:tc>
          <w:tcPr>
            <w:tcW w:w="4840" w:type="dxa"/>
            <w:vAlign w:val="bottom"/>
          </w:tcPr>
          <w:p>
            <w:pPr>
              <w:ind w:left="260"/>
              <w:spacing w:after="0"/>
              <w:rPr>
                <w:sz w:val="20"/>
                <w:szCs w:val="20"/>
                <w:color w:val="auto"/>
              </w:rPr>
            </w:pPr>
            <w:r>
              <w:rPr>
                <w:rFonts w:ascii="Courier New" w:cs="Courier New" w:eastAsia="Courier New" w:hAnsi="Courier New"/>
                <w:sz w:val="15"/>
                <w:szCs w:val="15"/>
                <w:color w:val="auto"/>
              </w:rPr>
              <w:t>DESIGNATED CASH AND SHORT-TERM</w:t>
            </w: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70"/>
        </w:trPr>
        <w:tc>
          <w:tcPr>
            <w:tcW w:w="4840" w:type="dxa"/>
            <w:vAlign w:val="bottom"/>
          </w:tcPr>
          <w:p>
            <w:pPr>
              <w:ind w:left="440"/>
              <w:spacing w:after="0"/>
              <w:rPr>
                <w:sz w:val="20"/>
                <w:szCs w:val="20"/>
                <w:color w:val="auto"/>
              </w:rPr>
            </w:pPr>
            <w:r>
              <w:rPr>
                <w:rFonts w:ascii="Courier New" w:cs="Courier New" w:eastAsia="Courier New" w:hAnsi="Courier New"/>
                <w:sz w:val="15"/>
                <w:szCs w:val="15"/>
                <w:color w:val="auto"/>
              </w:rPr>
              <w:t>INTEREST-BEARING DEPOSITS</w:t>
            </w:r>
          </w:p>
        </w:tc>
        <w:tc>
          <w:tcPr>
            <w:tcW w:w="740" w:type="dxa"/>
            <w:vAlign w:val="bottom"/>
          </w:tcPr>
          <w:p>
            <w:pPr>
              <w:jc w:val="center"/>
              <w:spacing w:after="0"/>
              <w:rPr>
                <w:sz w:val="20"/>
                <w:szCs w:val="20"/>
                <w:color w:val="auto"/>
              </w:rPr>
            </w:pPr>
            <w:r>
              <w:rPr>
                <w:rFonts w:ascii="Courier New" w:cs="Courier New" w:eastAsia="Courier New" w:hAnsi="Courier New"/>
                <w:sz w:val="15"/>
                <w:szCs w:val="15"/>
                <w:color w:val="auto"/>
                <w:w w:val="88"/>
              </w:rPr>
              <w:t>B</w:t>
            </w:r>
          </w:p>
        </w:tc>
        <w:tc>
          <w:tcPr>
            <w:tcW w:w="220" w:type="dxa"/>
            <w:vAlign w:val="bottom"/>
          </w:tcPr>
          <w:p>
            <w:pPr>
              <w:spacing w:after="0"/>
              <w:rPr>
                <w:sz w:val="14"/>
                <w:szCs w:val="14"/>
                <w:color w:val="auto"/>
              </w:rPr>
            </w:pPr>
          </w:p>
        </w:tc>
        <w:tc>
          <w:tcPr>
            <w:tcW w:w="8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15,126</w:t>
            </w:r>
          </w:p>
        </w:tc>
        <w:tc>
          <w:tcPr>
            <w:tcW w:w="180" w:type="dxa"/>
            <w:vAlign w:val="bottom"/>
          </w:tcPr>
          <w:p>
            <w:pPr>
              <w:spacing w:after="0"/>
              <w:rPr>
                <w:sz w:val="14"/>
                <w:szCs w:val="14"/>
                <w:color w:val="auto"/>
              </w:rPr>
            </w:pPr>
          </w:p>
        </w:tc>
        <w:tc>
          <w:tcPr>
            <w:tcW w:w="8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15,126</w:t>
            </w:r>
          </w:p>
        </w:tc>
        <w:tc>
          <w:tcPr>
            <w:tcW w:w="120" w:type="dxa"/>
            <w:vAlign w:val="bottom"/>
          </w:tcPr>
          <w:p>
            <w:pPr>
              <w:spacing w:after="0"/>
              <w:rPr>
                <w:sz w:val="14"/>
                <w:szCs w:val="14"/>
                <w:color w:val="auto"/>
              </w:rPr>
            </w:pPr>
          </w:p>
        </w:tc>
        <w:tc>
          <w:tcPr>
            <w:tcW w:w="8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31,661</w:t>
            </w:r>
          </w:p>
        </w:tc>
        <w:tc>
          <w:tcPr>
            <w:tcW w:w="120" w:type="dxa"/>
            <w:vAlign w:val="bottom"/>
          </w:tcPr>
          <w:p>
            <w:pPr>
              <w:spacing w:after="0"/>
              <w:rPr>
                <w:sz w:val="14"/>
                <w:szCs w:val="14"/>
                <w:color w:val="auto"/>
              </w:rPr>
            </w:pP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31,661</w:t>
            </w:r>
          </w:p>
        </w:tc>
      </w:tr>
      <w:tr>
        <w:trPr>
          <w:trHeight w:val="170"/>
        </w:trPr>
        <w:tc>
          <w:tcPr>
            <w:tcW w:w="48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60" w:type="dxa"/>
            <w:vAlign w:val="bottom"/>
            <w:gridSpan w:val="2"/>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w w:val="98"/>
              </w:rPr>
              <w:t>---------</w:t>
            </w:r>
          </w:p>
        </w:tc>
        <w:tc>
          <w:tcPr>
            <w:tcW w:w="9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90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w w:val="98"/>
              </w:rPr>
              <w:t>---------</w:t>
            </w:r>
          </w:p>
        </w:tc>
      </w:tr>
      <w:tr>
        <w:trPr>
          <w:trHeight w:val="339"/>
        </w:trPr>
        <w:tc>
          <w:tcPr>
            <w:tcW w:w="4840" w:type="dxa"/>
            <w:vAlign w:val="bottom"/>
          </w:tcPr>
          <w:p>
            <w:pPr>
              <w:ind w:left="260"/>
              <w:spacing w:after="0"/>
              <w:rPr>
                <w:sz w:val="20"/>
                <w:szCs w:val="20"/>
                <w:color w:val="auto"/>
              </w:rPr>
            </w:pPr>
            <w:r>
              <w:rPr>
                <w:rFonts w:ascii="Courier New" w:cs="Courier New" w:eastAsia="Courier New" w:hAnsi="Courier New"/>
                <w:sz w:val="15"/>
                <w:szCs w:val="15"/>
                <w:color w:val="auto"/>
              </w:rPr>
              <w:t>OTHER ASSETS, NET:</w:t>
            </w: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70"/>
        </w:trPr>
        <w:tc>
          <w:tcPr>
            <w:tcW w:w="4840" w:type="dxa"/>
            <w:vAlign w:val="bottom"/>
          </w:tcPr>
          <w:p>
            <w:pPr>
              <w:ind w:left="260"/>
              <w:spacing w:after="0"/>
              <w:rPr>
                <w:sz w:val="20"/>
                <w:szCs w:val="20"/>
                <w:color w:val="auto"/>
              </w:rPr>
            </w:pPr>
            <w:r>
              <w:rPr>
                <w:rFonts w:ascii="Courier New" w:cs="Courier New" w:eastAsia="Courier New" w:hAnsi="Courier New"/>
                <w:sz w:val="15"/>
                <w:szCs w:val="15"/>
                <w:color w:val="auto"/>
              </w:rPr>
              <w:t>TECHNOLOGY</w:t>
            </w: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59,724</w:t>
            </w:r>
          </w:p>
        </w:tc>
        <w:tc>
          <w:tcPr>
            <w:tcW w:w="10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59,724</w:t>
            </w:r>
          </w:p>
        </w:tc>
        <w:tc>
          <w:tcPr>
            <w:tcW w:w="120" w:type="dxa"/>
            <w:vAlign w:val="bottom"/>
          </w:tcPr>
          <w:p>
            <w:pPr>
              <w:spacing w:after="0"/>
              <w:rPr>
                <w:sz w:val="14"/>
                <w:szCs w:val="14"/>
                <w:color w:val="auto"/>
              </w:rPr>
            </w:pPr>
          </w:p>
        </w:tc>
        <w:tc>
          <w:tcPr>
            <w:tcW w:w="8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61,441</w:t>
            </w: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61,441</w:t>
            </w:r>
          </w:p>
        </w:tc>
      </w:tr>
      <w:tr>
        <w:trPr>
          <w:trHeight w:val="170"/>
        </w:trPr>
        <w:tc>
          <w:tcPr>
            <w:tcW w:w="4840" w:type="dxa"/>
            <w:vAlign w:val="bottom"/>
          </w:tcPr>
          <w:p>
            <w:pPr>
              <w:ind w:left="260"/>
              <w:spacing w:after="0"/>
              <w:rPr>
                <w:sz w:val="20"/>
                <w:szCs w:val="20"/>
                <w:color w:val="auto"/>
              </w:rPr>
            </w:pPr>
            <w:r>
              <w:rPr>
                <w:rFonts w:ascii="Courier New" w:cs="Courier New" w:eastAsia="Courier New" w:hAnsi="Courier New"/>
                <w:sz w:val="15"/>
                <w:szCs w:val="15"/>
                <w:color w:val="auto"/>
              </w:rPr>
              <w:t>OTHER</w:t>
            </w:r>
          </w:p>
        </w:tc>
        <w:tc>
          <w:tcPr>
            <w:tcW w:w="740" w:type="dxa"/>
            <w:vAlign w:val="bottom"/>
          </w:tcPr>
          <w:p>
            <w:pPr>
              <w:jc w:val="center"/>
              <w:spacing w:after="0"/>
              <w:rPr>
                <w:sz w:val="20"/>
                <w:szCs w:val="20"/>
                <w:color w:val="auto"/>
              </w:rPr>
            </w:pPr>
            <w:r>
              <w:rPr>
                <w:rFonts w:ascii="Courier New" w:cs="Courier New" w:eastAsia="Courier New" w:hAnsi="Courier New"/>
                <w:sz w:val="15"/>
                <w:szCs w:val="15"/>
                <w:color w:val="auto"/>
                <w:w w:val="96"/>
              </w:rPr>
              <w:t>E,F</w:t>
            </w:r>
          </w:p>
        </w:tc>
        <w:tc>
          <w:tcPr>
            <w:tcW w:w="220" w:type="dxa"/>
            <w:vAlign w:val="bottom"/>
          </w:tcPr>
          <w:p>
            <w:pPr>
              <w:spacing w:after="0"/>
              <w:rPr>
                <w:sz w:val="14"/>
                <w:szCs w:val="14"/>
                <w:color w:val="auto"/>
              </w:rPr>
            </w:pPr>
          </w:p>
        </w:tc>
        <w:tc>
          <w:tcPr>
            <w:tcW w:w="8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1,477</w:t>
            </w:r>
          </w:p>
        </w:tc>
        <w:tc>
          <w:tcPr>
            <w:tcW w:w="10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13,288</w:t>
            </w:r>
          </w:p>
        </w:tc>
        <w:tc>
          <w:tcPr>
            <w:tcW w:w="180" w:type="dxa"/>
            <w:vAlign w:val="bottom"/>
          </w:tcPr>
          <w:p>
            <w:pPr>
              <w:spacing w:after="0"/>
              <w:rPr>
                <w:sz w:val="14"/>
                <w:szCs w:val="14"/>
                <w:color w:val="auto"/>
              </w:rPr>
            </w:pPr>
          </w:p>
        </w:tc>
        <w:tc>
          <w:tcPr>
            <w:tcW w:w="8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14,765</w:t>
            </w:r>
          </w:p>
        </w:tc>
        <w:tc>
          <w:tcPr>
            <w:tcW w:w="120" w:type="dxa"/>
            <w:vAlign w:val="bottom"/>
          </w:tcPr>
          <w:p>
            <w:pPr>
              <w:spacing w:after="0"/>
              <w:rPr>
                <w:sz w:val="14"/>
                <w:szCs w:val="14"/>
                <w:color w:val="auto"/>
              </w:rPr>
            </w:pPr>
          </w:p>
        </w:tc>
        <w:tc>
          <w:tcPr>
            <w:tcW w:w="8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16,359</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(196)</w:t>
            </w:r>
          </w:p>
        </w:tc>
        <w:tc>
          <w:tcPr>
            <w:tcW w:w="120" w:type="dxa"/>
            <w:vAlign w:val="bottom"/>
          </w:tcPr>
          <w:p>
            <w:pPr>
              <w:spacing w:after="0"/>
              <w:rPr>
                <w:sz w:val="14"/>
                <w:szCs w:val="14"/>
                <w:color w:val="auto"/>
              </w:rPr>
            </w:pP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16,163</w:t>
            </w:r>
          </w:p>
        </w:tc>
      </w:tr>
      <w:tr>
        <w:trPr>
          <w:trHeight w:val="170"/>
        </w:trPr>
        <w:tc>
          <w:tcPr>
            <w:tcW w:w="48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60" w:type="dxa"/>
            <w:vAlign w:val="bottom"/>
            <w:gridSpan w:val="2"/>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w w:val="98"/>
              </w:rPr>
              <w:t>---------</w:t>
            </w:r>
          </w:p>
        </w:tc>
        <w:tc>
          <w:tcPr>
            <w:tcW w:w="9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90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w w:val="98"/>
              </w:rPr>
              <w:t>---------</w:t>
            </w:r>
          </w:p>
        </w:tc>
      </w:tr>
      <w:tr>
        <w:trPr>
          <w:trHeight w:val="170"/>
        </w:trPr>
        <w:tc>
          <w:tcPr>
            <w:tcW w:w="48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61,201</w:t>
            </w:r>
          </w:p>
        </w:tc>
        <w:tc>
          <w:tcPr>
            <w:tcW w:w="10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13,288</w:t>
            </w:r>
          </w:p>
        </w:tc>
        <w:tc>
          <w:tcPr>
            <w:tcW w:w="180" w:type="dxa"/>
            <w:vAlign w:val="bottom"/>
          </w:tcPr>
          <w:p>
            <w:pPr>
              <w:spacing w:after="0"/>
              <w:rPr>
                <w:sz w:val="14"/>
                <w:szCs w:val="14"/>
                <w:color w:val="auto"/>
              </w:rPr>
            </w:pPr>
          </w:p>
        </w:tc>
        <w:tc>
          <w:tcPr>
            <w:tcW w:w="8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74,489</w:t>
            </w:r>
          </w:p>
        </w:tc>
        <w:tc>
          <w:tcPr>
            <w:tcW w:w="120" w:type="dxa"/>
            <w:vAlign w:val="bottom"/>
          </w:tcPr>
          <w:p>
            <w:pPr>
              <w:spacing w:after="0"/>
              <w:rPr>
                <w:sz w:val="14"/>
                <w:szCs w:val="14"/>
                <w:color w:val="auto"/>
              </w:rPr>
            </w:pPr>
          </w:p>
        </w:tc>
        <w:tc>
          <w:tcPr>
            <w:tcW w:w="8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77,800</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(196)</w:t>
            </w:r>
          </w:p>
        </w:tc>
        <w:tc>
          <w:tcPr>
            <w:tcW w:w="120" w:type="dxa"/>
            <w:vAlign w:val="bottom"/>
          </w:tcPr>
          <w:p>
            <w:pPr>
              <w:spacing w:after="0"/>
              <w:rPr>
                <w:sz w:val="14"/>
                <w:szCs w:val="14"/>
                <w:color w:val="auto"/>
              </w:rPr>
            </w:pP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77,604</w:t>
            </w:r>
          </w:p>
        </w:tc>
      </w:tr>
      <w:tr>
        <w:trPr>
          <w:trHeight w:val="170"/>
        </w:trPr>
        <w:tc>
          <w:tcPr>
            <w:tcW w:w="48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60" w:type="dxa"/>
            <w:vAlign w:val="bottom"/>
            <w:gridSpan w:val="2"/>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w w:val="98"/>
              </w:rPr>
              <w:t>=========</w:t>
            </w:r>
          </w:p>
        </w:tc>
        <w:tc>
          <w:tcPr>
            <w:tcW w:w="9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90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w w:val="98"/>
              </w:rPr>
              <w:t>=========</w:t>
            </w:r>
          </w:p>
        </w:tc>
      </w:tr>
      <w:tr>
        <w:trPr>
          <w:trHeight w:val="339"/>
        </w:trPr>
        <w:tc>
          <w:tcPr>
            <w:tcW w:w="4840" w:type="dxa"/>
            <w:vAlign w:val="bottom"/>
          </w:tcPr>
          <w:p>
            <w:pPr>
              <w:ind w:left="700"/>
              <w:spacing w:after="0"/>
              <w:rPr>
                <w:sz w:val="20"/>
                <w:szCs w:val="20"/>
                <w:color w:val="auto"/>
              </w:rPr>
            </w:pPr>
            <w:r>
              <w:rPr>
                <w:rFonts w:ascii="Courier New" w:cs="Courier New" w:eastAsia="Courier New" w:hAnsi="Courier New"/>
                <w:sz w:val="15"/>
                <w:szCs w:val="15"/>
                <w:color w:val="auto"/>
              </w:rPr>
              <w:t>TOTAL ASSETS</w:t>
            </w:r>
          </w:p>
        </w:tc>
        <w:tc>
          <w:tcPr>
            <w:tcW w:w="740" w:type="dxa"/>
            <w:vAlign w:val="bottom"/>
          </w:tcPr>
          <w:p>
            <w:pPr>
              <w:spacing w:after="0"/>
              <w:rPr>
                <w:sz w:val="24"/>
                <w:szCs w:val="24"/>
                <w:color w:val="auto"/>
              </w:rPr>
            </w:pPr>
          </w:p>
        </w:tc>
        <w:tc>
          <w:tcPr>
            <w:tcW w:w="1060" w:type="dxa"/>
            <w:vAlign w:val="bottom"/>
            <w:gridSpan w:val="2"/>
          </w:tcPr>
          <w:p>
            <w:pPr>
              <w:jc w:val="right"/>
              <w:ind w:right="47"/>
              <w:spacing w:after="0"/>
              <w:rPr>
                <w:sz w:val="20"/>
                <w:szCs w:val="20"/>
                <w:color w:val="auto"/>
              </w:rPr>
            </w:pPr>
            <w:r>
              <w:rPr>
                <w:rFonts w:ascii="Courier New" w:cs="Courier New" w:eastAsia="Courier New" w:hAnsi="Courier New"/>
                <w:sz w:val="15"/>
                <w:szCs w:val="15"/>
                <w:color w:val="auto"/>
              </w:rPr>
              <w:t>$ 636,039</w:t>
            </w:r>
          </w:p>
        </w:tc>
        <w:tc>
          <w:tcPr>
            <w:tcW w:w="10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  27,235</w:t>
            </w:r>
          </w:p>
        </w:tc>
        <w:tc>
          <w:tcPr>
            <w:tcW w:w="102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$ 663,274</w:t>
            </w:r>
          </w:p>
        </w:tc>
        <w:tc>
          <w:tcPr>
            <w:tcW w:w="96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w w:val="98"/>
              </w:rPr>
              <w:t>$ 678,686</w:t>
            </w:r>
          </w:p>
        </w:tc>
        <w:tc>
          <w:tcPr>
            <w:tcW w:w="9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  11,938</w:t>
            </w:r>
          </w:p>
        </w:tc>
        <w:tc>
          <w:tcPr>
            <w:tcW w:w="90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w w:val="98"/>
              </w:rPr>
              <w:t>$ 690,624</w:t>
            </w:r>
          </w:p>
        </w:tc>
      </w:tr>
      <w:tr>
        <w:trPr>
          <w:trHeight w:val="170"/>
        </w:trPr>
        <w:tc>
          <w:tcPr>
            <w:tcW w:w="48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60" w:type="dxa"/>
            <w:vAlign w:val="bottom"/>
            <w:gridSpan w:val="2"/>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w w:val="98"/>
              </w:rPr>
              <w:t>=========</w:t>
            </w:r>
          </w:p>
        </w:tc>
        <w:tc>
          <w:tcPr>
            <w:tcW w:w="9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90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w w:val="98"/>
              </w:rPr>
              <w:t>=========</w:t>
            </w:r>
          </w:p>
        </w:tc>
      </w:tr>
      <w:tr>
        <w:trPr>
          <w:trHeight w:val="339"/>
        </w:trPr>
        <w:tc>
          <w:tcPr>
            <w:tcW w:w="4840" w:type="dxa"/>
            <w:vAlign w:val="bottom"/>
          </w:tcPr>
          <w:p>
            <w:pPr>
              <w:spacing w:after="0"/>
              <w:rPr>
                <w:sz w:val="20"/>
                <w:szCs w:val="20"/>
                <w:color w:val="auto"/>
              </w:rPr>
            </w:pPr>
            <w:r>
              <w:rPr>
                <w:rFonts w:ascii="Courier New" w:cs="Courier New" w:eastAsia="Courier New" w:hAnsi="Courier New"/>
                <w:sz w:val="15"/>
                <w:szCs w:val="15"/>
                <w:color w:val="auto"/>
              </w:rPr>
              <w:t>LIABILITIES AND SHAREHOLDERS' EQUITY</w:t>
            </w: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339"/>
        </w:trPr>
        <w:tc>
          <w:tcPr>
            <w:tcW w:w="4840" w:type="dxa"/>
            <w:vAlign w:val="bottom"/>
          </w:tcPr>
          <w:p>
            <w:pPr>
              <w:ind w:left="260"/>
              <w:spacing w:after="0"/>
              <w:rPr>
                <w:sz w:val="20"/>
                <w:szCs w:val="20"/>
                <w:color w:val="auto"/>
              </w:rPr>
            </w:pPr>
            <w:r>
              <w:rPr>
                <w:rFonts w:ascii="Courier New" w:cs="Courier New" w:eastAsia="Courier New" w:hAnsi="Courier New"/>
                <w:sz w:val="15"/>
                <w:szCs w:val="15"/>
                <w:color w:val="auto"/>
              </w:rPr>
              <w:t>CURRENT LIABILITIES</w:t>
            </w: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70"/>
        </w:trPr>
        <w:tc>
          <w:tcPr>
            <w:tcW w:w="4840" w:type="dxa"/>
            <w:vAlign w:val="bottom"/>
          </w:tcPr>
          <w:p>
            <w:pPr>
              <w:ind w:left="440"/>
              <w:spacing w:after="0"/>
              <w:rPr>
                <w:sz w:val="20"/>
                <w:szCs w:val="20"/>
                <w:color w:val="auto"/>
              </w:rPr>
            </w:pPr>
            <w:r>
              <w:rPr>
                <w:rFonts w:ascii="Courier New" w:cs="Courier New" w:eastAsia="Courier New" w:hAnsi="Courier New"/>
                <w:sz w:val="15"/>
                <w:szCs w:val="15"/>
                <w:color w:val="auto"/>
              </w:rPr>
              <w:t>CURRENT MATURITIES OF LONG-TERM DEBT</w:t>
            </w:r>
          </w:p>
        </w:tc>
        <w:tc>
          <w:tcPr>
            <w:tcW w:w="740" w:type="dxa"/>
            <w:vAlign w:val="bottom"/>
          </w:tcPr>
          <w:p>
            <w:pPr>
              <w:spacing w:after="0"/>
              <w:rPr>
                <w:sz w:val="14"/>
                <w:szCs w:val="14"/>
                <w:color w:val="auto"/>
              </w:rPr>
            </w:pP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807"/>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21,103</w:t>
            </w:r>
          </w:p>
        </w:tc>
        <w:tc>
          <w:tcPr>
            <w:tcW w:w="980" w:type="dxa"/>
            <w:vAlign w:val="bottom"/>
          </w:tcPr>
          <w:p>
            <w:pPr>
              <w:jc w:val="right"/>
              <w:ind w:right="767"/>
              <w:spacing w:after="0"/>
              <w:rPr>
                <w:sz w:val="20"/>
                <w:szCs w:val="20"/>
                <w:color w:val="auto"/>
              </w:rPr>
            </w:pPr>
            <w:r>
              <w:rPr>
                <w:rFonts w:ascii="Courier New" w:cs="Courier New" w:eastAsia="Courier New" w:hAnsi="Courier New"/>
                <w:sz w:val="15"/>
                <w:szCs w:val="15"/>
                <w:color w:val="auto"/>
              </w:rPr>
              <w:t>$</w:t>
            </w:r>
          </w:p>
        </w:tc>
        <w:tc>
          <w:tcPr>
            <w:tcW w:w="1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21,103</w:t>
            </w:r>
          </w:p>
        </w:tc>
      </w:tr>
      <w:tr>
        <w:trPr>
          <w:trHeight w:val="170"/>
        </w:trPr>
        <w:tc>
          <w:tcPr>
            <w:tcW w:w="4840" w:type="dxa"/>
            <w:vAlign w:val="bottom"/>
          </w:tcPr>
          <w:p>
            <w:pPr>
              <w:ind w:left="440"/>
              <w:spacing w:after="0"/>
              <w:rPr>
                <w:sz w:val="20"/>
                <w:szCs w:val="20"/>
                <w:color w:val="auto"/>
              </w:rPr>
            </w:pPr>
            <w:r>
              <w:rPr>
                <w:rFonts w:ascii="Courier New" w:cs="Courier New" w:eastAsia="Courier New" w:hAnsi="Courier New"/>
                <w:sz w:val="15"/>
                <w:szCs w:val="15"/>
                <w:color w:val="auto"/>
              </w:rPr>
              <w:t>CURRENT MATURITIES OF CONVERTIBLE DEBENTURES</w:t>
            </w:r>
          </w:p>
        </w:tc>
        <w:tc>
          <w:tcPr>
            <w:tcW w:w="740" w:type="dxa"/>
            <w:vAlign w:val="bottom"/>
          </w:tcPr>
          <w:p>
            <w:pPr>
              <w:jc w:val="center"/>
              <w:spacing w:after="0"/>
              <w:rPr>
                <w:sz w:val="20"/>
                <w:szCs w:val="20"/>
                <w:color w:val="auto"/>
              </w:rPr>
            </w:pPr>
            <w:r>
              <w:rPr>
                <w:rFonts w:ascii="Courier New" w:cs="Courier New" w:eastAsia="Courier New" w:hAnsi="Courier New"/>
                <w:sz w:val="15"/>
                <w:szCs w:val="15"/>
                <w:color w:val="auto"/>
                <w:w w:val="88"/>
              </w:rPr>
              <w:t>F</w:t>
            </w:r>
          </w:p>
        </w:tc>
        <w:tc>
          <w:tcPr>
            <w:tcW w:w="220" w:type="dxa"/>
            <w:vAlign w:val="bottom"/>
          </w:tcPr>
          <w:p>
            <w:pPr>
              <w:spacing w:after="0"/>
              <w:rPr>
                <w:sz w:val="14"/>
                <w:szCs w:val="14"/>
                <w:color w:val="auto"/>
              </w:rPr>
            </w:pPr>
          </w:p>
        </w:tc>
        <w:tc>
          <w:tcPr>
            <w:tcW w:w="8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5,734</w:t>
            </w:r>
          </w:p>
        </w:tc>
        <w:tc>
          <w:tcPr>
            <w:tcW w:w="10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474</w:t>
            </w:r>
          </w:p>
        </w:tc>
        <w:tc>
          <w:tcPr>
            <w:tcW w:w="180" w:type="dxa"/>
            <w:vAlign w:val="bottom"/>
          </w:tcPr>
          <w:p>
            <w:pPr>
              <w:spacing w:after="0"/>
              <w:rPr>
                <w:sz w:val="14"/>
                <w:szCs w:val="14"/>
                <w:color w:val="auto"/>
              </w:rPr>
            </w:pPr>
          </w:p>
        </w:tc>
        <w:tc>
          <w:tcPr>
            <w:tcW w:w="8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6,208</w:t>
            </w:r>
          </w:p>
        </w:tc>
        <w:tc>
          <w:tcPr>
            <w:tcW w:w="120" w:type="dxa"/>
            <w:vAlign w:val="bottom"/>
          </w:tcPr>
          <w:p>
            <w:pPr>
              <w:spacing w:after="0"/>
              <w:rPr>
                <w:sz w:val="14"/>
                <w:szCs w:val="14"/>
                <w:color w:val="auto"/>
              </w:rPr>
            </w:pPr>
          </w:p>
        </w:tc>
        <w:tc>
          <w:tcPr>
            <w:tcW w:w="8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6,453</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(640)</w:t>
            </w:r>
          </w:p>
        </w:tc>
        <w:tc>
          <w:tcPr>
            <w:tcW w:w="120" w:type="dxa"/>
            <w:vAlign w:val="bottom"/>
          </w:tcPr>
          <w:p>
            <w:pPr>
              <w:spacing w:after="0"/>
              <w:rPr>
                <w:sz w:val="14"/>
                <w:szCs w:val="14"/>
                <w:color w:val="auto"/>
              </w:rPr>
            </w:pP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5,813</w:t>
            </w:r>
          </w:p>
        </w:tc>
      </w:tr>
      <w:tr>
        <w:trPr>
          <w:trHeight w:val="170"/>
        </w:trPr>
        <w:tc>
          <w:tcPr>
            <w:tcW w:w="4840" w:type="dxa"/>
            <w:vAlign w:val="bottom"/>
          </w:tcPr>
          <w:p>
            <w:pPr>
              <w:ind w:left="440"/>
              <w:spacing w:after="0"/>
              <w:rPr>
                <w:sz w:val="20"/>
                <w:szCs w:val="20"/>
                <w:color w:val="auto"/>
              </w:rPr>
            </w:pPr>
            <w:r>
              <w:rPr>
                <w:rFonts w:ascii="Courier New" w:cs="Courier New" w:eastAsia="Courier New" w:hAnsi="Courier New"/>
                <w:sz w:val="15"/>
                <w:szCs w:val="15"/>
                <w:color w:val="auto"/>
              </w:rPr>
              <w:t>TRADE ACCOUNTS PAYABLE</w:t>
            </w: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52,028</w:t>
            </w:r>
          </w:p>
        </w:tc>
        <w:tc>
          <w:tcPr>
            <w:tcW w:w="10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52,028</w:t>
            </w:r>
          </w:p>
        </w:tc>
        <w:tc>
          <w:tcPr>
            <w:tcW w:w="120" w:type="dxa"/>
            <w:vAlign w:val="bottom"/>
          </w:tcPr>
          <w:p>
            <w:pPr>
              <w:spacing w:after="0"/>
              <w:rPr>
                <w:sz w:val="14"/>
                <w:szCs w:val="14"/>
                <w:color w:val="auto"/>
              </w:rPr>
            </w:pPr>
          </w:p>
        </w:tc>
        <w:tc>
          <w:tcPr>
            <w:tcW w:w="8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59,741</w:t>
            </w: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59,741</w:t>
            </w:r>
          </w:p>
        </w:tc>
      </w:tr>
      <w:tr>
        <w:trPr>
          <w:trHeight w:val="170"/>
        </w:trPr>
        <w:tc>
          <w:tcPr>
            <w:tcW w:w="4840" w:type="dxa"/>
            <w:vAlign w:val="bottom"/>
          </w:tcPr>
          <w:p>
            <w:pPr>
              <w:ind w:left="440"/>
              <w:spacing w:after="0"/>
              <w:rPr>
                <w:sz w:val="20"/>
                <w:szCs w:val="20"/>
                <w:color w:val="auto"/>
              </w:rPr>
            </w:pPr>
            <w:r>
              <w:rPr>
                <w:rFonts w:ascii="Courier New" w:cs="Courier New" w:eastAsia="Courier New" w:hAnsi="Courier New"/>
                <w:sz w:val="15"/>
                <w:szCs w:val="15"/>
                <w:color w:val="auto"/>
              </w:rPr>
              <w:t>OTHER CURRENT LIABILITIES</w:t>
            </w: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8,913</w:t>
            </w:r>
          </w:p>
        </w:tc>
        <w:tc>
          <w:tcPr>
            <w:tcW w:w="10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8,913</w:t>
            </w:r>
          </w:p>
        </w:tc>
        <w:tc>
          <w:tcPr>
            <w:tcW w:w="120" w:type="dxa"/>
            <w:vAlign w:val="bottom"/>
          </w:tcPr>
          <w:p>
            <w:pPr>
              <w:spacing w:after="0"/>
              <w:rPr>
                <w:sz w:val="14"/>
                <w:szCs w:val="14"/>
                <w:color w:val="auto"/>
              </w:rPr>
            </w:pPr>
          </w:p>
        </w:tc>
        <w:tc>
          <w:tcPr>
            <w:tcW w:w="8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8,972</w:t>
            </w: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8,972</w:t>
            </w:r>
          </w:p>
        </w:tc>
      </w:tr>
      <w:tr>
        <w:trPr>
          <w:trHeight w:val="170"/>
        </w:trPr>
        <w:tc>
          <w:tcPr>
            <w:tcW w:w="48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60" w:type="dxa"/>
            <w:vAlign w:val="bottom"/>
            <w:gridSpan w:val="2"/>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w w:val="98"/>
              </w:rPr>
              <w:t>---------</w:t>
            </w:r>
          </w:p>
        </w:tc>
        <w:tc>
          <w:tcPr>
            <w:tcW w:w="9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90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w w:val="98"/>
              </w:rPr>
              <w:t>---------</w:t>
            </w:r>
          </w:p>
        </w:tc>
      </w:tr>
      <w:tr>
        <w:trPr>
          <w:trHeight w:val="170"/>
        </w:trPr>
        <w:tc>
          <w:tcPr>
            <w:tcW w:w="4840" w:type="dxa"/>
            <w:vAlign w:val="bottom"/>
          </w:tcPr>
          <w:p>
            <w:pPr>
              <w:ind w:left="700"/>
              <w:spacing w:after="0"/>
              <w:rPr>
                <w:sz w:val="20"/>
                <w:szCs w:val="20"/>
                <w:color w:val="auto"/>
              </w:rPr>
            </w:pPr>
            <w:r>
              <w:rPr>
                <w:rFonts w:ascii="Courier New" w:cs="Courier New" w:eastAsia="Courier New" w:hAnsi="Courier New"/>
                <w:sz w:val="15"/>
                <w:szCs w:val="15"/>
                <w:color w:val="auto"/>
              </w:rPr>
              <w:t>TOTAL CURRENT LIABILITIES</w:t>
            </w: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66,675</w:t>
            </w:r>
          </w:p>
        </w:tc>
        <w:tc>
          <w:tcPr>
            <w:tcW w:w="10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474</w:t>
            </w:r>
          </w:p>
        </w:tc>
        <w:tc>
          <w:tcPr>
            <w:tcW w:w="180" w:type="dxa"/>
            <w:vAlign w:val="bottom"/>
          </w:tcPr>
          <w:p>
            <w:pPr>
              <w:spacing w:after="0"/>
              <w:rPr>
                <w:sz w:val="14"/>
                <w:szCs w:val="14"/>
                <w:color w:val="auto"/>
              </w:rPr>
            </w:pPr>
          </w:p>
        </w:tc>
        <w:tc>
          <w:tcPr>
            <w:tcW w:w="8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67,149</w:t>
            </w:r>
          </w:p>
        </w:tc>
        <w:tc>
          <w:tcPr>
            <w:tcW w:w="120" w:type="dxa"/>
            <w:vAlign w:val="bottom"/>
          </w:tcPr>
          <w:p>
            <w:pPr>
              <w:spacing w:after="0"/>
              <w:rPr>
                <w:sz w:val="14"/>
                <w:szCs w:val="14"/>
                <w:color w:val="auto"/>
              </w:rPr>
            </w:pPr>
          </w:p>
        </w:tc>
        <w:tc>
          <w:tcPr>
            <w:tcW w:w="8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96,269</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(640)</w:t>
            </w:r>
          </w:p>
        </w:tc>
        <w:tc>
          <w:tcPr>
            <w:tcW w:w="120" w:type="dxa"/>
            <w:vAlign w:val="bottom"/>
          </w:tcPr>
          <w:p>
            <w:pPr>
              <w:spacing w:after="0"/>
              <w:rPr>
                <w:sz w:val="14"/>
                <w:szCs w:val="14"/>
                <w:color w:val="auto"/>
              </w:rPr>
            </w:pP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95,629</w:t>
            </w:r>
          </w:p>
        </w:tc>
      </w:tr>
      <w:tr>
        <w:trPr>
          <w:trHeight w:val="339"/>
        </w:trPr>
        <w:tc>
          <w:tcPr>
            <w:tcW w:w="4840" w:type="dxa"/>
            <w:vAlign w:val="bottom"/>
          </w:tcPr>
          <w:p>
            <w:pPr>
              <w:ind w:left="260"/>
              <w:spacing w:after="0"/>
              <w:rPr>
                <w:sz w:val="20"/>
                <w:szCs w:val="20"/>
                <w:color w:val="auto"/>
              </w:rPr>
            </w:pPr>
            <w:r>
              <w:rPr>
                <w:rFonts w:ascii="Courier New" w:cs="Courier New" w:eastAsia="Courier New" w:hAnsi="Courier New"/>
                <w:sz w:val="15"/>
                <w:szCs w:val="15"/>
                <w:color w:val="auto"/>
              </w:rPr>
              <w:t>LONG-TERM DEBT</w:t>
            </w:r>
          </w:p>
        </w:tc>
        <w:tc>
          <w:tcPr>
            <w:tcW w:w="740" w:type="dxa"/>
            <w:vAlign w:val="bottom"/>
          </w:tcPr>
          <w:p>
            <w:pPr>
              <w:jc w:val="center"/>
              <w:spacing w:after="0"/>
              <w:rPr>
                <w:sz w:val="20"/>
                <w:szCs w:val="20"/>
                <w:color w:val="auto"/>
              </w:rPr>
            </w:pPr>
            <w:r>
              <w:rPr>
                <w:rFonts w:ascii="Courier New" w:cs="Courier New" w:eastAsia="Courier New" w:hAnsi="Courier New"/>
                <w:sz w:val="15"/>
                <w:szCs w:val="15"/>
                <w:color w:val="auto"/>
                <w:w w:val="88"/>
              </w:rPr>
              <w:t>E</w:t>
            </w:r>
          </w:p>
        </w:tc>
        <w:tc>
          <w:tcPr>
            <w:tcW w:w="220" w:type="dxa"/>
            <w:vAlign w:val="bottom"/>
          </w:tcPr>
          <w:p>
            <w:pPr>
              <w:spacing w:after="0"/>
              <w:rPr>
                <w:sz w:val="24"/>
                <w:szCs w:val="24"/>
                <w:color w:val="auto"/>
              </w:rPr>
            </w:pPr>
          </w:p>
        </w:tc>
        <w:tc>
          <w:tcPr>
            <w:tcW w:w="8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514,966</w:t>
            </w:r>
          </w:p>
        </w:tc>
        <w:tc>
          <w:tcPr>
            <w:tcW w:w="10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11,727</w:t>
            </w:r>
          </w:p>
        </w:tc>
        <w:tc>
          <w:tcPr>
            <w:tcW w:w="180" w:type="dxa"/>
            <w:vAlign w:val="bottom"/>
          </w:tcPr>
          <w:p>
            <w:pPr>
              <w:spacing w:after="0"/>
              <w:rPr>
                <w:sz w:val="24"/>
                <w:szCs w:val="24"/>
                <w:color w:val="auto"/>
              </w:rPr>
            </w:pPr>
          </w:p>
        </w:tc>
        <w:tc>
          <w:tcPr>
            <w:tcW w:w="8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526,693</w:t>
            </w:r>
          </w:p>
        </w:tc>
        <w:tc>
          <w:tcPr>
            <w:tcW w:w="120" w:type="dxa"/>
            <w:vAlign w:val="bottom"/>
          </w:tcPr>
          <w:p>
            <w:pPr>
              <w:spacing w:after="0"/>
              <w:rPr>
                <w:sz w:val="24"/>
                <w:szCs w:val="24"/>
                <w:color w:val="auto"/>
              </w:rPr>
            </w:pPr>
          </w:p>
        </w:tc>
        <w:tc>
          <w:tcPr>
            <w:tcW w:w="8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497,000</w:t>
            </w: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497,000</w:t>
            </w:r>
          </w:p>
        </w:tc>
      </w:tr>
      <w:tr>
        <w:trPr>
          <w:trHeight w:val="339"/>
        </w:trPr>
        <w:tc>
          <w:tcPr>
            <w:tcW w:w="4840" w:type="dxa"/>
            <w:vAlign w:val="bottom"/>
          </w:tcPr>
          <w:p>
            <w:pPr>
              <w:ind w:left="260"/>
              <w:spacing w:after="0"/>
              <w:rPr>
                <w:sz w:val="20"/>
                <w:szCs w:val="20"/>
                <w:color w:val="auto"/>
              </w:rPr>
            </w:pPr>
            <w:r>
              <w:rPr>
                <w:rFonts w:ascii="Courier New" w:cs="Courier New" w:eastAsia="Courier New" w:hAnsi="Courier New"/>
                <w:sz w:val="15"/>
                <w:szCs w:val="15"/>
                <w:color w:val="auto"/>
              </w:rPr>
              <w:t>CONVERTIBLE DEBENTURES</w:t>
            </w:r>
          </w:p>
        </w:tc>
        <w:tc>
          <w:tcPr>
            <w:tcW w:w="740" w:type="dxa"/>
            <w:vAlign w:val="bottom"/>
          </w:tcPr>
          <w:p>
            <w:pPr>
              <w:jc w:val="center"/>
              <w:spacing w:after="0"/>
              <w:rPr>
                <w:sz w:val="20"/>
                <w:szCs w:val="20"/>
                <w:color w:val="auto"/>
              </w:rPr>
            </w:pPr>
            <w:r>
              <w:rPr>
                <w:rFonts w:ascii="Courier New" w:cs="Courier New" w:eastAsia="Courier New" w:hAnsi="Courier New"/>
                <w:sz w:val="15"/>
                <w:szCs w:val="15"/>
                <w:color w:val="auto"/>
                <w:w w:val="88"/>
              </w:rPr>
              <w:t>F</w:t>
            </w:r>
          </w:p>
        </w:tc>
        <w:tc>
          <w:tcPr>
            <w:tcW w:w="220" w:type="dxa"/>
            <w:vAlign w:val="bottom"/>
          </w:tcPr>
          <w:p>
            <w:pPr>
              <w:spacing w:after="0"/>
              <w:rPr>
                <w:sz w:val="24"/>
                <w:szCs w:val="24"/>
                <w:color w:val="auto"/>
              </w:rPr>
            </w:pPr>
          </w:p>
        </w:tc>
        <w:tc>
          <w:tcPr>
            <w:tcW w:w="8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34,429</w:t>
            </w:r>
          </w:p>
        </w:tc>
        <w:tc>
          <w:tcPr>
            <w:tcW w:w="10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13,283</w:t>
            </w:r>
          </w:p>
        </w:tc>
        <w:tc>
          <w:tcPr>
            <w:tcW w:w="180" w:type="dxa"/>
            <w:vAlign w:val="bottom"/>
          </w:tcPr>
          <w:p>
            <w:pPr>
              <w:spacing w:after="0"/>
              <w:rPr>
                <w:sz w:val="24"/>
                <w:szCs w:val="24"/>
                <w:color w:val="auto"/>
              </w:rPr>
            </w:pPr>
          </w:p>
        </w:tc>
        <w:tc>
          <w:tcPr>
            <w:tcW w:w="8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47,712</w:t>
            </w:r>
          </w:p>
        </w:tc>
        <w:tc>
          <w:tcPr>
            <w:tcW w:w="120" w:type="dxa"/>
            <w:vAlign w:val="bottom"/>
          </w:tcPr>
          <w:p>
            <w:pPr>
              <w:spacing w:after="0"/>
              <w:rPr>
                <w:sz w:val="24"/>
                <w:szCs w:val="24"/>
                <w:color w:val="auto"/>
              </w:rPr>
            </w:pPr>
          </w:p>
        </w:tc>
        <w:tc>
          <w:tcPr>
            <w:tcW w:w="8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19,358</w:t>
            </w:r>
          </w:p>
        </w:tc>
        <w:tc>
          <w:tcPr>
            <w:tcW w:w="9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23,574</w:t>
            </w:r>
          </w:p>
        </w:tc>
        <w:tc>
          <w:tcPr>
            <w:tcW w:w="120" w:type="dxa"/>
            <w:vAlign w:val="bottom"/>
          </w:tcPr>
          <w:p>
            <w:pPr>
              <w:spacing w:after="0"/>
              <w:rPr>
                <w:sz w:val="24"/>
                <w:szCs w:val="24"/>
                <w:color w:val="auto"/>
              </w:rPr>
            </w:pP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42,932</w:t>
            </w:r>
          </w:p>
        </w:tc>
      </w:tr>
      <w:tr>
        <w:trPr>
          <w:trHeight w:val="339"/>
        </w:trPr>
        <w:tc>
          <w:tcPr>
            <w:tcW w:w="4840" w:type="dxa"/>
            <w:vAlign w:val="bottom"/>
          </w:tcPr>
          <w:p>
            <w:pPr>
              <w:ind w:left="260"/>
              <w:spacing w:after="0"/>
              <w:rPr>
                <w:sz w:val="20"/>
                <w:szCs w:val="20"/>
                <w:color w:val="auto"/>
              </w:rPr>
            </w:pPr>
            <w:r>
              <w:rPr>
                <w:rFonts w:ascii="Courier New" w:cs="Courier New" w:eastAsia="Courier New" w:hAnsi="Courier New"/>
                <w:sz w:val="15"/>
                <w:szCs w:val="15"/>
                <w:color w:val="auto"/>
              </w:rPr>
              <w:t>LONG-TERM LIABILITY IN RESPECT</w:t>
            </w: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70"/>
        </w:trPr>
        <w:tc>
          <w:tcPr>
            <w:tcW w:w="4840" w:type="dxa"/>
            <w:vAlign w:val="bottom"/>
          </w:tcPr>
          <w:p>
            <w:pPr>
              <w:ind w:left="520"/>
              <w:spacing w:after="0"/>
              <w:rPr>
                <w:sz w:val="20"/>
                <w:szCs w:val="20"/>
                <w:color w:val="auto"/>
              </w:rPr>
            </w:pPr>
            <w:r>
              <w:rPr>
                <w:rFonts w:ascii="Courier New" w:cs="Courier New" w:eastAsia="Courier New" w:hAnsi="Courier New"/>
                <w:sz w:val="15"/>
                <w:szCs w:val="15"/>
                <w:color w:val="auto"/>
              </w:rPr>
              <w:t>OF CUSTOMERS' ADVANCES</w:t>
            </w: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54,537</w:t>
            </w:r>
          </w:p>
        </w:tc>
        <w:tc>
          <w:tcPr>
            <w:tcW w:w="10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54,537</w:t>
            </w:r>
          </w:p>
        </w:tc>
        <w:tc>
          <w:tcPr>
            <w:tcW w:w="120" w:type="dxa"/>
            <w:vAlign w:val="bottom"/>
          </w:tcPr>
          <w:p>
            <w:pPr>
              <w:spacing w:after="0"/>
              <w:rPr>
                <w:sz w:val="14"/>
                <w:szCs w:val="14"/>
                <w:color w:val="auto"/>
              </w:rPr>
            </w:pPr>
          </w:p>
        </w:tc>
        <w:tc>
          <w:tcPr>
            <w:tcW w:w="8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59,621</w:t>
            </w: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59,621</w:t>
            </w:r>
          </w:p>
        </w:tc>
      </w:tr>
      <w:tr>
        <w:trPr>
          <w:trHeight w:val="339"/>
        </w:trPr>
        <w:tc>
          <w:tcPr>
            <w:tcW w:w="4840" w:type="dxa"/>
            <w:vAlign w:val="bottom"/>
          </w:tcPr>
          <w:p>
            <w:pPr>
              <w:ind w:left="260"/>
              <w:spacing w:after="0"/>
              <w:rPr>
                <w:sz w:val="20"/>
                <w:szCs w:val="20"/>
                <w:color w:val="auto"/>
              </w:rPr>
            </w:pPr>
            <w:r>
              <w:rPr>
                <w:rFonts w:ascii="Courier New" w:cs="Courier New" w:eastAsia="Courier New" w:hAnsi="Courier New"/>
                <w:sz w:val="15"/>
                <w:szCs w:val="15"/>
                <w:color w:val="auto"/>
              </w:rPr>
              <w:t>OTHER LONG-TERM LIABILITIES</w:t>
            </w:r>
          </w:p>
        </w:tc>
        <w:tc>
          <w:tcPr>
            <w:tcW w:w="740" w:type="dxa"/>
            <w:vAlign w:val="bottom"/>
          </w:tcPr>
          <w:p>
            <w:pPr>
              <w:jc w:val="center"/>
              <w:spacing w:after="0"/>
              <w:rPr>
                <w:sz w:val="20"/>
                <w:szCs w:val="20"/>
                <w:color w:val="auto"/>
              </w:rPr>
            </w:pPr>
            <w:r>
              <w:rPr>
                <w:rFonts w:ascii="Courier New" w:cs="Courier New" w:eastAsia="Courier New" w:hAnsi="Courier New"/>
                <w:sz w:val="15"/>
                <w:szCs w:val="15"/>
                <w:color w:val="auto"/>
                <w:w w:val="88"/>
              </w:rPr>
              <w:t>C</w:t>
            </w:r>
          </w:p>
        </w:tc>
        <w:tc>
          <w:tcPr>
            <w:tcW w:w="220" w:type="dxa"/>
            <w:vAlign w:val="bottom"/>
          </w:tcPr>
          <w:p>
            <w:pPr>
              <w:spacing w:after="0"/>
              <w:rPr>
                <w:sz w:val="24"/>
                <w:szCs w:val="24"/>
                <w:color w:val="auto"/>
              </w:rPr>
            </w:pPr>
          </w:p>
        </w:tc>
        <w:tc>
          <w:tcPr>
            <w:tcW w:w="8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10,238</w:t>
            </w:r>
          </w:p>
        </w:tc>
        <w:tc>
          <w:tcPr>
            <w:tcW w:w="10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13,587</w:t>
            </w:r>
          </w:p>
        </w:tc>
        <w:tc>
          <w:tcPr>
            <w:tcW w:w="180" w:type="dxa"/>
            <w:vAlign w:val="bottom"/>
          </w:tcPr>
          <w:p>
            <w:pPr>
              <w:spacing w:after="0"/>
              <w:rPr>
                <w:sz w:val="24"/>
                <w:szCs w:val="24"/>
                <w:color w:val="auto"/>
              </w:rPr>
            </w:pPr>
          </w:p>
        </w:tc>
        <w:tc>
          <w:tcPr>
            <w:tcW w:w="8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23,825</w:t>
            </w:r>
          </w:p>
        </w:tc>
        <w:tc>
          <w:tcPr>
            <w:tcW w:w="120" w:type="dxa"/>
            <w:vAlign w:val="bottom"/>
          </w:tcPr>
          <w:p>
            <w:pPr>
              <w:spacing w:after="0"/>
              <w:rPr>
                <w:sz w:val="24"/>
                <w:szCs w:val="24"/>
                <w:color w:val="auto"/>
              </w:rPr>
            </w:pPr>
          </w:p>
        </w:tc>
        <w:tc>
          <w:tcPr>
            <w:tcW w:w="8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11,012</w:t>
            </w:r>
          </w:p>
        </w:tc>
        <w:tc>
          <w:tcPr>
            <w:tcW w:w="9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13,658</w:t>
            </w:r>
          </w:p>
        </w:tc>
        <w:tc>
          <w:tcPr>
            <w:tcW w:w="120" w:type="dxa"/>
            <w:vAlign w:val="bottom"/>
          </w:tcPr>
          <w:p>
            <w:pPr>
              <w:spacing w:after="0"/>
              <w:rPr>
                <w:sz w:val="24"/>
                <w:szCs w:val="24"/>
                <w:color w:val="auto"/>
              </w:rPr>
            </w:pP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24,670</w:t>
            </w:r>
          </w:p>
        </w:tc>
      </w:tr>
      <w:tr>
        <w:trPr>
          <w:trHeight w:val="170"/>
        </w:trPr>
        <w:tc>
          <w:tcPr>
            <w:tcW w:w="48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60" w:type="dxa"/>
            <w:vAlign w:val="bottom"/>
            <w:gridSpan w:val="2"/>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w w:val="98"/>
              </w:rPr>
              <w:t>---------</w:t>
            </w:r>
          </w:p>
        </w:tc>
        <w:tc>
          <w:tcPr>
            <w:tcW w:w="9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90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w w:val="98"/>
              </w:rPr>
              <w:t>---------</w:t>
            </w:r>
          </w:p>
        </w:tc>
      </w:tr>
      <w:tr>
        <w:trPr>
          <w:trHeight w:val="170"/>
        </w:trPr>
        <w:tc>
          <w:tcPr>
            <w:tcW w:w="4840" w:type="dxa"/>
            <w:vAlign w:val="bottom"/>
          </w:tcPr>
          <w:p>
            <w:pPr>
              <w:ind w:left="700"/>
              <w:spacing w:after="0"/>
              <w:rPr>
                <w:sz w:val="20"/>
                <w:szCs w:val="20"/>
                <w:color w:val="auto"/>
              </w:rPr>
            </w:pPr>
            <w:r>
              <w:rPr>
                <w:rFonts w:ascii="Courier New" w:cs="Courier New" w:eastAsia="Courier New" w:hAnsi="Courier New"/>
                <w:sz w:val="15"/>
                <w:szCs w:val="15"/>
                <w:color w:val="auto"/>
              </w:rPr>
              <w:t>TOTAL LIABILITIES</w:t>
            </w: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680,845</w:t>
            </w:r>
          </w:p>
        </w:tc>
        <w:tc>
          <w:tcPr>
            <w:tcW w:w="10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39,071</w:t>
            </w:r>
          </w:p>
        </w:tc>
        <w:tc>
          <w:tcPr>
            <w:tcW w:w="180" w:type="dxa"/>
            <w:vAlign w:val="bottom"/>
          </w:tcPr>
          <w:p>
            <w:pPr>
              <w:spacing w:after="0"/>
              <w:rPr>
                <w:sz w:val="14"/>
                <w:szCs w:val="14"/>
                <w:color w:val="auto"/>
              </w:rPr>
            </w:pPr>
          </w:p>
        </w:tc>
        <w:tc>
          <w:tcPr>
            <w:tcW w:w="8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719,916</w:t>
            </w:r>
          </w:p>
        </w:tc>
        <w:tc>
          <w:tcPr>
            <w:tcW w:w="120" w:type="dxa"/>
            <w:vAlign w:val="bottom"/>
          </w:tcPr>
          <w:p>
            <w:pPr>
              <w:spacing w:after="0"/>
              <w:rPr>
                <w:sz w:val="14"/>
                <w:szCs w:val="14"/>
                <w:color w:val="auto"/>
              </w:rPr>
            </w:pPr>
          </w:p>
        </w:tc>
        <w:tc>
          <w:tcPr>
            <w:tcW w:w="8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683,260</w:t>
            </w:r>
          </w:p>
        </w:tc>
        <w:tc>
          <w:tcPr>
            <w:tcW w:w="9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36,592</w:t>
            </w:r>
          </w:p>
        </w:tc>
        <w:tc>
          <w:tcPr>
            <w:tcW w:w="120" w:type="dxa"/>
            <w:vAlign w:val="bottom"/>
          </w:tcPr>
          <w:p>
            <w:pPr>
              <w:spacing w:after="0"/>
              <w:rPr>
                <w:sz w:val="14"/>
                <w:szCs w:val="14"/>
                <w:color w:val="auto"/>
              </w:rPr>
            </w:pP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719,852</w:t>
            </w:r>
          </w:p>
        </w:tc>
      </w:tr>
      <w:tr>
        <w:trPr>
          <w:trHeight w:val="170"/>
        </w:trPr>
        <w:tc>
          <w:tcPr>
            <w:tcW w:w="48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60" w:type="dxa"/>
            <w:vAlign w:val="bottom"/>
            <w:gridSpan w:val="2"/>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w w:val="98"/>
              </w:rPr>
              <w:t>---------</w:t>
            </w:r>
          </w:p>
        </w:tc>
        <w:tc>
          <w:tcPr>
            <w:tcW w:w="9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90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w w:val="98"/>
              </w:rPr>
              <w:t>---------</w:t>
            </w:r>
          </w:p>
        </w:tc>
      </w:tr>
      <w:tr>
        <w:trPr>
          <w:trHeight w:val="339"/>
        </w:trPr>
        <w:tc>
          <w:tcPr>
            <w:tcW w:w="4840" w:type="dxa"/>
            <w:vAlign w:val="bottom"/>
          </w:tcPr>
          <w:p>
            <w:pPr>
              <w:ind w:left="260"/>
              <w:spacing w:after="0"/>
              <w:rPr>
                <w:sz w:val="20"/>
                <w:szCs w:val="20"/>
                <w:color w:val="auto"/>
              </w:rPr>
            </w:pPr>
            <w:r>
              <w:rPr>
                <w:rFonts w:ascii="Courier New" w:cs="Courier New" w:eastAsia="Courier New" w:hAnsi="Courier New"/>
                <w:sz w:val="15"/>
                <w:szCs w:val="15"/>
                <w:color w:val="auto"/>
              </w:rPr>
              <w:t>CONVERTIBLE DEBENTURES</w:t>
            </w:r>
          </w:p>
        </w:tc>
        <w:tc>
          <w:tcPr>
            <w:tcW w:w="740" w:type="dxa"/>
            <w:vAlign w:val="bottom"/>
          </w:tcPr>
          <w:p>
            <w:pPr>
              <w:jc w:val="center"/>
              <w:spacing w:after="0"/>
              <w:rPr>
                <w:sz w:val="20"/>
                <w:szCs w:val="20"/>
                <w:color w:val="auto"/>
              </w:rPr>
            </w:pPr>
            <w:r>
              <w:rPr>
                <w:rFonts w:ascii="Courier New" w:cs="Courier New" w:eastAsia="Courier New" w:hAnsi="Courier New"/>
                <w:sz w:val="15"/>
                <w:szCs w:val="15"/>
                <w:color w:val="auto"/>
                <w:w w:val="88"/>
              </w:rPr>
              <w:t>F</w:t>
            </w:r>
          </w:p>
        </w:tc>
        <w:tc>
          <w:tcPr>
            <w:tcW w:w="220" w:type="dxa"/>
            <w:vAlign w:val="bottom"/>
          </w:tcPr>
          <w:p>
            <w:pPr>
              <w:spacing w:after="0"/>
              <w:rPr>
                <w:sz w:val="24"/>
                <w:szCs w:val="24"/>
                <w:color w:val="auto"/>
              </w:rPr>
            </w:pPr>
          </w:p>
        </w:tc>
        <w:tc>
          <w:tcPr>
            <w:tcW w:w="8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24"/>
                <w:szCs w:val="24"/>
                <w:color w:val="auto"/>
              </w:rPr>
            </w:pPr>
          </w:p>
        </w:tc>
        <w:tc>
          <w:tcPr>
            <w:tcW w:w="8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20" w:type="dxa"/>
            <w:vAlign w:val="bottom"/>
          </w:tcPr>
          <w:p>
            <w:pPr>
              <w:spacing w:after="0"/>
              <w:rPr>
                <w:sz w:val="24"/>
                <w:szCs w:val="24"/>
                <w:color w:val="auto"/>
              </w:rPr>
            </w:pPr>
          </w:p>
        </w:tc>
        <w:tc>
          <w:tcPr>
            <w:tcW w:w="8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25,493</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(25,493)</w:t>
            </w:r>
          </w:p>
        </w:tc>
        <w:tc>
          <w:tcPr>
            <w:tcW w:w="120" w:type="dxa"/>
            <w:vAlign w:val="bottom"/>
          </w:tcPr>
          <w:p>
            <w:pPr>
              <w:spacing w:after="0"/>
              <w:rPr>
                <w:sz w:val="24"/>
                <w:szCs w:val="24"/>
                <w:color w:val="auto"/>
              </w:rPr>
            </w:pP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48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60" w:type="dxa"/>
            <w:vAlign w:val="bottom"/>
            <w:gridSpan w:val="2"/>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w w:val="98"/>
              </w:rPr>
              <w:t>---------</w:t>
            </w:r>
          </w:p>
        </w:tc>
        <w:tc>
          <w:tcPr>
            <w:tcW w:w="9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90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w w:val="98"/>
              </w:rPr>
              <w:t>---------</w:t>
            </w:r>
          </w:p>
        </w:tc>
      </w:tr>
      <w:tr>
        <w:trPr>
          <w:trHeight w:val="339"/>
        </w:trPr>
        <w:tc>
          <w:tcPr>
            <w:tcW w:w="4840" w:type="dxa"/>
            <w:vAlign w:val="bottom"/>
          </w:tcPr>
          <w:p>
            <w:pPr>
              <w:ind w:left="260"/>
              <w:spacing w:after="0"/>
              <w:rPr>
                <w:sz w:val="20"/>
                <w:szCs w:val="20"/>
                <w:color w:val="auto"/>
              </w:rPr>
            </w:pPr>
            <w:r>
              <w:rPr>
                <w:rFonts w:ascii="Courier New" w:cs="Courier New" w:eastAsia="Courier New" w:hAnsi="Courier New"/>
                <w:sz w:val="15"/>
                <w:szCs w:val="15"/>
                <w:color w:val="auto"/>
              </w:rPr>
              <w:t>SHAREHOLDERS' EQUITY (DEFICIT)</w:t>
            </w: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70"/>
        </w:trPr>
        <w:tc>
          <w:tcPr>
            <w:tcW w:w="4840" w:type="dxa"/>
            <w:vAlign w:val="bottom"/>
          </w:tcPr>
          <w:p>
            <w:pPr>
              <w:ind w:left="440"/>
              <w:spacing w:after="0"/>
              <w:rPr>
                <w:sz w:val="20"/>
                <w:szCs w:val="20"/>
                <w:color w:val="auto"/>
              </w:rPr>
            </w:pPr>
            <w:r>
              <w:rPr>
                <w:rFonts w:ascii="Courier New" w:cs="Courier New" w:eastAsia="Courier New" w:hAnsi="Courier New"/>
                <w:sz w:val="15"/>
                <w:szCs w:val="15"/>
                <w:color w:val="auto"/>
              </w:rPr>
              <w:t>ORDINARY SHARES, NIS 1.00 PAR VALUE -</w:t>
            </w: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70"/>
        </w:trPr>
        <w:tc>
          <w:tcPr>
            <w:tcW w:w="4840" w:type="dxa"/>
            <w:vAlign w:val="bottom"/>
          </w:tcPr>
          <w:p>
            <w:pPr>
              <w:ind w:left="440"/>
              <w:spacing w:after="0"/>
              <w:rPr>
                <w:sz w:val="20"/>
                <w:szCs w:val="20"/>
                <w:color w:val="auto"/>
              </w:rPr>
            </w:pPr>
            <w:r>
              <w:rPr>
                <w:rFonts w:ascii="Courier New" w:cs="Courier New" w:eastAsia="Courier New" w:hAnsi="Courier New"/>
                <w:sz w:val="15"/>
                <w:szCs w:val="15"/>
                <w:color w:val="auto"/>
              </w:rPr>
              <w:t>AUTHORIZED 500,000,000 SHARES; ISSUED 76,946,189</w:t>
            </w: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70"/>
        </w:trPr>
        <w:tc>
          <w:tcPr>
            <w:tcW w:w="4840" w:type="dxa"/>
            <w:vAlign w:val="bottom"/>
          </w:tcPr>
          <w:p>
            <w:pPr>
              <w:ind w:left="440"/>
              <w:spacing w:after="0"/>
              <w:rPr>
                <w:sz w:val="20"/>
                <w:szCs w:val="20"/>
                <w:color w:val="auto"/>
              </w:rPr>
            </w:pPr>
            <w:r>
              <w:rPr>
                <w:rFonts w:ascii="Courier New" w:cs="Courier New" w:eastAsia="Courier New" w:hAnsi="Courier New"/>
                <w:sz w:val="15"/>
                <w:szCs w:val="15"/>
                <w:color w:val="auto"/>
              </w:rPr>
              <w:t>AND 68,232,056 SHARES, RESPECTIVELY</w:t>
            </w: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18,403</w:t>
            </w:r>
          </w:p>
        </w:tc>
        <w:tc>
          <w:tcPr>
            <w:tcW w:w="10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18,403</w:t>
            </w:r>
          </w:p>
        </w:tc>
        <w:tc>
          <w:tcPr>
            <w:tcW w:w="120" w:type="dxa"/>
            <w:vAlign w:val="bottom"/>
          </w:tcPr>
          <w:p>
            <w:pPr>
              <w:spacing w:after="0"/>
              <w:rPr>
                <w:sz w:val="14"/>
                <w:szCs w:val="14"/>
                <w:color w:val="auto"/>
              </w:rPr>
            </w:pPr>
          </w:p>
        </w:tc>
        <w:tc>
          <w:tcPr>
            <w:tcW w:w="8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16,548</w:t>
            </w: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16,548</w:t>
            </w:r>
          </w:p>
        </w:tc>
      </w:tr>
      <w:tr>
        <w:trPr>
          <w:trHeight w:val="170"/>
        </w:trPr>
        <w:tc>
          <w:tcPr>
            <w:tcW w:w="4840" w:type="dxa"/>
            <w:vAlign w:val="bottom"/>
          </w:tcPr>
          <w:p>
            <w:pPr>
              <w:ind w:left="440"/>
              <w:spacing w:after="0"/>
              <w:rPr>
                <w:sz w:val="20"/>
                <w:szCs w:val="20"/>
                <w:color w:val="auto"/>
              </w:rPr>
            </w:pPr>
            <w:r>
              <w:rPr>
                <w:rFonts w:ascii="Courier New" w:cs="Courier New" w:eastAsia="Courier New" w:hAnsi="Courier New"/>
                <w:sz w:val="15"/>
                <w:szCs w:val="15"/>
                <w:color w:val="auto"/>
              </w:rPr>
              <w:t>ADDITIONAL PAID-IN CAPITAL</w:t>
            </w:r>
          </w:p>
        </w:tc>
        <w:tc>
          <w:tcPr>
            <w:tcW w:w="740" w:type="dxa"/>
            <w:vAlign w:val="bottom"/>
          </w:tcPr>
          <w:p>
            <w:pPr>
              <w:jc w:val="center"/>
              <w:spacing w:after="0"/>
              <w:rPr>
                <w:sz w:val="20"/>
                <w:szCs w:val="20"/>
                <w:color w:val="auto"/>
              </w:rPr>
            </w:pPr>
            <w:r>
              <w:rPr>
                <w:rFonts w:ascii="Courier New" w:cs="Courier New" w:eastAsia="Courier New" w:hAnsi="Courier New"/>
                <w:sz w:val="15"/>
                <w:szCs w:val="15"/>
                <w:color w:val="auto"/>
                <w:w w:val="88"/>
              </w:rPr>
              <w:t>F</w:t>
            </w:r>
          </w:p>
        </w:tc>
        <w:tc>
          <w:tcPr>
            <w:tcW w:w="220" w:type="dxa"/>
            <w:vAlign w:val="bottom"/>
          </w:tcPr>
          <w:p>
            <w:pPr>
              <w:spacing w:after="0"/>
              <w:rPr>
                <w:sz w:val="14"/>
                <w:szCs w:val="14"/>
                <w:color w:val="auto"/>
              </w:rPr>
            </w:pPr>
          </w:p>
        </w:tc>
        <w:tc>
          <w:tcPr>
            <w:tcW w:w="8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531,123</w:t>
            </w:r>
          </w:p>
        </w:tc>
        <w:tc>
          <w:tcPr>
            <w:tcW w:w="10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2,394</w:t>
            </w:r>
          </w:p>
        </w:tc>
        <w:tc>
          <w:tcPr>
            <w:tcW w:w="180" w:type="dxa"/>
            <w:vAlign w:val="bottom"/>
          </w:tcPr>
          <w:p>
            <w:pPr>
              <w:spacing w:after="0"/>
              <w:rPr>
                <w:sz w:val="14"/>
                <w:szCs w:val="14"/>
                <w:color w:val="auto"/>
              </w:rPr>
            </w:pPr>
          </w:p>
        </w:tc>
        <w:tc>
          <w:tcPr>
            <w:tcW w:w="8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533,517</w:t>
            </w:r>
          </w:p>
        </w:tc>
        <w:tc>
          <w:tcPr>
            <w:tcW w:w="120" w:type="dxa"/>
            <w:vAlign w:val="bottom"/>
          </w:tcPr>
          <w:p>
            <w:pPr>
              <w:spacing w:after="0"/>
              <w:rPr>
                <w:sz w:val="14"/>
                <w:szCs w:val="14"/>
                <w:color w:val="auto"/>
              </w:rPr>
            </w:pPr>
          </w:p>
        </w:tc>
        <w:tc>
          <w:tcPr>
            <w:tcW w:w="8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522,237</w:t>
            </w:r>
          </w:p>
        </w:tc>
        <w:tc>
          <w:tcPr>
            <w:tcW w:w="9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2,363</w:t>
            </w:r>
          </w:p>
        </w:tc>
        <w:tc>
          <w:tcPr>
            <w:tcW w:w="120" w:type="dxa"/>
            <w:vAlign w:val="bottom"/>
          </w:tcPr>
          <w:p>
            <w:pPr>
              <w:spacing w:after="0"/>
              <w:rPr>
                <w:sz w:val="14"/>
                <w:szCs w:val="14"/>
                <w:color w:val="auto"/>
              </w:rPr>
            </w:pP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524,600</w:t>
            </w:r>
          </w:p>
        </w:tc>
      </w:tr>
      <w:tr>
        <w:trPr>
          <w:trHeight w:val="170"/>
        </w:trPr>
        <w:tc>
          <w:tcPr>
            <w:tcW w:w="4840" w:type="dxa"/>
            <w:vAlign w:val="bottom"/>
          </w:tcPr>
          <w:p>
            <w:pPr>
              <w:ind w:left="440"/>
              <w:spacing w:after="0"/>
              <w:rPr>
                <w:sz w:val="20"/>
                <w:szCs w:val="20"/>
                <w:color w:val="auto"/>
              </w:rPr>
            </w:pPr>
            <w:r>
              <w:rPr>
                <w:rFonts w:ascii="Courier New" w:cs="Courier New" w:eastAsia="Courier New" w:hAnsi="Courier New"/>
                <w:sz w:val="15"/>
                <w:szCs w:val="15"/>
                <w:color w:val="auto"/>
              </w:rPr>
              <w:t>EQUITY COMPONENT OF CONVERTIBLE DEBENTURES AND</w:t>
            </w: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70"/>
        </w:trPr>
        <w:tc>
          <w:tcPr>
            <w:tcW w:w="4840" w:type="dxa"/>
            <w:vAlign w:val="bottom"/>
          </w:tcPr>
          <w:p>
            <w:pPr>
              <w:ind w:left="600"/>
              <w:spacing w:after="0"/>
              <w:rPr>
                <w:sz w:val="20"/>
                <w:szCs w:val="20"/>
                <w:color w:val="auto"/>
              </w:rPr>
            </w:pPr>
            <w:r>
              <w:rPr>
                <w:rFonts w:ascii="Courier New" w:cs="Courier New" w:eastAsia="Courier New" w:hAnsi="Courier New"/>
                <w:sz w:val="15"/>
                <w:szCs w:val="15"/>
                <w:color w:val="auto"/>
              </w:rPr>
              <w:t>CUMULATIVE STOCK BASED COMPENSATION</w:t>
            </w:r>
          </w:p>
        </w:tc>
        <w:tc>
          <w:tcPr>
            <w:tcW w:w="740" w:type="dxa"/>
            <w:vAlign w:val="bottom"/>
          </w:tcPr>
          <w:p>
            <w:pPr>
              <w:jc w:val="center"/>
              <w:spacing w:after="0"/>
              <w:rPr>
                <w:sz w:val="20"/>
                <w:szCs w:val="20"/>
                <w:color w:val="auto"/>
              </w:rPr>
            </w:pPr>
            <w:r>
              <w:rPr>
                <w:rFonts w:ascii="Courier New" w:cs="Courier New" w:eastAsia="Courier New" w:hAnsi="Courier New"/>
                <w:sz w:val="15"/>
                <w:szCs w:val="15"/>
                <w:color w:val="auto"/>
                <w:w w:val="96"/>
              </w:rPr>
              <w:t>F,G</w:t>
            </w:r>
          </w:p>
        </w:tc>
        <w:tc>
          <w:tcPr>
            <w:tcW w:w="220" w:type="dxa"/>
            <w:vAlign w:val="bottom"/>
          </w:tcPr>
          <w:p>
            <w:pPr>
              <w:spacing w:after="0"/>
              <w:rPr>
                <w:sz w:val="14"/>
                <w:szCs w:val="14"/>
                <w:color w:val="auto"/>
              </w:rPr>
            </w:pPr>
          </w:p>
        </w:tc>
        <w:tc>
          <w:tcPr>
            <w:tcW w:w="8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19,550</w:t>
            </w:r>
          </w:p>
        </w:tc>
        <w:tc>
          <w:tcPr>
            <w:tcW w:w="1020" w:type="dxa"/>
            <w:vAlign w:val="bottom"/>
          </w:tcPr>
          <w:p>
            <w:pPr>
              <w:jc w:val="right"/>
              <w:ind w:right="7"/>
              <w:spacing w:after="0"/>
              <w:rPr>
                <w:sz w:val="20"/>
                <w:szCs w:val="20"/>
                <w:color w:val="auto"/>
              </w:rPr>
            </w:pPr>
            <w:r>
              <w:rPr>
                <w:rFonts w:ascii="Courier New" w:cs="Courier New" w:eastAsia="Courier New" w:hAnsi="Courier New"/>
                <w:sz w:val="15"/>
                <w:szCs w:val="15"/>
                <w:color w:val="auto"/>
              </w:rPr>
              <w:t>(18,596)</w:t>
            </w:r>
          </w:p>
        </w:tc>
        <w:tc>
          <w:tcPr>
            <w:tcW w:w="180" w:type="dxa"/>
            <w:vAlign w:val="bottom"/>
          </w:tcPr>
          <w:p>
            <w:pPr>
              <w:spacing w:after="0"/>
              <w:rPr>
                <w:sz w:val="14"/>
                <w:szCs w:val="14"/>
                <w:color w:val="auto"/>
              </w:rPr>
            </w:pPr>
          </w:p>
        </w:tc>
        <w:tc>
          <w:tcPr>
            <w:tcW w:w="8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954</w:t>
            </w:r>
          </w:p>
        </w:tc>
        <w:tc>
          <w:tcPr>
            <w:tcW w:w="1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(26)</w:t>
            </w: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(26)</w:t>
            </w:r>
          </w:p>
        </w:tc>
      </w:tr>
      <w:tr>
        <w:trPr>
          <w:trHeight w:val="170"/>
        </w:trPr>
        <w:tc>
          <w:tcPr>
            <w:tcW w:w="4840" w:type="dxa"/>
            <w:vAlign w:val="bottom"/>
          </w:tcPr>
          <w:p>
            <w:pPr>
              <w:ind w:left="440"/>
              <w:spacing w:after="0"/>
              <w:rPr>
                <w:sz w:val="20"/>
                <w:szCs w:val="20"/>
                <w:color w:val="auto"/>
              </w:rPr>
            </w:pPr>
            <w:r>
              <w:rPr>
                <w:rFonts w:ascii="Courier New" w:cs="Courier New" w:eastAsia="Courier New" w:hAnsi="Courier New"/>
                <w:sz w:val="15"/>
                <w:szCs w:val="15"/>
                <w:color w:val="auto"/>
              </w:rPr>
              <w:t>ACCUMULATED OTHER COMPREHENSIVE LOSS</w:t>
            </w:r>
          </w:p>
        </w:tc>
        <w:tc>
          <w:tcPr>
            <w:tcW w:w="740" w:type="dxa"/>
            <w:vAlign w:val="bottom"/>
          </w:tcPr>
          <w:p>
            <w:pPr>
              <w:jc w:val="center"/>
              <w:spacing w:after="0"/>
              <w:rPr>
                <w:sz w:val="20"/>
                <w:szCs w:val="20"/>
                <w:color w:val="auto"/>
              </w:rPr>
            </w:pPr>
            <w:r>
              <w:rPr>
                <w:rFonts w:ascii="Courier New" w:cs="Courier New" w:eastAsia="Courier New" w:hAnsi="Courier New"/>
                <w:sz w:val="15"/>
                <w:szCs w:val="15"/>
                <w:color w:val="auto"/>
                <w:w w:val="88"/>
              </w:rPr>
              <w:t>D</w:t>
            </w:r>
          </w:p>
        </w:tc>
        <w:tc>
          <w:tcPr>
            <w:tcW w:w="220" w:type="dxa"/>
            <w:vAlign w:val="bottom"/>
          </w:tcPr>
          <w:p>
            <w:pPr>
              <w:spacing w:after="0"/>
              <w:rPr>
                <w:sz w:val="14"/>
                <w:szCs w:val="14"/>
                <w:color w:val="auto"/>
              </w:rPr>
            </w:pPr>
          </w:p>
        </w:tc>
        <w:tc>
          <w:tcPr>
            <w:tcW w:w="8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7"/>
              <w:spacing w:after="0"/>
              <w:rPr>
                <w:sz w:val="20"/>
                <w:szCs w:val="20"/>
                <w:color w:val="auto"/>
              </w:rPr>
            </w:pPr>
            <w:r>
              <w:rPr>
                <w:rFonts w:ascii="Courier New" w:cs="Courier New" w:eastAsia="Courier New" w:hAnsi="Courier New"/>
                <w:sz w:val="15"/>
                <w:szCs w:val="15"/>
                <w:color w:val="auto"/>
              </w:rPr>
              <w:t>(496)</w:t>
            </w:r>
          </w:p>
        </w:tc>
        <w:tc>
          <w:tcPr>
            <w:tcW w:w="18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(496)</w:t>
            </w:r>
          </w:p>
        </w:tc>
        <w:tc>
          <w:tcPr>
            <w:tcW w:w="120" w:type="dxa"/>
            <w:vAlign w:val="bottom"/>
          </w:tcPr>
          <w:p>
            <w:pPr>
              <w:spacing w:after="0"/>
              <w:rPr>
                <w:sz w:val="14"/>
                <w:szCs w:val="14"/>
                <w:color w:val="auto"/>
              </w:rPr>
            </w:pPr>
          </w:p>
        </w:tc>
        <w:tc>
          <w:tcPr>
            <w:tcW w:w="8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(1,554)</w:t>
            </w:r>
          </w:p>
        </w:tc>
        <w:tc>
          <w:tcPr>
            <w:tcW w:w="1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(1,554)</w:t>
            </w:r>
          </w:p>
        </w:tc>
      </w:tr>
      <w:tr>
        <w:trPr>
          <w:trHeight w:val="170"/>
        </w:trPr>
        <w:tc>
          <w:tcPr>
            <w:tcW w:w="4840" w:type="dxa"/>
            <w:vAlign w:val="bottom"/>
          </w:tcPr>
          <w:p>
            <w:pPr>
              <w:ind w:left="440"/>
              <w:spacing w:after="0"/>
              <w:rPr>
                <w:sz w:val="20"/>
                <w:szCs w:val="20"/>
                <w:color w:val="auto"/>
              </w:rPr>
            </w:pPr>
            <w:r>
              <w:rPr>
                <w:rFonts w:ascii="Courier New" w:cs="Courier New" w:eastAsia="Courier New" w:hAnsi="Courier New"/>
                <w:sz w:val="15"/>
                <w:szCs w:val="15"/>
                <w:color w:val="auto"/>
              </w:rPr>
              <w:t>ACCUMULATED DEFICIT</w:t>
            </w:r>
          </w:p>
        </w:tc>
        <w:tc>
          <w:tcPr>
            <w:tcW w:w="740" w:type="dxa"/>
            <w:vAlign w:val="bottom"/>
          </w:tcPr>
          <w:p>
            <w:pPr>
              <w:jc w:val="center"/>
              <w:spacing w:after="0"/>
              <w:rPr>
                <w:sz w:val="20"/>
                <w:szCs w:val="20"/>
                <w:color w:val="auto"/>
              </w:rPr>
            </w:pPr>
            <w:r>
              <w:rPr>
                <w:rFonts w:ascii="Courier New" w:cs="Courier New" w:eastAsia="Courier New" w:hAnsi="Courier New"/>
                <w:sz w:val="15"/>
                <w:szCs w:val="15"/>
                <w:color w:val="auto"/>
                <w:w w:val="97"/>
              </w:rPr>
              <w:t>D,F,G</w:t>
            </w:r>
          </w:p>
        </w:tc>
        <w:tc>
          <w:tcPr>
            <w:tcW w:w="2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w w:val="96"/>
              </w:rPr>
              <w:t>(604,810)</w:t>
            </w:r>
          </w:p>
        </w:tc>
        <w:tc>
          <w:tcPr>
            <w:tcW w:w="10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4,862</w:t>
            </w:r>
          </w:p>
        </w:tc>
        <w:tc>
          <w:tcPr>
            <w:tcW w:w="18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w w:val="93"/>
              </w:rPr>
              <w:t>(599,948)</w:t>
            </w:r>
          </w:p>
        </w:tc>
        <w:tc>
          <w:tcPr>
            <w:tcW w:w="1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w w:val="96"/>
              </w:rPr>
              <w:t>(559,754)</w:t>
            </w:r>
          </w:p>
        </w:tc>
        <w:tc>
          <w:tcPr>
            <w:tcW w:w="9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30</w:t>
            </w:r>
          </w:p>
        </w:tc>
        <w:tc>
          <w:tcPr>
            <w:tcW w:w="1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w w:val="93"/>
              </w:rPr>
              <w:t>(559,724)</w:t>
            </w:r>
          </w:p>
        </w:tc>
      </w:tr>
      <w:tr>
        <w:trPr>
          <w:trHeight w:val="170"/>
        </w:trPr>
        <w:tc>
          <w:tcPr>
            <w:tcW w:w="48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60" w:type="dxa"/>
            <w:vAlign w:val="bottom"/>
            <w:gridSpan w:val="2"/>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w w:val="98"/>
              </w:rPr>
              <w:t>---------</w:t>
            </w:r>
          </w:p>
        </w:tc>
        <w:tc>
          <w:tcPr>
            <w:tcW w:w="9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90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w w:val="98"/>
              </w:rPr>
              <w:t>---------</w:t>
            </w:r>
          </w:p>
        </w:tc>
      </w:tr>
      <w:tr>
        <w:trPr>
          <w:trHeight w:val="170"/>
        </w:trPr>
        <w:tc>
          <w:tcPr>
            <w:tcW w:w="48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(35,734)</w:t>
            </w:r>
          </w:p>
        </w:tc>
        <w:tc>
          <w:tcPr>
            <w:tcW w:w="1020" w:type="dxa"/>
            <w:vAlign w:val="bottom"/>
          </w:tcPr>
          <w:p>
            <w:pPr>
              <w:jc w:val="right"/>
              <w:ind w:right="7"/>
              <w:spacing w:after="0"/>
              <w:rPr>
                <w:sz w:val="20"/>
                <w:szCs w:val="20"/>
                <w:color w:val="auto"/>
              </w:rPr>
            </w:pPr>
            <w:r>
              <w:rPr>
                <w:rFonts w:ascii="Courier New" w:cs="Courier New" w:eastAsia="Courier New" w:hAnsi="Courier New"/>
                <w:sz w:val="15"/>
                <w:szCs w:val="15"/>
                <w:color w:val="auto"/>
              </w:rPr>
              <w:t>(11,836)</w:t>
            </w:r>
          </w:p>
        </w:tc>
        <w:tc>
          <w:tcPr>
            <w:tcW w:w="18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(47,570)</w:t>
            </w:r>
          </w:p>
        </w:tc>
        <w:tc>
          <w:tcPr>
            <w:tcW w:w="1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(20,995)</w:t>
            </w:r>
          </w:p>
        </w:tc>
        <w:tc>
          <w:tcPr>
            <w:tcW w:w="9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839</w:t>
            </w:r>
          </w:p>
        </w:tc>
        <w:tc>
          <w:tcPr>
            <w:tcW w:w="1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(20,156)</w:t>
            </w:r>
          </w:p>
        </w:tc>
      </w:tr>
      <w:tr>
        <w:trPr>
          <w:trHeight w:val="170"/>
        </w:trPr>
        <w:tc>
          <w:tcPr>
            <w:tcW w:w="4840" w:type="dxa"/>
            <w:vAlign w:val="bottom"/>
          </w:tcPr>
          <w:p>
            <w:pPr>
              <w:ind w:left="440"/>
              <w:spacing w:after="0"/>
              <w:rPr>
                <w:sz w:val="20"/>
                <w:szCs w:val="20"/>
                <w:color w:val="auto"/>
              </w:rPr>
            </w:pPr>
            <w:r>
              <w:rPr>
                <w:rFonts w:ascii="Courier New" w:cs="Courier New" w:eastAsia="Courier New" w:hAnsi="Courier New"/>
                <w:sz w:val="15"/>
                <w:szCs w:val="15"/>
                <w:color w:val="auto"/>
              </w:rPr>
              <w:t>TREASURY STOCK, AT COST - 1,300,000 SHARES</w:t>
            </w: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(9,072)</w:t>
            </w:r>
          </w:p>
        </w:tc>
        <w:tc>
          <w:tcPr>
            <w:tcW w:w="10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(9,072)</w:t>
            </w:r>
          </w:p>
        </w:tc>
        <w:tc>
          <w:tcPr>
            <w:tcW w:w="1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(9,072)</w:t>
            </w: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(9,072)</w:t>
            </w:r>
          </w:p>
        </w:tc>
      </w:tr>
    </w:tbl>
    <w:p>
      <w:pPr>
        <w:sectPr>
          <w:pgSz w:w="11900" w:h="16838" w:orient="portrait"/>
          <w:cols w:equalWidth="0" w:num="1">
            <w:col w:w="11520"/>
          </w:cols>
          <w:pgMar w:left="240" w:top="791" w:right="139" w:bottom="0" w:gutter="0" w:footer="0" w:header="0"/>
        </w:sectPr>
      </w:pPr>
    </w:p>
    <w:bookmarkStart w:id="22" w:name="page23"/>
    <w:bookmarkEnd w:id="2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360" w:type="dxa"/>
            <w:vAlign w:val="bottom"/>
          </w:tcPr>
          <w:p>
            <w:pPr>
              <w:spacing w:after="0"/>
              <w:rPr>
                <w:sz w:val="14"/>
                <w:szCs w:val="14"/>
                <w:color w:val="auto"/>
              </w:rPr>
            </w:pPr>
          </w:p>
        </w:tc>
        <w:tc>
          <w:tcPr>
            <w:tcW w:w="158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8"/>
              </w:rPr>
              <w:t>---------</w:t>
            </w:r>
          </w:p>
        </w:tc>
        <w:tc>
          <w:tcPr>
            <w:tcW w:w="92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4360" w:type="dxa"/>
            <w:vAlign w:val="bottom"/>
          </w:tcPr>
          <w:p>
            <w:pPr>
              <w:spacing w:after="0"/>
              <w:rPr>
                <w:sz w:val="20"/>
                <w:szCs w:val="20"/>
                <w:color w:val="auto"/>
              </w:rPr>
            </w:pPr>
            <w:r>
              <w:rPr>
                <w:rFonts w:ascii="Courier New" w:cs="Courier New" w:eastAsia="Courier New" w:hAnsi="Courier New"/>
                <w:sz w:val="15"/>
                <w:szCs w:val="15"/>
                <w:color w:val="auto"/>
              </w:rPr>
              <w:t>TOTAL SHAREHOLDERS' EQUITY (DEFICIT)</w:t>
            </w:r>
          </w:p>
        </w:tc>
        <w:tc>
          <w:tcPr>
            <w:tcW w:w="1580" w:type="dxa"/>
            <w:vAlign w:val="bottom"/>
          </w:tcPr>
          <w:p>
            <w:pPr>
              <w:jc w:val="right"/>
              <w:spacing w:after="0"/>
              <w:rPr>
                <w:sz w:val="20"/>
                <w:szCs w:val="20"/>
                <w:color w:val="auto"/>
              </w:rPr>
            </w:pPr>
            <w:r>
              <w:rPr>
                <w:rFonts w:ascii="Courier New" w:cs="Courier New" w:eastAsia="Courier New" w:hAnsi="Courier New"/>
                <w:sz w:val="15"/>
                <w:szCs w:val="15"/>
                <w:color w:val="auto"/>
              </w:rPr>
              <w:t>(44,806)</w:t>
            </w:r>
          </w:p>
        </w:tc>
        <w:tc>
          <w:tcPr>
            <w:tcW w:w="1020" w:type="dxa"/>
            <w:vAlign w:val="bottom"/>
          </w:tcPr>
          <w:p>
            <w:pPr>
              <w:jc w:val="right"/>
              <w:ind w:right="7"/>
              <w:spacing w:after="0"/>
              <w:rPr>
                <w:sz w:val="20"/>
                <w:szCs w:val="20"/>
                <w:color w:val="auto"/>
              </w:rPr>
            </w:pPr>
            <w:r>
              <w:rPr>
                <w:rFonts w:ascii="Courier New" w:cs="Courier New" w:eastAsia="Courier New" w:hAnsi="Courier New"/>
                <w:sz w:val="15"/>
                <w:szCs w:val="15"/>
                <w:color w:val="auto"/>
              </w:rPr>
              <w:t>(11,836)</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(56,642)</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(30,067)</w:t>
            </w:r>
          </w:p>
        </w:tc>
        <w:tc>
          <w:tcPr>
            <w:tcW w:w="920" w:type="dxa"/>
            <w:vAlign w:val="bottom"/>
          </w:tcPr>
          <w:p>
            <w:pPr>
              <w:jc w:val="right"/>
              <w:ind w:right="7"/>
              <w:spacing w:after="0"/>
              <w:rPr>
                <w:sz w:val="20"/>
                <w:szCs w:val="20"/>
                <w:color w:val="auto"/>
              </w:rPr>
            </w:pPr>
            <w:r>
              <w:rPr>
                <w:rFonts w:ascii="Courier New" w:cs="Courier New" w:eastAsia="Courier New" w:hAnsi="Courier New"/>
                <w:sz w:val="15"/>
                <w:szCs w:val="15"/>
                <w:color w:val="auto"/>
              </w:rPr>
              <w:t>839</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(29,228)</w:t>
            </w:r>
          </w:p>
        </w:tc>
      </w:tr>
      <w:tr>
        <w:trPr>
          <w:trHeight w:val="170"/>
        </w:trPr>
        <w:tc>
          <w:tcPr>
            <w:tcW w:w="4360" w:type="dxa"/>
            <w:vAlign w:val="bottom"/>
          </w:tcPr>
          <w:p>
            <w:pPr>
              <w:spacing w:after="0"/>
              <w:rPr>
                <w:sz w:val="14"/>
                <w:szCs w:val="14"/>
                <w:color w:val="auto"/>
              </w:rPr>
            </w:pPr>
          </w:p>
        </w:tc>
        <w:tc>
          <w:tcPr>
            <w:tcW w:w="158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8"/>
              </w:rPr>
              <w:t>=========</w:t>
            </w:r>
          </w:p>
        </w:tc>
        <w:tc>
          <w:tcPr>
            <w:tcW w:w="92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339"/>
        </w:trPr>
        <w:tc>
          <w:tcPr>
            <w:tcW w:w="4360" w:type="dxa"/>
            <w:vAlign w:val="bottom"/>
          </w:tcPr>
          <w:p>
            <w:pPr>
              <w:spacing w:after="0"/>
              <w:rPr>
                <w:sz w:val="20"/>
                <w:szCs w:val="20"/>
                <w:color w:val="auto"/>
              </w:rPr>
            </w:pPr>
            <w:r>
              <w:rPr>
                <w:rFonts w:ascii="Courier New" w:cs="Courier New" w:eastAsia="Courier New" w:hAnsi="Courier New"/>
                <w:sz w:val="15"/>
                <w:szCs w:val="15"/>
                <w:color w:val="auto"/>
              </w:rPr>
              <w:t>TOTAL LIABILITIES AND SHAREHOLDERS' EQUITY</w:t>
            </w:r>
          </w:p>
        </w:tc>
        <w:tc>
          <w:tcPr>
            <w:tcW w:w="1580" w:type="dxa"/>
            <w:vAlign w:val="bottom"/>
          </w:tcPr>
          <w:p>
            <w:pPr>
              <w:jc w:val="right"/>
              <w:ind w:right="47"/>
              <w:spacing w:after="0"/>
              <w:rPr>
                <w:sz w:val="20"/>
                <w:szCs w:val="20"/>
                <w:color w:val="auto"/>
              </w:rPr>
            </w:pPr>
            <w:r>
              <w:rPr>
                <w:rFonts w:ascii="Courier New" w:cs="Courier New" w:eastAsia="Courier New" w:hAnsi="Courier New"/>
                <w:sz w:val="15"/>
                <w:szCs w:val="15"/>
                <w:color w:val="auto"/>
              </w:rPr>
              <w:t>$ 636,039</w:t>
            </w:r>
          </w:p>
        </w:tc>
        <w:tc>
          <w:tcPr>
            <w:tcW w:w="10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  27,235</w:t>
            </w:r>
          </w:p>
        </w:tc>
        <w:tc>
          <w:tcPr>
            <w:tcW w:w="10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$ 663,274</w:t>
            </w:r>
          </w:p>
        </w:tc>
        <w:tc>
          <w:tcPr>
            <w:tcW w:w="96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8"/>
              </w:rPr>
              <w:t>$ 678,686</w:t>
            </w:r>
          </w:p>
        </w:tc>
        <w:tc>
          <w:tcPr>
            <w:tcW w:w="920" w:type="dxa"/>
            <w:vAlign w:val="bottom"/>
          </w:tcPr>
          <w:p>
            <w:pPr>
              <w:jc w:val="right"/>
              <w:ind w:right="7"/>
              <w:spacing w:after="0"/>
              <w:rPr>
                <w:sz w:val="20"/>
                <w:szCs w:val="20"/>
                <w:color w:val="auto"/>
              </w:rPr>
            </w:pPr>
            <w:r>
              <w:rPr>
                <w:rFonts w:ascii="Courier New" w:cs="Courier New" w:eastAsia="Courier New" w:hAnsi="Courier New"/>
                <w:sz w:val="15"/>
                <w:szCs w:val="15"/>
                <w:color w:val="auto"/>
              </w:rPr>
              <w:t>$  11,938</w:t>
            </w: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$ 690,624</w:t>
            </w:r>
          </w:p>
        </w:tc>
      </w:tr>
      <w:tr>
        <w:trPr>
          <w:trHeight w:val="170"/>
        </w:trPr>
        <w:tc>
          <w:tcPr>
            <w:tcW w:w="4360" w:type="dxa"/>
            <w:vAlign w:val="bottom"/>
          </w:tcPr>
          <w:p>
            <w:pPr>
              <w:spacing w:after="0"/>
              <w:rPr>
                <w:sz w:val="14"/>
                <w:szCs w:val="14"/>
                <w:color w:val="auto"/>
              </w:rPr>
            </w:pPr>
          </w:p>
        </w:tc>
        <w:tc>
          <w:tcPr>
            <w:tcW w:w="158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8"/>
              </w:rPr>
              <w:t>=========</w:t>
            </w:r>
          </w:p>
        </w:tc>
        <w:tc>
          <w:tcPr>
            <w:tcW w:w="92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678"/>
        </w:trPr>
        <w:tc>
          <w:tcPr>
            <w:tcW w:w="4360" w:type="dxa"/>
            <w:vAlign w:val="bottom"/>
          </w:tcPr>
          <w:p>
            <w:pPr>
              <w:jc w:val="right"/>
              <w:ind w:right="1207"/>
              <w:spacing w:after="0"/>
              <w:rPr>
                <w:sz w:val="20"/>
                <w:szCs w:val="20"/>
                <w:color w:val="auto"/>
              </w:rPr>
            </w:pPr>
            <w:r>
              <w:rPr>
                <w:rFonts w:ascii="Courier New" w:cs="Courier New" w:eastAsia="Courier New" w:hAnsi="Courier New"/>
                <w:sz w:val="15"/>
                <w:szCs w:val="15"/>
                <w:color w:val="auto"/>
              </w:rPr>
              <w:t>- 17 -</w:t>
            </w:r>
          </w:p>
        </w:tc>
        <w:tc>
          <w:tcPr>
            <w:tcW w:w="15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60" w:type="dxa"/>
            <w:vAlign w:val="bottom"/>
          </w:tcPr>
          <w:p>
            <w:pPr>
              <w:spacing w:after="0"/>
              <w:rPr>
                <w:sz w:val="24"/>
                <w:szCs w:val="24"/>
                <w:color w:val="auto"/>
              </w:rPr>
            </w:pPr>
          </w:p>
        </w:tc>
      </w:tr>
    </w:tbl>
    <w:p>
      <w:pPr>
        <w:sectPr>
          <w:pgSz w:w="11900" w:h="16838" w:orient="portrait"/>
          <w:cols w:equalWidth="0" w:num="1">
            <w:col w:w="10820"/>
          </w:cols>
          <w:pgMar w:left="940" w:top="136" w:right="139" w:bottom="1440" w:gutter="0" w:footer="0" w:header="0"/>
        </w:sectPr>
      </w:pPr>
    </w:p>
    <w:bookmarkStart w:id="23" w:name="page24"/>
    <w:bookmarkEnd w:id="23"/>
    <w:p>
      <w:pPr>
        <w:jc w:val="center"/>
        <w:ind w:right="3099"/>
        <w:spacing w:after="0"/>
        <w:rPr>
          <w:sz w:val="20"/>
          <w:szCs w:val="20"/>
          <w:color w:val="auto"/>
        </w:rPr>
      </w:pPr>
      <w:r>
        <w:rPr>
          <w:rFonts w:ascii="Courier New" w:cs="Courier New" w:eastAsia="Courier New" w:hAnsi="Courier New"/>
          <w:sz w:val="15"/>
          <w:szCs w:val="15"/>
          <w:color w:val="auto"/>
        </w:rPr>
        <w:t>TOWER SEMICONDUCTOR LTD. AND SUBSIDIARY</w:t>
      </w:r>
    </w:p>
    <w:p>
      <w:pPr>
        <w:jc w:val="center"/>
        <w:ind w:right="3099"/>
        <w:spacing w:after="0"/>
        <w:rPr>
          <w:sz w:val="20"/>
          <w:szCs w:val="20"/>
          <w:color w:val="auto"/>
        </w:rPr>
      </w:pPr>
      <w:r>
        <w:rPr>
          <w:rFonts w:ascii="Courier New" w:cs="Courier New" w:eastAsia="Courier New" w:hAnsi="Courier New"/>
          <w:sz w:val="15"/>
          <w:szCs w:val="15"/>
          <w:color w:val="auto"/>
        </w:rPr>
        <w:t>NOTES TO UNAUDITED CONDENSED INTERIM CONSOLIDATED</w:t>
      </w:r>
    </w:p>
    <w:p>
      <w:pPr>
        <w:jc w:val="center"/>
        <w:ind w:right="3099"/>
        <w:spacing w:after="0"/>
        <w:rPr>
          <w:sz w:val="20"/>
          <w:szCs w:val="20"/>
          <w:color w:val="auto"/>
        </w:rPr>
      </w:pPr>
      <w:r>
        <w:rPr>
          <w:rFonts w:ascii="Courier New" w:cs="Courier New" w:eastAsia="Courier New" w:hAnsi="Courier New"/>
          <w:sz w:val="15"/>
          <w:szCs w:val="15"/>
          <w:color w:val="auto"/>
        </w:rPr>
        <w:t>FINANCIAL STATEMENTS AS OF MARCH 31, 2006</w:t>
      </w:r>
    </w:p>
    <w:p>
      <w:pPr>
        <w:jc w:val="center"/>
        <w:ind w:right="3179"/>
        <w:spacing w:after="0" w:line="238" w:lineRule="auto"/>
        <w:rPr>
          <w:sz w:val="20"/>
          <w:szCs w:val="20"/>
          <w:color w:val="auto"/>
        </w:rPr>
      </w:pPr>
      <w:r>
        <w:rPr>
          <w:rFonts w:ascii="Courier New" w:cs="Courier New" w:eastAsia="Courier New" w:hAnsi="Courier New"/>
          <w:sz w:val="15"/>
          <w:szCs w:val="15"/>
          <w:color w:val="auto"/>
        </w:rPr>
        <w:t>(dollars in thousands, except share data and per share data)</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6 - MATERIAL DIFFERENCES BETWEEN ISRAELI AND U.S. GAAP (cont.)</w:t>
      </w:r>
    </w:p>
    <w:p>
      <w:pPr>
        <w:spacing w:after="0" w:line="169" w:lineRule="exact"/>
        <w:rPr>
          <w:sz w:val="20"/>
          <w:szCs w:val="20"/>
          <w:color w:val="auto"/>
        </w:rPr>
      </w:pPr>
    </w:p>
    <w:p>
      <w:pPr>
        <w:ind w:left="880" w:hanging="449"/>
        <w:spacing w:after="0"/>
        <w:tabs>
          <w:tab w:leader="none" w:pos="880"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STATEMENTS OF OPERATIONS IN ACCORDANCE WITH U.S. GAAP</w:t>
      </w:r>
    </w:p>
    <w:p>
      <w:pPr>
        <w:spacing w:after="0" w:line="174" w:lineRule="exact"/>
        <w:rPr>
          <w:rFonts w:ascii="Courier New" w:cs="Courier New" w:eastAsia="Courier New" w:hAnsi="Courier New"/>
          <w:sz w:val="15"/>
          <w:szCs w:val="15"/>
          <w:color w:val="auto"/>
        </w:rPr>
      </w:pPr>
    </w:p>
    <w:p>
      <w:pPr>
        <w:ind w:left="880" w:right="3179"/>
        <w:spacing w:after="0" w:line="238"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Complying with SFAS 133, APB 14(F above) and SFAS 123R (G above) would have resulted in a decrease in the loss for the three months period ended March 31, 2006 in the amount of $4,861. Giving effect to all the above, the loss for the three months period ended March 31, 2006 would be $ 40,195. No material affect on the result of operation for the three-month period ended March 31, 2005.</w:t>
      </w:r>
    </w:p>
    <w:p>
      <w:pPr>
        <w:spacing w:after="0" w:line="169" w:lineRule="exact"/>
        <w:rPr>
          <w:rFonts w:ascii="Courier New" w:cs="Courier New" w:eastAsia="Courier New" w:hAnsi="Courier New"/>
          <w:sz w:val="15"/>
          <w:szCs w:val="15"/>
          <w:color w:val="auto"/>
        </w:rPr>
      </w:pPr>
    </w:p>
    <w:p>
      <w:pPr>
        <w:ind w:left="880" w:hanging="449"/>
        <w:spacing w:after="0"/>
        <w:tabs>
          <w:tab w:leader="none" w:pos="880"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COMPREHENSIVE INCOME (LOSS) IN ACCORDANCE WITH U.S. GAAP (SFAS 130)</w:t>
      </w:r>
    </w:p>
    <w:p>
      <w:pPr>
        <w:spacing w:after="0" w:line="174" w:lineRule="exact"/>
        <w:rPr>
          <w:rFonts w:ascii="Courier New" w:cs="Courier New" w:eastAsia="Courier New" w:hAnsi="Courier New"/>
          <w:sz w:val="15"/>
          <w:szCs w:val="15"/>
          <w:color w:val="auto"/>
        </w:rPr>
      </w:pPr>
    </w:p>
    <w:p>
      <w:pPr>
        <w:ind w:left="880" w:right="3179"/>
        <w:spacing w:after="0" w:line="238"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Comprehensive income (loss) represents the change in shareholder's equity during a reporting period from transactions and other events and circumstances from non-owner sources. It includes all changes in equity during a reporting period except those resulting from investments by owners and distributions to owners. Other comprehensive income (loss) represents gains and losses that under U.S. GAAP are included in comprehensive income but excluded from net income. Following are statements of comprehensive loss in accordance with U.S. GAAP:</w:t>
      </w:r>
    </w:p>
    <w:p>
      <w:pPr>
        <w:spacing w:after="0" w:line="173" w:lineRule="exact"/>
        <w:rPr>
          <w:sz w:val="20"/>
          <w:szCs w:val="20"/>
          <w:color w:val="auto"/>
        </w:rPr>
      </w:pPr>
    </w:p>
    <w:p>
      <w:pPr>
        <w:ind w:left="4300"/>
        <w:spacing w:after="0"/>
        <w:rPr>
          <w:sz w:val="20"/>
          <w:szCs w:val="20"/>
          <w:color w:val="auto"/>
        </w:rPr>
      </w:pPr>
      <w:r>
        <w:rPr>
          <w:rFonts w:ascii="Courier New" w:cs="Courier New" w:eastAsia="Courier New" w:hAnsi="Courier New"/>
          <w:sz w:val="15"/>
          <w:szCs w:val="15"/>
          <w:color w:val="auto"/>
        </w:rPr>
        <w:t>Three months ended</w:t>
      </w:r>
    </w:p>
    <w:p>
      <w:pPr>
        <w:ind w:left="3860"/>
        <w:spacing w:after="0"/>
        <w:rPr>
          <w:sz w:val="20"/>
          <w:szCs w:val="20"/>
          <w:color w:val="auto"/>
        </w:rPr>
      </w:pPr>
      <w:r>
        <w:rPr>
          <w:rFonts w:ascii="Courier New" w:cs="Courier New" w:eastAsia="Courier New" w:hAnsi="Courier New"/>
          <w:sz w:val="15"/>
          <w:szCs w:val="15"/>
          <w:color w:val="auto"/>
        </w:rPr>
        <w:t>---------------------------</w:t>
      </w:r>
    </w:p>
    <w:p>
      <w:pPr>
        <w:ind w:left="4660"/>
        <w:spacing w:after="0"/>
        <w:rPr>
          <w:sz w:val="20"/>
          <w:szCs w:val="20"/>
          <w:color w:val="auto"/>
        </w:rPr>
      </w:pPr>
      <w:r>
        <w:rPr>
          <w:rFonts w:ascii="Courier New" w:cs="Courier New" w:eastAsia="Courier New" w:hAnsi="Courier New"/>
          <w:sz w:val="15"/>
          <w:szCs w:val="15"/>
          <w:color w:val="auto"/>
        </w:rPr>
        <w:t>March 31,</w:t>
      </w:r>
    </w:p>
    <w:p>
      <w:pPr>
        <w:ind w:left="3860"/>
        <w:spacing w:after="0" w:line="238" w:lineRule="auto"/>
        <w:rPr>
          <w:sz w:val="20"/>
          <w:szCs w:val="20"/>
          <w:color w:val="auto"/>
        </w:rPr>
      </w:pPr>
      <w:r>
        <w:rPr>
          <w:rFonts w:ascii="Courier New" w:cs="Courier New" w:eastAsia="Courier New" w:hAnsi="Courier New"/>
          <w:sz w:val="15"/>
          <w:szCs w:val="15"/>
          <w:color w:val="auto"/>
        </w:rPr>
        <w:t>---------------------------</w:t>
      </w:r>
    </w:p>
    <w:p>
      <w:pPr>
        <w:ind w:left="4040"/>
        <w:spacing w:after="0"/>
        <w:tabs>
          <w:tab w:leader="none" w:pos="5700" w:val="left"/>
        </w:tabs>
        <w:rPr>
          <w:sz w:val="20"/>
          <w:szCs w:val="20"/>
          <w:color w:val="auto"/>
        </w:rPr>
      </w:pPr>
      <w:r>
        <w:rPr>
          <w:rFonts w:ascii="Courier New" w:cs="Courier New" w:eastAsia="Courier New" w:hAnsi="Courier New"/>
          <w:sz w:val="15"/>
          <w:szCs w:val="15"/>
          <w:color w:val="auto"/>
        </w:rPr>
        <w:t>2006</w:t>
      </w:r>
      <w:r>
        <w:rPr>
          <w:sz w:val="20"/>
          <w:szCs w:val="20"/>
          <w:color w:val="auto"/>
        </w:rPr>
        <w:tab/>
      </w:r>
      <w:r>
        <w:rPr>
          <w:rFonts w:ascii="Courier New" w:cs="Courier New" w:eastAsia="Courier New" w:hAnsi="Courier New"/>
          <w:sz w:val="15"/>
          <w:szCs w:val="15"/>
          <w:color w:val="auto"/>
        </w:rPr>
        <w:t>2005</w:t>
      </w:r>
    </w:p>
    <w:p>
      <w:pPr>
        <w:ind w:left="3860"/>
        <w:spacing w:after="0"/>
        <w:tabs>
          <w:tab w:leader="none" w:pos="552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p>
    <w:p>
      <w:pPr>
        <w:jc w:val="center"/>
        <w:ind w:right="99"/>
        <w:spacing w:after="0" w:line="238" w:lineRule="auto"/>
        <w:rPr>
          <w:sz w:val="20"/>
          <w:szCs w:val="20"/>
          <w:color w:val="auto"/>
        </w:rPr>
      </w:pPr>
      <w:r>
        <w:rPr>
          <w:rFonts w:ascii="Courier New" w:cs="Courier New" w:eastAsia="Courier New" w:hAnsi="Courier New"/>
          <w:sz w:val="15"/>
          <w:szCs w:val="15"/>
          <w:color w:val="auto"/>
        </w:rPr>
        <w:t>(unaudited)</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Loss for the period, according</w:t>
      </w:r>
    </w:p>
    <w:p>
      <w:pPr>
        <w:sectPr>
          <w:pgSz w:w="11900" w:h="16838" w:orient="portrait"/>
          <w:cols w:equalWidth="0" w:num="1">
            <w:col w:w="10219"/>
          </w:cols>
          <w:pgMar w:left="240" w:top="791" w:right="1440" w:bottom="1440" w:gutter="0" w:footer="0" w:header="0"/>
        </w:sectPr>
      </w:pPr>
    </w:p>
    <w:p>
      <w:pPr>
        <w:spacing w:after="0" w:line="5" w:lineRule="exact"/>
        <w:rPr>
          <w:sz w:val="20"/>
          <w:szCs w:val="20"/>
          <w:color w:val="auto"/>
        </w:rPr>
      </w:pPr>
    </w:p>
    <w:p>
      <w:pPr>
        <w:ind w:left="340"/>
        <w:spacing w:after="0"/>
        <w:rPr>
          <w:sz w:val="20"/>
          <w:szCs w:val="20"/>
          <w:color w:val="auto"/>
        </w:rPr>
      </w:pPr>
      <w:r>
        <w:rPr>
          <w:rFonts w:ascii="Courier New" w:cs="Courier New" w:eastAsia="Courier New" w:hAnsi="Courier New"/>
          <w:sz w:val="14"/>
          <w:szCs w:val="14"/>
          <w:color w:val="auto"/>
        </w:rPr>
        <w:t>to U.S. GAAP (see I above)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$(40,195)</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$(55,320)</w:t>
      </w:r>
    </w:p>
    <w:p>
      <w:pPr>
        <w:spacing w:after="0" w:line="180" w:lineRule="exact"/>
        <w:rPr>
          <w:sz w:val="20"/>
          <w:szCs w:val="20"/>
          <w:color w:val="auto"/>
        </w:rPr>
      </w:pPr>
    </w:p>
    <w:p>
      <w:pPr>
        <w:sectPr>
          <w:pgSz w:w="11900" w:h="16838" w:orient="portrait"/>
          <w:cols w:equalWidth="0" w:num="3">
            <w:col w:w="3140" w:space="720"/>
            <w:col w:w="960" w:space="720"/>
            <w:col w:w="4679"/>
          </w:cols>
          <w:pgMar w:left="240" w:top="791"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Other comprehensive loss:</w:t>
      </w:r>
    </w:p>
    <w:p>
      <w:pPr>
        <w:sectPr>
          <w:pgSz w:w="11900" w:h="16838" w:orient="portrait"/>
          <w:cols w:equalWidth="0" w:num="1">
            <w:col w:w="10219"/>
          </w:cols>
          <w:pgMar w:left="240" w:top="791" w:right="1440" w:bottom="1440" w:gutter="0" w:footer="0" w:header="0"/>
          <w:type w:val="continuous"/>
        </w:sectPr>
      </w:pPr>
    </w:p>
    <w:p>
      <w:pPr>
        <w:spacing w:after="0" w:line="180" w:lineRule="exact"/>
        <w:rPr>
          <w:sz w:val="20"/>
          <w:szCs w:val="20"/>
          <w:color w:val="auto"/>
        </w:rPr>
      </w:pPr>
    </w:p>
    <w:p>
      <w:pPr>
        <w:ind w:left="340"/>
        <w:spacing w:after="0"/>
        <w:rPr>
          <w:sz w:val="20"/>
          <w:szCs w:val="20"/>
          <w:color w:val="auto"/>
        </w:rPr>
      </w:pPr>
      <w:r>
        <w:rPr>
          <w:rFonts w:ascii="Courier New" w:cs="Courier New" w:eastAsia="Courier New" w:hAnsi="Courier New"/>
          <w:sz w:val="14"/>
          <w:szCs w:val="14"/>
          <w:color w:val="auto"/>
        </w:rPr>
        <w:t>Reclassification of unrealized</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jc w:val="center"/>
        <w:ind w:right="680"/>
        <w:spacing w:after="0"/>
        <w:rPr>
          <w:sz w:val="20"/>
          <w:szCs w:val="20"/>
          <w:color w:val="auto"/>
        </w:rPr>
      </w:pPr>
      <w:r>
        <w:rPr>
          <w:rFonts w:ascii="Courier New" w:cs="Courier New" w:eastAsia="Courier New" w:hAnsi="Courier New"/>
          <w:sz w:val="15"/>
          <w:szCs w:val="15"/>
          <w:color w:val="auto"/>
        </w:rPr>
        <w:t>332</w:t>
      </w:r>
    </w:p>
    <w:p>
      <w:pPr>
        <w:spacing w:after="0" w:line="20" w:lineRule="exact"/>
        <w:rPr>
          <w:sz w:val="20"/>
          <w:szCs w:val="20"/>
          <w:color w:val="auto"/>
        </w:rPr>
      </w:pPr>
      <w:r>
        <w:rPr>
          <w:sz w:val="20"/>
          <w:szCs w:val="20"/>
          <w:color w:val="auto"/>
        </w:rPr>
        <w:br w:type="column"/>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332</w:t>
      </w:r>
    </w:p>
    <w:p>
      <w:pPr>
        <w:spacing w:after="0" w:line="10" w:lineRule="exact"/>
        <w:rPr>
          <w:sz w:val="20"/>
          <w:szCs w:val="20"/>
          <w:color w:val="auto"/>
        </w:rPr>
      </w:pPr>
    </w:p>
    <w:p>
      <w:pPr>
        <w:sectPr>
          <w:pgSz w:w="11900" w:h="16838" w:orient="portrait"/>
          <w:cols w:equalWidth="0" w:num="3">
            <w:col w:w="3580" w:space="720"/>
            <w:col w:w="960" w:space="720"/>
            <w:col w:w="4239"/>
          </w:cols>
          <w:pgMar w:left="240" w:top="791" w:right="1440" w:bottom="1440" w:gutter="0" w:footer="0" w:header="0"/>
          <w:type w:val="continuous"/>
        </w:sectPr>
      </w:pPr>
    </w:p>
    <w:p>
      <w:pPr>
        <w:ind w:left="600"/>
        <w:spacing w:after="0"/>
        <w:rPr>
          <w:sz w:val="20"/>
          <w:szCs w:val="20"/>
          <w:color w:val="auto"/>
        </w:rPr>
      </w:pPr>
      <w:r>
        <w:rPr>
          <w:rFonts w:ascii="Courier New" w:cs="Courier New" w:eastAsia="Courier New" w:hAnsi="Courier New"/>
          <w:sz w:val="14"/>
          <w:szCs w:val="14"/>
          <w:color w:val="auto"/>
        </w:rPr>
        <w:t>losses on derivatives</w:t>
      </w:r>
    </w:p>
    <w:p>
      <w:pPr>
        <w:spacing w:after="0" w:line="5" w:lineRule="exact"/>
        <w:rPr>
          <w:sz w:val="20"/>
          <w:szCs w:val="20"/>
          <w:color w:val="auto"/>
        </w:rPr>
      </w:pPr>
    </w:p>
    <w:p>
      <w:pPr>
        <w:ind w:left="340"/>
        <w:spacing w:after="0"/>
        <w:tabs>
          <w:tab w:leader="none" w:pos="1900" w:val="left"/>
        </w:tabs>
        <w:rPr>
          <w:sz w:val="20"/>
          <w:szCs w:val="20"/>
          <w:color w:val="auto"/>
        </w:rPr>
      </w:pPr>
      <w:r>
        <w:rPr>
          <w:rFonts w:ascii="Courier New" w:cs="Courier New" w:eastAsia="Courier New" w:hAnsi="Courier New"/>
          <w:sz w:val="15"/>
          <w:szCs w:val="15"/>
          <w:color w:val="auto"/>
        </w:rPr>
        <w:t>Unrealized gains</w:t>
        <w:tab/>
        <w:t>on</w:t>
      </w:r>
    </w:p>
    <w:p>
      <w:pPr>
        <w:sectPr>
          <w:pgSz w:w="11900" w:h="16838" w:orient="portrait"/>
          <w:cols w:equalWidth="0" w:num="1">
            <w:col w:w="10219"/>
          </w:cols>
          <w:pgMar w:left="240" w:top="791" w:right="1440" w:bottom="1440" w:gutter="0" w:footer="0" w:header="0"/>
          <w:type w:val="continuous"/>
        </w:sectPr>
      </w:pPr>
    </w:p>
    <w:p>
      <w:pPr>
        <w:spacing w:after="0" w:line="5" w:lineRule="exact"/>
        <w:rPr>
          <w:sz w:val="20"/>
          <w:szCs w:val="20"/>
          <w:color w:val="auto"/>
        </w:rPr>
      </w:pPr>
    </w:p>
    <w:p>
      <w:pPr>
        <w:ind w:left="600"/>
        <w:spacing w:after="0"/>
        <w:rPr>
          <w:sz w:val="20"/>
          <w:szCs w:val="20"/>
          <w:color w:val="auto"/>
        </w:rPr>
      </w:pPr>
      <w:r>
        <w:rPr>
          <w:rFonts w:ascii="Courier New" w:cs="Courier New" w:eastAsia="Courier New" w:hAnsi="Courier New"/>
          <w:sz w:val="14"/>
          <w:szCs w:val="14"/>
          <w:color w:val="auto"/>
        </w:rPr>
        <w:t>derivatives</w:t>
      </w:r>
    </w:p>
    <w:p>
      <w:pPr>
        <w:spacing w:after="0" w:line="20" w:lineRule="exact"/>
        <w:rPr>
          <w:sz w:val="20"/>
          <w:szCs w:val="20"/>
          <w:color w:val="auto"/>
        </w:rPr>
      </w:pPr>
      <w:r>
        <w:rPr>
          <w:sz w:val="20"/>
          <w:szCs w:val="20"/>
          <w:color w:val="auto"/>
        </w:rPr>
        <w:br w:type="column"/>
      </w:r>
    </w:p>
    <w:p>
      <w:pPr>
        <w:jc w:val="right"/>
        <w:ind w:right="240"/>
        <w:spacing w:after="0"/>
        <w:rPr>
          <w:sz w:val="20"/>
          <w:szCs w:val="20"/>
          <w:color w:val="auto"/>
        </w:rPr>
      </w:pPr>
      <w:r>
        <w:rPr>
          <w:rFonts w:ascii="Courier New" w:cs="Courier New" w:eastAsia="Courier New" w:hAnsi="Courier New"/>
          <w:sz w:val="15"/>
          <w:szCs w:val="15"/>
          <w:color w:val="auto"/>
        </w:rPr>
        <w:t>726</w:t>
      </w:r>
    </w:p>
    <w:p>
      <w:pPr>
        <w:spacing w:after="0" w:line="5" w:lineRule="exact"/>
        <w:rPr>
          <w:sz w:val="20"/>
          <w:szCs w:val="20"/>
          <w:color w:val="auto"/>
        </w:rPr>
      </w:pPr>
    </w:p>
    <w:p>
      <w:pPr>
        <w:jc w:val="right"/>
        <w:ind w:right="24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ind w:left="260"/>
        <w:spacing w:after="0"/>
        <w:rPr>
          <w:sz w:val="20"/>
          <w:szCs w:val="20"/>
          <w:color w:val="auto"/>
        </w:rPr>
      </w:pPr>
      <w:r>
        <w:rPr>
          <w:rFonts w:ascii="Courier New" w:cs="Courier New" w:eastAsia="Courier New" w:hAnsi="Courier New"/>
          <w:sz w:val="14"/>
          <w:szCs w:val="14"/>
          <w:color w:val="auto"/>
        </w:rPr>
        <w:t>2,837</w:t>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80" w:lineRule="exact"/>
        <w:rPr>
          <w:sz w:val="20"/>
          <w:szCs w:val="20"/>
          <w:color w:val="auto"/>
        </w:rPr>
      </w:pPr>
    </w:p>
    <w:p>
      <w:pPr>
        <w:sectPr>
          <w:pgSz w:w="11900" w:h="16838" w:orient="portrait"/>
          <w:cols w:equalWidth="0" w:num="3">
            <w:col w:w="3140" w:space="720"/>
            <w:col w:w="960" w:space="720"/>
            <w:col w:w="4679"/>
          </w:cols>
          <w:pgMar w:left="240" w:top="791"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Net comprehensive loss</w:t>
      </w:r>
    </w:p>
    <w:p>
      <w:pPr>
        <w:sectPr>
          <w:pgSz w:w="11900" w:h="16838" w:orient="portrait"/>
          <w:cols w:equalWidth="0" w:num="1">
            <w:col w:w="10219"/>
          </w:cols>
          <w:pgMar w:left="240" w:top="791" w:right="1440" w:bottom="1440" w:gutter="0" w:footer="0" w:header="0"/>
          <w:type w:val="continuous"/>
        </w:sectPr>
      </w:pPr>
    </w:p>
    <w:p>
      <w:pPr>
        <w:spacing w:after="0" w:line="11" w:lineRule="exact"/>
        <w:rPr>
          <w:sz w:val="20"/>
          <w:szCs w:val="20"/>
          <w:color w:val="auto"/>
        </w:rPr>
      </w:pPr>
    </w:p>
    <w:p>
      <w:pPr>
        <w:ind w:left="340"/>
        <w:spacing w:after="0"/>
        <w:rPr>
          <w:sz w:val="20"/>
          <w:szCs w:val="20"/>
          <w:color w:val="auto"/>
        </w:rPr>
      </w:pPr>
      <w:r>
        <w:rPr>
          <w:rFonts w:ascii="Courier New" w:cs="Courier New" w:eastAsia="Courier New" w:hAnsi="Courier New"/>
          <w:sz w:val="14"/>
          <w:szCs w:val="14"/>
          <w:color w:val="auto"/>
        </w:rPr>
        <w:t>for the period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$(39,137)</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$(52,151)</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169" w:lineRule="exact"/>
        <w:rPr>
          <w:sz w:val="20"/>
          <w:szCs w:val="20"/>
          <w:color w:val="auto"/>
        </w:rPr>
      </w:pPr>
    </w:p>
    <w:p>
      <w:pPr>
        <w:sectPr>
          <w:pgSz w:w="11900" w:h="16838" w:orient="portrait"/>
          <w:cols w:equalWidth="0" w:num="3">
            <w:col w:w="3140" w:space="720"/>
            <w:col w:w="960" w:space="720"/>
            <w:col w:w="4679"/>
          </w:cols>
          <w:pgMar w:left="240" w:top="791" w:right="1440" w:bottom="1440" w:gutter="0" w:footer="0" w:header="0"/>
          <w:type w:val="continuous"/>
        </w:sectPr>
      </w:pPr>
    </w:p>
    <w:p>
      <w:pPr>
        <w:ind w:left="880" w:hanging="449"/>
        <w:spacing w:after="0"/>
        <w:tabs>
          <w:tab w:leader="none" w:pos="880"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LOSS PER SHARE IN ACCORDANCE WITH U.S. GAAP (SFAS 128)</w:t>
      </w:r>
    </w:p>
    <w:p>
      <w:pPr>
        <w:spacing w:after="0" w:line="175" w:lineRule="exact"/>
        <w:rPr>
          <w:sz w:val="20"/>
          <w:szCs w:val="20"/>
          <w:color w:val="auto"/>
        </w:rPr>
      </w:pPr>
    </w:p>
    <w:p>
      <w:pPr>
        <w:ind w:left="880" w:right="3259"/>
        <w:spacing w:after="0" w:line="237" w:lineRule="auto"/>
        <w:rPr>
          <w:sz w:val="20"/>
          <w:szCs w:val="20"/>
          <w:color w:val="auto"/>
        </w:rPr>
      </w:pPr>
      <w:r>
        <w:rPr>
          <w:rFonts w:ascii="Courier New" w:cs="Courier New" w:eastAsia="Courier New" w:hAnsi="Courier New"/>
          <w:sz w:val="15"/>
          <w:szCs w:val="15"/>
          <w:color w:val="auto"/>
        </w:rPr>
        <w:t>In accordance with SFAS 128, the basic and diluted loss per share for the three-month periods ended March 31, 2006 and 2005 would be $0.56 and $0.84, respectively.</w:t>
      </w:r>
    </w:p>
    <w:p>
      <w:pPr>
        <w:spacing w:after="0" w:line="169" w:lineRule="exact"/>
        <w:rPr>
          <w:sz w:val="20"/>
          <w:szCs w:val="20"/>
          <w:color w:val="auto"/>
        </w:rPr>
      </w:pPr>
    </w:p>
    <w:p>
      <w:pPr>
        <w:ind w:left="880" w:hanging="449"/>
        <w:spacing w:after="0"/>
        <w:tabs>
          <w:tab w:leader="none" w:pos="880"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STATEMENTS OF CASH FLOWS IN ACCORDANCE WITH U.S. GAAP (SFAS 95)</w:t>
      </w:r>
    </w:p>
    <w:p>
      <w:pPr>
        <w:spacing w:after="0" w:line="174" w:lineRule="exact"/>
        <w:rPr>
          <w:rFonts w:ascii="Courier New" w:cs="Courier New" w:eastAsia="Courier New" w:hAnsi="Courier New"/>
          <w:sz w:val="15"/>
          <w:szCs w:val="15"/>
          <w:color w:val="auto"/>
        </w:rPr>
      </w:pPr>
    </w:p>
    <w:p>
      <w:pPr>
        <w:ind w:left="880" w:right="3359"/>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Complying with SFAS 95 would not have materially affected the cash flows of the Company for the three-month period ended March 31, 2006 and 2005.</w:t>
      </w:r>
    </w:p>
    <w:p>
      <w:pPr>
        <w:spacing w:after="0" w:line="338" w:lineRule="exact"/>
        <w:rPr>
          <w:rFonts w:ascii="Courier New" w:cs="Courier New" w:eastAsia="Courier New" w:hAnsi="Courier New"/>
          <w:sz w:val="15"/>
          <w:szCs w:val="15"/>
          <w:color w:val="auto"/>
        </w:rPr>
      </w:pPr>
    </w:p>
    <w:p>
      <w:pPr>
        <w:ind w:left="3420" w:hanging="168"/>
        <w:spacing w:after="0"/>
        <w:tabs>
          <w:tab w:leader="none" w:pos="3420" w:val="left"/>
        </w:tabs>
        <w:numPr>
          <w:ilvl w:val="1"/>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18 -</w:t>
      </w:r>
    </w:p>
    <w:p>
      <w:pPr>
        <w:sectPr>
          <w:pgSz w:w="11900" w:h="16838" w:orient="portrait"/>
          <w:cols w:equalWidth="0" w:num="1">
            <w:col w:w="10219"/>
          </w:cols>
          <w:pgMar w:left="240" w:top="791" w:right="1440" w:bottom="1440" w:gutter="0" w:footer="0" w:header="0"/>
          <w:type w:val="continuous"/>
        </w:sectPr>
      </w:pPr>
    </w:p>
    <w:bookmarkStart w:id="24" w:name="page25"/>
    <w:bookmarkEnd w:id="24"/>
    <w:p>
      <w:pPr>
        <w:jc w:val="right"/>
        <w:ind w:right="3179"/>
        <w:spacing w:after="0"/>
        <w:rPr>
          <w:sz w:val="20"/>
          <w:szCs w:val="20"/>
          <w:color w:val="auto"/>
        </w:rPr>
      </w:pPr>
      <w:r>
        <w:rPr>
          <w:rFonts w:ascii="Courier New" w:cs="Courier New" w:eastAsia="Courier New" w:hAnsi="Courier New"/>
          <w:sz w:val="15"/>
          <w:szCs w:val="15"/>
          <w:color w:val="auto"/>
        </w:rPr>
        <w:t>EXHIBIT 99.2</w:t>
      </w:r>
    </w:p>
    <w:p>
      <w:pPr>
        <w:spacing w:after="0" w:line="169" w:lineRule="exact"/>
        <w:rPr>
          <w:sz w:val="20"/>
          <w:szCs w:val="20"/>
          <w:color w:val="auto"/>
        </w:rPr>
      </w:pPr>
    </w:p>
    <w:p>
      <w:pPr>
        <w:jc w:val="center"/>
        <w:ind w:right="3099"/>
        <w:spacing w:after="0"/>
        <w:rPr>
          <w:sz w:val="20"/>
          <w:szCs w:val="20"/>
          <w:color w:val="auto"/>
        </w:rPr>
      </w:pPr>
      <w:r>
        <w:rPr>
          <w:rFonts w:ascii="Courier New" w:cs="Courier New" w:eastAsia="Courier New" w:hAnsi="Courier New"/>
          <w:sz w:val="15"/>
          <w:szCs w:val="15"/>
          <w:color w:val="auto"/>
        </w:rPr>
        <w:t>MANAGEMENT'S DISCUSSION AND ANALYSIS OF FINANCIAL</w:t>
      </w:r>
    </w:p>
    <w:p>
      <w:pPr>
        <w:spacing w:after="0" w:line="169" w:lineRule="exact"/>
        <w:rPr>
          <w:sz w:val="20"/>
          <w:szCs w:val="20"/>
          <w:color w:val="auto"/>
        </w:rPr>
      </w:pPr>
    </w:p>
    <w:p>
      <w:pPr>
        <w:ind w:left="2020"/>
        <w:spacing w:after="0"/>
        <w:rPr>
          <w:sz w:val="20"/>
          <w:szCs w:val="20"/>
          <w:color w:val="auto"/>
        </w:rPr>
      </w:pPr>
      <w:r>
        <w:rPr>
          <w:rFonts w:ascii="Courier New" w:cs="Courier New" w:eastAsia="Courier New" w:hAnsi="Courier New"/>
          <w:sz w:val="15"/>
          <w:szCs w:val="15"/>
          <w:color w:val="auto"/>
        </w:rPr>
        <w:t>CONDITION AND RESULTS OF OPERATIONS</w:t>
      </w:r>
    </w:p>
    <w:p>
      <w:pPr>
        <w:spacing w:after="0" w:line="344" w:lineRule="exact"/>
        <w:rPr>
          <w:sz w:val="20"/>
          <w:szCs w:val="20"/>
          <w:color w:val="auto"/>
        </w:rPr>
      </w:pPr>
    </w:p>
    <w:p>
      <w:pPr>
        <w:ind w:right="3179"/>
        <w:spacing w:after="0" w:line="238" w:lineRule="auto"/>
        <w:rPr>
          <w:sz w:val="20"/>
          <w:szCs w:val="20"/>
          <w:color w:val="auto"/>
        </w:rPr>
      </w:pPr>
      <w:r>
        <w:rPr>
          <w:rFonts w:ascii="Courier New" w:cs="Courier New" w:eastAsia="Courier New" w:hAnsi="Courier New"/>
          <w:sz w:val="15"/>
          <w:szCs w:val="15"/>
          <w:color w:val="auto"/>
        </w:rPr>
        <w:t>THE INFORMATION CONTAINED IN THIS SECTION SHOULD BE READ IN CONJUNCTION WITH (1) OUR UNAUDITED CONDENSED INTERIM CONSOLIDATED FINANCIAL STATEMENTS AS OF MARCH 31, 2006 AND FOR THE THREE MONTHS THEN ENDED AND RELATED NOTES INCLUDED IN THIS REPORT AND (2) OUR CONSOLIDATED FINANCIAL STATEMENTS AS OF DECEMBER 31, 2005 AND RELATED NOTES FOR THE YEAR THEN ENDED AND (3) OUR REPORT OF FORM 6-K, FILED FEBRUARY 2, 2006. OUR FINANCIAL STATEMENTS HAVE BEEN PREPARED IN ACCORDANCE WITH GENERALLY ACCEPTED ACCOUNTING PRINCIPLES ("GAAP") IN ISRAEL. DIFFERENCES BETWEEN ISRAELI GAAP AND US GAAP AS THEY RELATE TO OUR FINANCIAL STATEMENTS ARE DESCRIBED IN NOTE 6 TO OUR UNAUDITED CONDENSED INTERIM CONSOLIDATED FINANCIAL STATEMENTS AS OF MARCH 31, 2006 AND IN NOTE 20 TO OUR CONSOLIDATED FINANCIAL STATEMENTS AS OF DECEMBER 31, 2005.</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RESULTS OF OPERATIONS</w:t>
      </w:r>
    </w:p>
    <w:p>
      <w:pPr>
        <w:spacing w:after="0" w:line="175" w:lineRule="exact"/>
        <w:rPr>
          <w:sz w:val="20"/>
          <w:szCs w:val="20"/>
          <w:color w:val="auto"/>
        </w:rPr>
      </w:pPr>
    </w:p>
    <w:p>
      <w:pPr>
        <w:ind w:right="3439" w:firstLine="441"/>
        <w:spacing w:after="0" w:line="235" w:lineRule="auto"/>
        <w:rPr>
          <w:sz w:val="20"/>
          <w:szCs w:val="20"/>
          <w:color w:val="auto"/>
        </w:rPr>
      </w:pPr>
      <w:r>
        <w:rPr>
          <w:rFonts w:ascii="Courier New" w:cs="Courier New" w:eastAsia="Courier New" w:hAnsi="Courier New"/>
          <w:sz w:val="15"/>
          <w:szCs w:val="15"/>
          <w:color w:val="auto"/>
        </w:rPr>
        <w:t>The following table sets forth certain statement of operations data as a percentage of total revenues for the periods indicated.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600" w:type="dxa"/>
            <w:vAlign w:val="bottom"/>
          </w:tcPr>
          <w:p>
            <w:pPr>
              <w:spacing w:after="0"/>
              <w:rPr>
                <w:sz w:val="14"/>
                <w:szCs w:val="14"/>
                <w:color w:val="auto"/>
              </w:rPr>
            </w:pPr>
          </w:p>
        </w:tc>
        <w:tc>
          <w:tcPr>
            <w:tcW w:w="2200" w:type="dxa"/>
            <w:vAlign w:val="bottom"/>
            <w:gridSpan w:val="2"/>
          </w:tcPr>
          <w:p>
            <w:pPr>
              <w:jc w:val="right"/>
              <w:ind w:right="87"/>
              <w:spacing w:after="0"/>
              <w:rPr>
                <w:sz w:val="20"/>
                <w:szCs w:val="20"/>
                <w:color w:val="auto"/>
              </w:rPr>
            </w:pPr>
            <w:r>
              <w:rPr>
                <w:rFonts w:ascii="Courier New" w:cs="Courier New" w:eastAsia="Courier New" w:hAnsi="Courier New"/>
                <w:sz w:val="15"/>
                <w:szCs w:val="15"/>
                <w:color w:val="auto"/>
              </w:rPr>
              <w:t>THREE MONTHS ENDED</w:t>
            </w:r>
          </w:p>
        </w:tc>
      </w:tr>
      <w:tr>
        <w:trPr>
          <w:trHeight w:val="170"/>
        </w:trPr>
        <w:tc>
          <w:tcPr>
            <w:tcW w:w="3600" w:type="dxa"/>
            <w:vAlign w:val="bottom"/>
          </w:tcPr>
          <w:p>
            <w:pPr>
              <w:spacing w:after="0"/>
              <w:rPr>
                <w:sz w:val="14"/>
                <w:szCs w:val="14"/>
                <w:color w:val="auto"/>
              </w:rPr>
            </w:pPr>
          </w:p>
        </w:tc>
        <w:tc>
          <w:tcPr>
            <w:tcW w:w="2200" w:type="dxa"/>
            <w:vAlign w:val="bottom"/>
            <w:gridSpan w:val="2"/>
          </w:tcPr>
          <w:p>
            <w:pPr>
              <w:jc w:val="right"/>
              <w:ind w:right="527"/>
              <w:spacing w:after="0"/>
              <w:rPr>
                <w:sz w:val="20"/>
                <w:szCs w:val="20"/>
                <w:color w:val="auto"/>
              </w:rPr>
            </w:pPr>
            <w:r>
              <w:rPr>
                <w:rFonts w:ascii="Courier New" w:cs="Courier New" w:eastAsia="Courier New" w:hAnsi="Courier New"/>
                <w:sz w:val="15"/>
                <w:szCs w:val="15"/>
                <w:color w:val="auto"/>
              </w:rPr>
              <w:t>MARCH 31,</w:t>
            </w:r>
          </w:p>
        </w:tc>
      </w:tr>
      <w:tr>
        <w:trPr>
          <w:trHeight w:val="170"/>
        </w:trPr>
        <w:tc>
          <w:tcPr>
            <w:tcW w:w="3600" w:type="dxa"/>
            <w:vAlign w:val="bottom"/>
          </w:tcPr>
          <w:p>
            <w:pPr>
              <w:spacing w:after="0"/>
              <w:rPr>
                <w:sz w:val="14"/>
                <w:szCs w:val="14"/>
                <w:color w:val="auto"/>
              </w:rPr>
            </w:pPr>
          </w:p>
        </w:tc>
        <w:tc>
          <w:tcPr>
            <w:tcW w:w="2200" w:type="dxa"/>
            <w:vAlign w:val="bottom"/>
            <w:gridSpan w:val="2"/>
          </w:tcPr>
          <w:p>
            <w:pPr>
              <w:jc w:val="right"/>
              <w:ind w:right="87"/>
              <w:spacing w:after="0"/>
              <w:rPr>
                <w:sz w:val="20"/>
                <w:szCs w:val="20"/>
                <w:color w:val="auto"/>
              </w:rPr>
            </w:pPr>
            <w:r>
              <w:rPr>
                <w:rFonts w:ascii="Courier New" w:cs="Courier New" w:eastAsia="Courier New" w:hAnsi="Courier New"/>
                <w:sz w:val="15"/>
                <w:szCs w:val="15"/>
                <w:color w:val="auto"/>
              </w:rPr>
              <w:t>--------------------</w:t>
            </w:r>
          </w:p>
        </w:tc>
      </w:tr>
      <w:tr>
        <w:trPr>
          <w:trHeight w:val="170"/>
        </w:trPr>
        <w:tc>
          <w:tcPr>
            <w:tcW w:w="3600" w:type="dxa"/>
            <w:vAlign w:val="bottom"/>
          </w:tcPr>
          <w:p>
            <w:pPr>
              <w:spacing w:after="0"/>
              <w:rPr>
                <w:sz w:val="14"/>
                <w:szCs w:val="14"/>
                <w:color w:val="auto"/>
              </w:rPr>
            </w:pPr>
          </w:p>
        </w:tc>
        <w:tc>
          <w:tcPr>
            <w:tcW w:w="124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2006</w:t>
            </w:r>
          </w:p>
        </w:tc>
        <w:tc>
          <w:tcPr>
            <w:tcW w:w="9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2005</w:t>
            </w:r>
          </w:p>
        </w:tc>
      </w:tr>
      <w:tr>
        <w:trPr>
          <w:trHeight w:val="170"/>
        </w:trPr>
        <w:tc>
          <w:tcPr>
            <w:tcW w:w="3600" w:type="dxa"/>
            <w:vAlign w:val="bottom"/>
          </w:tcPr>
          <w:p>
            <w:pPr>
              <w:spacing w:after="0"/>
              <w:rPr>
                <w:sz w:val="14"/>
                <w:szCs w:val="14"/>
                <w:color w:val="auto"/>
              </w:rPr>
            </w:pPr>
          </w:p>
        </w:tc>
        <w:tc>
          <w:tcPr>
            <w:tcW w:w="12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r>
      <w:tr>
        <w:trPr>
          <w:trHeight w:val="170"/>
        </w:trPr>
        <w:tc>
          <w:tcPr>
            <w:tcW w:w="3600" w:type="dxa"/>
            <w:vAlign w:val="bottom"/>
          </w:tcPr>
          <w:p>
            <w:pPr>
              <w:spacing w:after="0"/>
              <w:rPr>
                <w:sz w:val="20"/>
                <w:szCs w:val="20"/>
                <w:color w:val="auto"/>
              </w:rPr>
            </w:pPr>
            <w:r>
              <w:rPr>
                <w:rFonts w:ascii="Courier New" w:cs="Courier New" w:eastAsia="Courier New" w:hAnsi="Courier New"/>
                <w:sz w:val="15"/>
                <w:szCs w:val="15"/>
                <w:color w:val="auto"/>
              </w:rPr>
              <w:t>STATEMENT OF OPERATIONS DATA:</w:t>
            </w:r>
          </w:p>
        </w:tc>
        <w:tc>
          <w:tcPr>
            <w:tcW w:w="124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70"/>
        </w:trPr>
        <w:tc>
          <w:tcPr>
            <w:tcW w:w="3600" w:type="dxa"/>
            <w:vAlign w:val="bottom"/>
          </w:tcPr>
          <w:p>
            <w:pPr>
              <w:spacing w:after="0"/>
              <w:rPr>
                <w:sz w:val="20"/>
                <w:szCs w:val="20"/>
                <w:color w:val="auto"/>
              </w:rPr>
            </w:pPr>
            <w:r>
              <w:rPr>
                <w:rFonts w:ascii="Courier New" w:cs="Courier New" w:eastAsia="Courier New" w:hAnsi="Courier New"/>
                <w:sz w:val="15"/>
                <w:szCs w:val="15"/>
                <w:color w:val="auto"/>
              </w:rPr>
              <w:t>Total revenues</w:t>
            </w:r>
          </w:p>
        </w:tc>
        <w:tc>
          <w:tcPr>
            <w:tcW w:w="12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100.0%</w:t>
            </w: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100.0%</w:t>
            </w:r>
          </w:p>
        </w:tc>
      </w:tr>
      <w:tr>
        <w:trPr>
          <w:trHeight w:val="170"/>
        </w:trPr>
        <w:tc>
          <w:tcPr>
            <w:tcW w:w="3600" w:type="dxa"/>
            <w:vAlign w:val="bottom"/>
          </w:tcPr>
          <w:p>
            <w:pPr>
              <w:spacing w:after="0"/>
              <w:rPr>
                <w:sz w:val="20"/>
                <w:szCs w:val="20"/>
                <w:color w:val="auto"/>
              </w:rPr>
            </w:pPr>
            <w:r>
              <w:rPr>
                <w:rFonts w:ascii="Courier New" w:cs="Courier New" w:eastAsia="Courier New" w:hAnsi="Courier New"/>
                <w:sz w:val="15"/>
                <w:szCs w:val="15"/>
                <w:color w:val="auto"/>
              </w:rPr>
              <w:t>Cost of total revenues</w:t>
            </w:r>
          </w:p>
        </w:tc>
        <w:tc>
          <w:tcPr>
            <w:tcW w:w="12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170.8</w:t>
            </w:r>
          </w:p>
        </w:tc>
        <w:tc>
          <w:tcPr>
            <w:tcW w:w="960" w:type="dxa"/>
            <w:vAlign w:val="bottom"/>
          </w:tcPr>
          <w:p>
            <w:pPr>
              <w:jc w:val="right"/>
              <w:ind w:right="87"/>
              <w:spacing w:after="0"/>
              <w:rPr>
                <w:sz w:val="20"/>
                <w:szCs w:val="20"/>
                <w:color w:val="auto"/>
              </w:rPr>
            </w:pPr>
            <w:r>
              <w:rPr>
                <w:rFonts w:ascii="Courier New" w:cs="Courier New" w:eastAsia="Courier New" w:hAnsi="Courier New"/>
                <w:sz w:val="15"/>
                <w:szCs w:val="15"/>
                <w:color w:val="auto"/>
              </w:rPr>
              <w:t>264.2</w:t>
            </w:r>
          </w:p>
        </w:tc>
      </w:tr>
      <w:tr>
        <w:trPr>
          <w:trHeight w:val="170"/>
        </w:trPr>
        <w:tc>
          <w:tcPr>
            <w:tcW w:w="3600" w:type="dxa"/>
            <w:vAlign w:val="bottom"/>
          </w:tcPr>
          <w:p>
            <w:pPr>
              <w:spacing w:after="0"/>
              <w:rPr>
                <w:sz w:val="14"/>
                <w:szCs w:val="14"/>
                <w:color w:val="auto"/>
              </w:rPr>
            </w:pPr>
          </w:p>
        </w:tc>
        <w:tc>
          <w:tcPr>
            <w:tcW w:w="12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r>
      <w:tr>
        <w:trPr>
          <w:trHeight w:val="170"/>
        </w:trPr>
        <w:tc>
          <w:tcPr>
            <w:tcW w:w="3600" w:type="dxa"/>
            <w:vAlign w:val="bottom"/>
          </w:tcPr>
          <w:p>
            <w:pPr>
              <w:spacing w:after="0"/>
              <w:rPr>
                <w:sz w:val="20"/>
                <w:szCs w:val="20"/>
                <w:color w:val="auto"/>
              </w:rPr>
            </w:pPr>
            <w:r>
              <w:rPr>
                <w:rFonts w:ascii="Courier New" w:cs="Courier New" w:eastAsia="Courier New" w:hAnsi="Courier New"/>
                <w:sz w:val="15"/>
                <w:szCs w:val="15"/>
                <w:color w:val="auto"/>
              </w:rPr>
              <w:t>Gross loss</w:t>
            </w:r>
          </w:p>
        </w:tc>
        <w:tc>
          <w:tcPr>
            <w:tcW w:w="12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(70.8)</w:t>
            </w: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(164.2)</w:t>
            </w:r>
          </w:p>
        </w:tc>
      </w:tr>
      <w:tr>
        <w:trPr>
          <w:trHeight w:val="170"/>
        </w:trPr>
        <w:tc>
          <w:tcPr>
            <w:tcW w:w="3600" w:type="dxa"/>
            <w:vAlign w:val="bottom"/>
          </w:tcPr>
          <w:p>
            <w:pPr>
              <w:spacing w:after="0"/>
              <w:rPr>
                <w:sz w:val="20"/>
                <w:szCs w:val="20"/>
                <w:color w:val="auto"/>
              </w:rPr>
            </w:pPr>
            <w:r>
              <w:rPr>
                <w:rFonts w:ascii="Courier New" w:cs="Courier New" w:eastAsia="Courier New" w:hAnsi="Courier New"/>
                <w:sz w:val="15"/>
                <w:szCs w:val="15"/>
                <w:color w:val="auto"/>
              </w:rPr>
              <w:t>Research and development expenses, net</w:t>
            </w:r>
          </w:p>
        </w:tc>
        <w:tc>
          <w:tcPr>
            <w:tcW w:w="12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9.3</w:t>
            </w:r>
          </w:p>
        </w:tc>
        <w:tc>
          <w:tcPr>
            <w:tcW w:w="960" w:type="dxa"/>
            <w:vAlign w:val="bottom"/>
          </w:tcPr>
          <w:p>
            <w:pPr>
              <w:jc w:val="right"/>
              <w:ind w:right="87"/>
              <w:spacing w:after="0"/>
              <w:rPr>
                <w:sz w:val="20"/>
                <w:szCs w:val="20"/>
                <w:color w:val="auto"/>
              </w:rPr>
            </w:pPr>
            <w:r>
              <w:rPr>
                <w:rFonts w:ascii="Courier New" w:cs="Courier New" w:eastAsia="Courier New" w:hAnsi="Courier New"/>
                <w:sz w:val="15"/>
                <w:szCs w:val="15"/>
                <w:color w:val="auto"/>
              </w:rPr>
              <w:t>20.6</w:t>
            </w:r>
          </w:p>
        </w:tc>
      </w:tr>
      <w:tr>
        <w:trPr>
          <w:trHeight w:val="170"/>
        </w:trPr>
        <w:tc>
          <w:tcPr>
            <w:tcW w:w="3600" w:type="dxa"/>
            <w:vAlign w:val="bottom"/>
          </w:tcPr>
          <w:p>
            <w:pPr>
              <w:spacing w:after="0"/>
              <w:rPr>
                <w:sz w:val="20"/>
                <w:szCs w:val="20"/>
                <w:color w:val="auto"/>
              </w:rPr>
            </w:pPr>
            <w:r>
              <w:rPr>
                <w:rFonts w:ascii="Courier New" w:cs="Courier New" w:eastAsia="Courier New" w:hAnsi="Courier New"/>
                <w:sz w:val="15"/>
                <w:szCs w:val="15"/>
                <w:color w:val="auto"/>
              </w:rPr>
              <w:t>Marketing, general and administrative</w:t>
            </w:r>
          </w:p>
        </w:tc>
        <w:tc>
          <w:tcPr>
            <w:tcW w:w="124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70"/>
        </w:trPr>
        <w:tc>
          <w:tcPr>
            <w:tcW w:w="3600" w:type="dxa"/>
            <w:vAlign w:val="bottom"/>
          </w:tcPr>
          <w:p>
            <w:pPr>
              <w:spacing w:after="0"/>
              <w:rPr>
                <w:sz w:val="20"/>
                <w:szCs w:val="20"/>
                <w:color w:val="auto"/>
              </w:rPr>
            </w:pPr>
            <w:r>
              <w:rPr>
                <w:rFonts w:ascii="Courier New" w:cs="Courier New" w:eastAsia="Courier New" w:hAnsi="Courier New"/>
                <w:sz w:val="15"/>
                <w:szCs w:val="15"/>
                <w:color w:val="auto"/>
              </w:rPr>
              <w:t>expenses</w:t>
            </w:r>
          </w:p>
        </w:tc>
        <w:tc>
          <w:tcPr>
            <w:tcW w:w="12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14.8</w:t>
            </w:r>
          </w:p>
        </w:tc>
        <w:tc>
          <w:tcPr>
            <w:tcW w:w="96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19.5</w:t>
            </w:r>
          </w:p>
        </w:tc>
      </w:tr>
      <w:tr>
        <w:trPr>
          <w:trHeight w:val="170"/>
        </w:trPr>
        <w:tc>
          <w:tcPr>
            <w:tcW w:w="3600" w:type="dxa"/>
            <w:vAlign w:val="bottom"/>
          </w:tcPr>
          <w:p>
            <w:pPr>
              <w:spacing w:after="0"/>
              <w:rPr>
                <w:sz w:val="14"/>
                <w:szCs w:val="14"/>
                <w:color w:val="auto"/>
              </w:rPr>
            </w:pPr>
          </w:p>
        </w:tc>
        <w:tc>
          <w:tcPr>
            <w:tcW w:w="12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r>
      <w:tr>
        <w:trPr>
          <w:trHeight w:val="170"/>
        </w:trPr>
        <w:tc>
          <w:tcPr>
            <w:tcW w:w="3600" w:type="dxa"/>
            <w:vAlign w:val="bottom"/>
          </w:tcPr>
          <w:p>
            <w:pPr>
              <w:spacing w:after="0"/>
              <w:rPr>
                <w:sz w:val="20"/>
                <w:szCs w:val="20"/>
                <w:color w:val="auto"/>
              </w:rPr>
            </w:pPr>
            <w:r>
              <w:rPr>
                <w:rFonts w:ascii="Courier New" w:cs="Courier New" w:eastAsia="Courier New" w:hAnsi="Courier New"/>
                <w:sz w:val="15"/>
                <w:szCs w:val="15"/>
                <w:color w:val="auto"/>
              </w:rPr>
              <w:t>Operating loss</w:t>
            </w:r>
          </w:p>
        </w:tc>
        <w:tc>
          <w:tcPr>
            <w:tcW w:w="12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(95.0)</w:t>
            </w: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(204.3)</w:t>
            </w:r>
          </w:p>
        </w:tc>
      </w:tr>
      <w:tr>
        <w:trPr>
          <w:trHeight w:val="170"/>
        </w:trPr>
        <w:tc>
          <w:tcPr>
            <w:tcW w:w="3600" w:type="dxa"/>
            <w:vAlign w:val="bottom"/>
          </w:tcPr>
          <w:p>
            <w:pPr>
              <w:spacing w:after="0"/>
              <w:rPr>
                <w:sz w:val="20"/>
                <w:szCs w:val="20"/>
                <w:color w:val="auto"/>
              </w:rPr>
            </w:pPr>
            <w:r>
              <w:rPr>
                <w:rFonts w:ascii="Courier New" w:cs="Courier New" w:eastAsia="Courier New" w:hAnsi="Courier New"/>
                <w:sz w:val="15"/>
                <w:szCs w:val="15"/>
                <w:color w:val="auto"/>
              </w:rPr>
              <w:t>Financing expense, net</w:t>
            </w:r>
          </w:p>
        </w:tc>
        <w:tc>
          <w:tcPr>
            <w:tcW w:w="12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(32.1)</w:t>
            </w: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(35.3)</w:t>
            </w:r>
          </w:p>
        </w:tc>
      </w:tr>
      <w:tr>
        <w:trPr>
          <w:trHeight w:val="170"/>
        </w:trPr>
        <w:tc>
          <w:tcPr>
            <w:tcW w:w="3600" w:type="dxa"/>
            <w:vAlign w:val="bottom"/>
          </w:tcPr>
          <w:p>
            <w:pPr>
              <w:spacing w:after="0"/>
              <w:rPr>
                <w:sz w:val="20"/>
                <w:szCs w:val="20"/>
                <w:color w:val="auto"/>
              </w:rPr>
            </w:pPr>
            <w:r>
              <w:rPr>
                <w:rFonts w:ascii="Courier New" w:cs="Courier New" w:eastAsia="Courier New" w:hAnsi="Courier New"/>
                <w:sz w:val="15"/>
                <w:szCs w:val="15"/>
                <w:color w:val="auto"/>
              </w:rPr>
              <w:t>Other income, net</w:t>
            </w:r>
          </w:p>
        </w:tc>
        <w:tc>
          <w:tcPr>
            <w:tcW w:w="12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1.5</w:t>
            </w:r>
          </w:p>
        </w:tc>
        <w:tc>
          <w:tcPr>
            <w:tcW w:w="960" w:type="dxa"/>
            <w:vAlign w:val="bottom"/>
          </w:tcPr>
          <w:p>
            <w:pPr>
              <w:jc w:val="right"/>
              <w:ind w:right="87"/>
              <w:spacing w:after="0"/>
              <w:rPr>
                <w:sz w:val="20"/>
                <w:szCs w:val="20"/>
                <w:color w:val="auto"/>
              </w:rPr>
            </w:pPr>
            <w:r>
              <w:rPr>
                <w:rFonts w:ascii="Courier New" w:cs="Courier New" w:eastAsia="Courier New" w:hAnsi="Courier New"/>
                <w:sz w:val="15"/>
                <w:szCs w:val="15"/>
                <w:color w:val="auto"/>
              </w:rPr>
              <w:t>0.8</w:t>
            </w:r>
          </w:p>
        </w:tc>
      </w:tr>
      <w:tr>
        <w:trPr>
          <w:trHeight w:val="170"/>
        </w:trPr>
        <w:tc>
          <w:tcPr>
            <w:tcW w:w="3600" w:type="dxa"/>
            <w:vAlign w:val="bottom"/>
          </w:tcPr>
          <w:p>
            <w:pPr>
              <w:spacing w:after="0"/>
              <w:rPr>
                <w:sz w:val="14"/>
                <w:szCs w:val="14"/>
                <w:color w:val="auto"/>
              </w:rPr>
            </w:pPr>
          </w:p>
        </w:tc>
        <w:tc>
          <w:tcPr>
            <w:tcW w:w="12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r>
      <w:tr>
        <w:trPr>
          <w:trHeight w:val="170"/>
        </w:trPr>
        <w:tc>
          <w:tcPr>
            <w:tcW w:w="3600" w:type="dxa"/>
            <w:vAlign w:val="bottom"/>
          </w:tcPr>
          <w:p>
            <w:pPr>
              <w:spacing w:after="0"/>
              <w:rPr>
                <w:sz w:val="20"/>
                <w:szCs w:val="20"/>
                <w:color w:val="auto"/>
              </w:rPr>
            </w:pPr>
            <w:r>
              <w:rPr>
                <w:rFonts w:ascii="Courier New" w:cs="Courier New" w:eastAsia="Courier New" w:hAnsi="Courier New"/>
                <w:sz w:val="15"/>
                <w:szCs w:val="15"/>
                <w:color w:val="auto"/>
              </w:rPr>
              <w:t>Loss</w:t>
            </w:r>
          </w:p>
        </w:tc>
        <w:tc>
          <w:tcPr>
            <w:tcW w:w="12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(125.6)%</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(238.8)%</w:t>
            </w:r>
          </w:p>
        </w:tc>
      </w:tr>
      <w:tr>
        <w:trPr>
          <w:trHeight w:val="170"/>
        </w:trPr>
        <w:tc>
          <w:tcPr>
            <w:tcW w:w="3600" w:type="dxa"/>
            <w:vAlign w:val="bottom"/>
          </w:tcPr>
          <w:p>
            <w:pPr>
              <w:spacing w:after="0"/>
              <w:rPr>
                <w:sz w:val="14"/>
                <w:szCs w:val="14"/>
                <w:color w:val="auto"/>
              </w:rPr>
            </w:pPr>
          </w:p>
        </w:tc>
        <w:tc>
          <w:tcPr>
            <w:tcW w:w="12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r>
    </w:tbl>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THREE MONTHS ENDED MARCH 31, 2006 COMPARED TO THREE MONTHS ENDED MARCH 31, 2005</w:t>
      </w:r>
    </w:p>
    <w:p>
      <w:pPr>
        <w:spacing w:after="0" w:line="350" w:lineRule="exact"/>
        <w:rPr>
          <w:sz w:val="20"/>
          <w:szCs w:val="20"/>
          <w:color w:val="auto"/>
        </w:rPr>
      </w:pPr>
    </w:p>
    <w:p>
      <w:pPr>
        <w:jc w:val="both"/>
        <w:ind w:right="3359" w:firstLine="441"/>
        <w:spacing w:after="0" w:line="237" w:lineRule="auto"/>
        <w:rPr>
          <w:sz w:val="20"/>
          <w:szCs w:val="20"/>
          <w:color w:val="auto"/>
        </w:rPr>
      </w:pPr>
      <w:r>
        <w:rPr>
          <w:rFonts w:ascii="Courier New" w:cs="Courier New" w:eastAsia="Courier New" w:hAnsi="Courier New"/>
          <w:sz w:val="15"/>
          <w:szCs w:val="15"/>
          <w:color w:val="auto"/>
        </w:rPr>
        <w:t>REVENUES. Revenues for the three months ended March 31, 2006 increased by 54.7% to $35.9 million from $23.2 million for the three months ended March 31, 2005. This $12.7 million increase was mainly attributable to higher volume of wafer shipments.</w:t>
      </w:r>
    </w:p>
    <w:p>
      <w:pPr>
        <w:spacing w:after="0" w:line="176" w:lineRule="exact"/>
        <w:rPr>
          <w:sz w:val="20"/>
          <w:szCs w:val="20"/>
          <w:color w:val="auto"/>
        </w:rPr>
      </w:pPr>
    </w:p>
    <w:p>
      <w:pPr>
        <w:ind w:right="3699" w:firstLine="441"/>
        <w:spacing w:after="0" w:line="265" w:lineRule="auto"/>
        <w:rPr>
          <w:sz w:val="20"/>
          <w:szCs w:val="20"/>
          <w:color w:val="auto"/>
        </w:rPr>
      </w:pPr>
      <w:r>
        <w:rPr>
          <w:rFonts w:ascii="Courier New" w:cs="Courier New" w:eastAsia="Courier New" w:hAnsi="Courier New"/>
          <w:sz w:val="14"/>
          <w:szCs w:val="14"/>
          <w:color w:val="auto"/>
        </w:rPr>
        <w:t>During the three months ended March 31, 2006, we had four significant customers who contributed between 11% and 18% to our revenues.</w:t>
      </w:r>
    </w:p>
    <w:p>
      <w:pPr>
        <w:spacing w:after="0" w:line="158" w:lineRule="exact"/>
        <w:rPr>
          <w:sz w:val="20"/>
          <w:szCs w:val="20"/>
          <w:color w:val="auto"/>
        </w:rPr>
      </w:pPr>
    </w:p>
    <w:p>
      <w:pPr>
        <w:ind w:right="3359" w:firstLine="441"/>
        <w:spacing w:after="0" w:line="237" w:lineRule="auto"/>
        <w:rPr>
          <w:sz w:val="20"/>
          <w:szCs w:val="20"/>
          <w:color w:val="auto"/>
        </w:rPr>
      </w:pPr>
      <w:r>
        <w:rPr>
          <w:rFonts w:ascii="Courier New" w:cs="Courier New" w:eastAsia="Courier New" w:hAnsi="Courier New"/>
          <w:sz w:val="15"/>
          <w:szCs w:val="15"/>
          <w:color w:val="auto"/>
        </w:rPr>
        <w:t>COST OF TOTAL REVENUES. Cost of total revenues for the three months ended March 31, 2006 amounted to $61.3 million, compared with $61.2 million for the three months ended March 31, 2005. This similar cost of revenues despite the 54.7% increase in sales is attributed mainly to cost reductions and efficiency measures taken by the Company.</w:t>
      </w:r>
    </w:p>
    <w:p>
      <w:pPr>
        <w:spacing w:after="0" w:line="178" w:lineRule="exact"/>
        <w:rPr>
          <w:sz w:val="20"/>
          <w:szCs w:val="20"/>
          <w:color w:val="auto"/>
        </w:rPr>
      </w:pPr>
    </w:p>
    <w:p>
      <w:pPr>
        <w:ind w:right="3259" w:firstLine="441"/>
        <w:spacing w:after="0" w:line="237" w:lineRule="auto"/>
        <w:rPr>
          <w:sz w:val="20"/>
          <w:szCs w:val="20"/>
          <w:color w:val="auto"/>
        </w:rPr>
      </w:pPr>
      <w:r>
        <w:rPr>
          <w:rFonts w:ascii="Courier New" w:cs="Courier New" w:eastAsia="Courier New" w:hAnsi="Courier New"/>
          <w:sz w:val="15"/>
          <w:szCs w:val="15"/>
          <w:color w:val="auto"/>
        </w:rPr>
        <w:t>GROSS LOSS. Gross loss for the three months ended March 31, 2006 was $25.4 million compared to a gross loss of $38.0 million for the three months ended March 31, 2005. The decrease in gross loss was mainly attributable to the increase in revenues and cost reductions and efficiency measures taken by the Company.</w:t>
      </w:r>
    </w:p>
    <w:p>
      <w:pPr>
        <w:spacing w:after="0" w:line="178"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RESEARCH AND DEVELOPMENT. Research and development expenses for the three months ended March 31, 2006 decreased to $3.4 million from $4.8 million for the three months ended March 31, 2005. The decrease was mainly attributable to cost reductions and efficiency measures taken by the Company. Research and development expenses are reflected net of participation grants received from the Israeli government ($0.4 million and $0.1 million, for the three months ended March 31, 2006 and 2005, respectively).</w:t>
      </w:r>
    </w:p>
    <w:p>
      <w:pPr>
        <w:spacing w:after="0" w:line="177" w:lineRule="exact"/>
        <w:rPr>
          <w:sz w:val="20"/>
          <w:szCs w:val="20"/>
          <w:color w:val="auto"/>
        </w:rPr>
      </w:pPr>
    </w:p>
    <w:p>
      <w:pPr>
        <w:ind w:right="3359" w:firstLine="441"/>
        <w:spacing w:after="0" w:line="237" w:lineRule="auto"/>
        <w:rPr>
          <w:sz w:val="20"/>
          <w:szCs w:val="20"/>
          <w:color w:val="auto"/>
        </w:rPr>
      </w:pPr>
      <w:r>
        <w:rPr>
          <w:rFonts w:ascii="Courier New" w:cs="Courier New" w:eastAsia="Courier New" w:hAnsi="Courier New"/>
          <w:sz w:val="15"/>
          <w:szCs w:val="15"/>
          <w:color w:val="auto"/>
        </w:rPr>
        <w:t>MARKETING, GENERAL AND ADMINISTRATIVE EXPENSES. Marketing, general and administrative expenses for the three months ended March 31, 2006 increased to $5.3 million from $4.5 million for the three months ended March 31, 2005, primarily due to increased activity.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right="3439" w:firstLine="441"/>
        <w:spacing w:after="0" w:line="237" w:lineRule="auto"/>
        <w:rPr>
          <w:sz w:val="20"/>
          <w:szCs w:val="20"/>
          <w:color w:val="auto"/>
        </w:rPr>
      </w:pPr>
      <w:r>
        <w:rPr>
          <w:rFonts w:ascii="Courier New" w:cs="Courier New" w:eastAsia="Courier New" w:hAnsi="Courier New"/>
          <w:sz w:val="15"/>
          <w:szCs w:val="15"/>
          <w:color w:val="auto"/>
        </w:rPr>
        <w:t>OPERATING LOSS. Operating loss for the three months ended March 31, 2006 was $34.1 million, compared to $47.3 million for the three months ended March 31, 2005. The decrease in the operating loss is attributable mainly to the decrease in the gross loss.</w:t>
      </w:r>
    </w:p>
    <w:p>
      <w:pPr>
        <w:spacing w:after="0" w:line="176" w:lineRule="exact"/>
        <w:rPr>
          <w:sz w:val="20"/>
          <w:szCs w:val="20"/>
          <w:color w:val="auto"/>
        </w:rPr>
      </w:pPr>
    </w:p>
    <w:p>
      <w:pPr>
        <w:ind w:right="3179" w:firstLine="441"/>
        <w:spacing w:after="0" w:line="258" w:lineRule="auto"/>
        <w:rPr>
          <w:sz w:val="20"/>
          <w:szCs w:val="20"/>
          <w:color w:val="auto"/>
        </w:rPr>
      </w:pPr>
      <w:r>
        <w:rPr>
          <w:rFonts w:ascii="Courier New" w:cs="Courier New" w:eastAsia="Courier New" w:hAnsi="Courier New"/>
          <w:sz w:val="14"/>
          <w:szCs w:val="14"/>
          <w:color w:val="auto"/>
        </w:rPr>
        <w:t>FINANCING EXPENSES, NET. Financing expenses, net for the three months ended March 31, 2006 were $11.5 million compared to financing expenses, net of $8.2 million for the three months ended March 31, 2005. This increase is mainly due to an increase of $2.6 million in connection with our Fab 2 credit facility agreement with our banks attributable mainly to an increase in LIBOR from an average of approximately 2.6% per annum for the three months ended March 31,</w:t>
      </w:r>
    </w:p>
    <w:p>
      <w:pPr>
        <w:sectPr>
          <w:pgSz w:w="11900" w:h="16838" w:orient="portrait"/>
          <w:cols w:equalWidth="0" w:num="1">
            <w:col w:w="10219"/>
          </w:cols>
          <w:pgMar w:left="240" w:top="305" w:right="1440" w:bottom="0" w:gutter="0" w:footer="0" w:header="0"/>
        </w:sectPr>
      </w:pPr>
    </w:p>
    <w:bookmarkStart w:id="25" w:name="page26"/>
    <w:bookmarkEnd w:id="25"/>
    <w:p>
      <w:pPr>
        <w:jc w:val="both"/>
        <w:ind w:right="3359"/>
        <w:spacing w:after="0" w:line="237" w:lineRule="auto"/>
        <w:rPr>
          <w:sz w:val="20"/>
          <w:szCs w:val="20"/>
          <w:color w:val="auto"/>
        </w:rPr>
      </w:pPr>
      <w:r>
        <w:rPr>
          <w:rFonts w:ascii="Courier New" w:cs="Courier New" w:eastAsia="Courier New" w:hAnsi="Courier New"/>
          <w:sz w:val="15"/>
          <w:szCs w:val="15"/>
          <w:color w:val="auto"/>
        </w:rPr>
        <w:t>2005 to an average of approximately 4.5% per annum for the three months ended March 31, 2006 (under the current Facility Agreement, our long-term loans bear interest at a rate of LIBOR + 2.5% per annum).</w:t>
      </w:r>
    </w:p>
    <w:p>
      <w:pPr>
        <w:spacing w:after="0" w:line="175"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OTHER INCOME, NET. Other income, net, for the three months ended March 31,</w:t>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2006 was $0.6 million compared to $0.2 million for the three months ended March</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31, 2005.</w:t>
      </w:r>
    </w:p>
    <w:p>
      <w:pPr>
        <w:spacing w:after="0" w:line="175" w:lineRule="exact"/>
        <w:rPr>
          <w:sz w:val="20"/>
          <w:szCs w:val="20"/>
          <w:color w:val="auto"/>
        </w:rPr>
      </w:pPr>
    </w:p>
    <w:p>
      <w:pPr>
        <w:ind w:right="3179" w:firstLine="441"/>
        <w:spacing w:after="0" w:line="237" w:lineRule="auto"/>
        <w:rPr>
          <w:sz w:val="20"/>
          <w:szCs w:val="20"/>
          <w:color w:val="auto"/>
        </w:rPr>
      </w:pPr>
      <w:r>
        <w:rPr>
          <w:rFonts w:ascii="Courier New" w:cs="Courier New" w:eastAsia="Courier New" w:hAnsi="Courier New"/>
          <w:sz w:val="15"/>
          <w:szCs w:val="15"/>
          <w:color w:val="auto"/>
        </w:rPr>
        <w:t>LOSS. Our loss for the three months ended March 31, 2006 was $45.1 million, compared to $55.3 million for the three months ended March 31, 2005. This decrease is primarily attributable to the decrease in the operating loss of $13.3 million offset by the increase in financing expenses of $3.3 million.</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IMPACT OF INFLATION AND CURRENCY FLUCTUATIONS</w:t>
      </w:r>
    </w:p>
    <w:p>
      <w:pPr>
        <w:spacing w:after="0" w:line="175" w:lineRule="exact"/>
        <w:rPr>
          <w:sz w:val="20"/>
          <w:szCs w:val="20"/>
          <w:color w:val="auto"/>
        </w:rPr>
      </w:pPr>
    </w:p>
    <w:p>
      <w:pPr>
        <w:ind w:right="3259" w:firstLine="441"/>
        <w:spacing w:after="0" w:line="238" w:lineRule="auto"/>
        <w:rPr>
          <w:sz w:val="20"/>
          <w:szCs w:val="20"/>
          <w:color w:val="auto"/>
        </w:rPr>
      </w:pPr>
      <w:r>
        <w:rPr>
          <w:rFonts w:ascii="Courier New" w:cs="Courier New" w:eastAsia="Courier New" w:hAnsi="Courier New"/>
          <w:sz w:val="15"/>
          <w:szCs w:val="15"/>
          <w:color w:val="auto"/>
        </w:rPr>
        <w:t>The dollar cost of our operations in Israel is influenced by the timing of any change in the rate of inflation in Israel and the extent to which such change is not offset by the change in valuation of the NIS in relation to the dollar. During the three months ended March 31, 2006, the exchange rate of the dollar in relation to the NIS increased by 1.4%, and the Israeli Consumer Price Index, or CPI, increased by 0.6% (during the three months ended March 31, 2005 there was an increase of 1.2% in the exchange rate of the dollar in relation to the NIS and a decrease of 0.6% in the CPI).</w:t>
      </w:r>
    </w:p>
    <w:p>
      <w:pPr>
        <w:spacing w:after="0" w:line="178" w:lineRule="exact"/>
        <w:rPr>
          <w:sz w:val="20"/>
          <w:szCs w:val="20"/>
          <w:color w:val="auto"/>
        </w:rPr>
      </w:pPr>
    </w:p>
    <w:p>
      <w:pPr>
        <w:ind w:right="3179" w:firstLine="441"/>
        <w:spacing w:after="0" w:line="237" w:lineRule="auto"/>
        <w:rPr>
          <w:sz w:val="20"/>
          <w:szCs w:val="20"/>
          <w:color w:val="auto"/>
        </w:rPr>
      </w:pPr>
      <w:r>
        <w:rPr>
          <w:rFonts w:ascii="Courier New" w:cs="Courier New" w:eastAsia="Courier New" w:hAnsi="Courier New"/>
          <w:sz w:val="15"/>
          <w:szCs w:val="15"/>
          <w:color w:val="auto"/>
        </w:rPr>
        <w:t>We believe that the rate of inflation in Israel has not had a material effect on our business to date. However, our dollar costs will increase if inflation in Israel exceeds the devaluation of the NIS against the dollar, or if the timing of such devaluation lags behind inflation in Israel.</w:t>
      </w:r>
    </w:p>
    <w:p>
      <w:pPr>
        <w:spacing w:after="0" w:line="176" w:lineRule="exact"/>
        <w:rPr>
          <w:sz w:val="20"/>
          <w:szCs w:val="20"/>
          <w:color w:val="auto"/>
        </w:rPr>
      </w:pPr>
    </w:p>
    <w:p>
      <w:pPr>
        <w:ind w:right="3179" w:firstLine="441"/>
        <w:spacing w:after="0" w:line="259" w:lineRule="auto"/>
        <w:rPr>
          <w:sz w:val="20"/>
          <w:szCs w:val="20"/>
          <w:color w:val="auto"/>
        </w:rPr>
      </w:pPr>
      <w:r>
        <w:rPr>
          <w:rFonts w:ascii="Courier New" w:cs="Courier New" w:eastAsia="Courier New" w:hAnsi="Courier New"/>
          <w:sz w:val="14"/>
          <w:szCs w:val="14"/>
          <w:color w:val="auto"/>
        </w:rPr>
        <w:t>Almost all of the cash generated from our operations and from our financing and investing activities is denominated in U.S. dollars and NIS. Our expenses and costs are denominated in NIS, U.S. dollars, Japanese Yen and Euros. We are, therefore, exposed to the risk of currency exchange rate fluctuations.</w:t>
      </w:r>
    </w:p>
    <w:p>
      <w:pPr>
        <w:spacing w:after="0" w:line="15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LIQUIDITY AND CAPITAL RESOURCES</w:t>
      </w:r>
    </w:p>
    <w:p>
      <w:pPr>
        <w:spacing w:after="0" w:line="175" w:lineRule="exact"/>
        <w:rPr>
          <w:sz w:val="20"/>
          <w:szCs w:val="20"/>
          <w:color w:val="auto"/>
        </w:rPr>
      </w:pPr>
    </w:p>
    <w:p>
      <w:pPr>
        <w:ind w:right="3259" w:firstLine="441"/>
        <w:spacing w:after="0" w:line="238" w:lineRule="auto"/>
        <w:rPr>
          <w:sz w:val="20"/>
          <w:szCs w:val="20"/>
          <w:color w:val="auto"/>
        </w:rPr>
      </w:pPr>
      <w:r>
        <w:rPr>
          <w:rFonts w:ascii="Courier New" w:cs="Courier New" w:eastAsia="Courier New" w:hAnsi="Courier New"/>
          <w:sz w:val="15"/>
          <w:szCs w:val="15"/>
          <w:color w:val="auto"/>
        </w:rPr>
        <w:t>As of March 31, 2006, we had an aggregate of $32.7 million in cash, cash equivalents, and short-term interest-bearing deposits, of which $15.1 million was contractually restricted for Fab 2 use only. This compares to $52.1 million we had as of March 31, 2005 in cash, cash equivalents, and short-term interest-bearing deposits, of which $5.0 million was contractually restricted for Fab 2 use only and $12.6 million was contractually restricted for exclusive use in the Siliconix project. In addition, as of March 31, 2005, we had $5.1 million in long-term interest-bearing deposits which was contractually restricted for Fab 2 use only.</w:t>
      </w:r>
    </w:p>
    <w:p>
      <w:pPr>
        <w:spacing w:after="0" w:line="179"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During the three months ended March 31, 2006, we received $8.6 million from bank loans, $22.2 million in proceeds from the issuance of convertible debentures, net, $0.9 million from Investment Center grants and $0.6 million in proceeds from the sale and disposal of property and equipment. These liquidity resources partially financed our operating activities (net amount of $15.1 million), our investments made during the three months ended March 31, 2006, which aggregated to $16.9 million, mainly in connection with the construction, purchase and installation of equipment and other assets for Fab 2 and repayment of convertible debentures in the amount of $6.5 million.</w:t>
      </w:r>
    </w:p>
    <w:p>
      <w:pPr>
        <w:spacing w:after="0" w:line="179"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As of March 31, 2006, we had long-term loans in the amount of $526.7 million we obtained in connection with the establishment of Fab 2 (presented in the balance sheet net of $11.7 million deferred financing charges). As of such date, we had convertible debentures in the aggregate of $59.4 million, of which $5.7 million are presented as current maturities and $19.2 million are presented as equity component of the convertible debentures as part of the shareholders' equity.</w:t>
      </w:r>
    </w:p>
    <w:sectPr>
      <w:pgSz w:w="11900" w:h="16838" w:orient="portrait"/>
      <w:cols w:equalWidth="0" w:num="1">
        <w:col w:w="10219"/>
      </w:cols>
      <w:pgMar w:left="240" w:top="14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5BD062C2"/>
    <w:multiLevelType w:val="hybridMultilevel"/>
    <w:lvl w:ilvl="0">
      <w:lvlJc w:val="left"/>
      <w:lvlText w:val="%1."/>
      <w:numFmt w:val="upperLetter"/>
      <w:start w:val="1"/>
    </w:lvl>
    <w:lvl w:ilvl="1">
      <w:lvlJc w:val="left"/>
      <w:lvlText w:val="(%2)"/>
      <w:numFmt w:val="decimal"/>
      <w:start w:val="1"/>
    </w:lvl>
    <w:lvl w:ilvl="2">
      <w:lvlJc w:val="left"/>
      <w:lvlText w:val="%3."/>
      <w:numFmt w:val="upperLetter"/>
      <w:start w:val="1"/>
    </w:lvl>
    <w:lvl w:ilvl="3">
      <w:lvlJc w:val="left"/>
      <w:lvlText w:val="-"/>
      <w:numFmt w:val="bullet"/>
      <w:start w:val="1"/>
    </w:lvl>
  </w:abstractNum>
  <w:abstractNum w:abstractNumId="1">
    <w:nsid w:val="12200854"/>
    <w:multiLevelType w:val="hybridMultilevel"/>
    <w:lvl w:ilvl="0">
      <w:lvlJc w:val="left"/>
      <w:lvlText w:val="%1."/>
      <w:numFmt w:val="upperLetter"/>
      <w:start w:val="1"/>
    </w:lvl>
    <w:lvl w:ilvl="1">
      <w:lvlJc w:val="left"/>
      <w:lvlText w:val="(%2)"/>
      <w:numFmt w:val="decimal"/>
      <w:start w:val="3"/>
    </w:lvl>
    <w:lvl w:ilvl="2">
      <w:lvlJc w:val="left"/>
      <w:lvlText w:val="%3."/>
      <w:numFmt w:val="upperLetter"/>
      <w:start w:val="1"/>
    </w:lvl>
    <w:lvl w:ilvl="3">
      <w:lvlJc w:val="left"/>
      <w:lvlText w:val="-"/>
      <w:numFmt w:val="bullet"/>
      <w:start w:val="1"/>
    </w:lvl>
  </w:abstractNum>
  <w:abstractNum w:abstractNumId="2">
    <w:nsid w:val="4DB127F8"/>
    <w:multiLevelType w:val="hybridMultilevel"/>
    <w:lvl w:ilvl="0">
      <w:lvlJc w:val="left"/>
      <w:lvlText w:val="%1."/>
      <w:numFmt w:val="upperLetter"/>
      <w:start w:val="1"/>
    </w:lvl>
    <w:lvl w:ilvl="1">
      <w:lvlJc w:val="left"/>
      <w:lvlText w:val="(%2)"/>
      <w:numFmt w:val="decimal"/>
      <w:start w:val="3"/>
    </w:lvl>
    <w:lvl w:ilvl="2">
      <w:lvlJc w:val="left"/>
      <w:lvlText w:val="%3."/>
      <w:numFmt w:val="upperLetter"/>
      <w:start w:val="3"/>
    </w:lvl>
    <w:lvl w:ilvl="3">
      <w:lvlJc w:val="left"/>
      <w:lvlText w:val="-"/>
      <w:numFmt w:val="bullet"/>
      <w:start w:val="1"/>
    </w:lvl>
  </w:abstractNum>
  <w:abstractNum w:abstractNumId="3">
    <w:nsid w:val="216231B"/>
    <w:multiLevelType w:val="hybridMultilevel"/>
    <w:lvl w:ilvl="0">
      <w:lvlJc w:val="left"/>
      <w:lvlText w:val="%1."/>
      <w:numFmt w:val="upperLetter"/>
      <w:start w:val="3"/>
    </w:lvl>
    <w:lvl w:ilvl="1">
      <w:lvlJc w:val="left"/>
      <w:lvlText w:val="-"/>
      <w:numFmt w:val="bullet"/>
      <w:start w:val="1"/>
    </w:lvl>
  </w:abstractNum>
  <w:abstractNum w:abstractNumId="4">
    <w:nsid w:val="1F16E9E8"/>
    <w:multiLevelType w:val="hybridMultilevel"/>
    <w:lvl w:ilvl="0">
      <w:lvlJc w:val="left"/>
      <w:lvlText w:val="%1."/>
      <w:numFmt w:val="upperLetter"/>
      <w:start w:val="3"/>
    </w:lvl>
  </w:abstractNum>
  <w:abstractNum w:abstractNumId="5">
    <w:nsid w:val="1190CDE7"/>
    <w:multiLevelType w:val="hybridMultilevel"/>
    <w:lvl w:ilvl="0">
      <w:lvlJc w:val="left"/>
      <w:lvlText w:val="(*)"/>
      <w:numFmt w:val="bullet"/>
      <w:start w:val="1"/>
    </w:lvl>
    <w:lvl w:ilvl="1">
      <w:lvlJc w:val="left"/>
      <w:lvlText w:val="-"/>
      <w:numFmt w:val="bullet"/>
      <w:start w:val="1"/>
    </w:lvl>
  </w:abstractNum>
  <w:abstractNum w:abstractNumId="6">
    <w:nsid w:val="66EF438D"/>
    <w:multiLevelType w:val="hybridMultilevel"/>
    <w:lvl w:ilvl="0">
      <w:lvlJc w:val="left"/>
      <w:lvlText w:val="%1."/>
      <w:numFmt w:val="upperLetter"/>
      <w:start w:val="1"/>
    </w:lvl>
    <w:lvl w:ilvl="1">
      <w:lvlJc w:val="left"/>
      <w:lvlText w:val="-"/>
      <w:numFmt w:val="bullet"/>
      <w:start w:val="1"/>
    </w:lvl>
  </w:abstractNum>
  <w:abstractNum w:abstractNumId="7">
    <w:nsid w:val="140E0F76"/>
    <w:multiLevelType w:val="hybridMultilevel"/>
    <w:lvl w:ilvl="0">
      <w:lvlJc w:val="left"/>
      <w:lvlText w:val="%1."/>
      <w:numFmt w:val="upperLetter"/>
      <w:start w:val="2"/>
    </w:lvl>
    <w:lvl w:ilvl="1">
      <w:lvlJc w:val="left"/>
      <w:lvlText w:val="-"/>
      <w:numFmt w:val="bullet"/>
      <w:start w:val="1"/>
    </w:lvl>
  </w:abstractNum>
  <w:abstractNum w:abstractNumId="8">
    <w:nsid w:val="3352255A"/>
    <w:multiLevelType w:val="hybridMultilevel"/>
    <w:lvl w:ilvl="0">
      <w:lvlJc w:val="left"/>
      <w:lvlText w:val="%1."/>
      <w:numFmt w:val="upperLetter"/>
      <w:start w:val="1"/>
    </w:lvl>
    <w:lvl w:ilvl="1">
      <w:lvlJc w:val="left"/>
      <w:lvlText w:val="(%2)"/>
      <w:numFmt w:val="decimal"/>
      <w:start w:val="1"/>
    </w:lvl>
    <w:lvl w:ilvl="2">
      <w:lvlJc w:val="left"/>
      <w:lvlText w:val="-"/>
      <w:numFmt w:val="bullet"/>
      <w:start w:val="1"/>
    </w:lvl>
  </w:abstractNum>
  <w:abstractNum w:abstractNumId="9">
    <w:nsid w:val="109CF92E"/>
    <w:multiLevelType w:val="hybridMultilevel"/>
    <w:lvl w:ilvl="0">
      <w:lvlJc w:val="left"/>
      <w:lvlText w:val="%1."/>
      <w:numFmt w:val="upperLetter"/>
      <w:start w:val="3"/>
    </w:lvl>
    <w:lvl w:ilvl="1">
      <w:lvlJc w:val="left"/>
      <w:lvlText w:val="-"/>
      <w:numFmt w:val="bullet"/>
      <w:start w:val="1"/>
    </w:lvl>
  </w:abstractNum>
  <w:abstractNum w:abstractNumId="10">
    <w:nsid w:val="DED7263"/>
    <w:multiLevelType w:val="hybridMultilevel"/>
    <w:lvl w:ilvl="0">
      <w:lvlJc w:val="left"/>
      <w:lvlText w:val="%1."/>
      <w:numFmt w:val="upperLetter"/>
      <w:start w:val="3"/>
    </w:lvl>
  </w:abstractNum>
  <w:abstractNum w:abstractNumId="11">
    <w:nsid w:val="7FDCC233"/>
    <w:multiLevelType w:val="hybridMultilevel"/>
    <w:lvl w:ilvl="0">
      <w:lvlJc w:val="left"/>
      <w:lvlText w:val="%1."/>
      <w:numFmt w:val="upperLetter"/>
      <w:start w:val="1"/>
    </w:lvl>
    <w:lvl w:ilvl="1">
      <w:lvlJc w:val="left"/>
      <w:lvlText w:val="(%2)"/>
      <w:numFmt w:val="decimal"/>
      <w:start w:val="4"/>
    </w:lvl>
    <w:lvl w:ilvl="2">
      <w:lvlJc w:val="left"/>
      <w:lvlText w:val="-"/>
      <w:numFmt w:val="bullet"/>
      <w:start w:val="1"/>
    </w:lvl>
  </w:abstractNum>
  <w:abstractNum w:abstractNumId="12">
    <w:nsid w:val="1BEFD79F"/>
    <w:multiLevelType w:val="hybridMultilevel"/>
    <w:lvl w:ilvl="0">
      <w:lvlJc w:val="left"/>
      <w:lvlText w:val="%1."/>
      <w:numFmt w:val="upperLetter"/>
      <w:start w:val="2"/>
    </w:lvl>
    <w:lvl w:ilvl="1">
      <w:lvlJc w:val="left"/>
      <w:lvlText w:val="-"/>
      <w:numFmt w:val="bullet"/>
      <w:start w:val="1"/>
    </w:lvl>
  </w:abstractNum>
  <w:abstractNum w:abstractNumId="13">
    <w:nsid w:val="41A7C4C9"/>
    <w:multiLevelType w:val="hybridMultilevel"/>
    <w:lvl w:ilvl="0">
      <w:lvlJc w:val="left"/>
      <w:lvlText w:val="%1."/>
      <w:numFmt w:val="upperLetter"/>
      <w:start w:val="6"/>
    </w:lvl>
    <w:lvl w:ilvl="1">
      <w:lvlJc w:val="left"/>
      <w:lvlText w:val="-"/>
      <w:numFmt w:val="bullet"/>
      <w:start w:val="1"/>
    </w:lvl>
  </w:abstractNum>
  <w:abstractNum w:abstractNumId="14">
    <w:nsid w:val="6B68079A"/>
    <w:multiLevelType w:val="hybridMultilevel"/>
    <w:lvl w:ilvl="0">
      <w:lvlJc w:val="left"/>
      <w:lvlText w:val="%1."/>
      <w:numFmt w:val="upperLetter"/>
      <w:start w:val="9"/>
    </w:lvl>
  </w:abstractNum>
  <w:abstractNum w:abstractNumId="15">
    <w:nsid w:val="4E6AFB66"/>
    <w:multiLevelType w:val="hybridMultilevel"/>
    <w:lvl w:ilvl="0">
      <w:lvlJc w:val="left"/>
      <w:lvlText w:val="K"/>
      <w:numFmt w:val="bullet"/>
      <w:start w:val="1"/>
    </w:lvl>
  </w:abstractNum>
  <w:abstractNum w:abstractNumId="16">
    <w:nsid w:val="25E45D32"/>
    <w:multiLevelType w:val="hybridMultilevel"/>
    <w:lvl w:ilvl="0">
      <w:lvlJc w:val="left"/>
      <w:lvlText w:val="%1."/>
      <w:numFmt w:val="upperLetter"/>
      <w:start w:val="12"/>
    </w:lvl>
    <w:lvl w:ilvl="1">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2019-12-14T03:30:00Z</dcterms:created>
  <dcterms:modified xsi:type="dcterms:W3CDTF">2019-12-14T03:30:00Z</dcterms:modified>
</cp:coreProperties>
</file>