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May 2026 No. 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1" w:name="page2"/>
    <w:bookmarkEnd w:id="1"/>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Registrant will hold its Annual General Meeting of Shareholders on July 2, 2026 at 3 p.m. (Israel time) at the Registrant’s offices in Migdal Haemek, Israel. In connection with the meeting, the Registrant will mail to holders of record of the Registrant’s ordinary shares, as of the close of business on May 26, 2026 (i) a Notice of Annual General Meeting and Proxy Statement and (ii) a Proxy Card.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Attached hereto as Exhibits </w:t>
      </w: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99.2</w:t>
      </w:r>
      <w:r>
        <w:rPr>
          <w:rFonts w:ascii="Times New Roman" w:cs="Times New Roman" w:eastAsia="Times New Roman" w:hAnsi="Times New Roman"/>
          <w:sz w:val="18"/>
          <w:szCs w:val="18"/>
          <w:color w:val="auto"/>
        </w:rPr>
        <w:t xml:space="preserve"> are, respectively, the (i) Notice of Annual General Meeting and Proxy Statement and (ii)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7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191"/>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324"/>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r>
        <w:trPr>
          <w:trHeight w:val="82"/>
        </w:trPr>
        <w:tc>
          <w:tcPr>
            <w:tcW w:w="354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51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Exhibt 99.1</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4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To be Held on July 2, 2026</w:t>
      </w:r>
    </w:p>
    <w:p>
      <w:pPr>
        <w:spacing w:after="0" w:line="2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Notice is hereby given that the Annual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the shareholders of 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the offices of the Company, 20 Shaul Amor Street, Ramat Gavriel Industrial Park, Migdal Haemek 2310502, Israel, on Thursday, July 2, 2026, at 3:00 p.m. (Israel time) for the following purposes:</w:t>
      </w:r>
    </w:p>
    <w:p>
      <w:pPr>
        <w:spacing w:after="0" w:line="174" w:lineRule="exact"/>
        <w:rPr>
          <w:sz w:val="20"/>
          <w:szCs w:val="20"/>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ten members to the Board of Directors of the Company to serve until the next annual general meeting of shareholders and until their respective successors are duly elected and to approve the terms of their cash compensation in such capacity (other than Mr. Amir Elstein, whose compensation is addressed in Proposal 2, and Mr. Russell Ellwanger, whose annual base salary is addressed in Proposal 4);</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Mr. Amir Elstein as the Chairman of the Board of Directors to serve until the next annual meeting of shareholders and until his successor is duly appointed and approve the terms of his compensation in such capacity, subject to approval of his election to the Board of Directors under Proposal 1;</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amended and restated compensation policy for the Company’s directors and executive officers, in accordance with the requirements of the Israeli Companies Law, 1999;</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annual base salary of Mr. Russell Ellwanger, the Company’s Chief Executive Officer;</w:t>
      </w:r>
    </w:p>
    <w:p>
      <w:pPr>
        <w:spacing w:after="0" w:line="23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an annual equity-based award to Mr. Russell Ellwanger, the Company’s Chief Executive Officer, comprised of restricted share units and performance share units;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an annual equity-based award to each member of the Board of Directors serving in such capacity immediately following the Meeting (other than Mr. Amir Elstein and Mr. Russell Ellwanger, whose annual equity-based compensation is addressed in Proposals 2 and 5, respectively); and</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Brightman Almagor Zohar &amp; Co., Certified Public Accountants, a firm in the Deloitte Global Network, as the independent registered public accountants of the Company for the year ending December 31, 2026, and for the period commencing January 1, 2027 and until the next annual shareholders’ meeting, and to further authorize the Audit Committee of the Board of Directors to determine the remuneration of such firm in accordance with the volume and nature of its services.</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addition, at the Meeting, shareholders will have an opportunity to hear from representatives of the Company’s management, who will be available at the Meeting to review and discuss with shareholders the consolidated financial statements of the Company for the year ended December 31, 2025.</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each of the proposals, which are described in the attached Proxy Statement.</w:t>
      </w:r>
    </w:p>
    <w:p>
      <w:pPr>
        <w:spacing w:after="0" w:line="23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Shareholders of record at the close of business on May 26,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vote at the Meeting. You are also entitled to vote at the Meeting if you hold ordinary shares through a bank, broker or other nominee which is one of our shareholders of record at the close of business on the Record Date or which appears in the participant listing of a securities depository on that date, and the shares are held through a member of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on that date. All shareholders are cordially invited to attend the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Shareholders of record at the close of business on the Record Date who do not expect to attend the Meeting in person are requested to mark, date, sign and mail the enclosed proxy as promptly as possible in the enclosed stamped envelope. If you are a beneficial owner of shares (i.e., you hold shares in “street name”), to provide instructions to your brokerage firm, bank or other similar organization by mail,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Shareholders who hold their shares through members of the TASE may vote their shares (i) in person at the Meeting, by presenting a certificate signed by the applicable TASE member, which complies with the Israel Companies Regulations (Proof of Ownership for Voting in General Meetings), 2000 as proof of ownership of the shares; (ii) via proxy, by sending such certificate of ownership together with a duly executed proxy to the Company at 20 Shaul Amor Street, Ramat Gavriel Industrial Park, Post Office Box 619, Migdal Haemek 2310502, Israel, Attention: Corporate Counsel; or (iii) electronically, via the electronic voting system of the Israel Securities Authority after receiving a personal identifying number, an access code and additional information regarding the Meeting from the member of the TASE through which they hold their shares and after carrying out a secured identification process, up to six hours before the time set for the Meeting.</w:t>
      </w:r>
    </w:p>
    <w:p>
      <w:pPr>
        <w:spacing w:after="0" w:line="19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The last date for submitting a request to include a proposal in accordance with Section 66(b) of the Israeli Companies Law, 1999 and regulations promulgated thereunder is May 28, 2026. The proposals and information regarding voting are described more fully in the enclosed proxy statement relating to the Meeting, which we urge you to read in its entirety. The proxy statement will be furnished to the U.S. Securities and Exchange Commission as an exhibit to Form 6-K and will be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will also be filed with the Israel Securities Authority and the TASE and will be available on their websites at www.magna.isa.gov.il and maya.tase.co.il, respectively.</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Elstein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21, 2026</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Shaul Amor Street, Ramat Gavriel Industrial Park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Migdal Haemek 2310502, Israel</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To be Held on July 2, 2026</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is being furnished to the holders of ordinary shares, par value NIS 15.00 per share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Tower Semiconductor Ltd.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in connection with the solicitation of proxies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use at the Annual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at the offices of the Company, 20 Shaul Amor Street, Ramat Gavriel Industrial Park, Migdal Haemek 2310502, Israel, on Thursday, July 2, 2026 at 3:00 p.m. (Israel time), or at any postponement or adjournment thereof.</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You are entitled to vote at the Meeting if you are a shareholder of record at the close of business on May 26,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You are also entitled to vote at the Meeting if you hold Ordinary Shares through a bank, broker or other nominee which is one of our shareholders of record at the close of business on the Record Date or which appears in the participant listing of a securities depository on that date and the Ordinary Shares are held through a member of the Tel 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on that date. You can vote your Ordinary Shares by attending the Meeting or by following the instructions under “How You Can Vote” below. Our Board urges you to vote your Ordinary Shares so that they will be counted at the Meeting or at any postponements or adjournments of the Meeting.</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This Proxy Statement, and the accompanying Notice of Annual General Meeting of Shareholders describing the various matters to be voted upon at the Meeting along with a proxy card enabling the shareholders to indicate their vote on each matter, are being furnished to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as an exhibit to Form 6-K and is available on the Commission’s website at www.sec.gov. This Proxy Statement and the accompanying Notice of Annual General Meeting of Shareholders was also filed with the Israel Securities Authority (“</w:t>
      </w:r>
      <w:r>
        <w:rPr>
          <w:rFonts w:ascii="Times New Roman" w:cs="Times New Roman" w:eastAsia="Times New Roman" w:hAnsi="Times New Roman"/>
          <w:sz w:val="18"/>
          <w:szCs w:val="18"/>
          <w:b w:val="1"/>
          <w:bCs w:val="1"/>
          <w:color w:val="auto"/>
        </w:rPr>
        <w:t>ISA</w:t>
      </w:r>
      <w:r>
        <w:rPr>
          <w:rFonts w:ascii="Times New Roman" w:cs="Times New Roman" w:eastAsia="Times New Roman" w:hAnsi="Times New Roman"/>
          <w:sz w:val="18"/>
          <w:szCs w:val="18"/>
          <w:color w:val="auto"/>
        </w:rPr>
        <w:t>”) and the TASE and is available on their websites at www.magna.isa.gov.il and maya.tase.co.il, respectively. This Proxy Statement will also be available on our website www.towersemi.com.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Shareholders of record can vote either in person at the Meeting or by authorizing another person as their proxy (whether or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attend the Meeting), by completing, dating, signing and returning your proxy card in the postage-paid envelope provided. These proxy materials are being sent directly to shareholders of record. All Ordinary Shares represented by a properly executed proxy in the form enclosed received prior to the Meeting (that is not revoked in accordance with procedures described in this Proxy Statement), will be voted in accordance with the instructions of the shareholder executing the proxy. A shareholder may vote in favor of, against, or may abstain from voting on, the election of each of the director nominees and the terms of their cash compensation and any of the other proposals set forth in this Proxy Statement and accompanying Notice of Meeting. Shareholders should specify their choices on the accompanying proxy card. If no specific instructions are given with respect to the matters to be acted upon, the shares represented by a properly signed proxy will be voted FOR the election of each of the director nominees and their compensation under Proposal 1 and FOR all of the other proposals set forth in the accompanying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Beneficial Holders</w:t>
      </w:r>
      <w:r>
        <w:rPr>
          <w:rFonts w:ascii="Times New Roman" w:cs="Times New Roman" w:eastAsia="Times New Roman" w:hAnsi="Times New Roman"/>
          <w:sz w:val="18"/>
          <w:szCs w:val="18"/>
          <w:color w:val="auto"/>
        </w:rPr>
        <w:t>. If you are a beneficial owner of shares (i.e., you hold shares in “street name”), these proxy materials are being forwarded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together with a voting instruction form by the broker, trustee or nominee or an agent hired by the broker, trustee or nominee.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To vote your shares directly at the Meeting, as a beneficial holder you must obtain a “legal proxy” from the broker, trustee or nominee that holds your Ordinary Shares, giving you the right to vote the shares at the Meeting.</w:t>
      </w:r>
    </w:p>
    <w:p>
      <w:pPr>
        <w:spacing w:after="0" w:line="18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Shares Traded on the TASE</w:t>
      </w:r>
      <w:r>
        <w:rPr>
          <w:rFonts w:ascii="Times New Roman" w:cs="Times New Roman" w:eastAsia="Times New Roman" w:hAnsi="Times New Roman"/>
          <w:sz w:val="18"/>
          <w:szCs w:val="18"/>
          <w:color w:val="auto"/>
        </w:rPr>
        <w:t>. A shareholder whose shares are registered with a TASE member and are not registered on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register may vote in person at the Meeting or via proxy. Shareholders who hold shares through a TASE member are entitled to receive from the TASE member who holds the shares on the shareholder’s behalf, by e-mail, for no charge, a link to the text of the proxy card, unless the shareholder has given notice that he or she or it is not so interested or is interested in receiving the proxy card by mail for a delivery fee, provided that these instructions must apply to the entire securities account of the shareholder (not to specific securities held within the account) and are provided prior to the Record Date. Shareholders who hold shares through members of the TASE (whether attending the Meeting in person or voting via proxy) must present at the Meeting or deliver to the Company an ownership certificate issued by the applicable TASE member confirming their ownership of our Ordinary Shares as of the Record Date, as required by the Israeli Companies Regulations (Proof of Ownership of Shares for Voting at General Meeting) of 2000, as amended. Alternatively, shareholders who hold Ordinary Shares through a TASE member may also vote electronically via the electronic voting system of the ISA (the “</w:t>
      </w:r>
      <w:r>
        <w:rPr>
          <w:rFonts w:ascii="Times New Roman" w:cs="Times New Roman" w:eastAsia="Times New Roman" w:hAnsi="Times New Roman"/>
          <w:sz w:val="18"/>
          <w:szCs w:val="18"/>
          <w:b w:val="1"/>
          <w:bCs w:val="1"/>
          <w:color w:val="auto"/>
        </w:rPr>
        <w:t>Electronic System</w:t>
      </w:r>
      <w:r>
        <w:rPr>
          <w:rFonts w:ascii="Times New Roman" w:cs="Times New Roman" w:eastAsia="Times New Roman" w:hAnsi="Times New Roman"/>
          <w:sz w:val="18"/>
          <w:szCs w:val="18"/>
          <w:color w:val="auto"/>
        </w:rPr>
        <w:t>”) after receiving a personal identifying number, an access code and additional information regarding the Meeting from the relevant TASE member and after carrying out a secured identification process, up to six hours before the time set for the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and Solicitation</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proxy materials and the solicitation of proxies. We will, upon request, reimburse banks, brokerage houses, other institutions, nominees, and fiduciaries for their reasonable expenses in forwarding solicitation materials to beneficial owners.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or Revocation of Proxy</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shareholder of record at the close of business on the Record Date returning the accompanying proxy may revoke such proxy at any time prior to the Meeting by: (i) 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If your shares are held in “street name,” you should follow the directions of, or contact, your broker, bank, trustee or nominee if you wish to revoke or modify previously submitted voting instructions or, if you have obtained a legal proxy from your broker, bank, trustee or nominee giving you the right to vote your shares, by attending the Meeting and voting in person.</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your shares are held through a member of the TASE, you may change your voting instructions (i) by attending the Meeting and voting in person, by presenting a valid ownership certificate (as of the Record Date); (ii) by delivering a later-dated duly executed proxy, together with a valid ownership certificate (as of the Record Date), to the Company’s offices, or (iii) by following the relevant instructions for changing your vote via the Electronic System by no later than six hours before the time set for the Meeting.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Two or more shareholders present, in person, by proxy or voting instruction form or voting via the Electronic System, who hold or represent together at least 33% of the voting rights of our issued share capital will constitute a quorum for the Meeting. If within half an hour of the time scheduled for the Meeting a quorum is not present, the Meeting shall stand adjourned for one week, to July 9, 2026, at the same hour and place, without it being necessary to notify the shareholders. If a quorum is not present at the adjourned Meeting within half an hour of the scheduled time, the persons present, in person, by proxy or voting instruction form or voting via the Electronic System (regardless of the voting power represented by their shares), shall collectively constitute a quorum.</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permitted to vote on “routine” matters (such as the appointment of directors and the Chairman of the Board of Directors), but not on non-routine matters (such as the approval of the amended and restated compensation policy). Unsigned or unreturned proxies, including those not returned by banks, brokers, or other record holders, will not be counted for quorum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 of the Proposals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Ordinary Share is entitled to one vote on each matter to be voted on at the Meeting.</w:t>
      </w:r>
    </w:p>
    <w:p>
      <w:pPr>
        <w:spacing w:after="0" w:line="25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at the Meeting and voting on the matter, in person or by proxy, voting instruction form or via the Electronic System, is required to elect each of the director nominees and approve their cash compensation under Proposal 1 and to approve each of the other proposals.</w:t>
      </w:r>
    </w:p>
    <w:p>
      <w:pPr>
        <w:spacing w:after="0" w:line="17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addition, under the Israeli Companies Law, 1999 (the “</w:t>
      </w:r>
      <w:r>
        <w:rPr>
          <w:rFonts w:ascii="Times New Roman" w:cs="Times New Roman" w:eastAsia="Times New Roman" w:hAnsi="Times New Roman"/>
          <w:sz w:val="18"/>
          <w:szCs w:val="18"/>
          <w:b w:val="1"/>
          <w:bCs w:val="1"/>
          <w:color w:val="auto"/>
        </w:rPr>
        <w:t>Israeli Companies Law</w:t>
      </w:r>
      <w:r>
        <w:rPr>
          <w:rFonts w:ascii="Times New Roman" w:cs="Times New Roman" w:eastAsia="Times New Roman" w:hAnsi="Times New Roman"/>
          <w:sz w:val="18"/>
          <w:szCs w:val="18"/>
          <w:color w:val="auto"/>
        </w:rPr>
        <w:t>”) the approval of each of Proposals 3, 4 and 5 (approval of the amended and restated compensation policy and approval of increase in salary of, and the grant of an equity-based award to, Mr. Ellwanger, the Chief Executive Officer) is also subject to the fulfillment of one of the following additional voting requirements: (i) at least a majority of the Ordinary Shares of the non-controlling shareholders and shareholders who do not have a personal interest in the matter (excluding abstentions), voted in favor of the proposal; or (ii) the total votes cast in opposition to the proposal by the non-controlling shareholders and non-interested shareholders do not exceed 2% of the total voting rights in the Company (the “</w:t>
      </w:r>
      <w:r>
        <w:rPr>
          <w:rFonts w:ascii="Times New Roman" w:cs="Times New Roman" w:eastAsia="Times New Roman" w:hAnsi="Times New Roman"/>
          <w:sz w:val="18"/>
          <w:szCs w:val="18"/>
          <w:b w:val="1"/>
          <w:bCs w:val="1"/>
          <w:color w:val="auto"/>
        </w:rPr>
        <w:t>Special Majority</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As of the filing date of this Proxy Statement, we are not aware of any shareholder that would be deemed to be a controlling shareholder of the Company for purposes of Proposals 3, 4 and 5. Under the Israeli Companies Law, each shareholder voting on Proposals 3, 4 and 5 is required to inform us prior to voting on the proposals at the Meeting, whether or not such shareholder has a “personal interest” (within the meaning of the Israeli Companies Law) in such proposals; otherwise, a shareholder’s vote will not be counted for the purposes of such proposals. </w:t>
      </w:r>
      <w:r>
        <w:rPr>
          <w:rFonts w:ascii="Times New Roman" w:cs="Times New Roman" w:eastAsia="Times New Roman" w:hAnsi="Times New Roman"/>
          <w:sz w:val="18"/>
          <w:szCs w:val="18"/>
          <w:b w:val="1"/>
          <w:bCs w:val="1"/>
          <w:color w:val="auto"/>
        </w:rPr>
        <w:t>In accordance with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promulgated under the Israeli Companies Law, a shareholder who votes by proxy or voting instruction form, will be deemed to have confirmed that such shareholder does not have a “personal interest” in Proposals 3, 4 and 5, unless the shareholder has delivered a written notice to the Company notifying otherwise no later than 10:00 a.m. (Israel time) on July 2, 2026. Any such written notice must be sent to the Company via registered mail at 20 Shaul Amor Street, Ramat Gavriel Industrial Park, Post Office Box 619, Migdal Haemek 2310502, Israel, Attention: Corporate Counsel. </w:t>
      </w:r>
      <w:r>
        <w:rPr>
          <w:rFonts w:ascii="Times New Roman" w:cs="Times New Roman" w:eastAsia="Times New Roman" w:hAnsi="Times New Roman"/>
          <w:sz w:val="18"/>
          <w:szCs w:val="18"/>
          <w:color w:val="auto"/>
        </w:rPr>
        <w:t>All shareholders voting via the Electronic System, are required to indicate via the Electronic System, or, if voting in person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inform us prior to voting on the matter at the Meeting, whether or not the shareholder has a personal interest in such proposals; otherwise, any such shareholder’s vote will not be counted for the purposes of such proposals.</w:t>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Under the Israeli Companies Law, a “personal interest” of a shareholder in an act or transaction of a company (i) includes a personal interest of (a) any of the shareholder’s relatives (i.e., any spouse, sibling, parent, grandparent or descendant of the shareholder, any descendant, sibling or parent of a spouse of the shareholder and the spouse of any of the foregoing); and (b) a company with respect to which the shareholder or any of the shareholder’s relatives (as defined above) owns at least 5% of the outstanding shares or voting rights, serves as a director or chief executive officer or has the right to appoint one or more directors or the chief executive officer; and (ii) 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 provides information relating to the beneficial ownership of our Ordinary Shares as of March 31, 2026 (unless otherwise indicated), by each shareholder known by us to beneficially own 5% or more of our Ordinary Shares.</w:t>
      </w:r>
    </w:p>
    <w:p>
      <w:pPr>
        <w:spacing w:after="0" w:line="16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beneficial ownership within 60 days of March 31, 2026, such as through the exercise of any option, warrant or other right or vesting of restricted share units or performance share units.</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percentage of Ordinary Shares beneficially owned is calculated based on 112,824,944 Ordinary Shares outstanding as of March 31, 2026. Ordinary Shares that a person has the right to acquire within 60 days of March 31, 2026 are deemed outstanding for purposes of computing the beneficial percentage ownership of the person holding such securities but are not deemed outstanding for purposes of computing the beneficial ownership percentage of any other person. Unless otherwise indicated below, the address for each beneficial owner listed is c/o Tower Semiconductor Ltd., 20 Shaul Amor Street, Ramat Gavriel Industrial Park, Migdal Haemek 2310502, Israel, Attention: Corporate Counsel.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9"/>
        </w:trPr>
        <w:tc>
          <w:tcPr>
            <w:tcW w:w="8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Beneficial Ownership</w:t>
            </w:r>
          </w:p>
        </w:tc>
      </w:tr>
      <w:tr>
        <w:trPr>
          <w:trHeight w:val="194"/>
        </w:trPr>
        <w:tc>
          <w:tcPr>
            <w:tcW w:w="8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30"/>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59"/>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2"/>
                <w:szCs w:val="22"/>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Migdal Insurance &amp; Financial Holdings Ltd. (1)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7,536,644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 Rowe Price Associates, Inc. (2)</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7,388,751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Menora Mivtachim Holdings Ltd. (3)</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6,839,817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1"/>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Holdings Ltd. (4)</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6,211,210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500" w:right="20" w:hanging="492"/>
        <w:spacing w:after="0" w:line="26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Migdal Insurance &amp; Financial Holdings Ltd., reflecting holdings as of March 31, 2026.</w:t>
      </w:r>
    </w:p>
    <w:p>
      <w:pPr>
        <w:spacing w:after="0" w:line="19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Schedule 13G filed with the Commission on May 15, 2026, by T. Rowe Price Associates, Inc., reflecting beneficial ownership as of March 31, 2026.</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Menora Mivtachim Holdings Ltd., reflecting holdings as of March 31, 2026.</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and qualified in its entirety with reference to, a notice provided to the Company by Phoenix Holdings Ltd. reflecting holdings as of March 31, 2026.</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March 31, 2026, no individual director or senior manager beneficially owned (as defined in Rule 13d-3 under the Securities Exchange Act of 1934, as amended) one percent or more of our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For information concerning the annual compensation earned during 2025 by our five most highly compensated office holders (as defined in the Israeli Companies Law), see Item 6.B. of our Annual Report on Form 20-F for the year ended December 31, 2025, filed with the Commission on April 30, 2026, a copy of which is available on the Commission’s website at www.sec.gov as well as in the “Investors” section of our Company website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 AND APPROVAL OF THEIR TERMS OF CASH COMPENSATION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Under our articles of association, our Board of Directors shall consist of at least five and no more than 11 members. Our Board of Directors is currently comprised of ten members, all of whom were appointed as directors at the Company’s previous annual shareholder meeting. Each of our directors generally holds office until the first annual general meeting of shareholders following his or her appointment (unless the tenure of such director expires earlier, or if a director is removed from office pursuant to the Israeli Companies Law).</w:t>
      </w:r>
    </w:p>
    <w:p>
      <w:pPr>
        <w:spacing w:after="0" w:line="18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7"/>
          <w:szCs w:val="17"/>
          <w:color w:val="auto"/>
        </w:rPr>
        <w:t>At the Meeting, all of our currently serving directors shall be standing for election, as follows: Amir Elstein, Russell Ellwanger, Kalman Kaufman, Dana Gross, Yoav Chelouche, Iris Avner, Dr. Michal Vakrat Wolkin, Avi Hasson, Sagi Ben Moshe and Carolin Seward, in each case to hold office until our next annual general meeting of shareholders and until their respective successors are duly elected, subject to our articles of association and applicable law.</w:t>
      </w:r>
    </w:p>
    <w:p>
      <w:pPr>
        <w:spacing w:after="0" w:line="15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Under the Nasdaq Listing Rules, a majority of the Board of Directors must be comprised of independent directors (as defined in the Nasdaq Listing Rules). After considering all relevant information received from each of the director nominees, the Board determined that each director nominee is independent under the Nasdaq Listing Rules, other than Mr. Ellwanger, our Chief Executive Officer.</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size, structure, and composition of the Board undergo regular evaluation. The recommendations and decisions regarding the appointment of Board members are made following a comprehensive review, which aims to ensure that the Board possesses the appropriate skills, knowledge and experience to operate effectively and deliver the Company’s strategy. To this end, the Corporate Governance and Nominating Committee (the “</w:t>
      </w:r>
      <w:r>
        <w:rPr>
          <w:rFonts w:ascii="Times New Roman" w:cs="Times New Roman" w:eastAsia="Times New Roman" w:hAnsi="Times New Roman"/>
          <w:sz w:val="18"/>
          <w:szCs w:val="18"/>
          <w:b w:val="1"/>
          <w:bCs w:val="1"/>
          <w:color w:val="auto"/>
        </w:rPr>
        <w:t>CGN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discusses and assesses the skills represented on the Board and identifies areas where additional skills or competencies may be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CGN Committee also considers the important matter of succession planning for key roles in the organization. After thorough evaluation, the CGN Committee believes that appropriate succession plans are in place for the Chairman of the Board, the Chief Executive Officer, and the senior management team.</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CGN Committee is responsible for ensuring that director appointment processes are conducted in a formal, meaningful and transparent manner and considers periodic refreshment of Board members to ensure continued effectiveness and alignment with the Company’s evolving needs. As part of its annual review, the CGN Committee considers each director nominee’s external commitments and their impact on the nominee’s commitment to the Company. The CGN Committee also considers the diversity of the Board as a whole, in terms of skills, competencies, background, knowledge and professional experience. For information about the diversity of our Board of Directors, see the “Board Diversity and Skills Matrix” under the “Board of Directors” tab in the “About” section of our Company website at www.towersemi.com. Based on such review, the CGN Committee and the Board of Directors have recommended that each of the ten individuals named above be nominated for election at the Meeting to serve as directors of the Company until the next annual meeting of shareholders and until their respective successors are duly elected.</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biographical information is provided with respect to each director nominee based upon our records and information provided to us by each nominee.</w:t>
      </w:r>
    </w:p>
    <w:p>
      <w:pPr>
        <w:spacing w:after="0" w:line="18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Amir Elstein </w:t>
      </w:r>
      <w:r>
        <w:rPr>
          <w:rFonts w:ascii="Times New Roman" w:cs="Times New Roman" w:eastAsia="Times New Roman" w:hAnsi="Times New Roman"/>
          <w:sz w:val="18"/>
          <w:szCs w:val="18"/>
          <w:color w:val="auto"/>
        </w:rPr>
        <w:t>has served as the Chairman of our Board since January 2009. Mr. Elstein serves as a director of Teva Pharmaceutical Industries Ltd.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Chairman of the Israel Democracy Institute. From 2010 to 2013, Mr. Elstein served as Chairman of the Board of Directors of Israel Corporation. Mr. Elstein was a member of Teva Pharmaceutical Industries’ senior management team from 2005 to 2008, where he ultimately held the position of Executive Vice President at the Office of the Chief Executive Officer, overseeing Global Pharmaceutical Resources. Prior to that,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an M.Sc. degree in the Solid-State Physics Department of Applied Physics from the Hebrew University of Jerusalem. In 1992, Mr. Elstein received his diploma in Senior Business Management from the Hebrew University of Jerusalem.</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C. Ellwanger </w:t>
      </w:r>
      <w:r>
        <w:rPr>
          <w:rFonts w:ascii="Times New Roman" w:cs="Times New Roman" w:eastAsia="Times New Roman" w:hAnsi="Times New Roman"/>
          <w:sz w:val="18"/>
          <w:szCs w:val="18"/>
          <w:color w:val="auto"/>
        </w:rPr>
        <w:t>has served as our Chief Executive Officer since May 2005. Mr. Ellwanger has also served as a director since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Tower Semiconductor San Antonio, Inc., and Tower Semiconductor Italy, S.r.l. From 1998 to 2005, Mr. Ellwanger served in various executive positions for Applied Materials Corporation, including Group Vice President, General Manager of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at Novellus Systems from 1992 to 1996 and at Philips Semiconductors from 1980 to 1992.</w:t>
      </w:r>
    </w:p>
    <w:p>
      <w:pPr>
        <w:spacing w:after="0" w:line="20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Kalman Kaufman </w:t>
      </w:r>
      <w:r>
        <w:rPr>
          <w:rFonts w:ascii="Times New Roman" w:cs="Times New Roman" w:eastAsia="Times New Roman" w:hAnsi="Times New Roman"/>
          <w:sz w:val="18"/>
          <w:szCs w:val="18"/>
          <w:color w:val="auto"/>
        </w:rPr>
        <w:t>has served as a director since 2005 and as Chairman of the CGN Committee since January 2018. From 1994 until 2005,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Kaufman served as Corporate Vice President at Applied Materials. Between 2010 and 2012, Mr. Kaufman served as chairman of the management committee at Soltecture, a Berlin-based solar manufacturing company. From 1985 until 1994, Mr. Kaufman served as President of KLA Instruments Israel, a company he founded, and prior to that, he served as General Manager of Kulicke and Soffa Israel. Mr. Kaufman currently serves as Chairman of the board of directors of Invisia, Inc. and AgreeTech Inc., as well as a director at Blue Circle, an AI company. Mr. Kaufman is also Chair of the General Assembly of Kinneret Academic College and Chairman of the Tzemach Kineret Development Corporation. Mr. Kaufman holds engineering degrees from the Technion – Israel Institute of Technology.</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Dana Gross </w:t>
      </w:r>
      <w:r>
        <w:rPr>
          <w:rFonts w:ascii="Times New Roman" w:cs="Times New Roman" w:eastAsia="Times New Roman" w:hAnsi="Times New Roman"/>
          <w:sz w:val="18"/>
          <w:szCs w:val="18"/>
          <w:color w:val="auto"/>
        </w:rPr>
        <w:t>has served as a director since November 2008, as a member of the CGN Committee since January 2018, as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since February 2013, and as Chair of the Compensation Committee since November 2020. In addition, Mrs. Gross has served as a director on the board of directors of Tower Semiconductor Newport Beach, Inc., our wholly-owned subsidiary, since March 2009. Mrs. Gross has served as the Head of Strategic Initiatives at Fiverr International Ltd. since February 2022. Ms. Gross served as Chief Strategy Officer of Prospera Technologies Ltd., a Valmont company developing AgTech Data solutions, from 2021 until 2023, and previously served as its Chief Operating Officer and Chief Financial Officer from 2017 until 2021. Mrs. Gross served as the Chief Financial Officer of eToro, a FinTech company that developed a Social Investment network, from 2014 to 2016, and the Chief Executive Officer of bTendo, a start-up company that developed MEMS-based PICO projection solutions, from 2010 until it was acquired by ST Microelectronic in 2012. Mrs. Gross was a Venture Partner at Viola Ventures, a leading Israeli venture capital firm, from 2008 until 2010. From 2006 to 2008, Mrs. Gross was a Senior VP, Israel Country Manager at SanDisk Corporation. From 1992 to 2006, Mrs. Gross held various senior positions at M-Systems, including Chief Marketing Officer, VP Worldwide Sales, President of M-Systems Inc. (US subsidiary), and Chief Financial Officer, VP Finance and Administration. In addition, Mrs. Gross has served on the board of directors and audit committee of Playtika Holding Corp. since January 2022. Mrs. Gross has also served on the board of directors and audit committee of SolarEdge Technologies, Inc. since July 2023, and as the chair of its compensation committee since November 2024. Mrs. Gross previously served as a director of M-Systems Ltd., Audiocodes Ltd., and Power Dsine Ltd. Mrs. Gross holds a B.Sc. degree in industrial engineering from Tel Aviv University and an M.B.A. degree from San Jose State University.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Yoav Z. Chelouche </w:t>
      </w:r>
      <w:r>
        <w:rPr>
          <w:rFonts w:ascii="Times New Roman" w:cs="Times New Roman" w:eastAsia="Times New Roman" w:hAnsi="Times New Roman"/>
          <w:sz w:val="18"/>
          <w:szCs w:val="18"/>
          <w:color w:val="auto"/>
        </w:rPr>
        <w:t>has served as a director since April 2016, as a member of the CGN Committee since January 2018, and as the Chair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our Audit Committee since May 2017. Mr. Chelouche is classified by the Board of Directors as an audit committee financial expert under applicable Commission rules. Mr. Chelouche has served as Managing Partner of Aviv Ventures since its inception in 2001. Between 1995 and 2001, Mr. Chelouche served as President &amp; Chief Executive Officer of Scitex Corp. Until 2015, Mr. Chelouche was Co-Chairman of Israel Advanced Technology Industries. Mr. Chelouche currently serves on the Board of Directors of the following publicly listed companies: Check Point Software Technologies Ltd. (NASDAQ) and Malam-Team Ltd. (TASE). Mr. Chelouche also previously served as Chairman and/or director of several public companies, including the Tel-Aviv Stock Exchange, Ltd. (TASE) and Shufersal Ltd. (TASE). Mr. Chelouche also serves as a director of Ogen, Israel’s largest social lending and business mentoring nonprofit organization. Mr. Chelouche holds a B.A. degree in economics and statistics from Tel Aviv University and an MBA degree from INSEAD, Fontainebleau, France.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Iris Avner </w:t>
      </w:r>
      <w:r>
        <w:rPr>
          <w:rFonts w:ascii="Times New Roman" w:cs="Times New Roman" w:eastAsia="Times New Roman" w:hAnsi="Times New Roman"/>
          <w:sz w:val="18"/>
          <w:szCs w:val="18"/>
          <w:color w:val="auto"/>
        </w:rPr>
        <w:t>has served as a director since June 2016 (until November 2016 as an external director, within the meaning of the Israeli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Chief Executive Officer of Mizrahi Tefahot Bank. In addition, from 1997 until 2002, Ms. Avner served as Assistant Professor and external lecturer in the Executive MBA Program at Tel Aviv University. From 1988 until 1996, Ms. Avner held various positions at Israel Discount Bank, including Senior Credit Officer and Senior Economist. Ms. Avner has served as a member of the board of directors of Israel Discount Bank since March 2018 and as the Chairperson of its Credit Committee since 2024. Ms. Avner has served as a board member and Chairperson of the Audit Committee of Amir Marketing and Investments in Agriculture since May 2017. In addition, Ms. Avner has served as a member of the board of directors of Rotshtein Real Estate from August 2016 until December 2025 and as Chairperson of its Audit Committee and Nomination Committee from 2017 until 2025. Ms. Avner previously served on several other boards and board committees in Israel and abroad, both as director and Chairperson. Ms. Avner holds a B.A. degree in accounting and economics from the Hebrew University of Jerusalem and an MBA degree from Tel Aviv University.</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Michal Vakrat Wolkin </w:t>
      </w:r>
      <w:r>
        <w:rPr>
          <w:rFonts w:ascii="Times New Roman" w:cs="Times New Roman" w:eastAsia="Times New Roman" w:hAnsi="Times New Roman"/>
          <w:sz w:val="18"/>
          <w:szCs w:val="18"/>
          <w:color w:val="auto"/>
        </w:rPr>
        <w:t>has served as a director since September 2020, and as a member of the CGN Committee since November 2020.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Dr. Wolkin served as the Director of Global Battery Investments for General Motors. Dr. Wolkin has served as a partner at GFT Ventures, a global venture capital firm, since 2020 and on the Advisory Board of RACAH Nano Tech Fund of the Hebrew University of Jerusalem since 2019. In addition, since August 2024, Dr. Wolkin has served on the Advisory Board of Salion Energy, a startup focused on energy storage, and since April 2026, on the Advisory Board of Adama Ventures, a venture fund investing in early-stage startups. Dr. Wolkin served as Managing Director of Lear Innovation Ventures from January 2017 until 2020. From 2014 to 2016, Dr. Wolkin served as Head of 3M R&amp;D Israel, and from 2012 until 2014, she served as Technical Chair of the Night Rover Challenge of NASA/CleanTech Open. Dr. Wolkin served as Director of Energy Storage Technologies at Better Place from 2008 until 2012, and from 2004 until 2008, she served as Member of Research Staff II at the Hardware System Lab at Xerox PARC. Dr. Wolkin has served as a Professor and Head of the MBA program in Climate-Tech Management since October 2024, as well as a lecturer in “Disruptive Innovation in Multinational Corporations” since 2021, at Reichman University. Dr. Wolkin received her B.Sc. degree in Chemical Engineering from the Technion – Israel Institute of Technology in Israel in 1996 and a Ph.D. degree in Applied Physics and Materials Science from the University of Rochester, NY in 2000. From 2003 until 2004, Dr. Wolkin completed her Post-doctorate at the Electronics Materials Lab at Xerox PARC.</w:t>
      </w:r>
    </w:p>
    <w:p>
      <w:pPr>
        <w:spacing w:after="0" w:line="19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Avi Hasson </w:t>
      </w:r>
      <w:r>
        <w:rPr>
          <w:rFonts w:ascii="Times New Roman" w:cs="Times New Roman" w:eastAsia="Times New Roman" w:hAnsi="Times New Roman"/>
          <w:sz w:val="18"/>
          <w:szCs w:val="18"/>
          <w:color w:val="auto"/>
        </w:rPr>
        <w:t>has served as a director since September 2020, and as a member of the Audit Committee and Compensation Committee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2020. Mr. Hasson is classified by the Board of Directors as an audit committee financial expert under applicable Commission rules. Mr. Hasson served as the Chief Executive Officer of Start-Up Nation Central, an independent non-profit that connects Israeli innovation to global partners, from 2021 to January 2026. Mr. Hasson previously served as a partner at Emerge, a leading early-stage venture capital firm. Mr. Hasson serves in several non-profit organizations, including as a director on the board of directors of Sheba Medical Center at Tel Hashomer and SpaceIL. From January 2011 until July 2017, Mr. Hasson served as the Chief Scientist in the Ministry of Economy and Industry and as Chairman of the Israel Innovation Authority. From 2000 until 2010, Mr. Hasson served as General Partner at Gemini Israel Funds, a top-tier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 Aviv University in 1997 and an M.B.A. degree from Tel Aviv University in 2002.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3" w:name="page14"/>
    <w:bookmarkEnd w:id="13"/>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Sagi Ben Moshe </w:t>
      </w:r>
      <w:r>
        <w:rPr>
          <w:rFonts w:ascii="Times New Roman" w:cs="Times New Roman" w:eastAsia="Times New Roman" w:hAnsi="Times New Roman"/>
          <w:sz w:val="18"/>
          <w:szCs w:val="18"/>
          <w:color w:val="auto"/>
        </w:rPr>
        <w:t>has served as a director since May 2024 and as a member of the Audit Committee since October 2024. Mr. Ben Moshe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founder and Chief Executive Officer of Lumana since August 2021, a company developing an AI platform to analyze and manage visual data. Mr. Ben Moshe previously served as Chief Incubation Officer, Corporate Vice President, and General Manager of Emerging Growth Incubation at Intel Corporation, as well as other roles at Intel Corporation from January 2012 until August 2021, including VP and GM of RealSense, VP and GM of Hardware Engineering, Senior VP of Sensing Technologies of Mobileye, and GM of EyeC LIDAR and EyeC Radar. Mr. Ben Moshe was the founder and served as Chief Executive Officer of Invision Ltd. from January 2009 until January 2012. Mr. Ben Moshe received his B.Sc. degree in Computer Science in 2007 and M.Sc. degree in Computer Science in 2010, both from the Technion – Israel Institute of Technology. In addition, Mr. Ben Moshe is a 2018 graduate of the Stanford Executive Program at Stanford University’s Graduate School of Business.</w:t>
      </w:r>
    </w:p>
    <w:p>
      <w:pPr>
        <w:spacing w:after="0" w:line="20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Carolin Seward </w:t>
      </w:r>
      <w:r>
        <w:rPr>
          <w:rFonts w:ascii="Times New Roman" w:cs="Times New Roman" w:eastAsia="Times New Roman" w:hAnsi="Times New Roman"/>
          <w:sz w:val="18"/>
          <w:szCs w:val="18"/>
          <w:color w:val="auto"/>
        </w:rPr>
        <w:t>has served as a director since December 2024, and as a member of the Compensation Committee since January 2025.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Seward has served as Vice President of Custom Silicon Sourcing and Operations at Google, in its Platforms and Devices Group, since April 2022. Prior to her role at Google, Ms. Seward held several executive positions at Intel Corporation, including Vice President of Global Supply Chain and External Manufacturing Sourcing, Vice President of the Data Solutions Group, Customer Experience and Fulfillment, and Vice President of Capital Equipment Development, Technology Manufacturing Group. Ms. Seward received her B.Sc. degree in Materials Engineering from San Jose State University and an M.B.A. degree from Pepperdine University.</w:t>
      </w:r>
    </w:p>
    <w:p>
      <w:pPr>
        <w:spacing w:after="0" w:line="18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accordance with an exemption from the Israeli law requirement to have external directors (within the meaning of the Israeli Companies Law)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CGN Committee complies with the requirements of the Nasdaq Stock Market rules applicable to U.S. domestic issuers.</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Board of Directors performs a comprehensive evaluation of its performance on an annual basis to, among other things, identify areas where the Board could benefit from additional skills and expertise, as well as identify any gaps in skills or competencies. This evaluation also assesses the effectiveness and efficiency of the operation of the Board and its committees as well as each director’s contribution to the boardroom discussions and commitment to the role. During the most recent annual self-assessment, the Board of Directors discussed ways to enhance risk oversight as well as strategic contribution and insight.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committed to its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program, with a corporate focus on social contribution, responsibility and sustainability through various initiatives and activities aimed at promoting ESG principles. We have issued a dedicated report outlining our ESG policies, including our strategy and long-term plan and targets, which may be viewed on our website at www.towersemi.com. We engage in voluntary ESG initiatives and commitments (such as disclosures, certifications, and improvement goals, among others) to increase the Company’s contribution to society and our environment. The CGN Committee advises our Board of Directors on ESG-related matters and oversees the Company’s ESG initiatives and activities, including related trainings, which are designed to foster understanding, commitment and engagement with ESG practices throughout the organization. In addition, the CGN Committee and the Board of Directors oversee the Company’s climate risk program, including climate risk identification, assessment and management, in order to ensure compliance with applicable standards and industry frameworks.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Subject to their election at the Meeting, the directors (other than Mr. Amir Elstein and Mr. Russell Ellwanger, whose compensation is addressed separately below) shall receive the cash compensation in the amounts that were approved by our shareholders at the annual general meeting held on July 31, 2024, namely an annual fee of $75,000, a committee annual fee between $6,000 to $10,000 (depending on the specific committee) and in addition, a committee chairperson annual fee between $6,000 to $10,000 (depending on the specific committee). In addition, at the Meeting, shareholders are being asked to approve the award of equity-based compensation to the foregoing directors (see Proposal 6). For the proposed cash and equity-based compensation of Mr. Amir Elstein and Mr. Russell Ellwanger, see Proposals 2, 4 and 5. If elected at the Meeting, all of the directors shall continue to benefit from exemption and indemnification agreements previously entered into with each of them, in the form approved by the shareholders in August 2011, as well as from the Company’s directors’ and officers’ liability insurance, as in effect from time to time.</w:t>
      </w:r>
    </w:p>
    <w:p>
      <w:pPr>
        <w:spacing w:after="0" w:line="21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2025, the Board held a total of six meetings. The average director attendance at Board meetings was 98% and at committee meetings was 98%. The table below reports individual director attendance at meetings of the Board of Directors and applicable committees during 2025, for the periods in which the director served on the Board and respective committee(s).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CGN</w:t>
            </w:r>
          </w:p>
        </w:tc>
      </w:tr>
      <w:tr>
        <w:trPr>
          <w:trHeight w:val="230"/>
        </w:trPr>
        <w:tc>
          <w:tcPr>
            <w:tcW w:w="5980" w:type="dxa"/>
            <w:vAlign w:val="bottom"/>
          </w:tcPr>
          <w:p>
            <w:pPr>
              <w:spacing w:after="0"/>
              <w:rPr>
                <w:sz w:val="19"/>
                <w:szCs w:val="19"/>
                <w:color w:val="auto"/>
              </w:rPr>
            </w:pPr>
          </w:p>
        </w:tc>
        <w:tc>
          <w:tcPr>
            <w:tcW w:w="8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45"/>
        </w:trPr>
        <w:tc>
          <w:tcPr>
            <w:tcW w:w="5980" w:type="dxa"/>
            <w:vAlign w:val="bottom"/>
          </w:tcPr>
          <w:p>
            <w:pPr>
              <w:spacing w:after="0"/>
              <w:rPr>
                <w:sz w:val="21"/>
                <w:szCs w:val="21"/>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Meetings</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Meetings</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Amir Elstein</w:t>
            </w:r>
          </w:p>
        </w:tc>
        <w:tc>
          <w:tcPr>
            <w:tcW w:w="8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6"/>
              </w:rPr>
              <w:t>6/6</w:t>
            </w:r>
          </w:p>
        </w:tc>
        <w:tc>
          <w:tcPr>
            <w:tcW w:w="26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 Gross</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Yoav Z. Chelouche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Iris Avner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Michal Vakrat Wolkin</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 Hasson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Sagi Ben Moshe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 Seward</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If any director nominee is unable to serve (an event that is not anticipated), the persons named as proxies in the proxy card will vote the Ordinary Shares for the election of such other nominee(s) as the Board of Directors may propose.</w:t>
      </w:r>
    </w:p>
    <w:p>
      <w:pPr>
        <w:spacing w:after="0" w:line="16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Each of the director nominees named above has certified that he/she meets all the requirements for election as a director of a publicly traded company under the Israeli Companies Law and possesses the necessary qualifications and has sufficient time to fulfill his/her duties as a director of the Company, taking into account the Company’s size and specific requirements.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shareholders are being asked to elect each of Amir Elstein, Russell Ellwanger, Kalman Kaufman, Dana Gross, Yoav Chelouche, Iris Avner, Dr. Michal Vakrat Wolkin, Avi Hasson, Sagi Ben Moshe and Carolin Seward, in each case to hold office until our next annual general meeting of shareholders and until their respective successors are duly elected, subject to our articles of association and applicable law, and approve the terms of their cash compensation in such capacity (other than with respect to Mr. Amir Elstein and Mr. Russell Ellwanger, whose cash compensation is addressed in Proposals 2 and 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4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at the Meeting, in person, by proxy or voting instruction form or voting via the Electronic System, voting on the matter is required to elect each of the director nominees and approve their cash compensation. Each director nominee and his/her cash compensation terms shall be voted on separately.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election of each of the director nominees named above and their cash compensation terms (other than Mr. Amir Elstein, whose compensation is addressed in Proposal 2, and Mr. Russell Ellwanger, whose annual base salary is addressed in Proposal 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APPOINTMENT OF MR. AMIR ELSTEIN AS THE CHAIRMAN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TO SERVE UNTIL THE NEXT ANNUAL MEETING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AND APPROVAL OF HIS COMPENSATION TERMS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According to the Company’s Articles of Association, our shareholders are required to appoint a member of the Board of Directors to serve as Chairman of the Board.</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Board of Directors has nominated Mr. Amir Elstein, who has served as Chairman of the Board since January 2009, to continue to serve as the Chairman of the Board of Directors until the next annual general meeting of shareholders and until his successor is duly appointed, subject to the approval of his election as a director at the Meeting (see Proposal 1).</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Compensation Committee and Board of Directors have determined that the terms of compensation currently provided to Mr. Elstein for service as the Chairman of the Board of Directors, which were initially approved by the Company’s shareholders in 2013 and are consistent with the Company’s Compensation Policy for Executive Officers and Directors (the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as currently in effect and as proposed to be approved at the Meeting (see Proposal 3), remain appropriate. Accordingly, the Compensation Committee and Board of Directors approved, subject to shareholder approval, that if reappointed as Chairman of the Board of Directors at the Meeting, Mr. Elstein’s compensation for services in such capacity will remain unchanged at $600,000 per annum. Half of such amount will be paid in monthly cash installments of $25,000 (gross) each and will be subject to applicable withholding taxes, and the remaining half will be paid in time-based vesting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The RSUs shall vest over a three-year period following the date of grant, such that one-third of the RSUs shall vest on each of the anniversaries of the date of grant, subject to applicable withholding taxes. In accordance with the current and proposed Compensation Policy and common practice, in the event that Mr. Elstein’s service as the Chairman of the Board of Directors is terminated for any reason other than for cause, including by way of resignation, prior to the third anniversary from the date of grant, as Mr. Elstein has served on the Board of Directors for more than five years, all unvested RSUs shall accelerate.</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current and proposed Compensation Policy, Mr. Elstein, as Chairman of the Board of Directors, is subject to a minimum stock ownership requirement, which requires the Chairman of the Board of Directors to own Ordinary Shares (excluding, for this purpose, Ordinary Shares underlying unvested RSUs, unearned PSUs and unexercised options) with a minimum value equal to at least 50% of his annual cash compensation, in order to further align the interests of our executives and our shareholders. As of the date of this Proxy Statement, Mr. Elstein is in compliance with this minimum shareholding requirement.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5"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appoint Mr. Amir Elstein as the Chairman of the Board of Directors of the Company to serve until the next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and until his successor is duly appointed, and to approve the terms of his compensation in such capacity, as described in Proposal 2 of the Proxy Statement, subject to approval of his election as a director under Proposal 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approval of Proposal 2 requires the affirmative vote of holders of a majority of the Ordinary Shares represented at the Meeting and voting on the matter, in person or by proxy, voting instruction form or via the Electronic System.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1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AMENDED AND RESTATED COMPENSATION POLICY FOR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EXECUTIVE OFFICERS</w:t>
      </w:r>
    </w:p>
    <w:p>
      <w:pPr>
        <w:spacing w:after="0" w:line="234" w:lineRule="exact"/>
        <w:rPr>
          <w:sz w:val="20"/>
          <w:szCs w:val="20"/>
          <w:color w:val="auto"/>
        </w:rPr>
      </w:pPr>
    </w:p>
    <w:p>
      <w:pPr>
        <w:jc w:val="both"/>
        <w:ind w:firstLine="778"/>
        <w:spacing w:after="0" w:line="266" w:lineRule="auto"/>
        <w:rPr>
          <w:sz w:val="20"/>
          <w:szCs w:val="20"/>
          <w:color w:val="auto"/>
        </w:rPr>
      </w:pPr>
      <w:r>
        <w:rPr>
          <w:rFonts w:ascii="Times New Roman" w:cs="Times New Roman" w:eastAsia="Times New Roman" w:hAnsi="Times New Roman"/>
          <w:sz w:val="18"/>
          <w:szCs w:val="18"/>
          <w:color w:val="auto"/>
        </w:rPr>
        <w:t>Under the Israeli Companies Law, a public company is required to adopt a compensation policy, which sets forth the terms of service and employment of office holders (within the meaning of the Israeli Companies Law), including the grant of any benefit, payment or undertaking to provide payment, any exemption from liability, insurance or indemnification, and any severance payment or benefit. The compensation policy must be approved at least once every three years, by the board of directors, after considering the recommendations of the compensation committee, and by the shareholders by the Special Majority (see above “Vote Required for Approval of the Proposals”). In addition, the board of directors is required to periodically examine the compensation policy, as well as the need to adjust the policy in the event of a material change in the circumstances prevailing at the time of the adoption of the compensation policy or for other reasons. The Company’s current Compensation Policy was approved by the shareholders at the annual general meeting held in July 2023 and was subsequently amended by the shareholders in July 2024 (the “</w:t>
      </w:r>
      <w:r>
        <w:rPr>
          <w:rFonts w:ascii="Times New Roman" w:cs="Times New Roman" w:eastAsia="Times New Roman" w:hAnsi="Times New Roman"/>
          <w:sz w:val="18"/>
          <w:szCs w:val="18"/>
          <w:b w:val="1"/>
          <w:bCs w:val="1"/>
          <w:color w:val="auto"/>
        </w:rPr>
        <w:t>Existing Compensation Policy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adoption of the Existing Compensation Policy in July 2023, the Company has experienced exceptional growth and transformation in market share, capacity and revenue, driven in large part by the rapid expansion of the AI, data center and RF infrastructure-related semiconductor industry. During this period, the scale of the Company’s business, the complexity of its operations, the differentiation and strategic importance of its technology and intellectual property, and its criticality to market leaders and to its top tier customers have all increased dramatically. This evolution has delivered substantial value for shareholders: $29.8 billion market capitalization on May 20, 2026, just prior to the filing date of this proxy statement, is approximately seven times its market capitalization when the Existing Compensation Policy was approved by shareholders roughly three years ago (on July 3, 2023). Looking ahead, this momentum may continue and further intensify, as AI adoption, compute demand, data center and RF infrastructure demand and semiconductor innovation accelerate across global markets.</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light of this transformation, it is essential that the Company’s Compensation Policy evolve in step with its profile, strategic trajectory, and competitive environment. To continue attracting, retaining, and motivating the critical executive talent and leadership required to sustain the Company’s performance and guide the business through its next phase of growth, the Company must ensure that its executive compensation framework remains aligned with its current size and scope of operations, as discussed further below, and with prevailing market practice. The proposed updates to the Existing Compensation Policy, as detailed below, are intended to achieve that alignment and reflect the reality that executive talent in the Company’s sector operate in an increasingly competitive market, where leadership capabilities, technological depth, and strategic execution are key differentiators. Certain aspects of the proposed Compensation Policy updates are intended to support a smooth and thoughtful succession planning strategy given the longer tenure of many of the Company’s senior executives. Updating the Company’s compensation policy is therefore imperative strategically for purposes of preserving the Company’s growth trajectory, strengthening leadership, and maintaining a competitive position in a fast-evolving market.</w:t>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accordance with the requirements of Israeli law, which mandate that the Compensation Policy be reviewed and reapproved at least once every three years, our Compensation Committee conducted a comprehensive review of our Existing Compensation Policy in connection with its recommendation to the Board of Directors. As part of such review, the Compensation Committee retained FW Cook, an independent global compensation consultant, to perform executive compensation benchmarking and to provide advisory services regarding prevailing global trends in executive compensation, with the aim of aligning the compensation of the Company’s executives with that of peer companies and advising on changes to the Existing Compensation Policy. In the fall of 2025, the previously developed peer group was reviewed by the Compensation Committee to evaluate its appropriateness in preparation for FW Cook’s compensation benchmarking review for purposes of establishing the 2026 compensation program. Given that Tower’s market capitalization increased significantly, from $3.0 billion when the peer group was originally developed in the fall of 2023, to $9.2 billion as of November 4, 2025 when the peer group was reviewed, the peer group was updated to ensure that, as of such time, the revenue and market capitalization of the peer companies (companies operating in the semiconductor industry as well as companies in the broader high technology sector) were within an appropriate range. Of the 18 peer companies from the fall of 2023, eight were removed from the peer group either due to their market capitalization, as of November 4, 2025, falling below the applicable range, an insufficient business fit, or acquisition. Seven semiconductor and related companies were added to the peer group, with market capitalizations more closely aligned with Tower’s as of November 4, 2025, and the median market capitalization of the updated peer group was $8.65 billion as of November 4, 2025. The full list of the global peer group companies is attached hereto as Exhibit B. It is important to note, as detailed at the beginning of this Proposal 3, that since November 2025, the Company’s market capitalization grew significantly and as such, the peer group data were adjusted using regression analysis to be representative of Tower’s $19.7 billion market capitalization on March 31, 2026.</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peer group consists solely of U.S.-based companies, as certain of the Company’s senior executives are based in the United States and the Company competes for executive talent on a global scale. For example, the Company’s Chief Executive Officer was recruited from the United States, and other officer positions are held by non-Israelis. Additionally, the United States constitutes our largest reported geographic region by revenue, representing 42% of the Company’s 2025 revenue. Furthermore, there are very few Israeli public companies of comparable scale traded on NASDAQ or other US stock exchanges and/or on TASE, particularly in the semiconductor or related high-technology sector. Given the highly competitive nature of the semiconductor industry, attracting and retaining top executive talent is extremely challenging and vitally important. Consistent with our philosophy of promoting equity ownership and aligning executives’ interests with those of our shareholders, the Compensation Committee believes that it is necessary and appropriate to offer competitive levels of short-term and long-term incentive compensation, while remaining within appropriate parameters with respect to target pay levels, program structure and dilution.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executive officer and director compensation. As part of this year’s review, the Compensation Committee retained FW Cook to perform a comprehensive benchmarking exercise, which included an evaluation of executive compensation in comparison to the defined peer group, relevant survey data, as well as consideration of local benchmark data and global industry trends. The Compensation Committee considered the structure, components and amounts paid under the executive compensation programs of other comparable peer companies, as derived from public filings and other sources. Our Compensation Committee believes that obtaining relevant market data is essential to determining executive compensation, as it provides a valuable reference point and useful context for decision-making, including information on the range of competitive pay levels and current compensation practices within the Company’s industry.</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reviewing the Existing Compensation Policy, the Compensation Committee also considered the Company’s improved circumstances as compared to those prevailing at the time the Existing Compensation Policy was adopted, including the fivefold increase in the Company’s market capitalization, from approximately $4 billion as of March 31, 2025 to approximately $20 billion as of March 31, 2026, as well as its year-over-year and quarter-over-quarter growth in revenue, cash flow, and margins during 2025, together with the Company’s growth forecasts for 2026. In addition, the Compensation Committee considered the various factors set forth in the Israeli Companies Law, the Company’s long-term strategy, risk management approach, and current size and the scope of its operations.</w:t>
      </w:r>
    </w:p>
    <w:p>
      <w:pPr>
        <w:spacing w:after="0" w:line="18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As part of the Compensation Committee’s determination of the specific changes to the compensation policy proposed below, the Committee reviewed key provisions from the compensation policies of the eight largest Israeli companies (based on 2025 average market capitalization, which relates to their latest compensation year) that file proxy statements under Israeli governance rules and are also listed on a US stock exchange (like Tower), as summarized by FW Cook. The eight companies are in various industries (none are semiconductor manufacturers) and are listed hereto in Exhibit C. The sample companies ranged from $7.7 billion to $22.4 billion in 2025 average market capitalization, with a median of $10.6 billion. They ranged from $3.5 billion to $38.9 billion as of March 31, 2026 market capitalization, with a median of $10.2 billion on March 31, 2026. FW Cook found varying practices with regard to how these companies’ CEO equity compensation limits are defined in their compensation policies – five defined it as a percentage of market capitalization, two defined it as a dollar value, and one defined it as the lesser of a multiple of salary and a percentage of market capitalization. If the companies that use a dollar value or salary multiple approach for their CEO equity compensation limits are converted to a percentage of market capitalization (as of March 31, 2026), the resulting range of CEO equity compensation limits is 0.01% to 0.40% of market capitalization, with a median of 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proposed updated Tower CEO equity compensation limit under the Amended Compensation Policy is equivalent to $14,064,167 if Proposal 4 is approved at the Meeting (calculated based on the CEO’s proposed 2026 salary). This dollar amount is equivalent to 0.07% of Tower’s $19.7 billion market capitalization on March 31, 2026, and 0.05% of Tower’s $29.8 billion market capitalization on May 20, 2026 (just prior to the filing date of this proxy statement). This is a significantly lower potential sharing rate than the 0.25% median benchmark observed among the eight Israeli companies referenced above. Furthermore, the proposed Tower CEO equity compensation limit results in a meaningfully lower 2026 potential CEO equity compensation grant value as a percentage of market capitalization when compared to Tower’s 2025 CEO actual grant, which had a grant value of $8,757,911 and was 0.17% of Tower’s $5.2 billion market capitalization on July 30, 2025 (i.e., date of 2025 annual general meeting of shareholders when the 2025 award was approved by shareholders). The Committee believes that this competitive analysis of Israeli company practices, as well as the significant year-over-year decrease in the potential 2026 grant value as a percentage of market capitalization further support the reasonableness of both the CEO compensation limit adjustments in this Proposal 3 and the 2026 CEO total equity grant amount proposed in Proposal 5. Additionally, unlike the approach used by most of the eight Israeli companies referenced above, Tower’s approach of capping our executives’ equity compensation based on multiples of salary rather than a percentage of market capitalization is in the best interests of shareholders because it ensures that Tower’s grant values cannot scale in a linear manner with market capitalization from year to year, even as Tower experiences extraordinary market capitalization growth.</w:t>
      </w:r>
    </w:p>
    <w:p>
      <w:pPr>
        <w:spacing w:after="0" w:line="1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Accordingly, in consideration of the foregoing and based on the benchmarking exercise data of both the compensation peer group and the reference group of eight Israeli companies, the Compensation Committee concluded that certain amendments to the Existing Compensation Policy are necessary to enable the Company to provide appropriate, market-competitive compensation, in a manner consistent with market practices in the Company’s industry, to be paid to the Company’s Chief Executive Officer and other executives, as described below. The following is a summary of the proposed primary amendments to the Existing Compensation Policy. The following summary is qualified in its entirety by reference to the full text of the proposed amended and restated Compensation Policy, which is attached as Exhibit A to this Proxy Statement marked to show changes to the Existing Compensation Policy (the “</w:t>
      </w:r>
      <w:r>
        <w:rPr>
          <w:rFonts w:ascii="Times New Roman" w:cs="Times New Roman" w:eastAsia="Times New Roman" w:hAnsi="Times New Roman"/>
          <w:sz w:val="18"/>
          <w:szCs w:val="18"/>
          <w:b w:val="1"/>
          <w:bCs w:val="1"/>
          <w:color w:val="auto"/>
        </w:rPr>
        <w:t>Amended Compensation Policy</w:t>
      </w:r>
      <w:r>
        <w:rPr>
          <w:rFonts w:ascii="Times New Roman" w:cs="Times New Roman" w:eastAsia="Times New Roman" w:hAnsi="Times New Roman"/>
          <w:sz w:val="18"/>
          <w:szCs w:val="18"/>
          <w:color w:val="auto"/>
        </w:rPr>
        <w:t>”). The Existing Compensation Policy and the Amended Compensation Policy are referred to collectively as the “</w:t>
      </w:r>
      <w:r>
        <w:rPr>
          <w:rFonts w:ascii="Times New Roman" w:cs="Times New Roman" w:eastAsia="Times New Roman" w:hAnsi="Times New Roman"/>
          <w:sz w:val="18"/>
          <w:szCs w:val="18"/>
          <w:b w:val="1"/>
          <w:bCs w:val="1"/>
          <w:color w:val="auto"/>
        </w:rPr>
        <w:t>Compensation Policies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4.2, the ratio of fixed compensation to total variable compensation that may be awarded over a calendar year has been updated, due to the proposed increase in the maximum value of equity awards and the additional performance-based equity awards that may be granted, as described below, to 1:20 for the Chief Executive Officer and 1:14 for each Other Executive Officer (as defined in the Amended Compensation Policy).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8.2, clarification has been added to provide that a sign-on bonus, if any is granted, shall be awarded in addition to any annual award granted to an executive officer, and the sign-on bonus may be comprised of either: (i) cash that shall not exceed a gross amount of up to one times annual base salary (which remains the same as provided under the Existing Compensation Policy); or (ii) equity with an aggregate value of up to two annual base salaries. This grant is intended to enable the Compensation Committee and the Board of Directors to recruit high-quality, experienced personnel in the current increasingly competitive market in our industry to support the Company’s growth. This grant may also include a make-whole award to replace forfeited equity compensation at a new-hire executive’s previous employer, which may be needed from time to time to enable hiring experienced, quality talent, consistent with market practice, especially following the recent increase in share prices and unvested equity values within our industry. Any equity sign-on bonus or make-whole award granted pursuant to Section 8.2 shall consist of RSUs and PSUs, with a minimum of 60% of the award value being in PSUs, and shall vest as follows: not more than 50% of the grant shall vest on the first anniversary of the date of grant, and the remaining 50% or more may vest over a minimum of two years from the first anniversary of the date of grant (i.e., at least three year vesting in total). Such grant will be subject to the same “change in control” provisions applicable to Tower’s other equity awards granted to executives. Given the sign-on bonus’s one-time, case-by-case nature, it shall not be subject to the terms and limitations of Sections 4, 14 and 18 of the Amended Compensation Policy. Given the lack of Israel-based semiconductor companies of comparable scale and market capitalization, these changes are intended to enable Tower to have more flexibility when competing for talent with semiconductor companies located in the US, where it is typical to provide larger-than-normal equity compensation to new-hires in their first year (it being understood that such compensation levels will be expected to normalize in years following the transition year), and to provide make-whole awards when necessary, which is supported within the US proxy voting policies published by leading proxy advisor firms.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jc w:val="both"/>
        <w:ind w:left="328" w:hanging="328"/>
        <w:spacing w:after="0" w:line="26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9.3, the possible weightings applicable to the executive performance objectives (“</w:t>
      </w:r>
      <w:r>
        <w:rPr>
          <w:rFonts w:ascii="Times New Roman" w:cs="Times New Roman" w:eastAsia="Times New Roman" w:hAnsi="Times New Roman"/>
          <w:sz w:val="18"/>
          <w:szCs w:val="18"/>
          <w:b w:val="1"/>
          <w:bCs w:val="1"/>
          <w:color w:val="auto"/>
        </w:rPr>
        <w:t>MBO</w:t>
      </w:r>
      <w:r>
        <w:rPr>
          <w:rFonts w:ascii="Times New Roman" w:cs="Times New Roman" w:eastAsia="Times New Roman" w:hAnsi="Times New Roman"/>
          <w:sz w:val="18"/>
          <w:szCs w:val="18"/>
          <w:color w:val="auto"/>
        </w:rPr>
        <w:t>”) metric categories for purposes of the annual bonus have been broadened to provide the Compensation Committee and the Board of Directors with greater flexibility and to enable consideration of external factors and special emphasis on certain metrics when providing the Company with guidelines for the establishment of the next year’s MBOs.</w:t>
      </w:r>
    </w:p>
    <w:p>
      <w:pPr>
        <w:spacing w:after="0" w:line="180"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10.2, the potential chief executive officer’s bonus upside has been increased to 200% of target in order to allow for an additional benefit in the event that the chief executive officer exceeds the defined targets through outstanding performance, warranting entitlement to additional compensation, consistent with peer group practice. In addition, a provision has been added providing that the Board of Directors may, at its discretion, establish additional threshold(s) below which no bonus payout will be paid to the chief executive officer. This provision has also been added to Section 10.3 with respect to the Other Executive Officers.</w:t>
      </w:r>
    </w:p>
    <w:p>
      <w:pPr>
        <w:spacing w:after="0" w:line="196"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14.3, the maximum value of equity, calculated in accordance with the Equity Calculation Model (as defined in the Amended Compensation Policy), that may be granted annually to the chief executive officer has been increased to an amount equal to 13 times the chief executive officer’s annual base salary, and, with respect to each Other Executive Officer, to an amount equal to 7 times such Other Executive Officer’s annual base salary, in order to enable the Company to provide its executives with competitive market compensation that aligns with the compensation practices of its peer group.</w:t>
      </w:r>
    </w:p>
    <w:p>
      <w:pPr>
        <w:spacing w:after="0" w:line="196"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14.6, it has been clarified that performance-based RSUs will vest at target performance in the event of acceleration of equity awards due to death.</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14.8, the shareholding guidelines have been updated to reflect the current compliance of all officers and directors who have served on the Board of Directors since the Board adopted the guidelines, and to clarify that officers and directors elected or appointed (as applicable) subsequent to the date on which the Board of Directors approved the shareholding guidelines are required to attain full compliance with the guidelines in accordance with the same mechanism and time period, with the necessary applicable changes.</w:t>
      </w:r>
    </w:p>
    <w:p>
      <w:pPr>
        <w:spacing w:after="0" w:line="193"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16.2, it was clarified that severance pay may not be paid to Israeli officers upon dismissal if severance pay is not payable under applicable Israeli law.</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18, the structure of a qualified retirement program was added, under which eligible executive officers may receive continued vesting of equity awards up to a specified period if an executive officer notifies the Company of his or her desire to leave employment with the Company under the terms of the program, including the agreement of the executive officer to a certain transition period (for the Company’s benefit) and to certain post-separation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-2531110</wp:posOffset>
            </wp:positionV>
            <wp:extent cx="36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1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7" w:right="339" w:bottom="1440" w:gutter="0" w:footer="0" w:header="0"/>
        </w:sectPr>
      </w:pPr>
    </w:p>
    <w:bookmarkStart w:id="21" w:name="page22"/>
    <w:bookmarkEnd w:id="21"/>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21, the maximum aggregate limit of liability under directors’ and officers’ insurance that may be procured by the Company from time to time has been increased to no more than $175 million per claim and in the aggregate for each insurance period, in accordance with benchmark data for similarly situated companies.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22, a joining equity grant has been added for newly appointed directors whose appointment to the Board was approved by the Board of Directors more than three months prior to the Company’s next annual general meeting of shareholders. In accordance with the Israeli Companies Law and our Articles of Association, the Board of Directors may appoint a director to serve on the Board until the Company’s next annual general meeting of shareholders; however, the Existing Compensation Policy does not provide for the grant of equity-based compensation to such a director in respect of such interim service period. Accordingly, the proposed joining grant is in order to provide for the award of equity-based compensation to newly appointed directors who join the Board a substantial period of time before the next annual general meeting.</w:t>
      </w:r>
    </w:p>
    <w:p>
      <w:pPr>
        <w:spacing w:after="0" w:line="20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The Company is a global foundry player that competes with peers around the world for market share and technological leadership, primarily in the United States and the Far East, and also competes to retain key employees and to recruit new skilled and talented personnel. The Compensation Committee conducted a thorough analysis of current global trends in executive compensation, with particular emphasis on the Company’s peer companies, before defining and recommending the proposed amendments to the Existing Compensation Policy. Over the past five years, approximately two-thirds of the average daily trading of the Company’s Ordinary Shares occurred on Nasdaq, while approximately one-third of its average daily trading occurred on the TASE, demonstrating the Company’s strong presence in the global capital markets. The Compensation Committee has always been attentive to shareholders’ interests and intends to remain so in the future, and it will also continue to monitor and adapt to market best practices, while remaining mindful of dilution and burn rates in connection with equity plans and grants. As set forth in both Compensation Policies, the total shares underlying outstanding RSUs, PSUs and other equity-based compensation awards granted by the Company may not, at any time, exceed 10% of the Company’s fully diluted issued share capital. The Company’s historical equity burn rate is reasonable for a company of Tower’s size and industry. The Company will continue to monitor its equity usage in future years in an attempt to ensure that its equity burn rate remains within competitive market norms.</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Israeli Companies Law, to the extent not approved by shareholders, the Compensation Committee and the Board of Directors may nonetheless approve the Amended Compensation Policy, following re-discussion of the matter and for specified reasons, provided such approval is believed to be in the best interests of the Company. If the Amended Compensation Policy is approved at the Meeting, then according to the Israeli Companies Law, the Compensation Policy must be re-approved by shareholders within three years of such date, and shall be subject to periodic assessments by our Board of Directors in accordance with the Israeli Companies Law.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 is therefore proposed that at the Meeting, the following resolution be adopted:</w:t>
      </w:r>
    </w:p>
    <w:p>
      <w:pPr>
        <w:spacing w:after="0" w:line="239" w:lineRule="exact"/>
        <w:rPr>
          <w:sz w:val="20"/>
          <w:szCs w:val="20"/>
          <w:color w:val="auto"/>
        </w:rPr>
      </w:pPr>
    </w:p>
    <w:p>
      <w:pPr>
        <w:ind w:right="1300" w:firstLine="648"/>
        <w:spacing w:after="0" w:line="526" w:lineRule="auto"/>
        <w:rPr>
          <w:sz w:val="20"/>
          <w:szCs w:val="20"/>
          <w:color w:val="auto"/>
        </w:rPr>
      </w:pPr>
      <w:r>
        <w:rPr>
          <w:rFonts w:ascii="Times New Roman" w:cs="Times New Roman" w:eastAsia="Times New Roman" w:hAnsi="Times New Roman"/>
          <w:sz w:val="18"/>
          <w:szCs w:val="18"/>
          <w:b w:val="1"/>
          <w:bCs w:val="1"/>
          <w:color w:val="auto"/>
        </w:rPr>
        <w:t xml:space="preserve">“RESOLVED, to approve the Amended Compensation Policy, in the form attached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 xml:space="preserve"> to the Proxy Statement.” </w:t>
      </w:r>
      <w:r>
        <w:rPr>
          <w:rFonts w:ascii="Times New Roman" w:cs="Times New Roman" w:eastAsia="Times New Roman" w:hAnsi="Times New Roman"/>
          <w:sz w:val="18"/>
          <w:szCs w:val="18"/>
          <w:b w:val="1"/>
          <w:bCs w:val="1"/>
          <w:i w:val="1"/>
          <w:iCs w:val="1"/>
          <w:color w:val="auto"/>
        </w:rPr>
        <w:t>Approval Required</w:t>
      </w:r>
    </w:p>
    <w:p>
      <w:pPr>
        <w:spacing w:after="0" w:line="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approval of Proposal 3 requires the affirmative vote of holders of a majority of the Ordinary Shares represented at the Meeting and voting on the matter, in person or by proxy, voting instruction form or via the Electronic System. In addition, under the Israeli Companies Law, the approval of Proposal 3 is also subject to the fulfillment of the Special Majority. For additional details, see “Vote Required for Approval of the Proposals” above.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INCREASE IN THE BASE SALARY OF MR. RUSSELL ELLWANGER,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Mr. Russell Ellwanger has served as the Company’s Chief Executive Officer since May 2005. Mr. Ellwanger has also served as a director since September 2016, and serves as Chairman of the Board of Directors of the Company’s subsidiaries (see Proposal 1 for Mr. Ellwanger’s biographical information). Mr. Ellwanger also served as a director of the Company between May 2005 and April 2013.</w:t>
      </w:r>
    </w:p>
    <w:p>
      <w:pPr>
        <w:spacing w:after="0" w:line="1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Under the Israeli Companies Law, the terms of service of a chief executive officer and modifications to such terms of service, require the approval of the Compensation Committee, the Board of Directors and (subject to limited exceptions) the shareholders of the Company by the Special Majority (see above “Vote Required for Approval of the Proposals”), in that order.</w:t>
      </w:r>
    </w:p>
    <w:p>
      <w:pPr>
        <w:spacing w:after="0" w:line="17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detailed in Proposal 3, our Compensation Committee and Board of Directors conducted an annual review of the compensation of Mr. Russell Ellwanger, our Chief Executive Officer, including his cash-based compensation. In conducting this review, they considered current market trends in executive compensation, based on data presented by FW Cook, an independent global compensation consultant, in order to ensure that Mr. Ellwanger’s compensation components and total compensation remain aligned with industry benchmarks. For additional information, see Proposal 3. The Compensation Committee and the Board also considered factors specific to Mr. Ellwanger and his role, including his prior U.S. and global professional experience, his responsibilities as Chief Executive Officer of a company with global operations and multiple geographic sites, his long and successful tenure at Tower, the Company’s position as a global leader in the semiconductor industry, the global nature of the companies that may compete to recruit him, and the significance of his achievements to date in contributing to the Company’s growth and success. In addition, the Compensation Committee and the Board considered Mr. Ellwanger’s extensive professional experience, skills and comprehensive knowledge of the semiconductor industry, including his technical and operational expertise and his familiarity with customers, vendors and the market, which make him uniquely qualified and have enabled him to lead the Company and its subsidiaries worldwide to compete successfully, gain market share and improve financial performance since he joined the Company.</w:t>
      </w:r>
    </w:p>
    <w:p>
      <w:pPr>
        <w:spacing w:after="0" w:line="19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Given the highly competitive and fast-growing industry in which the Company operates, attracting and retaining top executive talent is extremely challenging and vitally important. The Company’s ability to execute its strategy, its future success and the promotion and protection of the interests of its shareholders depend greatly on its continuing ability to retain highly qualified and skilled employees. The Compensation Committee believes that it is necessary and appropriate to maintain competitive levels of short-term and long-term incentive compensation in order to support retention, while remaining within appropriate parameters for amounts, program structure and dilution.</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Compensation Committee and the Board of Directors are attentive to shareholders’ feedback and strive to align Mr. Ellwanger’s compensation terms with market best practices, with the goal of maintaining a competitive pay program that incentivizes strong performance for the benefit of the Company’s shareholders. The Compensation Committee and the Board of Directors target Mr. Ellwanger’s compensation level at competitive levels relative to the Company’s peer group, taking into account his exceptional performance and ongoing contribution to the Company’s growth and profitability. Based on such review, the Compensation Committee and the Board of Directors concluded that, subject to shareholder approval, Mr. Ellwanger’s annual base salary should be increased by 5%, from $1,030,342 to $1,081,859, effective as of the date of the Meeting, which amount approximates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The proposed increase in the annual base salary of Mr. Russell Ellwanger is consistent with both the Existing Compensation Policy and the Amended Compensation Policy.</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5" w:lineRule="exact"/>
        <w:rPr>
          <w:sz w:val="20"/>
          <w:szCs w:val="20"/>
          <w:color w:val="auto"/>
        </w:rPr>
      </w:pPr>
    </w:p>
    <w:p>
      <w:pPr>
        <w:ind w:left="660"/>
        <w:spacing w:after="0" w:line="30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increase in the annual base salary of Mr. Russell Ellwanger, the Company’s Chief Executive Officer,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4 of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approval of Proposal 4 requires the affirmative vote of holders of a majority of the Ordinary Shares represented at the Meeting and voting on the matter, in person or by proxy, voting instruction form or via the Electronic System. In addition, under the Israeli Companies Law, the approval of Proposal 4 is also subject to fulfillment of the Special Majority. For additional details, see “Vote Required for Approval of the Proposals”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GRANT OF AN ANNUAL EQUITY-BASED AWARD TO MR. RUSSELL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ELLWANGER, OUR CHIEF EXECUTIVE OFFICER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Under the Israeli Companies Law, the terms of service of a chief executive officer, including the award of equity-based compensation, require the approval of the Compensation Committee, the Board of Directors and (subject to limited exceptions) the shareholders of the Company by the Special Majority (see above “Vote Required for Approval of the Proposals”), in that order.</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detailed in Proposal 3, the Company has experienced exceptional growth and transformation over the past three years, driven in large part by the rapid expansion of the AI-related semiconductor industry, data center and RF infrastructure-related semiconductor industry, resulting in substantial value creation for shareholders: $29.8 billion market capitalization on May 20, 2026, just prior to the filing date of this proxy statement, is approximately seven times its market capitalization when the Existing Compensation Policy was approved by shareholders roughly three years ago (on July 3, 2023). In order for the Company to continue its strategic trajectory and achieve the next phase of growth, the Company must ensure that its executive compensation practices remain aligned with its peer group and prevailing market practice to retain and motivate critical executive talent and leadership in an increasingly competitive market for specialized semiconductor expertise.</w:t>
      </w:r>
    </w:p>
    <w:p>
      <w:pPr>
        <w:spacing w:after="0" w:line="1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this end, our Compensation Committee and Board of Directors conducted an annual review of the compensation of our executives, including Mr. Russell Ellwanger, our Chief Executive Officer, including his equity-based compensation, taking into consideration current market trends in executive compensation, as presented by FW Cook, an independent global compensation consultant, to ensure that both the compensation components and total compensation remain aligned with industry benchmarks. For additional information, see Proposal 3.</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conducting this review, the Compensation Committee examined various equity mechanisms with the objective of aligning with market practices, while continuing to set ambitious long-term goals that are aligned with shareholder interests, as well as providing appropriate incentives for Mr. Ellwanger to drive Company outperformance and to promote ownership and encourage retention. To achieve these objectives, the Compensation Committee structured a mix and relative weighting of the equity components described below. This structure is designed to be complementary as (i) the RSUs serve as a retention incentive and reinforce a culture of ownership and commitment to the Company by providing value even during periods of market or stock price underperformance, while (ii) the PSUs offer the potential for additional value based on outperformance, reinforcing the pay-for-performance nature of the long-term incentive grants and the overall executive compensation program, with the goal of linking the Chief Executive Officer’s compensation to performance targets that directly align with the Company’s business strategy and his responsibilities and duties. The PSU structure, as described below, aligns with current market trends in terms of performance metrics and vesting structure.</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addition, the Compensation Committee evaluated and reviewed several considerations, including (i) the Company’s significant financial performance in 2025 and through the first quarter of 2026, as evidenced by the Company’s strong balance sheet and its financial ratios, shareholders’ equity and profit margins as of December 31, 2025 and March 31, 2026, as well as its substantially increased market capitalization during the period and to date (for additional details, see Proposal 3); and (ii) the complexity of the Company’s global operations, as evidenced by its geographically-diversified revenue mix and manufacturing facilities located in multiple regions, which require specific capabilities, talents, and skill sets to manage effectively. The Compensation Committee also reviewed Mr. Ellwanger’s total target compensation to ensure that it appropriately recognizes the Company’s strong performance and also incentivizes Mr. Ellwanger to continue to deliver strong future performance following the Company’s 392% stock price increase from March 31, 2025 to March 31, 2026. The Committee determined to recommend the CEO’s annual equity compensation at 10 annual base salaries for 2026 as detailed below and provide an additional one-time 3 annual base salaries equity award in recognition of the Company’s and Mr. Ellwanger’s extraordinary performance, with particular emphasis on incentivizing continued outperformance through the additional equity performance based compensation that is subject to attainment of defined targets, under the same 60% PSUs and 40% RSUs structure as the regular 10 annual salary equity award. Assuming both Proposals 4 and 5 are approved at the Meeting, Mr. Ellwanger’s target total compensation will be above the median, but within the range of the aforementioned global peer group, as set forth on Exhibit B. The peer group benchmark data is derived from proxy statements filed by the peer group companies in 2025, which disclose executive compensation for 2024, when most of the peer companies had even lower market capitalizations.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Tower’s $19.7 billion market capitalization (as of March 31, 2026) was among the three highest market capitalizations in the peer group as of the time of peer selection (November 4, 2025), and well above the $13.4 billion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market capitalization of the peer group. This gap has significantly widened as the Company’s market cap grew threefold since November 2025, with the Company’s further increased market capitalization to $29.8 billion as of the date of this proxy statement. Accordingly, the Company’s significantly higher market capitalization, which reflects the substantial value created for shareholders and the increased scale and complexity of the Company's operations, further strengthens the need to provide equity compensation that aligns with the Company’s enhanced position and financial performance. FW Cook’s professional experience gleaned from working with many semiconductor and other high-tech companies over many years has emphasized that market capitalization is much more correlated with senior executive equity grant values than is trailing revenue, which is why the Compensation Committee carefully evaluated Tower’s market capitalization growth and positioning vs. peers before formulating its equity compensation-related decisions. Informed by FW Cook’s professional interpretation of the benchmark data as it relates to Tower’s market capitalization and scope of operations in 2026, the Compensation Committee believes that Mr. Ellwanger’s proposed compensation is in an appropriately competitive range relative to similarly sized companies operating in the semiconductor industry.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further evaluation to ensure the proposed CEO equity grant amount is reasonable, the Committee reviewed the peer group CEO equity grant amounts as a percentage of market capitalization on the date of grant and found that the median benchmark was 0.11%. The proposed 2026 Tower CEO equity compensation is $14,064,167 in total if Proposal 4 is approved. This is equivalent to 0.07% of Tower’s $19.7 billion market capitalization on March 31, 2026, and 0.05% of Tower’s $29.8 billion market capitalization on May 20, 2026 (just prior to the filing of this proxy statement). This is a significantly lower sharing rate at Tower than the 0.11% peer median benchmark, which is based on their 2024 equity awards reported in 2025 proxies, as researched by FW Cook before 2026 proxies were released.</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As a secondary check of reasonableness after the Compensation Committee and Board of Directors determined 2026 CEO compensation levels in March 2026 (subject to shareholder approval), FW Cook ran an analysis of a subset of the peer group using 2026 proxies, which was comprised of the five peers that were closest in market capitalization at the time of grant in 2025 to Tower’s $29.8 billion market capitalization on May 20, 2026. These five peers were Coherent, Entegris, Monolithic Power, ON Semi, and Teradyne, and their market capitalizations ranged from $10.7 billion to $32.0 billion at the time they made their CEO equity grants in fiscal 2025. The median CEO equity grant as a percentage of market capitalization was 0.07% among this peer group subset, which further supports the reasonableness of Tower’s proposed 2026 CEO equity award, which is 0.05% of market capitalization (based on Tower’s $29.8 billion market capitalization on May 20, 2026). FW Cook excluded the peer companies with lower market capitalization from this secondary analysis of 2026 proxies because it observed an inverse relationship between peer market capitalization and CEO equity grant value as a percentage of market capitalization (i.e., smaller-cap peers tended to have higher sharing rates, which would have resulted in a higher median benchmark if they were included).</w:t>
      </w:r>
    </w:p>
    <w:p>
      <w:pPr>
        <w:spacing w:after="0" w:line="19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Based on their evaluation and assessment, in March 2026, each of the Compensation Committee and Board of Directors approved, subject to shareholder approval, the award of the following equity grants to Mr. Ellwanger:</w:t>
      </w:r>
    </w:p>
    <w:p>
      <w:pPr>
        <w:spacing w:after="0" w:line="163" w:lineRule="exact"/>
        <w:rPr>
          <w:sz w:val="20"/>
          <w:szCs w:val="20"/>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grant in the value of 13 times his annual base salary, which includes an annual grant that is 10 times his annual base salary plus an outperformance grant that is 3 times his annual base salary (i.e., $14,064,167 if Proposal 4 is approved at the Meeting (i.e., calculated based on the adjusted salary) or $13,394,446 if Proposal 4 is not approved at the Meeting), comprised of:</w:t>
      </w:r>
    </w:p>
    <w:p>
      <w:pPr>
        <w:spacing w:after="0" w:line="18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time-based vesting RSUs (the “</w:t>
      </w:r>
      <w:r>
        <w:rPr>
          <w:rFonts w:ascii="Times New Roman" w:cs="Times New Roman" w:eastAsia="Times New Roman" w:hAnsi="Times New Roman"/>
          <w:sz w:val="18"/>
          <w:szCs w:val="18"/>
          <w:b w:val="1"/>
          <w:bCs w:val="1"/>
          <w:color w:val="auto"/>
        </w:rPr>
        <w:t>Base RSUs</w:t>
      </w:r>
      <w:r>
        <w:rPr>
          <w:rFonts w:ascii="Times New Roman" w:cs="Times New Roman" w:eastAsia="Times New Roman" w:hAnsi="Times New Roman"/>
          <w:sz w:val="18"/>
          <w:szCs w:val="18"/>
          <w:color w:val="auto"/>
        </w:rPr>
        <w:t>”); and</w:t>
      </w:r>
    </w:p>
    <w:p>
      <w:pPr>
        <w:spacing w:after="0" w:line="238"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PSUs (the “</w:t>
      </w:r>
      <w:r>
        <w:rPr>
          <w:rFonts w:ascii="Times New Roman" w:cs="Times New Roman" w:eastAsia="Times New Roman" w:hAnsi="Times New Roman"/>
          <w:sz w:val="18"/>
          <w:szCs w:val="18"/>
          <w:b w:val="1"/>
          <w:bCs w:val="1"/>
          <w:color w:val="auto"/>
        </w:rPr>
        <w:t>Base PSUs</w:t>
      </w:r>
      <w:r>
        <w:rPr>
          <w:rFonts w:ascii="Times New Roman" w:cs="Times New Roman" w:eastAsia="Times New Roman" w:hAnsi="Times New Roman"/>
          <w:sz w:val="18"/>
          <w:szCs w:val="18"/>
          <w:color w:val="auto"/>
        </w:rPr>
        <w:t>”), comprised of two types, as follows:</w:t>
      </w:r>
    </w:p>
    <w:p>
      <w:pPr>
        <w:spacing w:after="0" w:line="229" w:lineRule="exact"/>
        <w:rPr>
          <w:rFonts w:ascii="Times New Roman" w:cs="Times New Roman" w:eastAsia="Times New Roman" w:hAnsi="Times New Roman"/>
          <w:sz w:val="18"/>
          <w:szCs w:val="18"/>
          <w:color w:val="auto"/>
        </w:rPr>
      </w:pPr>
    </w:p>
    <w:p>
      <w:pPr>
        <w:ind w:left="2600" w:hanging="972"/>
        <w:spacing w:after="0" w:line="282" w:lineRule="auto"/>
        <w:tabs>
          <w:tab w:leader="none" w:pos="26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of the Base PSUs (in the value of $5,569,410 if Proposal 4 is approved at the Meeting or $5,304,201 if Proposal 4 is not approved at the Meeting), are referred to as “</w:t>
      </w:r>
      <w:r>
        <w:rPr>
          <w:rFonts w:ascii="Times New Roman" w:cs="Times New Roman" w:eastAsia="Times New Roman" w:hAnsi="Times New Roman"/>
          <w:sz w:val="18"/>
          <w:szCs w:val="18"/>
          <w:b w:val="1"/>
          <w:bCs w:val="1"/>
          <w:color w:val="auto"/>
        </w:rPr>
        <w:t>Base PSUs Type 1</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2600" w:hanging="972"/>
        <w:spacing w:after="0" w:line="282" w:lineRule="auto"/>
        <w:tabs>
          <w:tab w:leader="none" w:pos="26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the Base PSUs (in the value of $2,869,090 if Proposal 4 is approved at the Meeting or $2,732,467 if Proposal 4 is not approved at the Meeting), are referred to as “</w:t>
      </w:r>
      <w:r>
        <w:rPr>
          <w:rFonts w:ascii="Times New Roman" w:cs="Times New Roman" w:eastAsia="Times New Roman" w:hAnsi="Times New Roman"/>
          <w:sz w:val="18"/>
          <w:szCs w:val="18"/>
          <w:b w:val="1"/>
          <w:bCs w:val="1"/>
          <w:color w:val="auto"/>
        </w:rPr>
        <w:t>Base PSUs Type 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left="644" w:hanging="644"/>
        <w:spacing w:after="0"/>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PSUs (the “</w:t>
      </w:r>
      <w:r>
        <w:rPr>
          <w:rFonts w:ascii="Times New Roman" w:cs="Times New Roman" w:eastAsia="Times New Roman" w:hAnsi="Times New Roman"/>
          <w:sz w:val="18"/>
          <w:szCs w:val="18"/>
          <w:b w:val="1"/>
          <w:bCs w:val="1"/>
          <w:color w:val="auto"/>
        </w:rPr>
        <w:t>Upside PSUs</w:t>
      </w:r>
      <w:r>
        <w:rPr>
          <w:rFonts w:ascii="Times New Roman" w:cs="Times New Roman" w:eastAsia="Times New Roman" w:hAnsi="Times New Roman"/>
          <w:sz w:val="18"/>
          <w:szCs w:val="18"/>
          <w:color w:val="auto"/>
        </w:rPr>
        <w:t>”), comprised of two types, as follows:</w:t>
      </w:r>
    </w:p>
    <w:p>
      <w:pPr>
        <w:spacing w:after="0" w:line="229" w:lineRule="exact"/>
        <w:rPr>
          <w:rFonts w:ascii="Times New Roman" w:cs="Times New Roman" w:eastAsia="Times New Roman" w:hAnsi="Times New Roman"/>
          <w:sz w:val="18"/>
          <w:szCs w:val="18"/>
          <w:color w:val="auto"/>
        </w:rPr>
      </w:pPr>
    </w:p>
    <w:p>
      <w:pPr>
        <w:jc w:val="both"/>
        <w:ind w:left="964" w:hanging="640"/>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Upside PSUs with a value of up to 50% of the maximum value of the Base PSUs Type 1 (i.e., up to $2,784,705 if Proposal 4 is approved at the Meeting or up to $2,652,100 if Proposal 4 is not approved at the Meeting), referred to as “</w:t>
      </w:r>
      <w:r>
        <w:rPr>
          <w:rFonts w:ascii="Times New Roman" w:cs="Times New Roman" w:eastAsia="Times New Roman" w:hAnsi="Times New Roman"/>
          <w:sz w:val="18"/>
          <w:szCs w:val="18"/>
          <w:b w:val="1"/>
          <w:bCs w:val="1"/>
          <w:color w:val="auto"/>
        </w:rPr>
        <w:t>Upside PSUs Type 1</w:t>
      </w:r>
      <w:r>
        <w:rPr>
          <w:rFonts w:ascii="Times New Roman" w:cs="Times New Roman" w:eastAsia="Times New Roman" w:hAnsi="Times New Roman"/>
          <w:sz w:val="18"/>
          <w:szCs w:val="18"/>
          <w:color w:val="auto"/>
        </w:rPr>
        <w:t>”; and</w:t>
      </w:r>
    </w:p>
    <w:p>
      <w:pPr>
        <w:spacing w:after="0" w:line="189" w:lineRule="exact"/>
        <w:rPr>
          <w:rFonts w:ascii="Times New Roman" w:cs="Times New Roman" w:eastAsia="Times New Roman" w:hAnsi="Times New Roman"/>
          <w:sz w:val="18"/>
          <w:szCs w:val="18"/>
          <w:color w:val="auto"/>
        </w:rPr>
      </w:pPr>
    </w:p>
    <w:p>
      <w:pPr>
        <w:ind w:left="964" w:hanging="640"/>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Upside PSUs with a value of up to 100% of the maximum value of the Base PSUs Type 2 (i.e., up to $2,869,090 if Proposal 4 is approved at the Meeting or up to $2,732,467 if Proposal 4 is not approved at the Meeting), referred to as “</w:t>
      </w:r>
      <w:r>
        <w:rPr>
          <w:rFonts w:ascii="Times New Roman" w:cs="Times New Roman" w:eastAsia="Times New Roman" w:hAnsi="Times New Roman"/>
          <w:sz w:val="18"/>
          <w:szCs w:val="18"/>
          <w:b w:val="1"/>
          <w:bCs w:val="1"/>
          <w:color w:val="auto"/>
        </w:rPr>
        <w:t>Upside PSUs Type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122555</wp:posOffset>
            </wp:positionV>
            <wp:extent cx="5314950" cy="257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approved at the Meeting, the RSUs and PSUs shall vest as follows:</w:t>
      </w:r>
    </w:p>
    <w:p>
      <w:pPr>
        <w:spacing w:after="0" w:line="248" w:lineRule="exact"/>
        <w:rPr>
          <w:sz w:val="20"/>
          <w:szCs w:val="20"/>
          <w:color w:val="auto"/>
        </w:rPr>
      </w:pPr>
    </w:p>
    <w:p>
      <w:pPr>
        <w:ind w:left="4" w:hanging="4"/>
        <w:spacing w:after="0" w:line="286"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Base RSUs</w:t>
      </w:r>
      <w:r>
        <w:rPr>
          <w:rFonts w:ascii="Times New Roman" w:cs="Times New Roman" w:eastAsia="Times New Roman" w:hAnsi="Times New Roman"/>
          <w:sz w:val="18"/>
          <w:szCs w:val="18"/>
          <w:color w:val="auto"/>
        </w:rPr>
        <w:t>. The time-based vesting RSUs will vest over a three-year period, such that one-third shall vest at the end of each year over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three-year period from the date of the Meeting.</w:t>
      </w:r>
    </w:p>
    <w:p>
      <w:pPr>
        <w:spacing w:after="0" w:line="13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7" w:right="339" w:bottom="1440" w:gutter="0" w:footer="0" w:header="0"/>
        </w:sectPr>
      </w:pPr>
    </w:p>
    <w:bookmarkStart w:id="26" w:name="page27"/>
    <w:bookmarkEnd w:id="26"/>
    <w:p>
      <w:pPr>
        <w:ind w:left="1160" w:hanging="504"/>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Base PSUs Type 1 and Upside PSUs Type 1 (together, the “PSUs Type 1”)</w:t>
      </w:r>
      <w:r>
        <w:rPr>
          <w:rFonts w:ascii="Times New Roman" w:cs="Times New Roman" w:eastAsia="Times New Roman" w:hAnsi="Times New Roman"/>
          <w:sz w:val="18"/>
          <w:szCs w:val="18"/>
          <w:i w:val="1"/>
          <w:iCs w:val="1"/>
          <w:color w:val="auto"/>
        </w:rPr>
        <w:t>.</w:t>
      </w:r>
    </w:p>
    <w:p>
      <w:pPr>
        <w:spacing w:after="0" w:line="241" w:lineRule="exact"/>
        <w:rPr>
          <w:sz w:val="20"/>
          <w:szCs w:val="20"/>
          <w:color w:val="auto"/>
        </w:rPr>
      </w:pPr>
    </w:p>
    <w:p>
      <w:pPr>
        <w:jc w:val="both"/>
        <w:ind w:left="1300" w:firstLine="4"/>
        <w:spacing w:after="0" w:line="263" w:lineRule="auto"/>
        <w:tabs>
          <w:tab w:leader="none" w:pos="208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PSUs Type 1</w:t>
      </w:r>
      <w:r>
        <w:rPr>
          <w:rFonts w:ascii="Times New Roman" w:cs="Times New Roman" w:eastAsia="Times New Roman" w:hAnsi="Times New Roman"/>
          <w:sz w:val="18"/>
          <w:szCs w:val="18"/>
          <w:color w:val="auto"/>
        </w:rPr>
        <w:t>: The vesting of the Base PSUs Type 1 is contingent on the attainment of certain pre-defined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measures of net profit before tax and consolidated revenue for the year ended December 31, 2026, as determined by the Compensation Committee and Board of Directors (the “</w:t>
      </w:r>
      <w:r>
        <w:rPr>
          <w:rFonts w:ascii="Times New Roman" w:cs="Times New Roman" w:eastAsia="Times New Roman" w:hAnsi="Times New Roman"/>
          <w:sz w:val="18"/>
          <w:szCs w:val="18"/>
          <w:b w:val="1"/>
          <w:bCs w:val="1"/>
          <w:color w:val="auto"/>
        </w:rPr>
        <w:t>FY2026 Performance Measures</w:t>
      </w:r>
      <w:r>
        <w:rPr>
          <w:rFonts w:ascii="Times New Roman" w:cs="Times New Roman" w:eastAsia="Times New Roman" w:hAnsi="Times New Roman"/>
          <w:sz w:val="18"/>
          <w:szCs w:val="18"/>
          <w:color w:val="auto"/>
        </w:rPr>
        <w:t>”), weighted equally. The net profit before tax metric underscores the importance of consistent strong profitability, and the consolidated revenue metric emphasizes the significance of the Company’s market share in the semiconductor specialty analog foundry industry and its large-scale operations. These two performance measures are reported within the Company’s annual financial statements, which are prepared in accordance with U.S. GAAP, and we believe they best reflect our performance results derived from our strategy to expand our served markets, increase our higher margin technology process mix and maintain a leading position in the specialty analog semiconductor industry. The actual number of Base PSUs Type 1 earned (subject to time-based vesting, as described below) will be based on the Company’s performance relative to the FY2026 Performance Measures. The Compensation Committee views the use of these performance-based measures as crucial because they establish a direct link between the Chief Executive Officer’s compensation and key long-term Company performance priorities and align his interests with those of the Company and its shareholders. If the FY2026 Performance Measures are met, the Base PSUs Type 1 that are earned will remain subject to a three-year vesting period, such that one third of the Base PSUs Type 1 shall vest at the end of each year from the date of the Meeting.</w:t>
      </w:r>
    </w:p>
    <w:p>
      <w:pPr>
        <w:spacing w:after="0" w:line="199" w:lineRule="exact"/>
        <w:rPr>
          <w:rFonts w:ascii="Times New Roman" w:cs="Times New Roman" w:eastAsia="Times New Roman" w:hAnsi="Times New Roman"/>
          <w:sz w:val="18"/>
          <w:szCs w:val="18"/>
          <w:color w:val="auto"/>
        </w:rPr>
      </w:pPr>
    </w:p>
    <w:p>
      <w:pPr>
        <w:jc w:val="both"/>
        <w:ind w:left="1300" w:firstLine="4"/>
        <w:spacing w:after="0" w:line="264" w:lineRule="auto"/>
        <w:tabs>
          <w:tab w:leader="none" w:pos="18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Upside PSUs Type 1</w:t>
      </w:r>
      <w:r>
        <w:rPr>
          <w:rFonts w:ascii="Times New Roman" w:cs="Times New Roman" w:eastAsia="Times New Roman" w:hAnsi="Times New Roman"/>
          <w:sz w:val="18"/>
          <w:szCs w:val="18"/>
          <w:color w:val="auto"/>
        </w:rPr>
        <w:t>: The vesting of the Upside PSUs Type 1 is conditioned upon the Company’s actual financial performance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2026 exceeding the pre-defined performance targets set forth in the FY2026 Performance Measures, and the portion of the Upside PSUs Type 1 that shall be earned shall be in proportion to the degree by which such pre-defined performance targets are exceeded relative to a certain target percentage that was pre-defined by the Compensation Committee and Board of Directors. Such portion of the Upside PSUs Type 1 earned shall remain subject to the three-year time-vesting schedule as detailed above for the Base RSUs. The overall maximum payout opportunity of the grant of 150% of the PSUs Type 1 (comprising 100% of Base PSUs Type 1 plus 50% Upside PSUs Type 1) is lower than the typical 200% maximum payout opportunity observed among U.S. peer companies. We disclosed information with respect to the attainment of the fiscal year 2025 financial performance measures in our Annual Report on Form 20-F for the year ended December 31, 2025, and intend to disclose information with respect to the attainment of the FY2026 Performance Measures in our Annual Report on Form 20-F for the year ending December 31, 2026.</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Base PSUs Type 2 and Upside PSUs Type 2 (together, the “PSUs Type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and Upside PSUs Type 2 are designed to reward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Ellwanger based on the Company’s stock performance as traded on Nasdaq (symbol: TSEM) (“</w:t>
      </w:r>
      <w:r>
        <w:rPr>
          <w:rFonts w:ascii="Times New Roman" w:cs="Times New Roman" w:eastAsia="Times New Roman" w:hAnsi="Times New Roman"/>
          <w:sz w:val="18"/>
          <w:szCs w:val="18"/>
          <w:b w:val="1"/>
          <w:bCs w:val="1"/>
          <w:color w:val="auto"/>
        </w:rPr>
        <w:t>TSEM Performance</w:t>
      </w:r>
      <w:r>
        <w:rPr>
          <w:rFonts w:ascii="Times New Roman" w:cs="Times New Roman" w:eastAsia="Times New Roman" w:hAnsi="Times New Roman"/>
          <w:sz w:val="18"/>
          <w:szCs w:val="18"/>
          <w:color w:val="auto"/>
        </w:rPr>
        <w:t xml:space="preserve">”) as compared to the performance of the S&amp;P Semiconductors Select Industry Index companies (comprised of the companies listed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hereinafter the “</w:t>
      </w:r>
      <w:r>
        <w:rPr>
          <w:rFonts w:ascii="Times New Roman" w:cs="Times New Roman" w:eastAsia="Times New Roman" w:hAnsi="Times New Roman"/>
          <w:sz w:val="18"/>
          <w:szCs w:val="18"/>
          <w:b w:val="1"/>
          <w:bCs w:val="1"/>
          <w:color w:val="auto"/>
        </w:rPr>
        <w:t>Index Group</w:t>
      </w:r>
      <w:r>
        <w:rPr>
          <w:rFonts w:ascii="Times New Roman" w:cs="Times New Roman" w:eastAsia="Times New Roman" w:hAnsi="Times New Roman"/>
          <w:sz w:val="18"/>
          <w:szCs w:val="18"/>
          <w:color w:val="auto"/>
        </w:rPr>
        <w:t>”), to be measured over two performance periods: from January 1, 2026, through December 31, 2027 and from January 1, 2026 through December 31, 2028 (each, a “</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with 30% vesting at the end of the first Performance Period and 70% vesting at the end of the second Performance Period. The overall maximum payout opportunity of the grant of 200% of the PSUs Type 2 (comprising 100% of Base PSUs Type 2 plus 100% Upside PSUs Type 2) is consistent with the maximum payout opportunity typical among U.S. peer companies. For each Performance Period, the number of Base PSUs Type 2 and Upside PSUs Type 2 that may be earned is determined as follows:</w:t>
      </w:r>
    </w:p>
    <w:p>
      <w:pPr>
        <w:spacing w:after="0" w:line="182" w:lineRule="exact"/>
        <w:rPr>
          <w:sz w:val="20"/>
          <w:szCs w:val="20"/>
          <w:color w:val="auto"/>
        </w:rPr>
      </w:pPr>
    </w:p>
    <w:p>
      <w:pPr>
        <w:jc w:val="both"/>
        <w:ind w:left="1280" w:hanging="314"/>
        <w:spacing w:after="0" w:line="229"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equals or exceeds the 75</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color w:val="auto"/>
        </w:rPr>
        <w:t>: Mr. Ellwanger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 100% of Base PSUs Type 2, and 100% of the Upside PSUs Type 2. However, if TSEM Performance is negative during the Performance Period (i.e., if the Company’s stock price at the end of a Performance Period is lower than at the beginning of such period, regardless of the Company’s relative performance ranking within the Index Group), he will earn 100% of the Base PSUs Type 2, but no Upside PSUs Type 2.</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p>
      <w:pPr>
        <w:jc w:val="both"/>
        <w:ind w:left="1280" w:hanging="314"/>
        <w:spacing w:after="0" w:line="22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exceeds the 50</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and is below the 75</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Ellwanger will earn 100% of the Base PSUs Type 2, and a proportional amount (on a linear scale) of the Upside PSUs Type 2. However, if TSEM Performance is negative during the Performance Period (as described above), he will earn 100% of the Base PSUs Type 2, but no Upside PSUs Type 2.</w:t>
      </w:r>
    </w:p>
    <w:p>
      <w:pPr>
        <w:spacing w:after="0" w:line="202" w:lineRule="exact"/>
        <w:rPr>
          <w:rFonts w:ascii="Times New Roman" w:cs="Times New Roman" w:eastAsia="Times New Roman" w:hAnsi="Times New Roman"/>
          <w:sz w:val="18"/>
          <w:szCs w:val="18"/>
          <w:color w:val="auto"/>
        </w:rPr>
      </w:pPr>
    </w:p>
    <w:p>
      <w:pPr>
        <w:ind w:left="1280" w:hanging="314"/>
        <w:spacing w:after="0" w:line="205"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will equal the 50</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color w:val="auto"/>
        </w:rPr>
        <w:t>: Mr. Ellwanger will earn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the Base PSUs Type 2, but no Upside PSUs Type 2.</w:t>
      </w:r>
    </w:p>
    <w:p>
      <w:pPr>
        <w:spacing w:after="0" w:line="186" w:lineRule="exact"/>
        <w:rPr>
          <w:rFonts w:ascii="Times New Roman" w:cs="Times New Roman" w:eastAsia="Times New Roman" w:hAnsi="Times New Roman"/>
          <w:sz w:val="18"/>
          <w:szCs w:val="18"/>
          <w:color w:val="auto"/>
        </w:rPr>
      </w:pPr>
    </w:p>
    <w:p>
      <w:pPr>
        <w:ind w:left="1280" w:hanging="314"/>
        <w:spacing w:after="0" w:line="205"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exceeds the 25</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and is below the 50</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Ellwanger will earn a proportional amount (on a linear scale) of the Base PSUs Type 2, but no Upside PSUs Type 2.</w:t>
      </w:r>
    </w:p>
    <w:p>
      <w:pPr>
        <w:spacing w:after="0" w:line="199" w:lineRule="exact"/>
        <w:rPr>
          <w:rFonts w:ascii="Times New Roman" w:cs="Times New Roman" w:eastAsia="Times New Roman" w:hAnsi="Times New Roman"/>
          <w:sz w:val="18"/>
          <w:szCs w:val="18"/>
          <w:color w:val="auto"/>
        </w:rPr>
      </w:pPr>
    </w:p>
    <w:p>
      <w:pPr>
        <w:ind w:left="1280" w:hanging="314"/>
        <w:spacing w:after="0" w:line="205"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equals the 25</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color w:val="auto"/>
        </w:rPr>
        <w:t>: Mr. Ellwanger will earn 50%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PSUs Type 2, but no Upside PSUs Type 2.</w:t>
      </w:r>
    </w:p>
    <w:p>
      <w:pPr>
        <w:spacing w:after="0" w:line="199" w:lineRule="exact"/>
        <w:rPr>
          <w:rFonts w:ascii="Times New Roman" w:cs="Times New Roman" w:eastAsia="Times New Roman" w:hAnsi="Times New Roman"/>
          <w:sz w:val="18"/>
          <w:szCs w:val="18"/>
          <w:color w:val="auto"/>
        </w:rPr>
      </w:pPr>
    </w:p>
    <w:p>
      <w:pPr>
        <w:ind w:left="1280" w:right="20" w:hanging="314"/>
        <w:spacing w:after="0" w:line="205"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If TSEM Performance at the end of a Performance Period is below the 25</w:t>
      </w:r>
      <w:r>
        <w:rPr>
          <w:rFonts w:ascii="Times New Roman" w:cs="Times New Roman" w:eastAsia="Times New Roman" w:hAnsi="Times New Roman"/>
          <w:sz w:val="29"/>
          <w:szCs w:val="29"/>
          <w:i w:val="1"/>
          <w:iCs w:val="1"/>
          <w:u w:val="single" w:color="auto"/>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percentile of the Index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Ellwanger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any Base or Upside PSUs Type 2.</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percentage of Base PSUs Type 2 and Upside PSUs Type 2 that may be earned by Mr. Ellwanger for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Period, based on the Company’s stock performance relative to the Index Group:</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20" w:type="dxa"/>
            <w:vAlign w:val="bottom"/>
            <w:tcBorders>
              <w:top w:val="single" w:sz="8" w:color="auto"/>
              <w:left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TSEM Performance Relative to Index</w:t>
            </w:r>
          </w:p>
        </w:tc>
        <w:tc>
          <w:tcPr>
            <w:tcW w:w="3220" w:type="dxa"/>
            <w:vAlign w:val="bottom"/>
            <w:tcBorders>
              <w:top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PSUs Type 2</w:t>
            </w:r>
          </w:p>
        </w:tc>
        <w:tc>
          <w:tcPr>
            <w:tcW w:w="3200" w:type="dxa"/>
            <w:vAlign w:val="bottom"/>
            <w:tcBorders>
              <w:top w:val="single" w:sz="8" w:color="auto"/>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Upside PSUs Type 2</w:t>
            </w:r>
          </w:p>
        </w:tc>
        <w:tc>
          <w:tcPr>
            <w:tcW w:w="0" w:type="dxa"/>
            <w:vAlign w:val="bottom"/>
          </w:tcPr>
          <w:p>
            <w:pPr>
              <w:spacing w:after="0"/>
              <w:rPr>
                <w:sz w:val="1"/>
                <w:szCs w:val="1"/>
                <w:color w:val="auto"/>
              </w:rPr>
            </w:pPr>
          </w:p>
        </w:tc>
      </w:tr>
      <w:tr>
        <w:trPr>
          <w:trHeight w:val="284"/>
        </w:trPr>
        <w:tc>
          <w:tcPr>
            <w:tcW w:w="4820" w:type="dxa"/>
            <w:vAlign w:val="bottom"/>
            <w:tcBorders>
              <w:left w:val="single" w:sz="8" w:color="auto"/>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Group at End of Performance Period</w:t>
            </w:r>
          </w:p>
        </w:tc>
        <w:tc>
          <w:tcPr>
            <w:tcW w:w="322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3200" w:type="dxa"/>
            <w:vAlign w:val="bottom"/>
            <w:tcBorders>
              <w:bottom w:val="single" w:sz="8" w:color="F3F3F3"/>
              <w:right w:val="single" w:sz="8" w:color="auto"/>
            </w:tcBorders>
            <w:shd w:val="clear" w:color="auto" w:fill="F3F3F3"/>
          </w:tcPr>
          <w:p>
            <w:pPr>
              <w:jc w:val="center"/>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0" w:type="dxa"/>
            <w:vAlign w:val="bottom"/>
          </w:tcPr>
          <w:p>
            <w:pPr>
              <w:spacing w:after="0"/>
              <w:rPr>
                <w:sz w:val="1"/>
                <w:szCs w:val="1"/>
                <w:color w:val="auto"/>
              </w:rPr>
            </w:pPr>
          </w:p>
        </w:tc>
      </w:tr>
      <w:tr>
        <w:trPr>
          <w:trHeight w:val="304"/>
        </w:trPr>
        <w:tc>
          <w:tcPr>
            <w:tcW w:w="4820" w:type="dxa"/>
            <w:vAlign w:val="bottom"/>
            <w:tcBorders>
              <w:top w:val="single" w:sz="8" w:color="auto"/>
              <w:left w:val="single" w:sz="8" w:color="auto"/>
              <w:bottom w:val="single" w:sz="8" w:color="auto"/>
              <w:right w:val="single" w:sz="8" w:color="auto"/>
            </w:tcBorders>
          </w:tcPr>
          <w:p>
            <w:pPr>
              <w:jc w:val="center"/>
              <w:spacing w:after="0" w:line="303" w:lineRule="exact"/>
              <w:rPr>
                <w:sz w:val="20"/>
                <w:szCs w:val="20"/>
                <w:color w:val="auto"/>
              </w:rPr>
            </w:pPr>
            <w:r>
              <w:rPr>
                <w:rFonts w:ascii="Times New Roman" w:cs="Times New Roman" w:eastAsia="Times New Roman" w:hAnsi="Times New Roman"/>
                <w:sz w:val="18"/>
                <w:szCs w:val="18"/>
                <w:color w:val="auto"/>
                <w:w w:val="97"/>
              </w:rPr>
              <w:t>Equals or exceeds 75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w:t>
            </w:r>
          </w:p>
        </w:tc>
        <w:tc>
          <w:tcPr>
            <w:tcW w:w="0" w:type="dxa"/>
            <w:vAlign w:val="bottom"/>
          </w:tcPr>
          <w:p>
            <w:pPr>
              <w:spacing w:after="0"/>
              <w:rPr>
                <w:sz w:val="1"/>
                <w:szCs w:val="1"/>
                <w:color w:val="auto"/>
              </w:rPr>
            </w:pPr>
          </w:p>
        </w:tc>
      </w:tr>
      <w:tr>
        <w:trPr>
          <w:trHeight w:val="245"/>
        </w:trPr>
        <w:tc>
          <w:tcPr>
            <w:tcW w:w="4820" w:type="dxa"/>
            <w:vAlign w:val="bottom"/>
            <w:tcBorders>
              <w:left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17"/>
                <w:szCs w:val="17"/>
                <w:color w:val="auto"/>
              </w:rPr>
              <w:t>Above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and below 75</w:t>
            </w:r>
            <w:r>
              <w:rPr>
                <w:rFonts w:ascii="Times New Roman" w:cs="Times New Roman" w:eastAsia="Times New Roman" w:hAnsi="Times New Roman"/>
                <w:sz w:val="28"/>
                <w:szCs w:val="28"/>
                <w:color w:val="auto"/>
                <w:vertAlign w:val="superscript"/>
              </w:rPr>
              <w:t>th</w:t>
            </w:r>
          </w:p>
        </w:tc>
        <w:tc>
          <w:tcPr>
            <w:tcW w:w="3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Proportional</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percentile</w:t>
            </w:r>
          </w:p>
        </w:tc>
        <w:tc>
          <w:tcPr>
            <w:tcW w:w="3220" w:type="dxa"/>
            <w:vAlign w:val="bottom"/>
            <w:tcBorders>
              <w:right w:val="single" w:sz="8" w:color="auto"/>
            </w:tcBorders>
            <w:vMerge w:val="continue"/>
          </w:tcPr>
          <w:p>
            <w:pPr>
              <w:spacing w:after="0"/>
              <w:rPr>
                <w:sz w:val="20"/>
                <w:szCs w:val="20"/>
                <w:color w:val="auto"/>
              </w:rPr>
            </w:pPr>
          </w:p>
        </w:tc>
        <w:tc>
          <w:tcPr>
            <w:tcW w:w="3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(linear scale)*</w:t>
            </w:r>
          </w:p>
        </w:tc>
        <w:tc>
          <w:tcPr>
            <w:tcW w:w="0" w:type="dxa"/>
            <w:vAlign w:val="bottom"/>
          </w:tcPr>
          <w:p>
            <w:pPr>
              <w:spacing w:after="0"/>
              <w:rPr>
                <w:sz w:val="1"/>
                <w:szCs w:val="1"/>
                <w:color w:val="auto"/>
              </w:rPr>
            </w:pPr>
          </w:p>
        </w:tc>
      </w:tr>
      <w:tr>
        <w:trPr>
          <w:trHeight w:val="40"/>
        </w:trPr>
        <w:tc>
          <w:tcPr>
            <w:tcW w:w="48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820" w:type="dxa"/>
            <w:vAlign w:val="bottom"/>
            <w:tcBorders>
              <w:left w:val="single" w:sz="8" w:color="auto"/>
              <w:bottom w:val="single" w:sz="8" w:color="auto"/>
              <w:right w:val="single" w:sz="8" w:color="auto"/>
            </w:tcBorders>
          </w:tcPr>
          <w:p>
            <w:pPr>
              <w:jc w:val="center"/>
              <w:spacing w:after="0" w:line="303" w:lineRule="exact"/>
              <w:rPr>
                <w:sz w:val="20"/>
                <w:szCs w:val="20"/>
                <w:color w:val="auto"/>
              </w:rPr>
            </w:pPr>
            <w:r>
              <w:rPr>
                <w:rFonts w:ascii="Times New Roman" w:cs="Times New Roman" w:eastAsia="Times New Roman" w:hAnsi="Times New Roman"/>
                <w:sz w:val="18"/>
                <w:szCs w:val="18"/>
                <w:color w:val="auto"/>
                <w:w w:val="97"/>
              </w:rPr>
              <w:t>Equals 50</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5"/>
        </w:trPr>
        <w:tc>
          <w:tcPr>
            <w:tcW w:w="4820" w:type="dxa"/>
            <w:vAlign w:val="bottom"/>
            <w:tcBorders>
              <w:left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17"/>
                <w:szCs w:val="17"/>
                <w:color w:val="auto"/>
              </w:rPr>
              <w:t>Above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and below 50</w:t>
            </w:r>
            <w:r>
              <w:rPr>
                <w:rFonts w:ascii="Times New Roman" w:cs="Times New Roman" w:eastAsia="Times New Roman" w:hAnsi="Times New Roman"/>
                <w:sz w:val="28"/>
                <w:szCs w:val="28"/>
                <w:color w:val="auto"/>
                <w:vertAlign w:val="superscript"/>
              </w:rPr>
              <w:t>th</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Proportional</w:t>
            </w:r>
          </w:p>
        </w:tc>
        <w:tc>
          <w:tcPr>
            <w:tcW w:w="3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percentile</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(linear scale)</w:t>
            </w:r>
          </w:p>
        </w:tc>
        <w:tc>
          <w:tcPr>
            <w:tcW w:w="32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82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820" w:type="dxa"/>
            <w:vAlign w:val="bottom"/>
            <w:tcBorders>
              <w:left w:val="single" w:sz="8" w:color="auto"/>
              <w:bottom w:val="single" w:sz="8" w:color="auto"/>
              <w:right w:val="single" w:sz="8" w:color="auto"/>
            </w:tcBorders>
          </w:tcPr>
          <w:p>
            <w:pPr>
              <w:jc w:val="center"/>
              <w:spacing w:after="0" w:line="303" w:lineRule="exact"/>
              <w:rPr>
                <w:sz w:val="20"/>
                <w:szCs w:val="20"/>
                <w:color w:val="auto"/>
              </w:rPr>
            </w:pPr>
            <w:r>
              <w:rPr>
                <w:rFonts w:ascii="Times New Roman" w:cs="Times New Roman" w:eastAsia="Times New Roman" w:hAnsi="Times New Roman"/>
                <w:sz w:val="18"/>
                <w:szCs w:val="18"/>
                <w:color w:val="auto"/>
                <w:w w:val="97"/>
              </w:rPr>
              <w:t>Equals 25</w:t>
            </w:r>
            <w:r>
              <w:rPr>
                <w:rFonts w:ascii="Times New Roman" w:cs="Times New Roman" w:eastAsia="Times New Roman" w:hAnsi="Times New Roman"/>
                <w:sz w:val="29"/>
                <w:szCs w:val="29"/>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04"/>
        </w:trPr>
        <w:tc>
          <w:tcPr>
            <w:tcW w:w="4820" w:type="dxa"/>
            <w:vAlign w:val="bottom"/>
            <w:tcBorders>
              <w:left w:val="single" w:sz="8" w:color="auto"/>
              <w:bottom w:val="single" w:sz="8" w:color="auto"/>
              <w:right w:val="single" w:sz="8" w:color="auto"/>
            </w:tcBorders>
          </w:tcPr>
          <w:p>
            <w:pPr>
              <w:jc w:val="center"/>
              <w:spacing w:after="0" w:line="303" w:lineRule="exact"/>
              <w:rPr>
                <w:sz w:val="20"/>
                <w:szCs w:val="20"/>
                <w:color w:val="auto"/>
              </w:rPr>
            </w:pPr>
            <w:r>
              <w:rPr>
                <w:rFonts w:ascii="Times New Roman" w:cs="Times New Roman" w:eastAsia="Times New Roman" w:hAnsi="Times New Roman"/>
                <w:sz w:val="18"/>
                <w:szCs w:val="18"/>
                <w:color w:val="auto"/>
                <w:w w:val="98"/>
              </w:rPr>
              <w:t>Below 25</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3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300" w:right="18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TSEM Performance is negative during the Performance Period, Mr. Ellwanger will not earn any Upside PSUs Type 2 (but would still earn the Base PSUs Type 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Base PSUs Type 2 and Upside PSUs Type 2 earned for a given Performance Period, as specified above, shall be earned at the end of that Performance Period (i.e., on December 31, 2027 and December 31, 2028, respectively) subject to time-based vesting, as described above.</w:t>
      </w:r>
    </w:p>
    <w:p>
      <w:pPr>
        <w:spacing w:after="0" w:line="18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proposed equity award to Mr. Ellwanger, as described above, will be granted under and subject to the terms and conditions of the Company’s 2013 Share Incentive Plan (the “</w:t>
      </w:r>
      <w:r>
        <w:rPr>
          <w:rFonts w:ascii="Times New Roman" w:cs="Times New Roman" w:eastAsia="Times New Roman" w:hAnsi="Times New Roman"/>
          <w:sz w:val="18"/>
          <w:szCs w:val="18"/>
          <w:b w:val="1"/>
          <w:bCs w:val="1"/>
          <w:color w:val="auto"/>
        </w:rPr>
        <w:t>2013 Plan</w:t>
      </w:r>
      <w:r>
        <w:rPr>
          <w:rFonts w:ascii="Times New Roman" w:cs="Times New Roman" w:eastAsia="Times New Roman" w:hAnsi="Times New Roman"/>
          <w:sz w:val="18"/>
          <w:szCs w:val="18"/>
          <w:color w:val="auto"/>
        </w:rPr>
        <w:t>”), and will be subject to extended vesting as approved by the shareholders at the Company’s annual general meeting held in 2025, as well as the change of control provisions set forth in Mr. Ellwanger’s employment agreement, as amended.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proposed equity award is designed to comply with the proposed Amended Compensation Policy (see Proposal 3), as (among other things) the aggregate value of the award is equal to the maximum annual value of equity that may be granted to the Chief Executive Officer thereunder and is in line with the Amended Compensation Policy’s required ratio between the fixed and variable compensation components of the Chief Executive Officer specified in the policy. However, the Compensation Committee and the Board of Directors believe that it is appropriate to grant the proposed equity award to Mr. Ellwanger, if approved by shareholders under this Proposal 5, even if Proposal 3 is not approved at the Meeting; accordingly, because the proposed equity award is not consistent with the Existing Compensation Policy in terms of the maximum permitted value and the ratio between fixed and variable compensation, the Compensation Committee and the Board of Directors considered the factors required under the Israeli Companies Law when approving equity-based compensation that is not consistent with a compensation policy.</w:t>
      </w:r>
    </w:p>
    <w:p>
      <w:pPr>
        <w:spacing w:after="0" w:line="19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aggregate amount of all outstanding equity-based compensation grants at any time to all directors and employees, including the Chief Executive Officer, continues to be well below 10% of the Company’s share capital on a fully diluted basis, as required under both Compensation Policies, and would remain in compliance with this requirement if this Proposal 5 is approved at the Meeting.</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approved by the shareholders at the Meeting, the equity award will be subject to the Company’s claw-back policy adopted in accordance with the Commission’s regulations and Nasdaq Listing Rules, as well as the claw-back provisions set forth in both Compensation Policies.</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Compensation Policies include a stock ownership requirement under which the Company’s Chief Executive Officer is required to own Ordinary Shares (excluding, for this purpose, Ordinary Shares underlying unvested RSUs, unearned PSUs, and unexercised options) with a minimum value equal to at least three times his or her annual base salary, in order to further align the interests of our executives and our shareholders. As of the date of this Proxy Statement, Mr. Ellwanger is in compliance with this minimum shareholding requirement.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4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grant of an annual equity-based award to Mr. Russell Ellwanger, the Company’s Chief Executive Officer,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Proposal 5 of the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approval of Proposal 5 requires the affirmative vote of holders of a majority of the Ordinary Shares represented at the Meeting and voting on the matter, in person or by proxy, voting instruction form or via the Electronic System. In addition, under the Israeli Companies Law, the approval of Proposal 5 is also subject to fulfillment of the Special Majority. For additional details, see “Vote Required for Approval of the Proposals”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GRANT OF ANNUAL EQUITY AWARD TO EACH MEMBER OF OUR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(OTHER THAN MR. AMIR ELSTEIN AND MR. RUSSELL ELLWANGER)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Under the Israeli Companies Law, the compensation of a director, including equity-based compensation, requires the approval of the Compensation Committee, Board of Directors and the shareholders of the Company, by an ordinary majority if the compensation is consistent with the Compensation Policy.</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Compensation Committee and the Board of Directors reviewed the benchmark data of directors’ compensation for the Company’s peer group companies and found that the annual cash compensation currently paid to the Company’s directors (see Proposal 1) is aligned with the median, while their equity-based compensation is slightly below the median. Therefore, based on this review, each of the Compensation Committee and the Board of Directors approved and determined to recommend that the Company’s shareholders approve an equity grant to our directors with the same value as the equity grant awarded to directors in 2025. The Compensation Committee and the Board of Directors believe that the level and terms of equity compensation awarded to directors in 2025, which are consistent with both Compensation Policies, remain appropriate for the annual equity award to be granted to the directors in 2026. Accordingly, the Compensation Committee and the Board of Directors resolved to recommend to the shareholders to approve the grant of an equity award to each member of the Board of Directors serving in such capacity immediately following the Meeting (other than the Chairman of our Board of Directors, Amir Elstein, and our Chief Executive Officer, Russell Ellwanger, whose equity compensation is separately addressed in Proposals 2 and 5) (the “</w:t>
      </w:r>
      <w:r>
        <w:rPr>
          <w:rFonts w:ascii="Times New Roman" w:cs="Times New Roman" w:eastAsia="Times New Roman" w:hAnsi="Times New Roman"/>
          <w:sz w:val="18"/>
          <w:szCs w:val="18"/>
          <w:b w:val="1"/>
          <w:bCs w:val="1"/>
          <w:color w:val="auto"/>
        </w:rPr>
        <w:t>Named Directors</w:t>
      </w:r>
      <w:r>
        <w:rPr>
          <w:rFonts w:ascii="Times New Roman" w:cs="Times New Roman" w:eastAsia="Times New Roman" w:hAnsi="Times New Roman"/>
          <w:sz w:val="18"/>
          <w:szCs w:val="18"/>
          <w:color w:val="auto"/>
        </w:rPr>
        <w:t>”), of time-based vesting RSUs with a value of $200,000. The RSUs shall vest over a two-year period, with 50% vesting on the first anniversary of the date of grant and 50% vesting on the second anniversary of the date of grant. The proposed RSU awards to the Named Directors, as described above, will be granted under, and will be subject to the terms and conditions of, the 2013 Plan.</w:t>
      </w:r>
    </w:p>
    <w:p>
      <w:pPr>
        <w:spacing w:after="0" w:line="20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accordance with both Compensation Policies and common practice, in the event any Named Director’s service with the Company is terminated for any reason other than for cause, including by way of resignation, prior to the second anniversary from the date of grant, (i) if the Named Director has served on the Board of Directors for five years or more, all unvested RSUs shall be accelerated; and (ii) if the Named Director has served on the Board of Directors for less than five years, 50% of all unvested RSUs shall be accelerated.</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both Compensation Policies, our directors are required to own Ordinary Shares (excluding, for this purpose, Ordinary Shares underlying unvested RSUs, unearned PSUs, and unexercised options) with a minimum value equal to at least 50% of his/her respective Annual Fee (as defined in the Compensation Policies). As of the date of this Proxy Statement, each of the Named Directors is in compliance with this minimum shareholding requirement, except for Sagi Ben Moshe and Carolin Seward, who recently joined the Board of Directors and have a period of five years from the commencement of their service as directors of the Company to comply with the requirement, and during such period they must retain at least 20% of any Ordinary Shares issued upon the vesting of their RSUs until the requirement is met.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35" w:lineRule="exact"/>
        <w:rPr>
          <w:sz w:val="20"/>
          <w:szCs w:val="20"/>
          <w:color w:val="auto"/>
        </w:rPr>
      </w:pPr>
    </w:p>
    <w:p>
      <w:pPr>
        <w:ind w:left="660" w:right="20"/>
        <w:spacing w:after="0" w:line="302"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to approve the grant of an equity award to each member of the Company’s Board of Directors serving in such capacity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Meeting (other than Amir Elstein and Russell Ellwanger), as described in Proposal 6 of the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Proposal 6 requires the affirmative vote of holders of a majority of the Ordinary Shares represented at the Meeting and voting on the matter, in person or by proxy, voting instruction form or via the Electronic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RE-APPOINTMENT OF INDEPENDENT REGISTERED PUBLIC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ACCOUNTANTS AND AUTHORIZATION OF THE AUDIT COMMITTEE TO FIX THEIR REMUNERATION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Audit Committee of the Board of Directors has approved, subject to the approval of our shareholders, the re-appointment of Brightman Almagor Zohar &amp; Co., Certified Public Accountants, a firm in the Deloitte Global Network, to serve as the Company’s independent registered public accountants for the year ending December 31, 2026, and for the period commencing January 1, 2027, and until the next annual shareholder meeting.</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Following review, the Audit Committee concluded that Brightman Almagor Zohar &amp; Co. remains independent and objective in their role as external auditor. Furthermore, the Audit Committee believes that such re-appointment is appropriate and in the best interests of the Company and its shareholders. Subject to the authorization of our shareholders, the Audit Committee shall determine the remuneration of Brightman Almagor Zohar &amp; Co. in accordance with the volume and nature of its services.</w:t>
      </w:r>
    </w:p>
    <w:p>
      <w:pPr>
        <w:spacing w:after="0" w:line="199"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For information concerning the fees paid to Brightman Almagor Zohar &amp; Co. for its audit and non-audit services for the 2025 financial year, see Item 16C to our Annual Report on Form 20-F for the year ended December 31, 2025, filed with the Commission on April 30, 2026, a copy of which is available on the Commission’s website at www.sec.gov as well as on the “Investors” section of our Company’s website at www.towersemi.com.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proposed that the following resolution be adopted at the Meeting:</w:t>
      </w:r>
    </w:p>
    <w:p>
      <w:pPr>
        <w:spacing w:after="0" w:line="248"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re-appointment of Brightman Almagor Zohar &amp; Co., Certified Public Accountants, a firm in the Deloitte Global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independent registered public accountants of the Company for the year ending December 31, 2026, and for the period commencing January 1, 2027 and until the next annual shareholders’ meeting, and the authorization of the Audit Committee of the Board of Directors to determine the remuneration of such firm in accordance with the volume and nature of its services, is hereby approved.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w:t>
      </w:r>
    </w:p>
    <w:p>
      <w:pPr>
        <w:spacing w:after="0" w:line="243"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 approval of Proposal 7 requires the affirmative vote of holders of a majority of the Ordinary Shares represented at the Meeting and voting on the matter, in person or by proxy, voting instruction form or via the Electronic System.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foregoing resolution.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REVIEW AND DISCUSSION OF THE COMPANY'S CONSOLIDATED FINANCIAL STATEMENTS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At the Meeting, shareholders will have an opportunity to review, ask questions and comment on the Company’s consolidated financial statements as of December 31, 2025, and for the year then ended. This review and discussion will not involve a shareholder vote.</w:t>
      </w:r>
    </w:p>
    <w:p>
      <w:pPr>
        <w:spacing w:after="0" w:line="16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audited consolidated financial statements for the year ended December 31, 2025, which form part of our Annual Report on Form 20-F for the year ended December 31, 2025, filed with the Commission on April 30, 2026, are available on the Company’s website at www.towersemi.com under “Investors” or through the Commission’s website at www.sec.gov or through the website of the ISA at www.magna.isa.gov.il. Copies will also be mailed to shareholders upon request sent to the Company at 20 Shaul Amor Street, Ramat Gavriel Industrial Park, Post Office Box 619, Migdal Haemek 2310502, Israel, Attention: Corporate Counsel. Neither the audited consolidated financial statements, nor the Form 20-F are part of the proxy solicitation material.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39"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8"/>
          <w:szCs w:val="18"/>
          <w:color w:val="auto"/>
        </w:rPr>
        <w:t>We are subject to the informational requirements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applicable to foreign private issuers. Accordingly, we file reports and other information with the Commission. As a foreign private issuer, all documents furnished or filed with the Commission after November 4, 2002, are available for retrieval on the Commission's website at www.sec.gov. We submit copies of our filings with the Commission to the ISA and the TASE, and such filings are also available to the public on their respective websites at www.magna.isa.gov.il and www.maya.tase.co.il. Website references throughout this document are provided for convenience only, and the content on the referenced websites is not incorporated by reference into this proxy statement.</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certain disclosure and procedural requirements with respect to proxy solicitations. The circulation of this Proxy Statement and accompanying notice should not be taken as an admission that we are subject to those proxy rules. Furthermore, our principal shareholders are exempt from the reporting provisions contained in Section 16(a) of the Exchange Act and our officers, directors and principal shareholders are exempt from the “short-swing” profit recovery provisions contained in Section 16(b)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Proxy Statement includes certain “forward-looking” statements within the meaning of Section 21E of the Exchange Act. The use of words such as “projects,” “expects,” “may,” “target,” “plans,” “intends,” “committed to,”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for the year ended December 31, 2025, filed with the Commission on April 30, 2026.</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We remind readers that forward-looking statements are merely predictions and therefore are inherently subject to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and release new products, forecasted performance, planned activities, or targeted achievements expressed or implied by such forward-looking statements. Readers should not place undue reliance on these forward-looking statements, which speak only as of the date of this Proxy Statement. Unless legally required, we undertake no obligation to update publicly any forward-looking statements, whether as a result of new information, future events or otherwise.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Amir Elstein</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Migdal Haemek, Israel</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21, 2026</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Compensation Policy for Directors and Executive Officers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Policy for Executive Officers and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Overview and Objectives</w:t>
      </w:r>
    </w:p>
    <w:p>
      <w:pPr>
        <w:spacing w:after="0" w:line="23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3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This document sets forth the compensation policy for Executive Officers and Directors (both as defined herein) of 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requirements of the Companies Law (this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Compensation Policy will be in effect for a period of three (3) years from the date the Policy is duly approved under the Companies Law.</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Compensation Committee and the Board of Directors of Tower shall review and reassess the adequacy of this Policy from time to time, as required by the Companies Law.</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setting the compensation of the Executive Officers and Directors, the Compensation Committee and the Board of Directors shall consider, among other things, the following factors:</w:t>
      </w:r>
    </w:p>
    <w:p>
      <w:pPr>
        <w:spacing w:after="0" w:line="163" w:lineRule="exact"/>
        <w:rPr>
          <w:sz w:val="20"/>
          <w:szCs w:val="20"/>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educational, professional experience and accomplishments of the Executive Officer or Director;</w:t>
      </w:r>
    </w:p>
    <w:p>
      <w:pPr>
        <w:spacing w:after="0" w:line="238"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or Director's position, responsibilities and prior compensation arrangements;</w:t>
      </w:r>
    </w:p>
    <w:p>
      <w:pPr>
        <w:spacing w:after="0" w:line="238"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data for comparably situated executives at peer companies, including companies in the industry and/or geographic market;</w:t>
      </w:r>
    </w:p>
    <w:p>
      <w:pPr>
        <w:spacing w:after="0" w:line="225"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of other senior executives of the Company;</w:t>
      </w:r>
    </w:p>
    <w:p>
      <w:pPr>
        <w:spacing w:after="0" w:line="238"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environment;</w:t>
      </w:r>
    </w:p>
    <w:p>
      <w:pPr>
        <w:spacing w:after="0" w:line="238"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own performance;</w:t>
      </w:r>
    </w:p>
    <w:p>
      <w:pPr>
        <w:spacing w:after="0" w:line="225"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 or Director's expected contribution to the Company’s future growth and profitability;</w:t>
      </w:r>
    </w:p>
    <w:p>
      <w:pPr>
        <w:spacing w:after="0" w:line="238" w:lineRule="exact"/>
        <w:rPr>
          <w:rFonts w:ascii="Times New Roman" w:cs="Times New Roman" w:eastAsia="Times New Roman" w:hAnsi="Times New Roman"/>
          <w:sz w:val="18"/>
          <w:szCs w:val="18"/>
          <w:color w:val="auto"/>
        </w:rPr>
      </w:pPr>
    </w:p>
    <w:p>
      <w:pPr>
        <w:ind w:left="620" w:hanging="369"/>
        <w:spacing w:after="0" w:line="28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compensation paid to the Executive Officer or Director and the average and median compensation of the Company’s employees and contractors, as well as whether such variation has an effect on employment relations; and</w:t>
      </w:r>
    </w:p>
    <w:p>
      <w:pPr>
        <w:spacing w:after="0" w:line="175" w:lineRule="exact"/>
        <w:rPr>
          <w:rFonts w:ascii="Times New Roman" w:cs="Times New Roman" w:eastAsia="Times New Roman" w:hAnsi="Times New Roman"/>
          <w:sz w:val="18"/>
          <w:szCs w:val="18"/>
          <w:color w:val="auto"/>
        </w:rPr>
      </w:pPr>
    </w:p>
    <w:p>
      <w:pPr>
        <w:ind w:left="620" w:hanging="36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prescribed by applicable law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that end, this Policy is designed, among others:</w:t>
      </w:r>
    </w:p>
    <w:p>
      <w:pPr>
        <w:spacing w:after="0" w:line="252"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To closely align the interests of the Executive Officers and Directors with those of Tower’s shareholders in order to enhance shareholder value;</w:t>
      </w:r>
    </w:p>
    <w:p>
      <w:pPr>
        <w:spacing w:after="0" w:line="162"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To provide the Executive Officers and Directors with a structured compensation package, including competitive salaries and performance-based cash and equity incentive programs;</w:t>
      </w:r>
    </w:p>
    <w:p>
      <w:pPr>
        <w:spacing w:after="0" w:line="175" w:lineRule="exact"/>
        <w:rPr>
          <w:sz w:val="20"/>
          <w:szCs w:val="20"/>
          <w:color w:val="auto"/>
        </w:rPr>
      </w:pPr>
    </w:p>
    <w:p>
      <w:pPr>
        <w:ind w:left="980" w:right="2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To maintain and increase the level of motivation and ambition and promote for each an opportunity to advance in a growing organization and strive for excellence;</w:t>
      </w:r>
    </w:p>
    <w:p>
      <w:pPr>
        <w:spacing w:after="0" w:line="17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To provide appropriate awards for superior individual and corporate performance;</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To improve the business results and increase income and profitability over time; and</w:t>
      </w:r>
    </w:p>
    <w:p>
      <w:pPr>
        <w:spacing w:after="0" w:line="239"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To support the implementation of the Company's business strategy.</w:t>
      </w:r>
    </w:p>
    <w:p>
      <w:pPr>
        <w:spacing w:after="0" w:line="22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structure and instruments</w:t>
      </w:r>
    </w:p>
    <w:p>
      <w:pPr>
        <w:spacing w:after="0" w:line="24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instruments under this Compensation Policy may include the following:</w:t>
      </w:r>
    </w:p>
    <w:p>
      <w:pPr>
        <w:spacing w:after="0" w:line="23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3.1.Base salary;</w:t>
      </w:r>
    </w:p>
    <w:p>
      <w:pPr>
        <w:spacing w:after="0" w:line="23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Benefits and perquisites;</w:t>
      </w:r>
    </w:p>
    <w:p>
      <w:pPr>
        <w:spacing w:after="0" w:line="23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7"/>
          <w:szCs w:val="17"/>
          <w:color w:val="auto"/>
        </w:rPr>
        <w:t>Performance-based cash bonuses;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3.4.Equity based compensation; and</w:t>
      </w:r>
    </w:p>
    <w:p>
      <w:pPr>
        <w:spacing w:after="0" w:line="23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3.5.Retirement, termination and other arrangements.</w:t>
      </w:r>
    </w:p>
    <w:p>
      <w:pPr>
        <w:spacing w:after="0" w:line="23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Ratio between variable and fixed compensation</w:t>
      </w:r>
    </w:p>
    <w:p>
      <w:pPr>
        <w:spacing w:after="0" w:line="229"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4.1.This Policy aims to optimize the mix of Fixed Compensation and Variable Compensation (both as defined herein) in order to, among other things, appropriately incentivize Executive Officers to meet Tower's goals while considering Tower's management of business risks.</w:t>
      </w:r>
    </w:p>
    <w:p>
      <w:pPr>
        <w:spacing w:after="0" w:line="175" w:lineRule="exact"/>
        <w:rPr>
          <w:rFonts w:ascii="Times New Roman" w:cs="Times New Roman" w:eastAsia="Times New Roman" w:hAnsi="Times New Roman"/>
          <w:sz w:val="18"/>
          <w:szCs w:val="18"/>
          <w:b w:val="1"/>
          <w:bCs w:val="1"/>
          <w:color w:val="auto"/>
        </w:rPr>
      </w:pPr>
    </w:p>
    <w:p>
      <w:pPr>
        <w:ind w:left="98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4.2.As a rule, the total of the Variable Compensation to be given to an Executive Officer over a calendar year relative to the Fixed Compensation shall not exceed the “Executive Ratio” which shall be </w:t>
      </w:r>
      <w:r>
        <w:rPr>
          <w:rFonts w:ascii="Times New Roman" w:cs="Times New Roman" w:eastAsia="Times New Roman" w:hAnsi="Times New Roman"/>
          <w:sz w:val="18"/>
          <w:szCs w:val="18"/>
          <w:color w:val="auto"/>
          <w:strike w:val="1"/>
        </w:rPr>
        <w:t>17</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for the CEO and 1</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for Other Executive Officers. The Executive Ratio is calculated based on the following assumptions: (i) maximal possible payments that may be made to Executive Officers under the Variable Compensation covered by this Policy (bonuses and equity); (ii) any CEO relocation related reimbursement expenses included under Fixed Compensation and assuming no relocation expenses for any Other Executive Officer; and (iii) excluding any potential sign-on bonuses for new hires. The variable component in regard of the equity compensation reflects the annual amortization over the vesting period.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Inter-Company Compensation Ratio</w:t>
      </w:r>
    </w:p>
    <w:p>
      <w:pPr>
        <w:spacing w:after="0" w:line="229" w:lineRule="exact"/>
        <w:rPr>
          <w:rFonts w:ascii="Times New Roman" w:cs="Times New Roman" w:eastAsia="Times New Roman" w:hAnsi="Times New Roman"/>
          <w:sz w:val="18"/>
          <w:szCs w:val="18"/>
          <w:b w:val="1"/>
          <w:bCs w:val="1"/>
          <w:color w:val="auto"/>
        </w:rPr>
      </w:pPr>
    </w:p>
    <w:p>
      <w:pPr>
        <w:ind w:left="340"/>
        <w:spacing w:after="0" w:line="2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 Base Salary, Benefits and Perquisites</w:t>
      </w:r>
    </w:p>
    <w:p>
      <w:pPr>
        <w:spacing w:after="0" w:line="25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p>
      <w:pPr>
        <w:spacing w:after="0" w:line="189"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p>
      <w:pPr>
        <w:spacing w:after="0" w:line="18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 and Perquisites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Executive Officers will be entitled to benefits stated as such by relevant law and best practice for peer companies.</w:t>
      </w:r>
    </w:p>
    <w:p>
      <w:pPr>
        <w:spacing w:after="0" w:line="238" w:lineRule="exact"/>
        <w:rPr>
          <w:rFonts w:ascii="Times New Roman" w:cs="Times New Roman" w:eastAsia="Times New Roman" w:hAnsi="Times New Roman"/>
          <w:sz w:val="18"/>
          <w:szCs w:val="18"/>
          <w:b w:val="1"/>
          <w:bCs w:val="1"/>
          <w:color w:val="auto"/>
        </w:rPr>
      </w:pPr>
    </w:p>
    <w:p>
      <w:pPr>
        <w:ind w:left="98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p>
      <w:pPr>
        <w:spacing w:after="0" w:line="196" w:lineRule="exact"/>
        <w:rPr>
          <w:rFonts w:ascii="Times New Roman" w:cs="Times New Roman" w:eastAsia="Times New Roman" w:hAnsi="Times New Roman"/>
          <w:sz w:val="18"/>
          <w:szCs w:val="18"/>
          <w:b w:val="1"/>
          <w:bCs w:val="1"/>
          <w:color w:val="auto"/>
        </w:rPr>
      </w:pPr>
    </w:p>
    <w:p>
      <w:pPr>
        <w:ind w:left="98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 Sign-on Awards and Cash Bonuses</w:t>
      </w:r>
    </w:p>
    <w:p>
      <w:pPr>
        <w:spacing w:after="0" w:line="25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Sign-on Bonus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17"/>
          <w:szCs w:val="17"/>
          <w:color w:val="auto"/>
        </w:rPr>
        <w:t>For purposes of attracting high quality personnel, Tower may offer an Executive Officer a sign-on bonus as an incentive to join the Company.</w:t>
      </w:r>
    </w:p>
    <w:p>
      <w:pPr>
        <w:spacing w:after="0" w:line="238" w:lineRule="exact"/>
        <w:rPr>
          <w:rFonts w:ascii="Times New Roman" w:cs="Times New Roman" w:eastAsia="Times New Roman" w:hAnsi="Times New Roman"/>
          <w:sz w:val="18"/>
          <w:szCs w:val="18"/>
          <w:b w:val="1"/>
          <w:bCs w:val="1"/>
          <w:color w:val="auto"/>
        </w:rPr>
      </w:pPr>
    </w:p>
    <w:p>
      <w:pPr>
        <w:ind w:left="98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8.2.The sign-on bonus may be comprised of </w:t>
      </w:r>
      <w:r>
        <w:rPr>
          <w:rFonts w:ascii="Times New Roman" w:cs="Times New Roman" w:eastAsia="Times New Roman" w:hAnsi="Times New Roman"/>
          <w:sz w:val="18"/>
          <w:szCs w:val="18"/>
          <w:u w:val="single" w:color="auto"/>
          <w:color w:val="auto"/>
        </w:rPr>
        <w:t>either (i)</w:t>
      </w:r>
      <w:r>
        <w:rPr>
          <w:rFonts w:ascii="Times New Roman" w:cs="Times New Roman" w:eastAsia="Times New Roman" w:hAnsi="Times New Roman"/>
          <w:sz w:val="18"/>
          <w:szCs w:val="18"/>
          <w:color w:val="auto"/>
        </w:rPr>
        <w:t xml:space="preserve"> cash </w:t>
      </w:r>
      <w:r>
        <w:rPr>
          <w:rFonts w:ascii="Times New Roman" w:cs="Times New Roman" w:eastAsia="Times New Roman" w:hAnsi="Times New Roman"/>
          <w:sz w:val="18"/>
          <w:szCs w:val="18"/>
          <w:color w:val="auto"/>
          <w:strike w:val="1"/>
        </w:rPr>
        <w:t>and/or equity and</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shall not exceed a </w:t>
      </w:r>
      <w:r>
        <w:rPr>
          <w:rFonts w:ascii="Times New Roman" w:cs="Times New Roman" w:eastAsia="Times New Roman" w:hAnsi="Times New Roman"/>
          <w:sz w:val="18"/>
          <w:szCs w:val="18"/>
          <w:u w:val="single" w:color="auto"/>
          <w:color w:val="auto"/>
        </w:rPr>
        <w:t>gross</w:t>
      </w:r>
      <w:r>
        <w:rPr>
          <w:rFonts w:ascii="Times New Roman" w:cs="Times New Roman" w:eastAsia="Times New Roman" w:hAnsi="Times New Roman"/>
          <w:sz w:val="18"/>
          <w:szCs w:val="18"/>
          <w:color w:val="auto"/>
          <w:strike w:val="1"/>
        </w:rPr>
        <w:t>n</w:t>
      </w:r>
      <w:r>
        <w:rPr>
          <w:rFonts w:ascii="Times New Roman" w:cs="Times New Roman" w:eastAsia="Times New Roman" w:hAnsi="Times New Roman"/>
          <w:sz w:val="18"/>
          <w:szCs w:val="18"/>
          <w:color w:val="auto"/>
        </w:rPr>
        <w:t xml:space="preserve"> amount equal to the Executive's Officer's annual </w:t>
      </w:r>
      <w:r>
        <w:rPr>
          <w:rFonts w:ascii="Times New Roman" w:cs="Times New Roman" w:eastAsia="Times New Roman" w:hAnsi="Times New Roman"/>
          <w:sz w:val="18"/>
          <w:szCs w:val="18"/>
          <w:u w:val="single" w:color="auto"/>
          <w:color w:val="auto"/>
        </w:rPr>
        <w:t>gross</w:t>
      </w:r>
      <w:r>
        <w:rPr>
          <w:rFonts w:ascii="Times New Roman" w:cs="Times New Roman" w:eastAsia="Times New Roman" w:hAnsi="Times New Roman"/>
          <w:sz w:val="18"/>
          <w:szCs w:val="18"/>
          <w:color w:val="auto"/>
        </w:rPr>
        <w:t xml:space="preserve"> base salary</w:t>
      </w:r>
      <w:r>
        <w:rPr>
          <w:rFonts w:ascii="Times New Roman" w:cs="Times New Roman" w:eastAsia="Times New Roman" w:hAnsi="Times New Roman"/>
          <w:sz w:val="18"/>
          <w:szCs w:val="18"/>
          <w:u w:val="single" w:color="auto"/>
          <w:color w:val="auto"/>
        </w:rPr>
        <w:t>; or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Any</w:t>
      </w:r>
      <w:r>
        <w:rPr>
          <w:rFonts w:ascii="Times New Roman" w:cs="Times New Roman" w:eastAsia="Times New Roman" w:hAnsi="Times New Roman"/>
          <w:sz w:val="18"/>
          <w:szCs w:val="18"/>
          <w:color w:val="auto"/>
        </w:rPr>
        <w:t xml:space="preserve"> equity </w:t>
      </w:r>
      <w:r>
        <w:rPr>
          <w:rFonts w:ascii="Times New Roman" w:cs="Times New Roman" w:eastAsia="Times New Roman" w:hAnsi="Times New Roman"/>
          <w:sz w:val="18"/>
          <w:szCs w:val="18"/>
          <w:color w:val="auto"/>
          <w:strike w:val="1"/>
        </w:rPr>
        <w:t>based compensation to be granted as part of a sign-on bonus</w:t>
      </w:r>
      <w:r>
        <w:rPr>
          <w:rFonts w:ascii="Times New Roman" w:cs="Times New Roman" w:eastAsia="Times New Roman" w:hAnsi="Times New Roman"/>
          <w:sz w:val="18"/>
          <w:szCs w:val="18"/>
          <w:color w:val="auto"/>
        </w:rPr>
        <w:t xml:space="preserve"> with an aggregate value of </w:t>
      </w:r>
      <w:r>
        <w:rPr>
          <w:rFonts w:ascii="Times New Roman" w:cs="Times New Roman" w:eastAsia="Times New Roman" w:hAnsi="Times New Roman"/>
          <w:sz w:val="18"/>
          <w:szCs w:val="18"/>
          <w:u w:val="single" w:color="auto"/>
          <w:color w:val="auto"/>
        </w:rPr>
        <w:t>up to 2 annual gross base salaries. This grant may also include a make-whole award to replace forfeited equity compensation at a new-hire executive’s previous employer, which may be needed from time to time to enable hiring experienced, quality talent, consistent with market practice. Any equity granted under this section 8.2, shall consist of RSUs and PSUs with a minimum of 60% of the award value being in PSUs, and shall vest as follows: not more than 50% of such grant shall vest on the first anniversary from date of grant, and the remaining 50% or more may vest over a minimum of two years from the first anniversary of the date of grant (i.e., at least three year vesting in total). Such grants will be subject to the same Change in Control provisions as are applicable to the Company’s other equity awards granted to Executive Officers. Equity awards under this section 8.2 are not subject to the terms and limitations of either Section 4, 14 or 18 due to their one-time, case-by-case 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-1124585</wp:posOffset>
            </wp:positionV>
            <wp:extent cx="1257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730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-27305</wp:posOffset>
            </wp:positionV>
            <wp:extent cx="28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6" w:name="page37"/>
    <w:bookmarkEnd w:id="36"/>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sign-on cash bonus</w:t>
      </w:r>
      <w:r>
        <w:rPr>
          <w:rFonts w:ascii="Times New Roman" w:cs="Times New Roman" w:eastAsia="Times New Roman" w:hAnsi="Times New Roman"/>
          <w:sz w:val="18"/>
          <w:szCs w:val="18"/>
          <w:u w:val="single" w:color="auto"/>
          <w:color w:val="auto"/>
        </w:rPr>
        <w:t>, if one is provided,</w:t>
      </w:r>
      <w:r>
        <w:rPr>
          <w:rFonts w:ascii="Times New Roman" w:cs="Times New Roman" w:eastAsia="Times New Roman" w:hAnsi="Times New Roman"/>
          <w:sz w:val="18"/>
          <w:szCs w:val="18"/>
          <w:color w:val="auto"/>
        </w:rPr>
        <w:t xml:space="preserve">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p>
      <w:pPr>
        <w:spacing w:after="0" w:line="1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 - The Objective, Components and Threshold</w:t>
      </w:r>
    </w:p>
    <w:p>
      <w:pPr>
        <w:spacing w:after="0" w:line="242"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9.1.Compensation in the form of cash bonus(es) is an important element in aligning Executive Officers' compensation with Tower's objectives and business goals in the long-term, such that both individual performance and overall company success are rewarded.</w:t>
      </w:r>
    </w:p>
    <w:p>
      <w:pPr>
        <w:spacing w:after="0" w:line="175"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p>
      <w:pPr>
        <w:spacing w:after="0" w:line="179"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9.3.A pre-defined mechanism will include bonus criteria based on the following components, with the weight (in percentage terms) of each group of measures as a portion of the annual criteria as set out below:</w:t>
      </w:r>
    </w:p>
    <w:p>
      <w:pPr>
        <w:spacing w:after="0" w:line="162" w:lineRule="exact"/>
        <w:rPr>
          <w:sz w:val="20"/>
          <w:szCs w:val="20"/>
          <w:color w:val="auto"/>
        </w:rPr>
      </w:pPr>
    </w:p>
    <w:p>
      <w:pPr>
        <w:jc w:val="both"/>
        <w:ind w:left="980"/>
        <w:spacing w:after="0" w:line="281" w:lineRule="auto"/>
        <w:rPr>
          <w:sz w:val="20"/>
          <w:szCs w:val="20"/>
          <w:color w:val="auto"/>
        </w:rPr>
      </w:pPr>
      <w:r>
        <w:rPr>
          <w:rFonts w:ascii="Times New Roman" w:cs="Times New Roman" w:eastAsia="Times New Roman" w:hAnsi="Times New Roman"/>
          <w:sz w:val="18"/>
          <w:szCs w:val="18"/>
          <w:color w:val="auto"/>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Financials metrics: </w:t>
      </w:r>
      <w:r>
        <w:rPr>
          <w:rFonts w:ascii="Times New Roman" w:cs="Times New Roman" w:eastAsia="Times New Roman" w:hAnsi="Times New Roman"/>
          <w:sz w:val="18"/>
          <w:szCs w:val="18"/>
          <w:color w:val="auto"/>
          <w:strike w:val="1"/>
        </w:rPr>
        <w:t>3</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color w:val="auto"/>
          <w:strike w:val="1"/>
        </w:rPr>
        <w:t>7</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0%,, including categories such 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Revenue</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EBITDA</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Cash balance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Net profit</w:t>
      </w:r>
    </w:p>
    <w:p>
      <w:pPr>
        <w:spacing w:after="0" w:line="9" w:lineRule="exact"/>
        <w:rPr>
          <w:sz w:val="20"/>
          <w:szCs w:val="20"/>
          <w:color w:val="auto"/>
        </w:rPr>
      </w:pPr>
    </w:p>
    <w:p>
      <w:pPr>
        <w:ind w:left="1960" w:hanging="324"/>
        <w:spacing w:after="0" w:line="260" w:lineRule="auto"/>
        <w:rPr>
          <w:sz w:val="20"/>
          <w:szCs w:val="20"/>
          <w:color w:val="auto"/>
        </w:rPr>
      </w:pPr>
      <w:r>
        <w:rPr>
          <w:rFonts w:ascii="Times New Roman" w:cs="Times New Roman" w:eastAsia="Times New Roman" w:hAnsi="Times New Roman"/>
          <w:sz w:val="18"/>
          <w:szCs w:val="18"/>
          <w:color w:val="auto"/>
        </w:rPr>
        <w:t>– Specific annual balance sheet cap-table related metrics, focused on increasing shareholders' value, such as balance sheet ratios, refinancing, restructurings.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Business - Strategic &amp; tactical: </w:t>
      </w:r>
      <w:r>
        <w:rPr>
          <w:rFonts w:ascii="Times New Roman" w:cs="Times New Roman" w:eastAsia="Times New Roman" w:hAnsi="Times New Roman"/>
          <w:sz w:val="18"/>
          <w:szCs w:val="18"/>
          <w:color w:val="auto"/>
          <w:strike w:val="1"/>
        </w:rPr>
        <w:t>15</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-50%, including categories such 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Existing customers and revenue funnel which is the base for the following years' revenue growth</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Business Units major strategic programs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Specific M&amp;A targets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Annual specific major tactical customer driven activities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Customer support, including categories such as top customers scorecards feedback</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18"/>
          <w:szCs w:val="18"/>
          <w:color w:val="auto"/>
          <w:strike w:val="1"/>
        </w:rPr>
        <w:t>1</w:t>
      </w:r>
      <w:r>
        <w:rPr>
          <w:rFonts w:ascii="Times New Roman" w:cs="Times New Roman" w:eastAsia="Times New Roman" w:hAnsi="Times New Roman"/>
          <w:sz w:val="18"/>
          <w:szCs w:val="18"/>
          <w:color w:val="auto"/>
        </w:rPr>
        <w:t>0-40%, including categories such 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Cost</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On time delivery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Quality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Other measurable manufacturing indices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Safety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Annually specific activities (such as capacity increase)HR: </w:t>
      </w:r>
      <w:r>
        <w:rPr>
          <w:rFonts w:ascii="Times New Roman" w:cs="Times New Roman" w:eastAsia="Times New Roman" w:hAnsi="Times New Roman"/>
          <w:sz w:val="18"/>
          <w:szCs w:val="18"/>
          <w:color w:val="auto"/>
          <w:strike w:val="1"/>
        </w:rPr>
        <w:t>5</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-15%, including categories such 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Employee turnover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Talent programs' success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Employees' satisfaction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both"/>
        <w:ind w:left="980"/>
        <w:spacing w:after="0" w:line="274" w:lineRule="auto"/>
        <w:rPr>
          <w:sz w:val="20"/>
          <w:szCs w:val="20"/>
          <w:color w:val="auto"/>
        </w:rPr>
      </w:pPr>
      <w:r>
        <w:rPr>
          <w:rFonts w:ascii="Times New Roman" w:cs="Times New Roman" w:eastAsia="Times New Roman" w:hAnsi="Times New Roman"/>
          <w:sz w:val="18"/>
          <w:szCs w:val="18"/>
          <w:color w:val="auto"/>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spacing w:after="0" w:line="182"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General bonus threshold –if the Corporate MBO Score is less than the applicable score set forth in Section 10 below, no bonus will be granted for the “A” component of the Corporate MBO Score in such year.</w:t>
      </w:r>
    </w:p>
    <w:p>
      <w:pPr>
        <w:spacing w:after="0" w:line="171"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Formula</w:t>
      </w:r>
    </w:p>
    <w:p>
      <w:pPr>
        <w:spacing w:after="0" w:line="242"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The annual bonus of the CEO will be calculated using the below formula</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CEO monthly actual base salary x [A + B] = Total Payout</w:t>
      </w:r>
    </w:p>
    <w:p>
      <w:pPr>
        <w:spacing w:after="0" w:line="23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 xml:space="preserve">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w:t>
      </w:r>
      <w:r>
        <w:rPr>
          <w:rFonts w:ascii="Times New Roman" w:cs="Times New Roman" w:eastAsia="Times New Roman" w:hAnsi="Times New Roman"/>
          <w:sz w:val="18"/>
          <w:szCs w:val="18"/>
          <w:color w:val="auto"/>
          <w:strike w:val="1"/>
        </w:rPr>
        <w:t>21</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spacing w:after="0" w:line="188"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8"/>
          <w:szCs w:val="18"/>
          <w:color w:val="auto"/>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spacing w:after="0" w:line="182" w:lineRule="exact"/>
        <w:rPr>
          <w:sz w:val="20"/>
          <w:szCs w:val="20"/>
          <w:color w:val="auto"/>
        </w:rPr>
      </w:pPr>
    </w:p>
    <w:p>
      <w:pPr>
        <w:jc w:val="both"/>
        <w:ind w:left="1000" w:right="20"/>
        <w:spacing w:after="0" w:line="281" w:lineRule="auto"/>
        <w:rPr>
          <w:sz w:val="20"/>
          <w:szCs w:val="20"/>
          <w:color w:val="auto"/>
        </w:rPr>
      </w:pPr>
      <w:r>
        <w:rPr>
          <w:rFonts w:ascii="Times New Roman" w:cs="Times New Roman" w:eastAsia="Times New Roman" w:hAnsi="Times New Roman"/>
          <w:sz w:val="18"/>
          <w:szCs w:val="18"/>
          <w:color w:val="auto"/>
        </w:rPr>
        <w:t xml:space="preserve">The minimum threshold for the entitlement of the CEO to receive the bonus under the "A" component is a weighted average Corporate MBO Score of 0.7. </w:t>
      </w:r>
      <w:r>
        <w:rPr>
          <w:rFonts w:ascii="Times New Roman" w:cs="Times New Roman" w:eastAsia="Times New Roman" w:hAnsi="Times New Roman"/>
          <w:sz w:val="18"/>
          <w:szCs w:val="18"/>
          <w:u w:val="single" w:color="auto"/>
          <w:color w:val="auto"/>
        </w:rPr>
        <w:t>The Board of Directors may define additional threshold(s) at its discretion.</w:t>
      </w:r>
      <w:r>
        <w:rPr>
          <w:rFonts w:ascii="Times New Roman" w:cs="Times New Roman" w:eastAsia="Times New Roman" w:hAnsi="Times New Roman"/>
          <w:sz w:val="18"/>
          <w:szCs w:val="18"/>
          <w:color w:val="auto"/>
        </w:rPr>
        <w:t xml:space="preserve"> The entitlement for the "B" component of the cash bonus has no minimal threshold.</w:t>
      </w:r>
    </w:p>
    <w:p>
      <w:pPr>
        <w:spacing w:after="0" w:line="191"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The annual bonuses of Other Executive Officers will not exceed the Executive Maximum Amount, subject to the Executive Ratio described in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 above.</w:t>
      </w:r>
    </w:p>
    <w:p>
      <w:pPr>
        <w:spacing w:after="0" w:line="207" w:lineRule="exact"/>
        <w:rPr>
          <w:sz w:val="20"/>
          <w:szCs w:val="20"/>
          <w:color w:val="auto"/>
        </w:rPr>
      </w:pPr>
    </w:p>
    <w:p>
      <w:pPr>
        <w:jc w:val="both"/>
        <w:ind w:left="980" w:hanging="647"/>
        <w:spacing w:after="0" w:line="271" w:lineRule="auto"/>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The minimum threshold for the entitlement of the Other Executive Officers to receive the bonus under the "A" component is a weighted average Corporate MBO Score of 0.65. </w:t>
      </w:r>
      <w:r>
        <w:rPr>
          <w:rFonts w:ascii="Times New Roman" w:cs="Times New Roman" w:eastAsia="Times New Roman" w:hAnsi="Times New Roman"/>
          <w:sz w:val="18"/>
          <w:szCs w:val="18"/>
          <w:u w:val="single" w:color="auto"/>
          <w:color w:val="auto"/>
        </w:rPr>
        <w:t>The Board of Directors may define additional threshold(s) at its discretion.</w:t>
      </w:r>
      <w:r>
        <w:rPr>
          <w:rFonts w:ascii="Times New Roman" w:cs="Times New Roman" w:eastAsia="Times New Roman" w:hAnsi="Times New Roman"/>
          <w:sz w:val="18"/>
          <w:szCs w:val="18"/>
          <w:color w:val="auto"/>
        </w:rPr>
        <w:t xml:space="preserve">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p>
      <w:pPr>
        <w:spacing w:after="0" w:line="199" w:lineRule="exact"/>
        <w:rPr>
          <w:sz w:val="20"/>
          <w:szCs w:val="20"/>
          <w:color w:val="auto"/>
        </w:rPr>
      </w:pPr>
    </w:p>
    <w:p>
      <w:pPr>
        <w:jc w:val="both"/>
        <w:ind w:left="980" w:hanging="647"/>
        <w:spacing w:after="0" w:line="255" w:lineRule="auto"/>
        <w:tabs>
          <w:tab w:leader="none" w:pos="9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 w:name="page39"/>
    <w:bookmarkEnd w:id="38"/>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bonus for special achievements</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p>
      <w:pPr>
        <w:spacing w:after="0" w:line="193" w:lineRule="exact"/>
        <w:rPr>
          <w:sz w:val="20"/>
          <w:szCs w:val="20"/>
          <w:color w:val="auto"/>
        </w:rPr>
      </w:pPr>
    </w:p>
    <w:p>
      <w:pPr>
        <w:jc w:val="both"/>
        <w:ind w:left="980"/>
        <w:spacing w:after="0" w:line="271" w:lineRule="auto"/>
        <w:rPr>
          <w:sz w:val="20"/>
          <w:szCs w:val="20"/>
          <w:color w:val="auto"/>
        </w:rPr>
      </w:pPr>
      <w:r>
        <w:rPr>
          <w:rFonts w:ascii="Times New Roman" w:cs="Times New Roman" w:eastAsia="Times New Roman" w:hAnsi="Times New Roman"/>
          <w:sz w:val="18"/>
          <w:szCs w:val="18"/>
          <w:color w:val="auto"/>
        </w:rPr>
        <w:t>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w:t>
      </w:r>
    </w:p>
    <w:p>
      <w:pPr>
        <w:spacing w:after="0" w:line="199"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Such special bonus shall not exceed the amount of four (4) monthly salaries of each applicable Executive Officer and the entitlement for this bonus has no minimal threshold condition.</w:t>
      </w:r>
    </w:p>
    <w:p>
      <w:pPr>
        <w:spacing w:after="0" w:line="15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("Clawback")</w:t>
      </w:r>
    </w:p>
    <w:p>
      <w:pPr>
        <w:spacing w:after="0" w:line="242" w:lineRule="exact"/>
        <w:rPr>
          <w:rFonts w:ascii="Times New Roman" w:cs="Times New Roman" w:eastAsia="Times New Roman" w:hAnsi="Times New Roman"/>
          <w:sz w:val="18"/>
          <w:szCs w:val="18"/>
          <w:b w:val="1"/>
          <w:bCs w:val="1"/>
          <w:color w:val="auto"/>
        </w:rPr>
      </w:pPr>
    </w:p>
    <w:p>
      <w:pPr>
        <w:ind w:left="98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p>
      <w:pPr>
        <w:spacing w:after="0" w:line="193" w:lineRule="exact"/>
        <w:rPr>
          <w:rFonts w:ascii="Times New Roman" w:cs="Times New Roman" w:eastAsia="Times New Roman" w:hAnsi="Times New Roman"/>
          <w:sz w:val="18"/>
          <w:szCs w:val="18"/>
          <w:b w:val="1"/>
          <w:bCs w:val="1"/>
          <w:color w:val="auto"/>
        </w:rPr>
      </w:pPr>
    </w:p>
    <w:p>
      <w:pPr>
        <w:ind w:left="98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Notwithstanding the aforesaid, the compensation recovery will not be triggered in the event of a financial restatement required due to changes in the applicable financial reporting standards.</w:t>
      </w:r>
    </w:p>
    <w:p>
      <w:pPr>
        <w:spacing w:after="0" w:line="161"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12.3. The Compensation Committee will be responsible for approving the amounts to be recouped and for setting terms for such recoupment from time to time.</w:t>
      </w:r>
    </w:p>
    <w:p>
      <w:pPr>
        <w:spacing w:after="0" w:line="175" w:lineRule="exact"/>
        <w:rPr>
          <w:sz w:val="20"/>
          <w:szCs w:val="20"/>
          <w:color w:val="auto"/>
        </w:rPr>
      </w:pPr>
    </w:p>
    <w:p>
      <w:pPr>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In addition, the Company has adopted an incentive compensation claw-back policy in accordance with rules of the U.S. Securities and Exchange Commission and Nasdaq Stock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 Equity Based Compensation</w:t>
      </w:r>
    </w:p>
    <w:p>
      <w:pPr>
        <w:spacing w:after="0" w:line="23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Objective</w:t>
      </w:r>
    </w:p>
    <w:p>
      <w:pPr>
        <w:spacing w:after="0" w:line="242" w:lineRule="exact"/>
        <w:rPr>
          <w:rFonts w:ascii="Times New Roman" w:cs="Times New Roman" w:eastAsia="Times New Roman" w:hAnsi="Times New Roman"/>
          <w:sz w:val="18"/>
          <w:szCs w:val="18"/>
          <w:b w:val="1"/>
          <w:bCs w:val="1"/>
          <w:color w:val="auto"/>
        </w:rPr>
      </w:pPr>
    </w:p>
    <w:p>
      <w:pPr>
        <w:ind w:left="98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 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plans.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9" w:name="page40"/>
    <w:bookmarkEnd w:id="39"/>
    <w:p>
      <w:pPr>
        <w:jc w:val="both"/>
        <w:ind w:left="980" w:hanging="647"/>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p>
      <w:pPr>
        <w:spacing w:after="0" w:line="176" w:lineRule="exact"/>
        <w:rPr>
          <w:sz w:val="20"/>
          <w:szCs w:val="20"/>
          <w:color w:val="auto"/>
        </w:rPr>
      </w:pPr>
    </w:p>
    <w:p>
      <w:pPr>
        <w:jc w:val="both"/>
        <w:ind w:left="980" w:right="2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Total outstanding equity based compensation awarded by the Company at any time shall not be in excess of 10% of the Company’s share capital on a fully diluted basis.</w:t>
      </w:r>
    </w:p>
    <w:p>
      <w:pPr>
        <w:spacing w:after="0" w:line="17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guidelines for the grant of equity based awards</w:t>
      </w:r>
    </w:p>
    <w:p>
      <w:pPr>
        <w:spacing w:after="0" w:line="242" w:lineRule="exact"/>
        <w:rPr>
          <w:rFonts w:ascii="Times New Roman" w:cs="Times New Roman" w:eastAsia="Times New Roman" w:hAnsi="Times New Roman"/>
          <w:sz w:val="18"/>
          <w:szCs w:val="18"/>
          <w:b w:val="1"/>
          <w:bCs w:val="1"/>
          <w:color w:val="auto"/>
        </w:rPr>
      </w:pPr>
    </w:p>
    <w:p>
      <w:pPr>
        <w:ind w:left="980" w:hanging="648"/>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The equity based compensation, comprised of options and/or RSUs and PSUs, shall be granted as either an annual grant and/or from time to time be individually determined and awarded according to the performance, educational background, prior business experience, qualifications, specializations, role, personal responsibilities and achievements of the Executive Officer and the previous salary arrangements therewith.</w:t>
      </w:r>
    </w:p>
    <w:p>
      <w:pPr>
        <w:spacing w:after="0" w:line="39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As a general policy, options for Tower's Executive Officers shall gradually vest per passage of time over a period of 3 years (or more) and the</w:t>
      </w:r>
    </w:p>
    <w:p>
      <w:pPr>
        <w:spacing w:after="0" w:line="2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shall have time and/or performance based vesting. There shall be no vesting before the end of the first year from date of grant.</w:t>
      </w:r>
    </w:p>
    <w:p>
      <w:pPr>
        <w:spacing w:after="0" w:line="220" w:lineRule="exact"/>
        <w:rPr>
          <w:rFonts w:ascii="Times New Roman" w:cs="Times New Roman" w:eastAsia="Times New Roman" w:hAnsi="Times New Roman"/>
          <w:sz w:val="18"/>
          <w:szCs w:val="18"/>
          <w:b w:val="1"/>
          <w:bCs w:val="1"/>
          <w:color w:val="auto"/>
        </w:rPr>
      </w:pPr>
    </w:p>
    <w:p>
      <w:pPr>
        <w:ind w:left="980" w:hanging="648"/>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14.3. The CEO may be granted equity, more than half of which shall be PSUs, annually at a value calculated based on the Equity Calculation Model which shall not exceed </w:t>
      </w:r>
      <w:r>
        <w:rPr>
          <w:rFonts w:ascii="Times New Roman" w:cs="Times New Roman" w:eastAsia="Times New Roman" w:hAnsi="Times New Roman"/>
          <w:sz w:val="18"/>
          <w:szCs w:val="18"/>
          <w:color w:val="auto"/>
          <w:strike w:val="1"/>
        </w:rPr>
        <w: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13thirteen</w:t>
      </w:r>
      <w:r>
        <w:rPr>
          <w:rFonts w:ascii="Times New Roman" w:cs="Times New Roman" w:eastAsia="Times New Roman" w:hAnsi="Times New Roman"/>
          <w:sz w:val="18"/>
          <w:szCs w:val="18"/>
          <w:color w:val="auto"/>
        </w:rPr>
        <w:t xml:space="preserve"> annual base salaries. Each Other Executive Officer may be granted equity, more than half of which shall be PSUs, annually at a value calculated based on the Equity Calculation Model which shall not exceed </w:t>
      </w:r>
      <w:r>
        <w:rPr>
          <w:rFonts w:ascii="Times New Roman" w:cs="Times New Roman" w:eastAsia="Times New Roman" w:hAnsi="Times New Roman"/>
          <w:sz w:val="18"/>
          <w:szCs w:val="18"/>
          <w:color w:val="auto"/>
          <w:strike w:val="1"/>
        </w:rPr>
        <w:t>five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seven</w:t>
      </w:r>
      <w:r>
        <w:rPr>
          <w:rFonts w:ascii="Times New Roman" w:cs="Times New Roman" w:eastAsia="Times New Roman" w:hAnsi="Times New Roman"/>
          <w:sz w:val="18"/>
          <w:szCs w:val="18"/>
          <w:color w:val="auto"/>
        </w:rPr>
        <w:t xml:space="preserve">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p>
    <w:p>
      <w:pPr>
        <w:spacing w:after="0" w:line="205" w:lineRule="exact"/>
        <w:rPr>
          <w:rFonts w:ascii="Times New Roman" w:cs="Times New Roman" w:eastAsia="Times New Roman" w:hAnsi="Times New Roman"/>
          <w:sz w:val="18"/>
          <w:szCs w:val="18"/>
          <w:b w:val="1"/>
          <w:bCs w:val="1"/>
          <w:color w:val="auto"/>
        </w:rPr>
      </w:pPr>
    </w:p>
    <w:p>
      <w:pPr>
        <w:ind w:left="98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14.4. Since the Company strives and targets growth to enhance shareholders’ value and special leadership is required for successful execution, additional performance based equity awards at a value calculated based on the Equity Calculation Model, which shall not exceed 6 annual base salaries may be provided to the CEO and 4 annual base salaries may be provided to Other Executive Officers subject to the achievement of one or more long term goals, such as special operational, strategic, financial or business goal(s) that are challenging to attain within a five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long-term goal(s) or partially vest upon the achievement of pre-defined milestones and a minimum vesting period and may be granted only if no other such grant is outstanding. In addition, in the event of a “Change of Control” event resulting in an Executive Officer’s “Termination Upon Change of Control,” both terms as defined in the Executive Officer’s employment agreement or terms of employment, the performance-based equity awards under this section for which the performance target(s) have been met as of the date of the Executive Officer’s employment termination will be fully accelerated. Any performance-based equity awards under this section for which the performance target(s) have not been met as of the date of “Termination Upon Change of Control” would terminate immediately upon such termination of employment.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w:t>
      </w:r>
    </w:p>
    <w:p>
      <w:pPr>
        <w:spacing w:after="0" w:line="17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 xml:space="preserve">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w:t>
      </w:r>
      <w:r>
        <w:rPr>
          <w:rFonts w:ascii="Times New Roman" w:cs="Times New Roman" w:eastAsia="Times New Roman" w:hAnsi="Times New Roman"/>
          <w:sz w:val="18"/>
          <w:szCs w:val="18"/>
          <w:u w:val="single" w:color="auto"/>
          <w:color w:val="auto"/>
        </w:rPr>
        <w:t>at target performance</w:t>
      </w:r>
      <w:r>
        <w:rPr>
          <w:rFonts w:ascii="Times New Roman" w:cs="Times New Roman" w:eastAsia="Times New Roman" w:hAnsi="Times New Roman"/>
          <w:sz w:val="18"/>
          <w:szCs w:val="18"/>
          <w:color w:val="auto"/>
        </w:rPr>
        <w:t>), in the event of their death, allowing the exercise of such vested equity, as applicable, in accordance with the terms of the applicable equity plan governing it.</w:t>
      </w:r>
    </w:p>
    <w:p>
      <w:pPr>
        <w:spacing w:after="0" w:line="19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Equity may be granted under the existing Employee Share Incentive Plans of the Company and/or any new plans governing equity based awards upon such plans becoming effective.</w:t>
      </w:r>
    </w:p>
    <w:p>
      <w:pPr>
        <w:spacing w:after="0" w:line="175"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Shareholding guidelines – In order to further align the interests of our Executive Officers, Directors and our shareholders, the Company has adopted the following stock ownership guidelines:</w:t>
      </w:r>
    </w:p>
    <w:p>
      <w:pPr>
        <w:spacing w:after="0" w:line="162" w:lineRule="exact"/>
        <w:rPr>
          <w:sz w:val="20"/>
          <w:szCs w:val="20"/>
          <w:color w:val="auto"/>
        </w:rPr>
      </w:pPr>
    </w:p>
    <w:p>
      <w:pPr>
        <w:jc w:val="both"/>
        <w:ind w:left="1600" w:hanging="917"/>
        <w:spacing w:after="0" w:line="258" w:lineRule="auto"/>
        <w:tabs>
          <w:tab w:leader="none" w:pos="1580" w:val="left"/>
        </w:tabs>
        <w:rPr>
          <w:sz w:val="20"/>
          <w:szCs w:val="20"/>
          <w:color w:val="auto"/>
        </w:rPr>
      </w:pPr>
      <w:r>
        <w:rPr>
          <w:rFonts w:ascii="Times New Roman" w:cs="Times New Roman" w:eastAsia="Times New Roman" w:hAnsi="Times New Roman"/>
          <w:sz w:val="18"/>
          <w:szCs w:val="18"/>
          <w:color w:val="auto"/>
        </w:rPr>
        <w:t>14.8.1.</w:t>
      </w:r>
      <w:r>
        <w:rPr>
          <w:sz w:val="20"/>
          <w:szCs w:val="20"/>
          <w:color w:val="auto"/>
        </w:rPr>
        <w:tab/>
      </w:r>
      <w:r>
        <w:rPr>
          <w:rFonts w:ascii="Times New Roman" w:cs="Times New Roman" w:eastAsia="Times New Roman" w:hAnsi="Times New Roman"/>
          <w:sz w:val="18"/>
          <w:szCs w:val="18"/>
          <w:color w:val="auto"/>
        </w:rPr>
        <w:t xml:space="preserve">The CEO </w:t>
      </w:r>
      <w:r>
        <w:rPr>
          <w:rFonts w:ascii="Times New Roman" w:cs="Times New Roman" w:eastAsia="Times New Roman" w:hAnsi="Times New Roman"/>
          <w:sz w:val="18"/>
          <w:szCs w:val="18"/>
          <w:color w:val="auto"/>
          <w:strike w:val="1"/>
        </w:rPr>
        <w:t>will</w:t>
      </w:r>
      <w:r>
        <w:rPr>
          <w:rFonts w:ascii="Times New Roman" w:cs="Times New Roman" w:eastAsia="Times New Roman" w:hAnsi="Times New Roman"/>
          <w:sz w:val="18"/>
          <w:szCs w:val="18"/>
          <w:u w:val="single" w:color="auto"/>
          <w:color w:val="auto"/>
        </w:rPr>
        <w:t>is</w:t>
      </w:r>
      <w:r>
        <w:rPr>
          <w:rFonts w:ascii="Times New Roman" w:cs="Times New Roman" w:eastAsia="Times New Roman" w:hAnsi="Times New Roman"/>
          <w:sz w:val="18"/>
          <w:szCs w:val="18"/>
          <w:color w:val="auto"/>
        </w:rPr>
        <w:t xml:space="preserve"> required to own a minimum value that equals at least 3 times of the CEO’s annual base salary in ordinary shares of the Company</w:t>
      </w:r>
      <w:r>
        <w:rPr>
          <w:rFonts w:ascii="Times New Roman" w:cs="Times New Roman" w:eastAsia="Times New Roman" w:hAnsi="Times New Roman"/>
          <w:sz w:val="18"/>
          <w:szCs w:val="18"/>
          <w:color w:val="auto"/>
          <w:strike w:val="1"/>
        </w:rPr>
        <w:t>. The CEO has 5 years from the date the board approved this guideline to accumulate said minimum, and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said period, the CEO must retain at least 20% of the vested time-based RSUs </w:t>
      </w:r>
      <w:r>
        <w:rPr>
          <w:rFonts w:ascii="Times New Roman" w:cs="Times New Roman" w:eastAsia="Times New Roman" w:hAnsi="Times New Roman"/>
          <w:sz w:val="18"/>
          <w:szCs w:val="18"/>
          <w:u w:val="single" w:color="auto"/>
          <w:color w:val="auto"/>
          <w:strike w:val="1"/>
        </w:rPr>
        <w:t>(excluding, for avoidance of doubt, ordinary shares</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of the Company underlying unvested RSUs, unearned PSUs and unexercised options)</w:t>
      </w:r>
      <w:r>
        <w:rPr>
          <w:rFonts w:ascii="Times New Roman" w:cs="Times New Roman" w:eastAsia="Times New Roman" w:hAnsi="Times New Roman"/>
          <w:sz w:val="18"/>
          <w:szCs w:val="18"/>
          <w:color w:val="auto"/>
          <w:strike w:val="1"/>
        </w:rPr>
        <w:t xml:space="preserve"> that may be granted from the date this guideline was approved, until the guideline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-222885</wp:posOffset>
            </wp:positionV>
            <wp:extent cx="18669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177" w:lineRule="exact"/>
        <w:rPr>
          <w:sz w:val="20"/>
          <w:szCs w:val="20"/>
          <w:color w:val="auto"/>
        </w:rPr>
      </w:pPr>
    </w:p>
    <w:p>
      <w:pPr>
        <w:jc w:val="both"/>
        <w:ind w:left="1600" w:hanging="917"/>
        <w:spacing w:after="0" w:line="258" w:lineRule="auto"/>
        <w:tabs>
          <w:tab w:leader="none" w:pos="1580" w:val="left"/>
        </w:tabs>
        <w:rPr>
          <w:sz w:val="20"/>
          <w:szCs w:val="20"/>
          <w:color w:val="auto"/>
        </w:rPr>
      </w:pPr>
      <w:r>
        <w:rPr>
          <w:rFonts w:ascii="Times New Roman" w:cs="Times New Roman" w:eastAsia="Times New Roman" w:hAnsi="Times New Roman"/>
          <w:sz w:val="18"/>
          <w:szCs w:val="18"/>
          <w:color w:val="auto"/>
        </w:rPr>
        <w:t>14.8.2.</w:t>
      </w:r>
      <w:r>
        <w:rPr>
          <w:sz w:val="20"/>
          <w:szCs w:val="20"/>
          <w:color w:val="auto"/>
        </w:rPr>
        <w:tab/>
      </w:r>
      <w:r>
        <w:rPr>
          <w:rFonts w:ascii="Times New Roman" w:cs="Times New Roman" w:eastAsia="Times New Roman" w:hAnsi="Times New Roman"/>
          <w:sz w:val="18"/>
          <w:szCs w:val="18"/>
          <w:color w:val="auto"/>
        </w:rPr>
        <w:t xml:space="preserve">The Other Executive Officers </w:t>
      </w:r>
      <w:r>
        <w:rPr>
          <w:rFonts w:ascii="Times New Roman" w:cs="Times New Roman" w:eastAsia="Times New Roman" w:hAnsi="Times New Roman"/>
          <w:sz w:val="18"/>
          <w:szCs w:val="18"/>
          <w:color w:val="auto"/>
          <w:strike w:val="1"/>
        </w:rPr>
        <w:t>will be</w:t>
      </w:r>
      <w:r>
        <w:rPr>
          <w:rFonts w:ascii="Times New Roman" w:cs="Times New Roman" w:eastAsia="Times New Roman" w:hAnsi="Times New Roman"/>
          <w:sz w:val="18"/>
          <w:szCs w:val="18"/>
          <w:u w:val="single" w:color="auto"/>
          <w:color w:val="auto"/>
        </w:rPr>
        <w:t>are</w:t>
      </w:r>
      <w:r>
        <w:rPr>
          <w:rFonts w:ascii="Times New Roman" w:cs="Times New Roman" w:eastAsia="Times New Roman" w:hAnsi="Times New Roman"/>
          <w:sz w:val="18"/>
          <w:szCs w:val="18"/>
          <w:color w:val="auto"/>
        </w:rPr>
        <w:t xml:space="preserve"> required to own a minimum value that equals at least 50% of his/her respective annual base salary in ordinary shares of the Company</w:t>
      </w:r>
      <w:r>
        <w:rPr>
          <w:rFonts w:ascii="Times New Roman" w:cs="Times New Roman" w:eastAsia="Times New Roman" w:hAnsi="Times New Roman"/>
          <w:sz w:val="18"/>
          <w:szCs w:val="18"/>
          <w:color w:val="auto"/>
          <w:strike w:val="1"/>
        </w:rPr>
        <w:t>. Each Other Executive Officer has 5 years from the date the board approved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guideline to accumulate said minimum, and during said period, the Other Executive Officer must retain at least 20% of the vested time-based RSUs </w:t>
      </w:r>
      <w:r>
        <w:rPr>
          <w:rFonts w:ascii="Times New Roman" w:cs="Times New Roman" w:eastAsia="Times New Roman" w:hAnsi="Times New Roman"/>
          <w:sz w:val="18"/>
          <w:szCs w:val="18"/>
          <w:u w:val="single" w:color="auto"/>
          <w:color w:val="auto"/>
          <w:strike w:val="1"/>
        </w:rPr>
        <w:t>(excluding, for avoidance of doubt, ordinary shares of the Company underlying unvested RSUs,</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u w:val="single" w:color="auto"/>
          <w:color w:val="auto"/>
          <w:strike w:val="1"/>
        </w:rPr>
        <w:t>unearned PSUs and unexercised options)</w:t>
      </w:r>
      <w:r>
        <w:rPr>
          <w:rFonts w:ascii="Times New Roman" w:cs="Times New Roman" w:eastAsia="Times New Roman" w:hAnsi="Times New Roman"/>
          <w:sz w:val="18"/>
          <w:szCs w:val="18"/>
          <w:color w:val="auto"/>
          <w:strike w:val="1"/>
        </w:rPr>
        <w:t xml:space="preserve"> that may be granted from the date this guideline is approved, until the guideline is met..</w:t>
      </w:r>
    </w:p>
    <w:p>
      <w:pPr>
        <w:spacing w:after="0" w:line="197" w:lineRule="exact"/>
        <w:rPr>
          <w:sz w:val="20"/>
          <w:szCs w:val="20"/>
          <w:color w:val="auto"/>
        </w:rPr>
      </w:pPr>
    </w:p>
    <w:p>
      <w:pPr>
        <w:jc w:val="both"/>
        <w:ind w:left="1600" w:hanging="917"/>
        <w:spacing w:after="0" w:line="254" w:lineRule="auto"/>
        <w:tabs>
          <w:tab w:leader="none" w:pos="1580" w:val="left"/>
        </w:tabs>
        <w:rPr>
          <w:sz w:val="20"/>
          <w:szCs w:val="20"/>
          <w:color w:val="auto"/>
        </w:rPr>
      </w:pPr>
      <w:r>
        <w:rPr>
          <w:rFonts w:ascii="Times New Roman" w:cs="Times New Roman" w:eastAsia="Times New Roman" w:hAnsi="Times New Roman"/>
          <w:sz w:val="18"/>
          <w:szCs w:val="18"/>
          <w:color w:val="auto"/>
        </w:rPr>
        <w:t>14.8.3.</w:t>
      </w:r>
      <w:r>
        <w:rPr>
          <w:sz w:val="20"/>
          <w:szCs w:val="20"/>
          <w:color w:val="auto"/>
        </w:rPr>
        <w:tab/>
      </w:r>
      <w:r>
        <w:rPr>
          <w:rFonts w:ascii="Times New Roman" w:cs="Times New Roman" w:eastAsia="Times New Roman" w:hAnsi="Times New Roman"/>
          <w:sz w:val="18"/>
          <w:szCs w:val="18"/>
          <w:color w:val="auto"/>
        </w:rPr>
        <w:t xml:space="preserve">The Directors </w:t>
      </w:r>
      <w:r>
        <w:rPr>
          <w:rFonts w:ascii="Times New Roman" w:cs="Times New Roman" w:eastAsia="Times New Roman" w:hAnsi="Times New Roman"/>
          <w:sz w:val="18"/>
          <w:szCs w:val="18"/>
          <w:u w:val="single" w:color="auto"/>
          <w:color w:val="auto"/>
        </w:rPr>
        <w:t>are</w:t>
      </w:r>
      <w:r>
        <w:rPr>
          <w:rFonts w:ascii="Times New Roman" w:cs="Times New Roman" w:eastAsia="Times New Roman" w:hAnsi="Times New Roman"/>
          <w:sz w:val="18"/>
          <w:szCs w:val="18"/>
          <w:color w:val="auto"/>
          <w:strike w:val="1"/>
        </w:rPr>
        <w:t>will b</w:t>
      </w:r>
      <w:r>
        <w:rPr>
          <w:rFonts w:ascii="Times New Roman" w:cs="Times New Roman" w:eastAsia="Times New Roman" w:hAnsi="Times New Roman"/>
          <w:sz w:val="18"/>
          <w:szCs w:val="18"/>
          <w:color w:val="auto"/>
        </w:rPr>
        <w:t xml:space="preserve">e required to own a minimum value that equals at least 50% of the Annual Fee (as defined below) in ordinary shares of the Company </w:t>
      </w:r>
      <w:r>
        <w:rPr>
          <w:rFonts w:ascii="Times New Roman" w:cs="Times New Roman" w:eastAsia="Times New Roman" w:hAnsi="Times New Roman"/>
          <w:sz w:val="18"/>
          <w:szCs w:val="18"/>
          <w:u w:val="single" w:color="auto"/>
          <w:color w:val="auto"/>
        </w:rPr>
        <w:t>(excluding, for avoidance of doubt, ordinary shares of the Company underlying unvested 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unearned PSUs and unexercised options)</w:t>
      </w:r>
      <w:r>
        <w:rPr>
          <w:rFonts w:ascii="Times New Roman" w:cs="Times New Roman" w:eastAsia="Times New Roman" w:hAnsi="Times New Roman"/>
          <w:sz w:val="18"/>
          <w:szCs w:val="18"/>
          <w:color w:val="auto"/>
        </w:rPr>
        <w:t xml:space="preserve">. The Chair of the Board of Directors </w:t>
      </w:r>
      <w:r>
        <w:rPr>
          <w:rFonts w:ascii="Times New Roman" w:cs="Times New Roman" w:eastAsia="Times New Roman" w:hAnsi="Times New Roman"/>
          <w:sz w:val="18"/>
          <w:szCs w:val="18"/>
          <w:u w:val="single" w:color="auto"/>
          <w:color w:val="auto"/>
          <w:strike w:val="1"/>
        </w:rPr>
        <w:t>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be</w:t>
      </w:r>
      <w:r>
        <w:rPr>
          <w:rFonts w:ascii="Times New Roman" w:cs="Times New Roman" w:eastAsia="Times New Roman" w:hAnsi="Times New Roman"/>
          <w:sz w:val="18"/>
          <w:szCs w:val="18"/>
          <w:u w:val="single" w:color="auto"/>
          <w:color w:val="auto"/>
        </w:rPr>
        <w:t>is</w:t>
      </w:r>
      <w:r>
        <w:rPr>
          <w:rFonts w:ascii="Times New Roman" w:cs="Times New Roman" w:eastAsia="Times New Roman" w:hAnsi="Times New Roman"/>
          <w:sz w:val="18"/>
          <w:szCs w:val="18"/>
          <w:color w:val="auto"/>
        </w:rPr>
        <w:t xml:space="preserve"> required to own a minimum value in ordinary shares of the Company </w:t>
      </w:r>
      <w:r>
        <w:rPr>
          <w:rFonts w:ascii="Times New Roman" w:cs="Times New Roman" w:eastAsia="Times New Roman" w:hAnsi="Times New Roman"/>
          <w:sz w:val="18"/>
          <w:szCs w:val="18"/>
          <w:u w:val="single" w:color="auto"/>
          <w:color w:val="auto"/>
        </w:rPr>
        <w:t>(excluding, for avoidance of doubt, ordinary shares of the Company underlying unvested 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unearned PSUs and unexercised options)</w:t>
      </w:r>
      <w:r>
        <w:rPr>
          <w:rFonts w:ascii="Times New Roman" w:cs="Times New Roman" w:eastAsia="Times New Roman" w:hAnsi="Times New Roman"/>
          <w:sz w:val="18"/>
          <w:szCs w:val="18"/>
          <w:color w:val="auto"/>
        </w:rPr>
        <w:t xml:space="preserve"> that equals at least 50% of the annual cash compensation paid to him/her. </w:t>
      </w:r>
      <w:r>
        <w:rPr>
          <w:rFonts w:ascii="Times New Roman" w:cs="Times New Roman" w:eastAsia="Times New Roman" w:hAnsi="Times New Roman"/>
          <w:sz w:val="18"/>
          <w:szCs w:val="18"/>
          <w:color w:val="auto"/>
          <w:strike w:val="1"/>
        </w:rPr>
        <w:t>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Director has 5 years from the date the board approved this guideline to accumulate said minimum, and during said period, the Director must retain at least 20% of the vested time-based RSUs that may be granted from the date this guideline is approved, until the guideline is met.</w:t>
      </w:r>
    </w:p>
    <w:p>
      <w:pPr>
        <w:spacing w:after="0" w:line="192" w:lineRule="exact"/>
        <w:rPr>
          <w:sz w:val="20"/>
          <w:szCs w:val="20"/>
          <w:color w:val="auto"/>
        </w:rPr>
      </w:pPr>
    </w:p>
    <w:p>
      <w:pPr>
        <w:jc w:val="both"/>
        <w:ind w:left="1600" w:hanging="917"/>
        <w:spacing w:after="0" w:line="261"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auto"/>
        </w:rPr>
        <w:t>14.8.4.</w:t>
      </w:r>
      <w:r>
        <w:rPr>
          <w:sz w:val="20"/>
          <w:szCs w:val="20"/>
          <w:color w:val="auto"/>
        </w:rPr>
        <w:tab/>
      </w:r>
      <w:r>
        <w:rPr>
          <w:rFonts w:ascii="Times New Roman" w:cs="Times New Roman" w:eastAsia="Times New Roman" w:hAnsi="Times New Roman"/>
          <w:sz w:val="18"/>
          <w:szCs w:val="18"/>
          <w:u w:val="single" w:color="auto"/>
          <w:color w:val="auto"/>
        </w:rPr>
        <w:t>Each officer and director in office had five years from the date the Board of Directors approved the shareholding guidelines to attain their respective minimum holding. During such period, each officer and director was required to retain at least 20% of the ordinary shares of the Company issued upon the vesting of time-based RSUs granted to him/her from the date the guidelines were approved, until the guidelines were met.</w:t>
      </w:r>
    </w:p>
    <w:p>
      <w:pPr>
        <w:spacing w:after="0" w:line="15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51" w:right="339" w:bottom="1440" w:gutter="0" w:footer="0" w:header="0"/>
        </w:sectPr>
      </w:pPr>
    </w:p>
    <w:bookmarkStart w:id="41" w:name="page42"/>
    <w:bookmarkEnd w:id="41"/>
    <w:p>
      <w:pPr>
        <w:jc w:val="both"/>
        <w:ind w:left="1940" w:hanging="917"/>
        <w:spacing w:after="0" w:line="261" w:lineRule="auto"/>
        <w:tabs>
          <w:tab w:leader="none" w:pos="1920" w:val="left"/>
        </w:tabs>
        <w:rPr>
          <w:sz w:val="20"/>
          <w:szCs w:val="20"/>
          <w:color w:val="auto"/>
        </w:rPr>
      </w:pPr>
      <w:r>
        <w:rPr>
          <w:rFonts w:ascii="Times New Roman" w:cs="Times New Roman" w:eastAsia="Times New Roman" w:hAnsi="Times New Roman"/>
          <w:sz w:val="18"/>
          <w:szCs w:val="18"/>
          <w:u w:val="single" w:color="auto"/>
          <w:color w:val="auto"/>
        </w:rPr>
        <w:t>14.8.5.</w:t>
      </w:r>
      <w:r>
        <w:rPr>
          <w:sz w:val="20"/>
          <w:szCs w:val="20"/>
          <w:color w:val="auto"/>
        </w:rPr>
        <w:tab/>
      </w:r>
      <w:r>
        <w:rPr>
          <w:rFonts w:ascii="Times New Roman" w:cs="Times New Roman" w:eastAsia="Times New Roman" w:hAnsi="Times New Roman"/>
          <w:sz w:val="18"/>
          <w:szCs w:val="18"/>
          <w:u w:val="single" w:color="auto"/>
          <w:color w:val="auto"/>
        </w:rPr>
        <w:t>Directors and officers elected or appointed (as the case may be) subsequent to the date the Board of Directors approved the shareholding guidelines have five years from the date of their election or appointment to attain their respective minimum shareholding. During such period, each such officer and director must retain at least 20% of the ordinary shares of the Company issued upon the vesting of time-based RSUs granted to him/her during such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 Retirement, Termination and Other Arrangements</w:t>
      </w:r>
    </w:p>
    <w:p>
      <w:pPr>
        <w:spacing w:after="0" w:line="25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notice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9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Pay</w:t>
      </w:r>
    </w:p>
    <w:p>
      <w:pPr>
        <w:spacing w:after="0" w:line="229" w:lineRule="exact"/>
        <w:rPr>
          <w:rFonts w:ascii="Times New Roman" w:cs="Times New Roman" w:eastAsia="Times New Roman" w:hAnsi="Times New Roman"/>
          <w:sz w:val="18"/>
          <w:szCs w:val="18"/>
          <w:b w:val="1"/>
          <w:bCs w:val="1"/>
          <w:color w:val="auto"/>
        </w:rPr>
      </w:pPr>
    </w:p>
    <w:p>
      <w:pPr>
        <w:ind w:left="980" w:right="20"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16.1. Upon resignation, Executive Officers who are Israeli employees shall receive severance pay according to article 14 of the Israeli Severance Pay Law 5723-1963. All other employees shall receive severance pay according to their local labor laws.</w:t>
      </w:r>
    </w:p>
    <w:p>
      <w:pPr>
        <w:spacing w:after="0" w:line="175" w:lineRule="exact"/>
        <w:rPr>
          <w:rFonts w:ascii="Times New Roman" w:cs="Times New Roman" w:eastAsia="Times New Roman" w:hAnsi="Times New Roman"/>
          <w:sz w:val="18"/>
          <w:szCs w:val="18"/>
          <w:b w:val="1"/>
          <w:bCs w:val="1"/>
          <w:color w:val="auto"/>
        </w:rPr>
      </w:pPr>
    </w:p>
    <w:p>
      <w:pPr>
        <w:ind w:left="1000" w:hanging="666"/>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16.2. Upon dismissal, Executive Officers who are Israeli employees may receive severance pay equal to his/her last monthly base salary multiplied by the number of years employed by Tower </w:t>
      </w:r>
      <w:r>
        <w:rPr>
          <w:rFonts w:ascii="Times New Roman" w:cs="Times New Roman" w:eastAsia="Times New Roman" w:hAnsi="Times New Roman"/>
          <w:sz w:val="18"/>
          <w:szCs w:val="18"/>
          <w:u w:val="single" w:color="auto"/>
          <w:color w:val="auto"/>
        </w:rPr>
        <w:t>(except in circumstances where severance pay is not payable under applicable Israeli law)</w:t>
      </w:r>
      <w:r>
        <w:rPr>
          <w:rFonts w:ascii="Times New Roman" w:cs="Times New Roman" w:eastAsia="Times New Roman" w:hAnsi="Times New Roman"/>
          <w:sz w:val="18"/>
          <w:szCs w:val="18"/>
          <w:color w:val="auto"/>
        </w:rPr>
        <w:t>.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p>
      <w:pPr>
        <w:spacing w:after="0" w:line="19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spacing w:after="0" w:line="18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Tower may amend the employment agreements of its CEO and Executive Officers to include Change of Control Provisions in line with this Section 17, subject to the receipt of the corporate approvals as required by applicable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and Termination Benefits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the event of the voluntary separation from service of an Executive Officer who has achieved the “Rule of 70” (i.e., the sum of age and continuous service equals or exceeds 70, with a minimum of five years of continuous service at the Company) (a “Qualifying Separation”), Tower may provide for the continuation of vesting of such Executive Officer’s equity awards starting with equity awards granted in 2026, for a period of up to twenty-four (24) months following a Qualifying Separation, determined based on (i) the time of separation relative to the term of the applicable grant; (ii) the length of employment, contribution to the Company and actual performance achievement; and (iii) the Executive has provided written notice of separation at least six months prior to separation (unless the Compensation Committee and Board of Directors determine to waive this requirement, provided that the notice period shall not be less than the Executive Officer’s contractual notice period); and (iv) the Executive Officer’s undertaking to comply with certain post-separation restrictive covenants, including non-competition, non-solicitation, non-disparagement and confidentiality provisions, and such other conditions as may be determined by the Compensation Committee and the Board of Directors.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both"/>
        <w:spacing w:after="0" w:line="274" w:lineRule="auto"/>
        <w:rPr>
          <w:sz w:val="20"/>
          <w:szCs w:val="20"/>
          <w:color w:val="auto"/>
        </w:rPr>
      </w:pPr>
      <w:r>
        <w:rPr>
          <w:rFonts w:ascii="Times New Roman" w:cs="Times New Roman" w:eastAsia="Times New Roman" w:hAnsi="Times New Roman"/>
          <w:sz w:val="18"/>
          <w:szCs w:val="18"/>
          <w:color w:val="auto"/>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avoidance of doubt, any payments excluding those required by law and equity awards under this section E shall not exceed a cap of 24 months’ salary.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 Exculpation, Indemnification and Insurance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Exculpation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shall exempt its Directors and Executive Officers from the duty of care to the maximum extent permitted by law.</w:t>
      </w:r>
    </w:p>
    <w:p>
      <w:pPr>
        <w:spacing w:after="0" w:line="23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Indemnification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Insurance</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Tower shall provide "Directors and Officers Liability Insurance"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for its Directors and Executive Officers to the maximum extent permitted by applicable law.</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spacing w:after="0" w:line="190"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w:t>
      </w:r>
      <w:r>
        <w:rPr>
          <w:rFonts w:ascii="Times New Roman" w:cs="Times New Roman" w:eastAsia="Times New Roman" w:hAnsi="Times New Roman"/>
          <w:sz w:val="18"/>
          <w:szCs w:val="18"/>
          <w:color w:val="auto"/>
          <w:strike w:val="1"/>
        </w:rPr>
        <w:t>30</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G. Board of Directors Compensation</w:t>
      </w:r>
    </w:p>
    <w:p>
      <w:pPr>
        <w:spacing w:after="0" w:line="2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Remuneration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Tower's board may be entitled to remuneration and refund of expenses as follows:</w:t>
      </w:r>
    </w:p>
    <w:p>
      <w:pPr>
        <w:spacing w:after="0" w:line="23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to be capped at up to $75,000 (the “</w:t>
      </w:r>
      <w:r>
        <w:rPr>
          <w:rFonts w:ascii="Times New Roman" w:cs="Times New Roman" w:eastAsia="Times New Roman" w:hAnsi="Times New Roman"/>
          <w:sz w:val="18"/>
          <w:szCs w:val="18"/>
          <w:b w:val="1"/>
          <w:bCs w:val="1"/>
          <w:color w:val="auto"/>
        </w:rPr>
        <w:t>Annual Fee</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fees in addition to the Annual Fee up to a cap of $10,000 annually to each committee member.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committee chairperson shall be entitled to an additional fee up to a cap of $10,000 annually.</w:t>
      </w:r>
    </w:p>
    <w:p>
      <w:pPr>
        <w:spacing w:after="0" w:line="23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the Board shall have the right to compensate Directors for special activities that are performed under special circumstances in the amount of up to $2,000 per meeting.</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Board shall appoint an observer to any Board committee, each such observer shall be entitled to an annual fee of up $6,000.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travel expenses in accordance with the Company's travel reimbursement policy for directors.</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members of Tower's Board may be granted equity based compensation annually at a value as calculated based on the Equity Calculation Model which shall vest over a period of up to 3 years, and shall not exceed, with respect to each Director, $200,000, subject to applicable law and regulations. The exercise price of options and expiration of equity awards shall be as set forth in Section 14 above.</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u w:val="single" w:color="auto"/>
          <w:color w:val="auto"/>
        </w:rPr>
        <w:t>In the event that the appointment of a new Director to the Board of Directors is approved by the Board of Directors more than three (3) months prior to the Company’s next annual general meeting of shareholders, a one-time equity grant, in the form of RSUs, may be granted to such Director on the following terms: (i) the number of RSUs to be granted to such Director will be equal to a pro-rata portion of the most recent annual equity grant awarded to the Company’s Directors, calculated by dividing the number of months between such Director’s appointment to the Board and the Company’s upcoming annual general meeting of shareholders by 12, and multiplying the resulting fraction by the most recent annual Directors’ equity grant; and (ii) 50% of such grant shall vest immediately upon shareholder approval of the equity award and the remaining 50% shall vest one (1) year after such annual general meeting. This equity grant shall be in addition to any annual equity grant that he/she may be entitled to receive upon approval of such Director’s election by the shareholders, subject to approval in accordance with applicable law.</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a corporate transaction involving a Change of Control, the Chairman of the board and directors may be entitled to acceleration of all unvested equity.</w:t>
      </w:r>
    </w:p>
    <w:p>
      <w:pPr>
        <w:spacing w:after="0" w:line="16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in this Policy have the meaning as set forth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Law" means the Israeli Companies Law 5759-1999.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“Corporate MBO Score” means the weighted average of all of the measures described in the A component in the annual bonus formula.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means members of the board of directors of Tower serving in such capacity from time to time.</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spacing w:after="0" w:line="18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“Executive Officers” means "Office Holders" as such term is defined in the Companies Law, excluding, unless otherwise expressly indicated herein, Tower's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Maximum Amount” means 0.12% of the authorized share capital NIS par value as of the date hereof.</w:t>
      </w:r>
    </w:p>
    <w:p>
      <w:pPr>
        <w:spacing w:after="0" w:line="2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"MBO" – Management By Objective plan as described in Section 9.3 above.</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“Other Executive Officers” means all "Office Holders" as such term is defined in the Companies Law, excluding (i) Tower's Directors serving on the Board of Directors and (ii) the CEO.</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“Variable Compensation” means any payment (in whole or a portion thereof) in respect of the holding of an office or employment that is not part of the Fixed Compensation, and that depends on variables that are unknown at the time the decision to award such payment is determined, such as an annual bonus or the equity based grants, a portion of which thereof is contingent upon future financial results or corporate or individual performance.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Law.</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Notwithstanding anything which is stated elsewhere in this Policy, the board of directors shall have the discretion to unilaterally reduce an Executive Officer's variable compensation.</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Policy was not formulated so as to prejudice any existing compensation arrangements of Executive Officers at the Company, and existing arrangements with Executive Officers are not subject to any further approvals under this Policy, unless such existing arrangements are subject to further approvals as may be required under applicable law. All compensation arrangements of Executive Officers are required to be approved in the manner prescribed by applicable law. Executives Officers, including external Directors or independent Directors, may waive their entitlement to their compensation, subject to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B</w:t>
            </w:r>
          </w:p>
        </w:tc>
        <w:tc>
          <w:tcPr>
            <w:tcW w:w="5140" w:type="dxa"/>
            <w:vAlign w:val="bottom"/>
          </w:tcPr>
          <w:p>
            <w:pPr>
              <w:spacing w:after="0"/>
              <w:rPr>
                <w:sz w:val="17"/>
                <w:szCs w:val="17"/>
                <w:color w:val="auto"/>
              </w:rPr>
            </w:pPr>
          </w:p>
        </w:tc>
      </w:tr>
      <w:tr>
        <w:trPr>
          <w:trHeight w:val="466"/>
        </w:trPr>
        <w:tc>
          <w:tcPr>
            <w:tcW w:w="3920" w:type="dxa"/>
            <w:vAlign w:val="bottom"/>
          </w:tcPr>
          <w:p>
            <w:pPr>
              <w:spacing w:after="0"/>
              <w:rPr>
                <w:sz w:val="24"/>
                <w:szCs w:val="24"/>
                <w:color w:val="auto"/>
              </w:rPr>
            </w:pPr>
          </w:p>
        </w:tc>
        <w:tc>
          <w:tcPr>
            <w:tcW w:w="73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List of Peer Group Companies</w:t>
            </w: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Advanced Energy Industries, Inc.</w:t>
            </w:r>
          </w:p>
        </w:tc>
        <w:tc>
          <w:tcPr>
            <w:tcW w:w="1240" w:type="dxa"/>
            <w:vAlign w:val="bottom"/>
          </w:tcPr>
          <w:p>
            <w:pPr>
              <w:spacing w:after="0"/>
              <w:rPr>
                <w:sz w:val="24"/>
                <w:szCs w:val="24"/>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NASDAQ:AEIS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Allegro MicroSystems,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NASDAQ:ALGM</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Cirrus Logic,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NASDAQ:CRUS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Coherent Corp.</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NYSE:COHR</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Entegris, Inc.</w:t>
            </w:r>
          </w:p>
        </w:tc>
        <w:tc>
          <w:tcPr>
            <w:tcW w:w="1240" w:type="dxa"/>
            <w:vAlign w:val="bottom"/>
          </w:tcPr>
          <w:p>
            <w:pPr>
              <w:spacing w:after="0"/>
              <w:rPr>
                <w:sz w:val="20"/>
                <w:szCs w:val="20"/>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NASDAQ:ENTG</w:t>
            </w: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Lattice Semiconductor Corporation</w:t>
            </w:r>
          </w:p>
        </w:tc>
        <w:tc>
          <w:tcPr>
            <w:tcW w:w="1240" w:type="dxa"/>
            <w:vAlign w:val="bottom"/>
          </w:tcPr>
          <w:p>
            <w:pPr>
              <w:spacing w:after="0"/>
              <w:rPr>
                <w:sz w:val="21"/>
                <w:szCs w:val="21"/>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NASDAQ:LSCC</w:t>
            </w:r>
          </w:p>
        </w:tc>
      </w:tr>
      <w:tr>
        <w:trPr>
          <w:trHeight w:val="22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Lumentum Holdings Inc.</w:t>
            </w:r>
          </w:p>
        </w:tc>
        <w:tc>
          <w:tcPr>
            <w:tcW w:w="124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NASDAQ:LITE</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MACOM Technology Solutions Holdings,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NASDAQ:MTSI</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Monolithic Power Systems,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NASDAQ:MPWR</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ON Semiconductor Corporation</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NASDAQ:ON</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Qorvo,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NASDAQ:QRVO</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Semtech Corporation</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NASDAQ:SMTC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Silicon Laboratories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NASDAQ:SLAB</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Skyworks Solutions, Inc.</w:t>
            </w:r>
          </w:p>
        </w:tc>
        <w:tc>
          <w:tcPr>
            <w:tcW w:w="124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NASDAQ:SWKS</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Synaptics Incorporated</w:t>
            </w:r>
          </w:p>
        </w:tc>
        <w:tc>
          <w:tcPr>
            <w:tcW w:w="1240" w:type="dxa"/>
            <w:vAlign w:val="bottom"/>
          </w:tcPr>
          <w:p>
            <w:pPr>
              <w:spacing w:after="0"/>
              <w:rPr>
                <w:sz w:val="20"/>
                <w:szCs w:val="20"/>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NASDAQ:SYNA</w:t>
            </w:r>
          </w:p>
        </w:tc>
      </w:tr>
      <w:tr>
        <w:trPr>
          <w:trHeight w:val="398"/>
        </w:trPr>
        <w:tc>
          <w:tcPr>
            <w:tcW w:w="39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C</w:t>
            </w:r>
          </w:p>
        </w:tc>
        <w:tc>
          <w:tcPr>
            <w:tcW w:w="2680" w:type="dxa"/>
            <w:vAlign w:val="bottom"/>
          </w:tcPr>
          <w:p>
            <w:pPr>
              <w:spacing w:after="0"/>
              <w:rPr>
                <w:sz w:val="17"/>
                <w:szCs w:val="17"/>
                <w:color w:val="auto"/>
              </w:rPr>
            </w:pPr>
          </w:p>
        </w:tc>
      </w:tr>
      <w:tr>
        <w:trPr>
          <w:trHeight w:val="466"/>
        </w:trPr>
        <w:tc>
          <w:tcPr>
            <w:tcW w:w="2000" w:type="dxa"/>
            <w:vAlign w:val="bottom"/>
          </w:tcPr>
          <w:p>
            <w:pPr>
              <w:spacing w:after="0"/>
              <w:rPr>
                <w:sz w:val="24"/>
                <w:szCs w:val="24"/>
                <w:color w:val="auto"/>
              </w:rPr>
            </w:pPr>
          </w:p>
        </w:tc>
        <w:tc>
          <w:tcPr>
            <w:tcW w:w="6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List of Israeli Companies Used as Reference for Compensation Policy Updates</w:t>
            </w:r>
          </w:p>
        </w:tc>
      </w:tr>
      <w:tr>
        <w:trPr>
          <w:trHeight w:val="45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NasdaqGS:CHKP</w:t>
            </w:r>
          </w:p>
        </w:tc>
        <w:tc>
          <w:tcPr>
            <w:tcW w:w="3160" w:type="dxa"/>
            <w:vAlign w:val="bottom"/>
          </w:tcPr>
          <w:p>
            <w:pPr>
              <w:spacing w:after="0"/>
              <w:rPr>
                <w:sz w:val="24"/>
                <w:szCs w:val="24"/>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8"/>
              </w:rPr>
              <w:t>Check Point Software Technologies Ltd.</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CyberArk Software Ltd.*</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NASDAQ:ESLT</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Elbit Systems Ltd.</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NYSE:ICL</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ICL Group Ltd</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NasdaqGS:MNDY</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monday.com Ltd.</w:t>
            </w:r>
          </w:p>
        </w:tc>
      </w:tr>
      <w:tr>
        <w:trPr>
          <w:trHeight w:val="2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NASDAQ:NICE</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NICE Ltd.</w:t>
            </w:r>
          </w:p>
        </w:tc>
      </w:tr>
      <w:tr>
        <w:trPr>
          <w:trHeight w:val="23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NASDAQ:NVMI</w:t>
            </w:r>
          </w:p>
        </w:tc>
        <w:tc>
          <w:tcPr>
            <w:tcW w:w="3160" w:type="dxa"/>
            <w:vAlign w:val="bottom"/>
          </w:tcPr>
          <w:p>
            <w:pPr>
              <w:spacing w:after="0"/>
              <w:rPr>
                <w:sz w:val="19"/>
                <w:szCs w:val="19"/>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Nova Ltd.</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NASDAQ:WIX</w:t>
            </w:r>
          </w:p>
        </w:tc>
        <w:tc>
          <w:tcPr>
            <w:tcW w:w="3160" w:type="dxa"/>
            <w:vAlign w:val="bottom"/>
          </w:tcPr>
          <w:p>
            <w:pPr>
              <w:spacing w:after="0"/>
              <w:rPr>
                <w:sz w:val="20"/>
                <w:szCs w:val="20"/>
                <w:color w:val="auto"/>
              </w:rPr>
            </w:pPr>
          </w:p>
        </w:tc>
        <w:tc>
          <w:tcPr>
            <w:tcW w:w="3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Wix.com Ltd.</w:t>
            </w:r>
          </w:p>
        </w:tc>
      </w:tr>
    </w:tbl>
    <w:p>
      <w:pPr>
        <w:spacing w:after="0" w:line="21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*CyberArk Software Ltd. was acquired in February 2026 and market capitalization statistics in Proposal 3 use its July 29, 2025 market capitalization, which is the day prior to its announcement of its agreement to be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D</w:t>
            </w:r>
          </w:p>
        </w:tc>
        <w:tc>
          <w:tcPr>
            <w:tcW w:w="5140" w:type="dxa"/>
            <w:vAlign w:val="bottom"/>
          </w:tcPr>
          <w:p>
            <w:pPr>
              <w:spacing w:after="0"/>
              <w:rPr>
                <w:sz w:val="17"/>
                <w:szCs w:val="17"/>
                <w:color w:val="auto"/>
              </w:rPr>
            </w:pPr>
          </w:p>
        </w:tc>
      </w:tr>
      <w:tr>
        <w:trPr>
          <w:trHeight w:val="466"/>
        </w:trPr>
        <w:tc>
          <w:tcPr>
            <w:tcW w:w="2080" w:type="dxa"/>
            <w:vAlign w:val="bottom"/>
          </w:tcPr>
          <w:p>
            <w:pPr>
              <w:spacing w:after="0"/>
              <w:rPr>
                <w:sz w:val="24"/>
                <w:szCs w:val="24"/>
                <w:color w:val="auto"/>
              </w:rPr>
            </w:pPr>
          </w:p>
        </w:tc>
        <w:tc>
          <w:tcPr>
            <w:tcW w:w="91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Companies for Comparison in S&amp;P Semiconductors Select Industry Index</w:t>
            </w:r>
          </w:p>
        </w:tc>
      </w:tr>
      <w:tr>
        <w:trPr>
          <w:trHeight w:val="45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NasdaqGS:AMD</w:t>
            </w:r>
          </w:p>
        </w:tc>
        <w:tc>
          <w:tcPr>
            <w:tcW w:w="3080" w:type="dxa"/>
            <w:vAlign w:val="bottom"/>
          </w:tcPr>
          <w:p>
            <w:pPr>
              <w:spacing w:after="0"/>
              <w:rPr>
                <w:sz w:val="24"/>
                <w:szCs w:val="24"/>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Advanced Micro Devices,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NasdaqGS:ALGM</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Allegro MicroSystems,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NasdaqGS:AOSL</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Alpha and Omega Semiconductor Limited</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NasdaqGS:AMBA</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Ambarella,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NasdaqGS:ADI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NasdaqGS:ALAB</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Astera Labs,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NasdaqGS:AVGO</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Broadcom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NasdaqGS:CEVA</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CEVA,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NasdaqGS:CRUS</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Cirrus Logic,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NasdaqGS:CRDO</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Credo Technology Group Holding Ltd</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NasdaqGS:DIOD</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Diodes Incorporated</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NasdaqGS:FSLR</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First Solar,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NasdaqGS:PI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Impinj,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NasdaqCM:INDI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indie Semiconductor,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NasdaqGS:INTC</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Intel Corporation</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NasdaqCM:KOPN</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Kopin Corporation</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NasdaqGS:LSCC</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Lattice Semiconductor Corporation</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NasdaqGS:MTSI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MACOM Technology Solutions Holdings,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NasdaqGS:MRVL</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Marvell Technology,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NasdaqGS:MXL</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MaxLinear,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NasdaqGS:MCHP</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Microchip Technology Incorporated</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NasdaqGS:MU</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Micron Technology,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NasdaqGS:MPWR</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Monolithic Power Systems,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NasdaqGM:NVTS</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Navitas Semiconductor Corporation</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NasdaqCM:NVEC</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NVE Corporation</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NasdaqGS:NVDA</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NVIDIA Corporation</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NasdaqGS:NXPI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NXP Semiconductors N.V.</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NasdaqGS:ON</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ON Semiconductor Corporation</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NasdaqGS:POWI</w:t>
            </w:r>
          </w:p>
        </w:tc>
        <w:tc>
          <w:tcPr>
            <w:tcW w:w="308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Power Integrations,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NasdaqGS:PENG</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Penguin Solutions,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NasdaqGS:QRVO</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Qorvo,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NasdaqGS:QCOM</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QUALCOMM Incorporated</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NasdaqGS:RMBS</w:t>
            </w:r>
          </w:p>
        </w:tc>
        <w:tc>
          <w:tcPr>
            <w:tcW w:w="3080" w:type="dxa"/>
            <w:vAlign w:val="bottom"/>
          </w:tcPr>
          <w:p>
            <w:pPr>
              <w:spacing w:after="0"/>
              <w:rPr>
                <w:sz w:val="18"/>
                <w:szCs w:val="18"/>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Rambus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NasdaqCM:RGTI</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Rigetti Computing,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NasdaqGS:SMTC</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Semtech Corporation</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NasdaqGS:SLAB</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Silicon Laboratories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NasdaqGM:SITM</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SiTime Corporation</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NasdaqCM:SKYT</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SkyWater Technology, Inc.</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NasdaqGS:SWKS</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NasdaqGS:SYNA</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Synaptics Incorporated</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NasdaqGS:TXN</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NasdaqGS:OLED</w:t>
            </w:r>
          </w:p>
        </w:tc>
        <w:tc>
          <w:tcPr>
            <w:tcW w:w="308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Universal Display Corporation</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NYSE:WOLF</w:t>
            </w:r>
          </w:p>
        </w:tc>
        <w:tc>
          <w:tcPr>
            <w:tcW w:w="3080" w:type="dxa"/>
            <w:vAlign w:val="bottom"/>
          </w:tcPr>
          <w:p>
            <w:pPr>
              <w:spacing w:after="0"/>
              <w:rPr>
                <w:sz w:val="20"/>
                <w:szCs w:val="20"/>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Wolfspeed, Inc.</w:t>
            </w:r>
          </w:p>
        </w:tc>
      </w:tr>
      <w:tr>
        <w:trPr>
          <w:trHeight w:val="324"/>
        </w:trPr>
        <w:tc>
          <w:tcPr>
            <w:tcW w:w="20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163"/>
        </w:trPr>
        <w:tc>
          <w:tcPr>
            <w:tcW w:w="20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0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231F20"/>
        </w:rPr>
        <w:t>ANNUAL GENERAL MEETING OF SHAREHOLDERS OF</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231F20"/>
        </w:rPr>
        <w:t>TOWER SEMICONDUCTOR LTD.</w:t>
      </w: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231F20"/>
        </w:rPr>
        <w:t>July 2, 2026</w:t>
      </w: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GO GREEN</w:t>
      </w:r>
    </w:p>
    <w:p>
      <w:pPr>
        <w:spacing w:after="0" w:line="31" w:lineRule="exact"/>
        <w:rPr>
          <w:sz w:val="20"/>
          <w:szCs w:val="20"/>
          <w:color w:val="auto"/>
        </w:rPr>
      </w:pPr>
    </w:p>
    <w:p>
      <w:pPr>
        <w:jc w:val="both"/>
        <w:ind w:left="2200" w:right="2240"/>
        <w:spacing w:after="0" w:line="271" w:lineRule="auto"/>
        <w:rPr>
          <w:sz w:val="20"/>
          <w:szCs w:val="20"/>
          <w:color w:val="auto"/>
        </w:rPr>
      </w:pPr>
      <w:r>
        <w:rPr>
          <w:rFonts w:ascii="Times New Roman" w:cs="Times New Roman" w:eastAsia="Times New Roman" w:hAnsi="Times New Roman"/>
          <w:sz w:val="18"/>
          <w:szCs w:val="18"/>
          <w:color w:val="231F20"/>
        </w:rPr>
        <w:t xml:space="preserve">e-Consent makes it easy to go paperless. With e-Consent, you can quickly access your proxy material, statements and other eligible documents online, while reducing costs, clutter and paper waste. Enroll today via </w:t>
      </w:r>
      <w:r>
        <w:rPr>
          <w:rFonts w:ascii="Times New Roman" w:cs="Times New Roman" w:eastAsia="Times New Roman" w:hAnsi="Times New Roman"/>
          <w:sz w:val="18"/>
          <w:szCs w:val="18"/>
          <w:u w:val="single" w:color="auto"/>
          <w:color w:val="231F20"/>
        </w:rPr>
        <w:t>equiniti.com/us/ast-access</w:t>
      </w:r>
      <w:r>
        <w:rPr>
          <w:rFonts w:ascii="Times New Roman" w:cs="Times New Roman" w:eastAsia="Times New Roman" w:hAnsi="Times New Roman"/>
          <w:sz w:val="18"/>
          <w:szCs w:val="18"/>
          <w:color w:val="231F20"/>
        </w:rPr>
        <w:t xml:space="preserve"> to enjoy online access.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color w:val="231F20"/>
        </w:rPr>
        <w:t>Please sign, date and mail</w:t>
      </w:r>
    </w:p>
    <w:p>
      <w:pPr>
        <w:spacing w:after="0" w:line="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color w:val="231F20"/>
        </w:rPr>
        <w:t>your proxy card in the</w:t>
      </w:r>
    </w:p>
    <w:p>
      <w:pPr>
        <w:spacing w:after="0" w:line="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color w:val="231F20"/>
        </w:rPr>
        <w:t>envelope provided as soon</w:t>
      </w:r>
    </w:p>
    <w:p>
      <w:pPr>
        <w:spacing w:after="0" w:line="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2"/>
          <w:szCs w:val="32"/>
          <w:color w:val="231F20"/>
        </w:rPr>
        <w:t>as possible.</w:t>
      </w:r>
    </w:p>
    <w:p>
      <w:pPr>
        <w:spacing w:after="0" w:line="263" w:lineRule="exact"/>
        <w:rPr>
          <w:sz w:val="20"/>
          <w:szCs w:val="20"/>
          <w:color w:val="auto"/>
        </w:rPr>
      </w:pPr>
    </w:p>
    <w:p>
      <w:pPr>
        <w:jc w:val="center"/>
        <w:ind w:right="60"/>
        <w:spacing w:after="0"/>
        <w:rPr>
          <w:sz w:val="20"/>
          <w:szCs w:val="20"/>
          <w:color w:val="auto"/>
        </w:rPr>
      </w:pPr>
      <w:r>
        <w:rPr>
          <w:sz w:val="1"/>
          <w:szCs w:val="1"/>
          <w:color w:val="auto"/>
        </w:rPr>
        <w:drawing>
          <wp:inline distT="0" distB="0" distL="0" distR="0">
            <wp:extent cx="102870" cy="2571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r>
        <w:rPr>
          <w:rFonts w:ascii="Times New Roman" w:cs="Times New Roman" w:eastAsia="Times New Roman" w:hAnsi="Times New Roman"/>
          <w:sz w:val="18"/>
          <w:szCs w:val="18"/>
          <w:color w:val="231F20"/>
        </w:rPr>
        <w:t>Please detach along perforated line and mail in the envelope provided.</w:t>
      </w:r>
      <w:r>
        <w:rPr>
          <w:sz w:val="1"/>
          <w:szCs w:val="1"/>
          <w:color w:val="auto"/>
        </w:rPr>
        <w:drawing>
          <wp:inline distT="0" distB="0" distL="0" distR="0">
            <wp:extent cx="102870" cy="2571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2571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155575</wp:posOffset>
            </wp:positionV>
            <wp:extent cx="7132320" cy="6606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6065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60"/>
        <w:spacing w:after="0" w:line="248" w:lineRule="exact"/>
        <w:rPr>
          <w:sz w:val="20"/>
          <w:szCs w:val="20"/>
          <w:color w:val="auto"/>
        </w:rPr>
      </w:pPr>
      <w:r>
        <w:rPr>
          <w:rFonts w:ascii="Times New Roman" w:cs="Times New Roman" w:eastAsia="Times New Roman" w:hAnsi="Times New Roman"/>
          <w:sz w:val="18"/>
          <w:szCs w:val="18"/>
          <w:b w:val="1"/>
          <w:bCs w:val="1"/>
          <w:color w:val="231F20"/>
        </w:rPr>
        <w:t xml:space="preserve">PLEASE SIGN, DATE AND RETURN PROMPTLY IN THE ENCLOSED ENVELOPE. PLEASE MARK YOUR VOTE IN BLUE OR BLACK INK AS SHOWN HERE </w:t>
      </w:r>
      <w:r>
        <w:rPr>
          <w:rFonts w:ascii="MS PGothic" w:cs="MS PGothic" w:eastAsia="MS PGothic" w:hAnsi="MS PGothic"/>
          <w:sz w:val="18"/>
          <w:szCs w:val="18"/>
          <w:color w:val="000000"/>
          <w:shd w:val="clear" w:color="auto" w:fill="231F20"/>
        </w:rPr>
        <w:t>☒</w:t>
      </w:r>
    </w:p>
    <w:p>
      <w:pPr>
        <w:sectPr>
          <w:pgSz w:w="11900" w:h="16838" w:orient="portrait"/>
          <w:cols w:equalWidth="0" w:num="1">
            <w:col w:w="11180"/>
          </w:cols>
          <w:pgMar w:left="380" w:top="414" w:right="339" w:bottom="0" w:gutter="0" w:footer="0" w:header="0"/>
        </w:sectPr>
      </w:pPr>
    </w:p>
    <w:p>
      <w:pPr>
        <w:spacing w:after="0" w:line="193" w:lineRule="exact"/>
        <w:rPr>
          <w:sz w:val="20"/>
          <w:szCs w:val="20"/>
          <w:color w:val="auto"/>
        </w:rPr>
      </w:pPr>
    </w:p>
    <w:p>
      <w:pPr>
        <w:jc w:val="both"/>
        <w:ind w:left="380" w:hanging="216"/>
        <w:spacing w:after="0" w:line="27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TO ELECT </w:t>
      </w:r>
      <w:r>
        <w:rPr>
          <w:rFonts w:ascii="Times New Roman" w:cs="Times New Roman" w:eastAsia="Times New Roman" w:hAnsi="Times New Roman"/>
          <w:sz w:val="18"/>
          <w:szCs w:val="18"/>
          <w:color w:val="231F20"/>
        </w:rPr>
        <w:t>each of the ten director nominees named below to serve 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members of the Board of Directors of the Company until the next annual meeting of shareholders and until their respective successors are duly elected and approve the terms of their cash compensation in such capacity (other than with respect to Mr. Amir Elstein and Mr. Russell Ellwanger), as described in Proposal 1 of the Proxy 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0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FOR</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AGAINST ABSTAIN</w:t>
            </w:r>
          </w:p>
        </w:tc>
      </w:tr>
      <w:tr>
        <w:trPr>
          <w:trHeight w:val="33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Amir Elstein</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55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56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4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231F20"/>
              </w:rPr>
              <w:t>Dana Gross</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8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Yoav Z. Chelouche</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6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Iris Avner</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7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Dr. Michal Vakrat Wolkin</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Avi Hasson</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71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Sagi Ben Moshe</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66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Carolin Seward</w:t>
            </w:r>
          </w:p>
        </w:tc>
        <w:tc>
          <w:tcPr>
            <w:tcW w:w="106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FOR</w:t>
            </w:r>
          </w:p>
        </w:tc>
        <w:tc>
          <w:tcPr>
            <w:tcW w:w="17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8"/>
                <w:szCs w:val="18"/>
                <w:color w:val="auto"/>
              </w:rPr>
              <w:t>AGAINST ABSTAIN</w:t>
            </w:r>
          </w:p>
        </w:tc>
      </w:tr>
      <w:tr>
        <w:trPr>
          <w:trHeight w:val="265"/>
        </w:trPr>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231F20"/>
              </w:rPr>
              <w:t>TO APPOINT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Mr. Amir Elstein as</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the  Chairman  of  the  Company’s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Board of Directors to serve until the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next annual meeting of shareholders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and  until  his  successor  is  duly</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appointed and approve the terms of</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his compensation in such capacity, as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described in Proposal 2 of the Proxy</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Statement, subject to approval of his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election as a director under Proposal</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1.</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231F20"/>
              </w:rPr>
              <w:t>TO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231F20"/>
              </w:rPr>
              <w:t>Amended and</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Restated Compensation Policy, in the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form attached as Exhibit A to the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31F20"/>
              </w:rPr>
              <w:t>Proxy Statement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41"/>
        </w:trPr>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231F20"/>
              </w:rPr>
              <w:t>TO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increase</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in the</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annual  base  salary  of  Mr.  Russell</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Ellwanger,</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the</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231F20"/>
              </w:rPr>
              <w:t>Company’s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rPr>
              <w:t>Chief</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Executive Officer,  as  described  in</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231F20"/>
              </w:rPr>
              <w:t>Proposal 4 of the Proxy Statement</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TO  APPROVE</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  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annual  equity-based  award  to  Mr.</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Russell  Ellwanger,  the</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Company’s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Chief Executive Officer, as described</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in Proposal 5 of the Proxy Statement</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TO  APPROVE</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  an</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equity award to each member of the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Board</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Directors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serving in such capacity immediately</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following  the  Meeting  (other  than</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Amir Elstein and Russell Ellwanger),</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0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as described in Proposal 6 of the</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Proxy Statement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47"/>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231F20"/>
              </w:rPr>
              <w:t>TO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231F20"/>
                <w:w w:val="98"/>
              </w:rPr>
              <w:t>re-appointment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bl>
    <w:p>
      <w:pPr>
        <w:ind w:left="160"/>
        <w:spacing w:after="0"/>
        <w:rPr>
          <w:sz w:val="20"/>
          <w:szCs w:val="20"/>
          <w:color w:val="auto"/>
        </w:rPr>
      </w:pPr>
      <w:r>
        <w:rPr>
          <w:rFonts w:ascii="Times New Roman" w:cs="Times New Roman" w:eastAsia="Times New Roman" w:hAnsi="Times New Roman"/>
          <w:sz w:val="18"/>
          <w:szCs w:val="18"/>
          <w:color w:val="231F20"/>
        </w:rPr>
        <w:t>of Brightman Almagor Zohar &amp; Co.,</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231F20"/>
        </w:rPr>
        <w:t>Certified Public Accountants, a firm</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231F20"/>
        </w:rPr>
        <w:t>in the Deloitte Global Network, as the</w:t>
      </w:r>
    </w:p>
    <w:p>
      <w:pPr>
        <w:sectPr>
          <w:pgSz w:w="11900" w:h="16838" w:orient="portrait"/>
          <w:cols w:equalWidth="0" w:num="2">
            <w:col w:w="5620" w:space="160"/>
            <w:col w:w="5400"/>
          </w:cols>
          <w:pgMar w:left="380" w:top="414" w:right="339" w:bottom="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669030" cy="2451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6903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231F20"/>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ind w:left="800"/>
        <w:spacing w:after="0"/>
        <w:tabs>
          <w:tab w:leader="none" w:pos="2020" w:val="left"/>
          <w:tab w:leader="none" w:pos="3080" w:val="left"/>
        </w:tabs>
        <w:rPr>
          <w:sz w:val="20"/>
          <w:szCs w:val="20"/>
          <w:color w:val="auto"/>
        </w:rPr>
      </w:pPr>
      <w:r>
        <w:rPr>
          <w:rFonts w:ascii="Times New Roman" w:cs="Times New Roman" w:eastAsia="Times New Roman" w:hAnsi="Times New Roman"/>
          <w:sz w:val="18"/>
          <w:szCs w:val="18"/>
          <w:color w:val="231F20"/>
        </w:rPr>
        <w:t>independent</w:t>
      </w:r>
      <w:r>
        <w:rPr>
          <w:sz w:val="20"/>
          <w:szCs w:val="20"/>
          <w:color w:val="auto"/>
        </w:rPr>
        <w:tab/>
      </w:r>
      <w:r>
        <w:rPr>
          <w:rFonts w:ascii="Times New Roman" w:cs="Times New Roman" w:eastAsia="Times New Roman" w:hAnsi="Times New Roman"/>
          <w:sz w:val="18"/>
          <w:szCs w:val="18"/>
          <w:color w:val="231F20"/>
        </w:rPr>
        <w:t>registered</w:t>
      </w:r>
      <w:r>
        <w:rPr>
          <w:sz w:val="20"/>
          <w:szCs w:val="20"/>
          <w:color w:val="auto"/>
        </w:rPr>
        <w:tab/>
      </w:r>
      <w:r>
        <w:rPr>
          <w:rFonts w:ascii="Times New Roman" w:cs="Times New Roman" w:eastAsia="Times New Roman" w:hAnsi="Times New Roman"/>
          <w:sz w:val="18"/>
          <w:szCs w:val="18"/>
          <w:color w:val="231F20"/>
        </w:rPr>
        <w:t>public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accountants of the Company for the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year ending December 31, 2026, and</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for the period commencing January 1,</w:t>
      </w:r>
    </w:p>
    <w:p>
      <w:pPr>
        <w:spacing w:after="0" w:line="23" w:lineRule="exact"/>
        <w:rPr>
          <w:sz w:val="20"/>
          <w:szCs w:val="20"/>
          <w:color w:val="auto"/>
        </w:rPr>
      </w:pPr>
    </w:p>
    <w:p>
      <w:pPr>
        <w:ind w:left="800"/>
        <w:spacing w:after="0"/>
        <w:tabs>
          <w:tab w:leader="none" w:pos="1300" w:val="left"/>
          <w:tab w:leader="none" w:pos="1720" w:val="left"/>
          <w:tab w:leader="none" w:pos="2200" w:val="left"/>
          <w:tab w:leader="none" w:pos="2580" w:val="left"/>
          <w:tab w:leader="none" w:pos="3060" w:val="left"/>
        </w:tabs>
        <w:rPr>
          <w:sz w:val="20"/>
          <w:szCs w:val="20"/>
          <w:color w:val="auto"/>
        </w:rPr>
      </w:pPr>
      <w:r>
        <w:rPr>
          <w:rFonts w:ascii="Times New Roman" w:cs="Times New Roman" w:eastAsia="Times New Roman" w:hAnsi="Times New Roman"/>
          <w:sz w:val="18"/>
          <w:szCs w:val="18"/>
          <w:color w:val="231F20"/>
        </w:rPr>
        <w:t>2027</w:t>
        <w:tab/>
        <w:t>and</w:t>
        <w:tab/>
        <w:t>until</w:t>
        <w:tab/>
        <w:t>the</w:t>
        <w:tab/>
        <w:t>next</w:t>
        <w:tab/>
        <w:t>annual</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shareholders’ meeting, and to further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authorize the Audit Committee of the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Board of Directors to determine the</w:t>
      </w:r>
    </w:p>
    <w:p>
      <w:pPr>
        <w:spacing w:after="0" w:line="23" w:lineRule="exact"/>
        <w:rPr>
          <w:sz w:val="20"/>
          <w:szCs w:val="20"/>
          <w:color w:val="auto"/>
        </w:rPr>
      </w:pPr>
    </w:p>
    <w:p>
      <w:pPr>
        <w:ind w:left="800"/>
        <w:spacing w:after="0"/>
        <w:tabs>
          <w:tab w:leader="none" w:pos="2000" w:val="left"/>
          <w:tab w:leader="none" w:pos="2360" w:val="left"/>
          <w:tab w:leader="none" w:pos="2880" w:val="left"/>
          <w:tab w:leader="none" w:pos="3400" w:val="left"/>
        </w:tabs>
        <w:rPr>
          <w:sz w:val="20"/>
          <w:szCs w:val="20"/>
          <w:color w:val="auto"/>
        </w:rPr>
      </w:pPr>
      <w:r>
        <w:rPr>
          <w:rFonts w:ascii="Times New Roman" w:cs="Times New Roman" w:eastAsia="Times New Roman" w:hAnsi="Times New Roman"/>
          <w:sz w:val="18"/>
          <w:szCs w:val="18"/>
          <w:color w:val="231F20"/>
        </w:rPr>
        <w:t>remu-neration</w:t>
        <w:tab/>
        <w:t>of</w:t>
        <w:tab/>
        <w:t>such</w:t>
        <w:tab/>
        <w:t>firm</w:t>
      </w:r>
      <w:r>
        <w:rPr>
          <w:sz w:val="20"/>
          <w:szCs w:val="20"/>
          <w:color w:val="auto"/>
        </w:rPr>
        <w:tab/>
      </w:r>
      <w:r>
        <w:rPr>
          <w:rFonts w:ascii="Times New Roman" w:cs="Times New Roman" w:eastAsia="Times New Roman" w:hAnsi="Times New Roman"/>
          <w:sz w:val="17"/>
          <w:szCs w:val="17"/>
          <w:color w:val="231F20"/>
        </w:rPr>
        <w:t>in</w:t>
      </w:r>
    </w:p>
    <w:p>
      <w:pPr>
        <w:spacing w:after="0" w:line="9" w:lineRule="exact"/>
        <w:rPr>
          <w:sz w:val="20"/>
          <w:szCs w:val="20"/>
          <w:color w:val="auto"/>
        </w:rPr>
      </w:pPr>
    </w:p>
    <w:p>
      <w:pPr>
        <w:ind w:left="800"/>
        <w:spacing w:after="0"/>
        <w:tabs>
          <w:tab w:leader="none" w:pos="1740" w:val="left"/>
          <w:tab w:leader="none" w:pos="2220" w:val="left"/>
          <w:tab w:leader="none" w:pos="2580" w:val="left"/>
          <w:tab w:leader="none" w:pos="3260" w:val="left"/>
        </w:tabs>
        <w:rPr>
          <w:sz w:val="20"/>
          <w:szCs w:val="20"/>
          <w:color w:val="auto"/>
        </w:rPr>
      </w:pPr>
      <w:r>
        <w:rPr>
          <w:rFonts w:ascii="Times New Roman" w:cs="Times New Roman" w:eastAsia="Times New Roman" w:hAnsi="Times New Roman"/>
          <w:sz w:val="18"/>
          <w:szCs w:val="18"/>
          <w:color w:val="231F20"/>
        </w:rPr>
        <w:t>accordance</w:t>
        <w:tab/>
        <w:t>with</w:t>
        <w:tab/>
        <w:t>the</w:t>
        <w:tab/>
        <w:t>volume</w:t>
        <w:tab/>
        <w:t>and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231F20"/>
        </w:rPr>
        <w:t>nature of its services.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437515</wp:posOffset>
            </wp:positionV>
            <wp:extent cx="600075" cy="316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075" cy="31686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4880" w:space="320"/>
            <w:col w:w="5480"/>
          </w:cols>
          <w:pgMar w:left="320" w:top="121" w:right="89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479"/>
        </w:trPr>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Shareholder</w:t>
            </w:r>
          </w:p>
        </w:tc>
        <w:tc>
          <w:tcPr>
            <w:tcW w:w="1840" w:type="dxa"/>
            <w:vAlign w:val="bottom"/>
            <w:tcBorders>
              <w:top w:val="single" w:sz="8" w:color="auto"/>
              <w:bottom w:val="single" w:sz="8" w:color="auto"/>
              <w:right w:val="single" w:sz="8" w:color="auto"/>
            </w:tcBorders>
          </w:tcPr>
          <w:p>
            <w:pPr>
              <w:spacing w:after="0"/>
              <w:rPr>
                <w:sz w:val="24"/>
                <w:szCs w:val="24"/>
                <w:color w:val="auto"/>
              </w:rPr>
            </w:pPr>
          </w:p>
        </w:tc>
        <w:tc>
          <w:tcPr>
            <w:tcW w:w="9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231F20"/>
              </w:rPr>
              <w:t>Date:</w:t>
            </w:r>
          </w:p>
        </w:tc>
        <w:tc>
          <w:tcPr>
            <w:tcW w:w="900" w:type="dxa"/>
            <w:vAlign w:val="bottom"/>
            <w:tcBorders>
              <w:top w:val="single" w:sz="8" w:color="auto"/>
              <w:bottom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Signature of Shareholder</w:t>
            </w:r>
          </w:p>
        </w:tc>
        <w:tc>
          <w:tcPr>
            <w:tcW w:w="1860" w:type="dxa"/>
            <w:vAlign w:val="bottom"/>
            <w:tcBorders>
              <w:top w:val="single" w:sz="8" w:color="auto"/>
              <w:bottom w:val="single" w:sz="8" w:color="auto"/>
              <w:right w:val="single" w:sz="8" w:color="auto"/>
            </w:tcBorders>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Date:</w:t>
            </w:r>
          </w:p>
        </w:tc>
      </w:tr>
    </w:tbl>
    <w:p>
      <w:pPr>
        <w:spacing w:after="0" w:line="207" w:lineRule="exact"/>
        <w:rPr>
          <w:sz w:val="20"/>
          <w:szCs w:val="20"/>
          <w:color w:val="auto"/>
        </w:rPr>
      </w:pPr>
    </w:p>
    <w:p>
      <w:pPr>
        <w:jc w:val="both"/>
        <w:ind w:left="1040" w:hanging="458"/>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31F20"/>
        </w:rPr>
        <w:t>Please sign exactly as your name or names appear on this Proxy. When shares are held jointly, each holder should sign. When signing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5"/>
          <w:szCs w:val="25"/>
          <w:b w:val="1"/>
          <w:bCs w:val="1"/>
          <w:color w:val="231F20"/>
        </w:rPr>
        <w:t>TOWER SEMICONDUCTOR LTD.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Annual General Meeting of Shareholders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To be Held on Thursday,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July 2, 2026</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THIS PROXY IS SOLICITED ON BEHALF OF THE BOARD OF DIRECTORS</w:t>
      </w:r>
    </w:p>
    <w:p>
      <w:pPr>
        <w:spacing w:after="0" w:line="2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undersigned shareholder of Tower Semiconductor Ltd. (the "Company") hereby appoints each of Dina Back Frimer and Nati Somekh, each with full power of substitution, as the true and lawful attorney, agent and proxy of the undersigned, to vote, as designated on the reverse side, all of the ordinary shares, par value NIS 15.00 per share, of the Company which the undersigned is entitled to vote at the Annual General Meeting of Shareholders of the Company to be held at the offices of the Company located at 20 Shaul Amor Street, Ramat Gavriel Industrial Park, Migdal Haemek, Israel, on Thursday, July 2, 2026, at 3:00 p.m. (Israel time) and all adjournments and postponements thereof (the "Meeting").</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accordance with the manner directed herein by the undersigned shareholder. If no direction is made, the shares represented by this proxy will be voted FOR the election of each of the director nominees and their cash compensation under Proposal 1 and FOR each of the other proposals.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EACH SHAREHOLDER VOTING ON PROPOSALS 3, 4 AND 5 WILL BE DEEMED TO HAVE CONFIRMED THAT HE/SHE/IT DOES NOT HAVE A “PERSONAL INTEREST” (AS DEFINED IN THE PROXY STATEMENT) IN SUCH PROPOSALS, UNLESS THE SHAREHOLDER HAS DELIVERED A WRITTEN NOTICE TO THE COMPANY NOTIFYING OF THE EXISTENCE OF A PERSONAL INTEREST NO LATER THAN 10:00 A.M. (ISRAEL TIME) ON JULY 2, 2026. ANY SUCH WRITTEN NOTICE MUST BE SENT TO THE COMPANY, VIA REGISTERED MAIL, AT THE COMPANY’S OFFICES AT 20 SHAUL AMOR STREET, RAMAT GAVRIEL INDUSTRIAL PARK, POST OFFICE BOX 619, MIGDAL HAEMEK 2310502, ISRAEL; ATTENTION: CORPORATE COUNSEL.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320040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00"/>
      </w:cols>
      <w:pgMar w:left="340" w:top="3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
    <w:nsid w:val="7C83E458"/>
    <w:multiLevelType w:val="hybridMultilevel"/>
    <w:lvl w:ilvl="0">
      <w:lvlJc w:val="left"/>
      <w:lvlText w:val="(%1)"/>
      <w:numFmt w:val="lowerLetter"/>
      <w:start w:val="2"/>
    </w:lvl>
    <w:lvl w:ilvl="1">
      <w:lvlJc w:val="left"/>
      <w:lvlText w:val="(%2)"/>
      <w:numFmt w:val="lowerRoman"/>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lvl w:ilvl="1">
      <w:lvlJc w:val="left"/>
      <w:lvlText w:val="o"/>
      <w:numFmt w:val="bullet"/>
      <w:start w:val="1"/>
    </w:lvl>
  </w:abstractNum>
  <w:abstractNum w:abstractNumId="10">
    <w:nsid w:val="628C895D"/>
    <w:multiLevelType w:val="hybridMultilevel"/>
    <w:lvl w:ilvl="0">
      <w:lvlJc w:val="left"/>
      <w:lvlText w:val="o"/>
      <w:numFmt w:val="bullet"/>
      <w:start w:val="1"/>
    </w:lvl>
  </w:abstractNum>
  <w:abstractNum w:abstractNumId="11">
    <w:nsid w:val="333AB105"/>
    <w:multiLevelType w:val="hybridMultilevel"/>
    <w:lvl w:ilvl="0">
      <w:lvlJc w:val="left"/>
      <w:lvlText w:val="o"/>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decimal"/>
      <w:start w:val="5"/>
    </w:lvl>
  </w:abstractNum>
  <w:abstractNum w:abstractNumId="18">
    <w:nsid w:val="79838CB2"/>
    <w:multiLevelType w:val="hybridMultilevel"/>
    <w:lvl w:ilvl="0">
      <w:lvlJc w:val="left"/>
      <w:lvlText w:val="%1."/>
      <w:numFmt w:val="decimal"/>
      <w:start w:val="6"/>
    </w:lvl>
  </w:abstractNum>
  <w:abstractNum w:abstractNumId="19">
    <w:nsid w:val="4353D0CD"/>
    <w:multiLevelType w:val="hybridMultilevel"/>
    <w:lvl w:ilvl="0">
      <w:lvlJc w:val="left"/>
      <w:lvlText w:val="%1."/>
      <w:numFmt w:val="decimal"/>
      <w:start w:val="8"/>
    </w:lvl>
  </w:abstractNum>
  <w:abstractNum w:abstractNumId="20">
    <w:nsid w:val="B03E0C6"/>
    <w:multiLevelType w:val="hybridMultilevel"/>
    <w:lvl w:ilvl="0">
      <w:lvlJc w:val="left"/>
      <w:lvlText w:val="%1."/>
      <w:numFmt w:val="decimal"/>
      <w:start w:val="9"/>
    </w:lvl>
  </w:abstractNum>
  <w:abstractNum w:abstractNumId="21">
    <w:nsid w:val="189A769B"/>
    <w:multiLevelType w:val="hybridMultilevel"/>
    <w:lvl w:ilvl="0">
      <w:lvlJc w:val="left"/>
      <w:lvlText w:val=" "/>
      <w:numFmt w:val="bullet"/>
      <w:start w:val="1"/>
    </w:lvl>
    <w:lvl w:ilvl="1">
      <w:lvlJc w:val="left"/>
      <w:lvlText w:val="\endash "/>
      <w:numFmt w:val="bullet"/>
      <w:start w:val="1"/>
    </w:lvl>
  </w:abstractNum>
  <w:abstractNum w:abstractNumId="22">
    <w:nsid w:val="54E49EB4"/>
    <w:multiLevelType w:val="hybridMultilevel"/>
    <w:lvl w:ilvl="0">
      <w:lvlJc w:val="left"/>
      <w:lvlText w:val="%1."/>
      <w:numFmt w:val="decimal"/>
      <w:start w:val="10"/>
    </w:lvl>
  </w:abstractNum>
  <w:abstractNum w:abstractNumId="23">
    <w:nsid w:val="71F32454"/>
    <w:multiLevelType w:val="hybridMultilevel"/>
    <w:lvl w:ilvl="0">
      <w:lvlJc w:val="left"/>
      <w:lvlText w:val="%1."/>
      <w:numFmt w:val="decimal"/>
      <w:start w:val="11"/>
    </w:lvl>
  </w:abstractNum>
  <w:abstractNum w:abstractNumId="24">
    <w:nsid w:val="2CA88611"/>
    <w:multiLevelType w:val="hybridMultilevel"/>
    <w:lvl w:ilvl="0">
      <w:lvlJc w:val="left"/>
      <w:lvlText w:val="%1."/>
      <w:numFmt w:val="decimal"/>
      <w:start w:val="12"/>
    </w:lvl>
  </w:abstractNum>
  <w:abstractNum w:abstractNumId="25">
    <w:nsid w:val="836C40E"/>
    <w:multiLevelType w:val="hybridMultilevel"/>
    <w:lvl w:ilvl="0">
      <w:lvlJc w:val="left"/>
      <w:lvlText w:val="%1."/>
      <w:numFmt w:val="decimal"/>
      <w:start w:val="13"/>
    </w:lvl>
  </w:abstractNum>
  <w:abstractNum w:abstractNumId="26">
    <w:nsid w:val="2901D82"/>
    <w:multiLevelType w:val="hybridMultilevel"/>
    <w:lvl w:ilvl="0">
      <w:lvlJc w:val="left"/>
      <w:lvlText w:val="%1."/>
      <w:numFmt w:val="decimal"/>
      <w:start w:val="14"/>
    </w:lvl>
  </w:abstractNum>
  <w:abstractNum w:abstractNumId="27">
    <w:nsid w:val="3A95F874"/>
    <w:multiLevelType w:val="hybridMultilevel"/>
    <w:lvl w:ilvl="0">
      <w:lvlJc w:val="left"/>
      <w:lvlText w:val="%1."/>
      <w:numFmt w:val="decimal"/>
      <w:start w:val="15"/>
    </w:lvl>
  </w:abstractNum>
  <w:abstractNum w:abstractNumId="28">
    <w:nsid w:val="8138641"/>
    <w:multiLevelType w:val="hybridMultilevel"/>
    <w:lvl w:ilvl="0">
      <w:lvlJc w:val="left"/>
      <w:lvlText w:val="%1."/>
      <w:numFmt w:val="decimal"/>
      <w:start w:val="16"/>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2026-05-21T05:23:50Z</dcterms:created>
  <dcterms:modified xsi:type="dcterms:W3CDTF">2026-05-21T05:23:50Z</dcterms:modified>
</cp:coreProperties>
</file>