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u w:val="single" w:color="auto"/>
          <w:color w:val="auto"/>
        </w:rPr>
        <w:t>Tower Semiconductor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Ordinary Shares, par value New Israeli Shekels 15.00 per share</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M87915274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March 27, 2018</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79"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79" w:lineRule="exact"/>
        <w:rPr>
          <w:sz w:val="24"/>
          <w:szCs w:val="24"/>
          <w:color w:val="auto"/>
        </w:rPr>
      </w:pPr>
    </w:p>
    <w:p>
      <w:pPr>
        <w:ind w:left="860" w:hanging="204"/>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7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4"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w:t>
      </w:r>
      <w:r>
        <w:rPr>
          <w:rFonts w:ascii="Times New Roman" w:cs="Times New Roman" w:eastAsia="Times New Roman" w:hAnsi="Times New Roman"/>
          <w:sz w:val="18"/>
          <w:szCs w:val="18"/>
          <w:i w:val="1"/>
          <w:iCs w:val="1"/>
          <w:color w:val="auto"/>
        </w:rPr>
        <w:t>Securities Exchange Act</w:t>
      </w:r>
      <w:r>
        <w:rPr>
          <w:rFonts w:ascii="Times New Roman" w:cs="Times New Roman" w:eastAsia="Times New Roman" w:hAnsi="Times New Roman"/>
          <w:sz w:val="18"/>
          <w:szCs w:val="18"/>
          <w:color w:val="auto"/>
        </w:rPr>
        <w:t xml:space="preserve">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6"/>
        </w:trPr>
        <w:tc>
          <w:tcPr>
            <w:tcW w:w="4180" w:type="dxa"/>
            <w:vAlign w:val="bottom"/>
            <w:tcBorders>
              <w:bottom w:val="single" w:sz="8" w:color="auto"/>
            </w:tcBorders>
          </w:tcPr>
          <w:p>
            <w:pPr>
              <w:spacing w:after="0"/>
              <w:rPr>
                <w:sz w:val="2"/>
                <w:szCs w:val="2"/>
                <w:color w:val="auto"/>
              </w:rPr>
            </w:pPr>
          </w:p>
        </w:tc>
        <w:tc>
          <w:tcPr>
            <w:tcW w:w="404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M87915274</w:t>
            </w:r>
          </w:p>
        </w:tc>
        <w:tc>
          <w:tcPr>
            <w:tcW w:w="4040" w:type="dxa"/>
            <w:vAlign w:val="bottom"/>
            <w:vMerge w:val="continue"/>
          </w:tcPr>
          <w:p>
            <w:pPr>
              <w:spacing w:after="0"/>
              <w:rPr>
                <w:sz w:val="19"/>
                <w:szCs w:val="19"/>
                <w:color w:val="auto"/>
              </w:rPr>
            </w:pPr>
          </w:p>
        </w:tc>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Page 2 of 10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6148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148705"/>
                    </a:xfrm>
                    <a:prstGeom prst="rect">
                      <a:avLst/>
                    </a:prstGeom>
                    <a:noFill/>
                  </pic:spPr>
                </pic:pic>
              </a:graphicData>
            </a:graphic>
          </wp:anchor>
        </w:drawing>
      </w:r>
    </w:p>
    <w:p>
      <w:pPr>
        <w:spacing w:after="0" w:line="204" w:lineRule="exact"/>
        <w:rPr>
          <w:sz w:val="20"/>
          <w:szCs w:val="20"/>
          <w:color w:val="auto"/>
        </w:rPr>
      </w:pPr>
    </w:p>
    <w:p>
      <w:pPr>
        <w:ind w:left="1980" w:hanging="1056"/>
        <w:spacing w:after="0"/>
        <w:tabs>
          <w:tab w:leader="none" w:pos="1980" w:val="left"/>
        </w:tabs>
        <w:numPr>
          <w:ilvl w:val="0"/>
          <w:numId w:val="4"/>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color w:val="auto"/>
        </w:rPr>
        <w:t>NAME OF REPORTING PERSONS</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Itshak Sharon (Tshuva)</w:t>
      </w:r>
    </w:p>
    <w:p>
      <w:pPr>
        <w:spacing w:after="0" w:line="72" w:lineRule="exact"/>
        <w:rPr>
          <w:sz w:val="20"/>
          <w:szCs w:val="20"/>
          <w:color w:val="auto"/>
        </w:rPr>
      </w:pPr>
    </w:p>
    <w:p>
      <w:pPr>
        <w:ind w:left="1980" w:hanging="1056"/>
        <w:spacing w:after="0"/>
        <w:tabs>
          <w:tab w:leader="none" w:pos="1980" w:val="left"/>
        </w:tabs>
        <w:numPr>
          <w:ilvl w:val="0"/>
          <w:numId w:val="5"/>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color w:val="auto"/>
        </w:rPr>
        <w:t>CHECK THE APPROPRIATE BOX IF A MEMBER OF A GROUP  (See instructions)</w:t>
      </w:r>
    </w:p>
    <w:p>
      <w:pPr>
        <w:spacing w:after="0" w:line="1" w:lineRule="exact"/>
        <w:rPr>
          <w:rFonts w:ascii="Times New Roman" w:cs="Times New Roman" w:eastAsia="Times New Roman" w:hAnsi="Times New Roman"/>
          <w:sz w:val="29"/>
          <w:szCs w:val="29"/>
          <w:b w:val="1"/>
          <w:bCs w:val="1"/>
          <w:color w:val="auto"/>
          <w:vertAlign w:val="superscript"/>
        </w:rPr>
      </w:pPr>
    </w:p>
    <w:p>
      <w:pPr>
        <w:ind w:left="2380" w:hanging="238"/>
        <w:spacing w:after="0"/>
        <w:tabs>
          <w:tab w:leader="none" w:pos="2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7" w:lineRule="exact"/>
        <w:rPr>
          <w:rFonts w:ascii="Times New Roman" w:cs="Times New Roman" w:eastAsia="Times New Roman" w:hAnsi="Times New Roman"/>
          <w:sz w:val="18"/>
          <w:szCs w:val="18"/>
          <w:color w:val="auto"/>
        </w:rPr>
      </w:pPr>
    </w:p>
    <w:p>
      <w:pPr>
        <w:ind w:left="2400" w:hanging="258"/>
        <w:spacing w:after="0"/>
        <w:tabs>
          <w:tab w:leader="none" w:pos="2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142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8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9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spacing w:after="0"/>
              <w:rPr>
                <w:sz w:val="24"/>
                <w:szCs w:val="24"/>
                <w:color w:val="auto"/>
              </w:rPr>
            </w:pPr>
          </w:p>
        </w:tc>
        <w:tc>
          <w:tcPr>
            <w:tcW w:w="700" w:type="dxa"/>
            <w:vAlign w:val="bottom"/>
            <w:tcBorders>
              <w:bottom w:val="single" w:sz="8" w:color="auto"/>
              <w:right w:val="single" w:sz="8" w:color="CCEEFF"/>
            </w:tcBorders>
            <w:shd w:val="clear" w:color="auto" w:fill="CCEEFF"/>
          </w:tcPr>
          <w:p>
            <w:pPr>
              <w:spacing w:after="0"/>
              <w:rPr>
                <w:sz w:val="24"/>
                <w:szCs w:val="24"/>
                <w:color w:val="auto"/>
              </w:rPr>
            </w:pPr>
          </w:p>
        </w:tc>
        <w:tc>
          <w:tcPr>
            <w:tcW w:w="80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9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Israel</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5</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9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vMerge w:val="restart"/>
          </w:tcPr>
          <w:p>
            <w:pPr>
              <w:jc w:val="center"/>
              <w:ind w:left="118"/>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63"/>
        </w:trPr>
        <w:tc>
          <w:tcPr>
            <w:tcW w:w="1920" w:type="dxa"/>
            <w:vAlign w:val="bottom"/>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98"/>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4,959,523.23 (*)</w:t>
            </w:r>
          </w:p>
        </w:tc>
        <w:tc>
          <w:tcPr>
            <w:tcW w:w="0" w:type="dxa"/>
            <w:vAlign w:val="bottom"/>
          </w:tcPr>
          <w:p>
            <w:pPr>
              <w:spacing w:after="0"/>
              <w:rPr>
                <w:sz w:val="1"/>
                <w:szCs w:val="1"/>
                <w:color w:val="auto"/>
              </w:rPr>
            </w:pPr>
          </w:p>
        </w:tc>
      </w:tr>
      <w:tr>
        <w:trPr>
          <w:trHeight w:val="153"/>
        </w:trPr>
        <w:tc>
          <w:tcPr>
            <w:tcW w:w="1920" w:type="dxa"/>
            <w:vAlign w:val="bottom"/>
            <w:vMerge w:val="restart"/>
          </w:tcPr>
          <w:p>
            <w:pPr>
              <w:jc w:val="center"/>
              <w:ind w:left="118"/>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920" w:type="dxa"/>
            <w:vAlign w:val="bottom"/>
          </w:tcPr>
          <w:p>
            <w:pPr>
              <w:jc w:val="center"/>
              <w:ind w:left="118"/>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7</w:t>
            </w:r>
          </w:p>
        </w:tc>
        <w:tc>
          <w:tcPr>
            <w:tcW w:w="8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99"/>
        </w:trPr>
        <w:tc>
          <w:tcPr>
            <w:tcW w:w="1920" w:type="dxa"/>
            <w:vAlign w:val="bottom"/>
            <w:vMerge w:val="restart"/>
          </w:tcPr>
          <w:p>
            <w:pPr>
              <w:jc w:val="center"/>
              <w:ind w:left="98"/>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920" w:type="dxa"/>
            <w:vAlign w:val="bottom"/>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118"/>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9"/>
        </w:trPr>
        <w:tc>
          <w:tcPr>
            <w:tcW w:w="1920" w:type="dxa"/>
            <w:vAlign w:val="bottom"/>
            <w:vMerge w:val="restart"/>
          </w:tcPr>
          <w:p>
            <w:pPr>
              <w:jc w:val="center"/>
              <w:ind w:left="118"/>
              <w:spacing w:after="0" w:line="174" w:lineRule="exact"/>
              <w:rPr>
                <w:sz w:val="20"/>
                <w:szCs w:val="20"/>
                <w:color w:val="auto"/>
              </w:rPr>
            </w:pPr>
            <w:r>
              <w:rPr>
                <w:rFonts w:ascii="Times New Roman" w:cs="Times New Roman" w:eastAsia="Times New Roman" w:hAnsi="Times New Roman"/>
                <w:sz w:val="18"/>
                <w:szCs w:val="18"/>
                <w:color w:val="auto"/>
                <w:w w:val="99"/>
              </w:rPr>
              <w:t>PERSON WITH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8</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4,959,523.23 (*)</w:t>
            </w: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w:t>
            </w:r>
          </w:p>
        </w:tc>
        <w:tc>
          <w:tcPr>
            <w:tcW w:w="9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4,959,523.23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w:t>
            </w:r>
          </w:p>
        </w:tc>
        <w:tc>
          <w:tcPr>
            <w:tcW w:w="9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11</w:t>
            </w:r>
          </w:p>
        </w:tc>
        <w:tc>
          <w:tcPr>
            <w:tcW w:w="9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5.06% (*)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w:t>
            </w:r>
          </w:p>
        </w:tc>
        <w:tc>
          <w:tcPr>
            <w:tcW w:w="9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beneficial ownership of the securities reported herein is described in Item 4(a).</w:t>
      </w:r>
    </w:p>
    <w:p>
      <w:pPr>
        <w:spacing w:after="0" w:line="225" w:lineRule="exact"/>
        <w:rPr>
          <w:sz w:val="20"/>
          <w:szCs w:val="20"/>
          <w:color w:val="auto"/>
        </w:rPr>
      </w:pPr>
    </w:p>
    <w:p>
      <w:pPr>
        <w:ind w:left="5660" w:right="3520" w:hanging="5652"/>
        <w:spacing w:after="0" w:line="282" w:lineRule="auto"/>
        <w:tabs>
          <w:tab w:leader="none" w:pos="3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98,457,717 Ordinary Shares outstanding as of March 29, 2018 (as reported on Bloomberg LP).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26"/>
        </w:trPr>
        <w:tc>
          <w:tcPr>
            <w:tcW w:w="4180" w:type="dxa"/>
            <w:vAlign w:val="bottom"/>
            <w:tcBorders>
              <w:bottom w:val="single" w:sz="8" w:color="auto"/>
            </w:tcBorders>
          </w:tcPr>
          <w:p>
            <w:pPr>
              <w:spacing w:after="0"/>
              <w:rPr>
                <w:sz w:val="2"/>
                <w:szCs w:val="2"/>
                <w:color w:val="auto"/>
              </w:rPr>
            </w:pPr>
          </w:p>
        </w:tc>
        <w:tc>
          <w:tcPr>
            <w:tcW w:w="404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M87915274</w:t>
            </w:r>
          </w:p>
        </w:tc>
        <w:tc>
          <w:tcPr>
            <w:tcW w:w="4040" w:type="dxa"/>
            <w:vAlign w:val="bottom"/>
            <w:vMerge w:val="continue"/>
          </w:tcPr>
          <w:p>
            <w:pPr>
              <w:spacing w:after="0"/>
              <w:rPr>
                <w:sz w:val="19"/>
                <w:szCs w:val="19"/>
                <w:color w:val="auto"/>
              </w:rPr>
            </w:pPr>
          </w:p>
        </w:tc>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Page 3 of 10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6148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6148705"/>
                    </a:xfrm>
                    <a:prstGeom prst="rect">
                      <a:avLst/>
                    </a:prstGeom>
                    <a:noFill/>
                  </pic:spPr>
                </pic:pic>
              </a:graphicData>
            </a:graphic>
          </wp:anchor>
        </w:drawing>
      </w:r>
    </w:p>
    <w:p>
      <w:pPr>
        <w:spacing w:after="0" w:line="204" w:lineRule="exact"/>
        <w:rPr>
          <w:sz w:val="20"/>
          <w:szCs w:val="20"/>
          <w:color w:val="auto"/>
        </w:rPr>
      </w:pPr>
    </w:p>
    <w:p>
      <w:pPr>
        <w:ind w:left="1980" w:hanging="1056"/>
        <w:spacing w:after="0"/>
        <w:tabs>
          <w:tab w:leader="none" w:pos="1980" w:val="left"/>
        </w:tabs>
        <w:numPr>
          <w:ilvl w:val="0"/>
          <w:numId w:val="7"/>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color w:val="auto"/>
        </w:rPr>
        <w:t>NAME OF REPORTING PERSONS</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Delek Group Ltd.</w:t>
      </w:r>
    </w:p>
    <w:p>
      <w:pPr>
        <w:spacing w:after="0" w:line="72" w:lineRule="exact"/>
        <w:rPr>
          <w:sz w:val="20"/>
          <w:szCs w:val="20"/>
          <w:color w:val="auto"/>
        </w:rPr>
      </w:pPr>
    </w:p>
    <w:p>
      <w:pPr>
        <w:ind w:left="1980" w:hanging="1056"/>
        <w:spacing w:after="0"/>
        <w:tabs>
          <w:tab w:leader="none" w:pos="1980" w:val="left"/>
        </w:tabs>
        <w:numPr>
          <w:ilvl w:val="0"/>
          <w:numId w:val="8"/>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color w:val="auto"/>
        </w:rPr>
        <w:t>CHECK THE APPROPRIATE BOX IF A MEMBER OF A GROUP  (See instructions)</w:t>
      </w:r>
    </w:p>
    <w:p>
      <w:pPr>
        <w:spacing w:after="0" w:line="1" w:lineRule="exact"/>
        <w:rPr>
          <w:rFonts w:ascii="Times New Roman" w:cs="Times New Roman" w:eastAsia="Times New Roman" w:hAnsi="Times New Roman"/>
          <w:sz w:val="29"/>
          <w:szCs w:val="29"/>
          <w:b w:val="1"/>
          <w:bCs w:val="1"/>
          <w:color w:val="auto"/>
          <w:vertAlign w:val="superscript"/>
        </w:rPr>
      </w:pPr>
    </w:p>
    <w:p>
      <w:pPr>
        <w:ind w:left="2380" w:hanging="238"/>
        <w:spacing w:after="0"/>
        <w:tabs>
          <w:tab w:leader="none" w:pos="23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7" w:lineRule="exact"/>
        <w:rPr>
          <w:rFonts w:ascii="Times New Roman" w:cs="Times New Roman" w:eastAsia="Times New Roman" w:hAnsi="Times New Roman"/>
          <w:sz w:val="18"/>
          <w:szCs w:val="18"/>
          <w:color w:val="auto"/>
        </w:rPr>
      </w:pPr>
    </w:p>
    <w:p>
      <w:pPr>
        <w:ind w:left="2400" w:hanging="258"/>
        <w:spacing w:after="0"/>
        <w:tabs>
          <w:tab w:leader="none" w:pos="24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142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8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9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spacing w:after="0"/>
              <w:rPr>
                <w:sz w:val="24"/>
                <w:szCs w:val="24"/>
                <w:color w:val="auto"/>
              </w:rPr>
            </w:pPr>
          </w:p>
        </w:tc>
        <w:tc>
          <w:tcPr>
            <w:tcW w:w="700" w:type="dxa"/>
            <w:vAlign w:val="bottom"/>
            <w:tcBorders>
              <w:bottom w:val="single" w:sz="8" w:color="auto"/>
              <w:right w:val="single" w:sz="8" w:color="CCEEFF"/>
            </w:tcBorders>
            <w:shd w:val="clear" w:color="auto" w:fill="CCEEFF"/>
          </w:tcPr>
          <w:p>
            <w:pPr>
              <w:spacing w:after="0"/>
              <w:rPr>
                <w:sz w:val="24"/>
                <w:szCs w:val="24"/>
                <w:color w:val="auto"/>
              </w:rPr>
            </w:pPr>
          </w:p>
        </w:tc>
        <w:tc>
          <w:tcPr>
            <w:tcW w:w="80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9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Israel</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5</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9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vMerge w:val="restart"/>
          </w:tcPr>
          <w:p>
            <w:pPr>
              <w:jc w:val="center"/>
              <w:ind w:left="118"/>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63"/>
        </w:trPr>
        <w:tc>
          <w:tcPr>
            <w:tcW w:w="1920" w:type="dxa"/>
            <w:vAlign w:val="bottom"/>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98"/>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4,959,523.23 (*)</w:t>
            </w:r>
          </w:p>
        </w:tc>
        <w:tc>
          <w:tcPr>
            <w:tcW w:w="0" w:type="dxa"/>
            <w:vAlign w:val="bottom"/>
          </w:tcPr>
          <w:p>
            <w:pPr>
              <w:spacing w:after="0"/>
              <w:rPr>
                <w:sz w:val="1"/>
                <w:szCs w:val="1"/>
                <w:color w:val="auto"/>
              </w:rPr>
            </w:pPr>
          </w:p>
        </w:tc>
      </w:tr>
      <w:tr>
        <w:trPr>
          <w:trHeight w:val="153"/>
        </w:trPr>
        <w:tc>
          <w:tcPr>
            <w:tcW w:w="1920" w:type="dxa"/>
            <w:vAlign w:val="bottom"/>
            <w:vMerge w:val="restart"/>
          </w:tcPr>
          <w:p>
            <w:pPr>
              <w:jc w:val="center"/>
              <w:ind w:left="118"/>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920" w:type="dxa"/>
            <w:vAlign w:val="bottom"/>
          </w:tcPr>
          <w:p>
            <w:pPr>
              <w:jc w:val="center"/>
              <w:ind w:left="118"/>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7</w:t>
            </w:r>
          </w:p>
        </w:tc>
        <w:tc>
          <w:tcPr>
            <w:tcW w:w="8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99"/>
        </w:trPr>
        <w:tc>
          <w:tcPr>
            <w:tcW w:w="1920" w:type="dxa"/>
            <w:vAlign w:val="bottom"/>
            <w:vMerge w:val="restart"/>
          </w:tcPr>
          <w:p>
            <w:pPr>
              <w:jc w:val="center"/>
              <w:ind w:left="98"/>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920" w:type="dxa"/>
            <w:vAlign w:val="bottom"/>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118"/>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9"/>
        </w:trPr>
        <w:tc>
          <w:tcPr>
            <w:tcW w:w="1920" w:type="dxa"/>
            <w:vAlign w:val="bottom"/>
            <w:vMerge w:val="restart"/>
          </w:tcPr>
          <w:p>
            <w:pPr>
              <w:jc w:val="center"/>
              <w:ind w:left="118"/>
              <w:spacing w:after="0" w:line="174" w:lineRule="exact"/>
              <w:rPr>
                <w:sz w:val="20"/>
                <w:szCs w:val="20"/>
                <w:color w:val="auto"/>
              </w:rPr>
            </w:pPr>
            <w:r>
              <w:rPr>
                <w:rFonts w:ascii="Times New Roman" w:cs="Times New Roman" w:eastAsia="Times New Roman" w:hAnsi="Times New Roman"/>
                <w:sz w:val="18"/>
                <w:szCs w:val="18"/>
                <w:color w:val="auto"/>
                <w:w w:val="99"/>
              </w:rPr>
              <w:t>PERSON WITH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8</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4,959,523.23 (*)</w:t>
            </w: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w:t>
            </w:r>
          </w:p>
        </w:tc>
        <w:tc>
          <w:tcPr>
            <w:tcW w:w="9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4,959,523.23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w:t>
            </w:r>
          </w:p>
        </w:tc>
        <w:tc>
          <w:tcPr>
            <w:tcW w:w="9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11</w:t>
            </w:r>
          </w:p>
        </w:tc>
        <w:tc>
          <w:tcPr>
            <w:tcW w:w="9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5.06% (*)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w:t>
            </w:r>
          </w:p>
        </w:tc>
        <w:tc>
          <w:tcPr>
            <w:tcW w:w="9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beneficial ownership of the securities reported herein is described in Item 4(a).</w:t>
      </w:r>
    </w:p>
    <w:p>
      <w:pPr>
        <w:spacing w:after="0" w:line="225" w:lineRule="exact"/>
        <w:rPr>
          <w:sz w:val="20"/>
          <w:szCs w:val="20"/>
          <w:color w:val="auto"/>
        </w:rPr>
      </w:pPr>
    </w:p>
    <w:p>
      <w:pPr>
        <w:ind w:left="5660" w:right="3520" w:hanging="5652"/>
        <w:spacing w:after="0" w:line="282" w:lineRule="auto"/>
        <w:tabs>
          <w:tab w:leader="none" w:pos="3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98,457,717 Ordinary Shares outstanding as of March 29, 2018 (as reported on Bloomberg LP).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26"/>
        </w:trPr>
        <w:tc>
          <w:tcPr>
            <w:tcW w:w="4180" w:type="dxa"/>
            <w:vAlign w:val="bottom"/>
            <w:tcBorders>
              <w:bottom w:val="single" w:sz="8" w:color="auto"/>
            </w:tcBorders>
          </w:tcPr>
          <w:p>
            <w:pPr>
              <w:spacing w:after="0"/>
              <w:rPr>
                <w:sz w:val="2"/>
                <w:szCs w:val="2"/>
                <w:color w:val="auto"/>
              </w:rPr>
            </w:pPr>
          </w:p>
        </w:tc>
        <w:tc>
          <w:tcPr>
            <w:tcW w:w="404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M87915274</w:t>
            </w:r>
          </w:p>
        </w:tc>
        <w:tc>
          <w:tcPr>
            <w:tcW w:w="4040" w:type="dxa"/>
            <w:vAlign w:val="bottom"/>
            <w:vMerge w:val="continue"/>
          </w:tcPr>
          <w:p>
            <w:pPr>
              <w:spacing w:after="0"/>
              <w:rPr>
                <w:sz w:val="19"/>
                <w:szCs w:val="19"/>
                <w:color w:val="auto"/>
              </w:rPr>
            </w:pPr>
          </w:p>
        </w:tc>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Page 4 of 10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6106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6106160"/>
                    </a:xfrm>
                    <a:prstGeom prst="rect">
                      <a:avLst/>
                    </a:prstGeom>
                    <a:noFill/>
                  </pic:spPr>
                </pic:pic>
              </a:graphicData>
            </a:graphic>
          </wp:anchor>
        </w:drawing>
      </w:r>
    </w:p>
    <w:p>
      <w:pPr>
        <w:spacing w:after="0" w:line="204" w:lineRule="exact"/>
        <w:rPr>
          <w:sz w:val="20"/>
          <w:szCs w:val="20"/>
          <w:color w:val="auto"/>
        </w:rPr>
      </w:pPr>
    </w:p>
    <w:p>
      <w:pPr>
        <w:ind w:left="1980" w:hanging="1056"/>
        <w:spacing w:after="0"/>
        <w:tabs>
          <w:tab w:leader="none" w:pos="1980" w:val="left"/>
        </w:tabs>
        <w:numPr>
          <w:ilvl w:val="0"/>
          <w:numId w:val="10"/>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color w:val="auto"/>
        </w:rPr>
        <w:t>NAME OF REPORTING PERSONS</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Phoenix Holding Ltd.</w:t>
      </w:r>
    </w:p>
    <w:p>
      <w:pPr>
        <w:spacing w:after="0" w:line="72" w:lineRule="exact"/>
        <w:rPr>
          <w:sz w:val="20"/>
          <w:szCs w:val="20"/>
          <w:color w:val="auto"/>
        </w:rPr>
      </w:pPr>
    </w:p>
    <w:p>
      <w:pPr>
        <w:ind w:left="1980" w:hanging="1056"/>
        <w:spacing w:after="0"/>
        <w:tabs>
          <w:tab w:leader="none" w:pos="1980" w:val="left"/>
        </w:tabs>
        <w:numPr>
          <w:ilvl w:val="0"/>
          <w:numId w:val="11"/>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color w:val="auto"/>
        </w:rPr>
        <w:t>CHECK THE APPROPRIATE BOX IF A MEMBER OF A GROUP  (See instructions)</w:t>
      </w:r>
    </w:p>
    <w:p>
      <w:pPr>
        <w:spacing w:after="0" w:line="1" w:lineRule="exact"/>
        <w:rPr>
          <w:rFonts w:ascii="Times New Roman" w:cs="Times New Roman" w:eastAsia="Times New Roman" w:hAnsi="Times New Roman"/>
          <w:sz w:val="29"/>
          <w:szCs w:val="29"/>
          <w:b w:val="1"/>
          <w:bCs w:val="1"/>
          <w:color w:val="auto"/>
          <w:vertAlign w:val="superscript"/>
        </w:rPr>
      </w:pPr>
    </w:p>
    <w:p>
      <w:pPr>
        <w:ind w:left="2380" w:hanging="238"/>
        <w:spacing w:after="0"/>
        <w:tabs>
          <w:tab w:leader="none" w:pos="23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7" w:lineRule="exact"/>
        <w:rPr>
          <w:rFonts w:ascii="Times New Roman" w:cs="Times New Roman" w:eastAsia="Times New Roman" w:hAnsi="Times New Roman"/>
          <w:sz w:val="18"/>
          <w:szCs w:val="18"/>
          <w:color w:val="auto"/>
        </w:rPr>
      </w:pPr>
    </w:p>
    <w:p>
      <w:pPr>
        <w:ind w:left="2400" w:hanging="258"/>
        <w:spacing w:after="0"/>
        <w:tabs>
          <w:tab w:leader="none" w:pos="24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142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8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9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spacing w:after="0"/>
              <w:rPr>
                <w:sz w:val="24"/>
                <w:szCs w:val="24"/>
                <w:color w:val="auto"/>
              </w:rPr>
            </w:pPr>
          </w:p>
        </w:tc>
        <w:tc>
          <w:tcPr>
            <w:tcW w:w="700" w:type="dxa"/>
            <w:vAlign w:val="bottom"/>
            <w:tcBorders>
              <w:bottom w:val="single" w:sz="8" w:color="auto"/>
              <w:right w:val="single" w:sz="8" w:color="CCEEFF"/>
            </w:tcBorders>
            <w:shd w:val="clear" w:color="auto" w:fill="CCEEFF"/>
          </w:tcPr>
          <w:p>
            <w:pPr>
              <w:spacing w:after="0"/>
              <w:rPr>
                <w:sz w:val="24"/>
                <w:szCs w:val="24"/>
                <w:color w:val="auto"/>
              </w:rPr>
            </w:pPr>
          </w:p>
        </w:tc>
        <w:tc>
          <w:tcPr>
            <w:tcW w:w="80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9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Israel</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5</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9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vMerge w:val="restart"/>
          </w:tcPr>
          <w:p>
            <w:pPr>
              <w:jc w:val="center"/>
              <w:ind w:left="118"/>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63"/>
        </w:trPr>
        <w:tc>
          <w:tcPr>
            <w:tcW w:w="1920" w:type="dxa"/>
            <w:vAlign w:val="bottom"/>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98"/>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4,959,523.23 (*)</w:t>
            </w:r>
          </w:p>
        </w:tc>
        <w:tc>
          <w:tcPr>
            <w:tcW w:w="0" w:type="dxa"/>
            <w:vAlign w:val="bottom"/>
          </w:tcPr>
          <w:p>
            <w:pPr>
              <w:spacing w:after="0"/>
              <w:rPr>
                <w:sz w:val="1"/>
                <w:szCs w:val="1"/>
                <w:color w:val="auto"/>
              </w:rPr>
            </w:pPr>
          </w:p>
        </w:tc>
      </w:tr>
      <w:tr>
        <w:trPr>
          <w:trHeight w:val="153"/>
        </w:trPr>
        <w:tc>
          <w:tcPr>
            <w:tcW w:w="1920" w:type="dxa"/>
            <w:vAlign w:val="bottom"/>
            <w:vMerge w:val="restart"/>
          </w:tcPr>
          <w:p>
            <w:pPr>
              <w:jc w:val="center"/>
              <w:ind w:left="118"/>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920" w:type="dxa"/>
            <w:vAlign w:val="bottom"/>
          </w:tcPr>
          <w:p>
            <w:pPr>
              <w:jc w:val="center"/>
              <w:ind w:left="118"/>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7</w:t>
            </w:r>
          </w:p>
        </w:tc>
        <w:tc>
          <w:tcPr>
            <w:tcW w:w="8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99"/>
        </w:trPr>
        <w:tc>
          <w:tcPr>
            <w:tcW w:w="1920" w:type="dxa"/>
            <w:vAlign w:val="bottom"/>
            <w:vMerge w:val="restart"/>
          </w:tcPr>
          <w:p>
            <w:pPr>
              <w:jc w:val="center"/>
              <w:ind w:left="98"/>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920" w:type="dxa"/>
            <w:vAlign w:val="bottom"/>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118"/>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9"/>
        </w:trPr>
        <w:tc>
          <w:tcPr>
            <w:tcW w:w="1920" w:type="dxa"/>
            <w:vAlign w:val="bottom"/>
            <w:vMerge w:val="restart"/>
          </w:tcPr>
          <w:p>
            <w:pPr>
              <w:jc w:val="center"/>
              <w:ind w:left="118"/>
              <w:spacing w:after="0" w:line="174" w:lineRule="exact"/>
              <w:rPr>
                <w:sz w:val="20"/>
                <w:szCs w:val="20"/>
                <w:color w:val="auto"/>
              </w:rPr>
            </w:pPr>
            <w:r>
              <w:rPr>
                <w:rFonts w:ascii="Times New Roman" w:cs="Times New Roman" w:eastAsia="Times New Roman" w:hAnsi="Times New Roman"/>
                <w:sz w:val="18"/>
                <w:szCs w:val="18"/>
                <w:color w:val="auto"/>
                <w:w w:val="99"/>
              </w:rPr>
              <w:t>PERSON WITH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8</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4,959,523.23 (*)</w:t>
            </w: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w:t>
            </w:r>
          </w:p>
        </w:tc>
        <w:tc>
          <w:tcPr>
            <w:tcW w:w="9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4,959,523.23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w:t>
            </w:r>
          </w:p>
        </w:tc>
        <w:tc>
          <w:tcPr>
            <w:tcW w:w="9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11</w:t>
            </w:r>
          </w:p>
        </w:tc>
        <w:tc>
          <w:tcPr>
            <w:tcW w:w="9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5.06% (*)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w:t>
            </w:r>
          </w:p>
        </w:tc>
        <w:tc>
          <w:tcPr>
            <w:tcW w:w="9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beneficial ownership of the securities reported herein is described in Item 4(a).</w:t>
      </w:r>
    </w:p>
    <w:p>
      <w:pPr>
        <w:spacing w:after="0" w:line="225" w:lineRule="exact"/>
        <w:rPr>
          <w:sz w:val="20"/>
          <w:szCs w:val="20"/>
          <w:color w:val="auto"/>
        </w:rPr>
      </w:pPr>
    </w:p>
    <w:p>
      <w:pPr>
        <w:ind w:left="5660" w:right="3520" w:hanging="5652"/>
        <w:spacing w:after="0" w:line="282" w:lineRule="auto"/>
        <w:tabs>
          <w:tab w:leader="none" w:pos="3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98,457,717 Ordinary Shares outstanding as of March 29, 2018 (as reported on Bloomberg LP).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auto"/>
        </w:rPr>
        <w:t>Name of Issuer</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Tower Semiconductor Ltd.</w:t>
      </w:r>
    </w:p>
    <w:p>
      <w:pPr>
        <w:spacing w:after="0" w:line="252" w:lineRule="exact"/>
        <w:rPr>
          <w:sz w:val="20"/>
          <w:szCs w:val="20"/>
          <w:color w:val="auto"/>
        </w:rPr>
      </w:pPr>
    </w:p>
    <w:p>
      <w:pPr>
        <w:ind w:left="1460" w:hanging="867"/>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Ramat Gavriel Industrial Park, P.O. Box 619, Migdal Haemek 23105, Israel</w:t>
      </w:r>
    </w:p>
    <w:p>
      <w:pPr>
        <w:spacing w:after="0" w:line="24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auto"/>
        </w:rPr>
        <w:t>Name of Person Filing</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1640" w:hanging="182"/>
        <w:spacing w:after="0"/>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Itshak Sharon (Tshuva)</w:t>
      </w:r>
    </w:p>
    <w:p>
      <w:pPr>
        <w:spacing w:after="0" w:line="252" w:lineRule="exact"/>
        <w:rPr>
          <w:rFonts w:ascii="Times New Roman" w:cs="Times New Roman" w:eastAsia="Times New Roman" w:hAnsi="Times New Roman"/>
          <w:sz w:val="18"/>
          <w:szCs w:val="18"/>
          <w:color w:val="auto"/>
        </w:rPr>
      </w:pPr>
    </w:p>
    <w:p>
      <w:pPr>
        <w:ind w:left="1640" w:hanging="182"/>
        <w:spacing w:after="0"/>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Delek Group Ltd.</w:t>
      </w:r>
    </w:p>
    <w:p>
      <w:pPr>
        <w:spacing w:after="0" w:line="252" w:lineRule="exact"/>
        <w:rPr>
          <w:rFonts w:ascii="Times New Roman" w:cs="Times New Roman" w:eastAsia="Times New Roman" w:hAnsi="Times New Roman"/>
          <w:sz w:val="18"/>
          <w:szCs w:val="18"/>
          <w:color w:val="auto"/>
        </w:rPr>
      </w:pPr>
    </w:p>
    <w:p>
      <w:pPr>
        <w:ind w:left="1640" w:hanging="182"/>
        <w:spacing w:after="0"/>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Phoenix Holding Ltd.</w:t>
      </w:r>
    </w:p>
    <w:p>
      <w:pPr>
        <w:spacing w:after="0" w:line="252" w:lineRule="exact"/>
        <w:rPr>
          <w:sz w:val="20"/>
          <w:szCs w:val="20"/>
          <w:color w:val="auto"/>
        </w:rPr>
      </w:pPr>
    </w:p>
    <w:p>
      <w:pPr>
        <w:jc w:val="both"/>
        <w:ind w:left="1460"/>
        <w:spacing w:after="0" w:line="258" w:lineRule="auto"/>
        <w:rPr>
          <w:sz w:val="20"/>
          <w:szCs w:val="20"/>
          <w:color w:val="auto"/>
        </w:rPr>
      </w:pPr>
      <w:r>
        <w:rPr>
          <w:rFonts w:ascii="Times New Roman" w:cs="Times New Roman" w:eastAsia="Times New Roman" w:hAnsi="Times New Roman"/>
          <w:sz w:val="18"/>
          <w:szCs w:val="18"/>
          <w:color w:val="auto"/>
        </w:rPr>
        <w:t>The securities reported herein are beneficially owned by various direct or indirect, majority or wholly-owned subsidiaries of the Phoenix Holding Ltd.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w:t>
      </w:r>
    </w:p>
    <w:p>
      <w:pPr>
        <w:spacing w:after="0" w:line="184" w:lineRule="exact"/>
        <w:rPr>
          <w:sz w:val="20"/>
          <w:szCs w:val="20"/>
          <w:color w:val="auto"/>
        </w:rPr>
      </w:pPr>
    </w:p>
    <w:p>
      <w:pPr>
        <w:jc w:val="both"/>
        <w:ind w:left="1460"/>
        <w:spacing w:after="0" w:line="266" w:lineRule="auto"/>
        <w:rPr>
          <w:sz w:val="20"/>
          <w:szCs w:val="20"/>
          <w:color w:val="auto"/>
        </w:rPr>
      </w:pPr>
      <w:r>
        <w:rPr>
          <w:rFonts w:ascii="Times New Roman" w:cs="Times New Roman" w:eastAsia="Times New Roman" w:hAnsi="Times New Roman"/>
          <w:sz w:val="18"/>
          <w:szCs w:val="18"/>
          <w:color w:val="auto"/>
        </w:rPr>
        <w:t>The Phoenix Holding Ltd. is an majority-owned subsidiary of Delek Group Ltd. The majority of Delek Group Ltd.'s outstanding share capital and voting rights are owned, directly and indirectly, by Itshak Sharon (Tshuva) through private companies wholly-owned by him, and the remainder is held by the public.</w:t>
      </w:r>
    </w:p>
    <w:p>
      <w:pPr>
        <w:spacing w:after="0" w:line="203" w:lineRule="exact"/>
        <w:rPr>
          <w:sz w:val="20"/>
          <w:szCs w:val="20"/>
          <w:color w:val="auto"/>
        </w:rPr>
      </w:pPr>
    </w:p>
    <w:p>
      <w:pPr>
        <w:ind w:left="1480" w:hanging="648"/>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1460" w:right="102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Itshak Sharon (Tshuva) and Delek Group Ltd. is 19 Abba Eban blvd, P.O.B. 2054, Herzliya, 4612001, Israel. The address of the Phoenix Holding Ltd. is Derech Hashalom 53, Givataim, 53454, Israel.</w:t>
      </w:r>
    </w:p>
    <w:p>
      <w:pPr>
        <w:ind w:left="1480" w:hanging="648"/>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1640" w:hanging="182"/>
        <w:spacing w:after="0"/>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Itshak Sharon (Tshuva) - Israel</w:t>
      </w:r>
    </w:p>
    <w:p>
      <w:pPr>
        <w:spacing w:after="0" w:line="252" w:lineRule="exact"/>
        <w:rPr>
          <w:rFonts w:ascii="Times New Roman" w:cs="Times New Roman" w:eastAsia="Times New Roman" w:hAnsi="Times New Roman"/>
          <w:sz w:val="18"/>
          <w:szCs w:val="18"/>
          <w:color w:val="auto"/>
        </w:rPr>
      </w:pPr>
    </w:p>
    <w:p>
      <w:pPr>
        <w:ind w:left="1640" w:hanging="182"/>
        <w:spacing w:after="0"/>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Delek Group Ltd. - Israel</w:t>
      </w:r>
    </w:p>
    <w:p>
      <w:pPr>
        <w:spacing w:after="0" w:line="252" w:lineRule="exact"/>
        <w:rPr>
          <w:rFonts w:ascii="Times New Roman" w:cs="Times New Roman" w:eastAsia="Times New Roman" w:hAnsi="Times New Roman"/>
          <w:sz w:val="18"/>
          <w:szCs w:val="18"/>
          <w:color w:val="auto"/>
        </w:rPr>
      </w:pPr>
    </w:p>
    <w:p>
      <w:pPr>
        <w:ind w:left="1640" w:hanging="182"/>
        <w:spacing w:after="0"/>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Phoenix Holding Ltd. - Israel</w:t>
      </w:r>
    </w:p>
    <w:p>
      <w:pPr>
        <w:spacing w:after="0" w:line="252"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par value New Israeli Shekels 15.00 per share</w:t>
      </w:r>
    </w:p>
    <w:p>
      <w:pPr>
        <w:spacing w:after="0" w:line="252" w:lineRule="exact"/>
        <w:rPr>
          <w:rFonts w:ascii="Times New Roman" w:cs="Times New Roman" w:eastAsia="Times New Roman" w:hAnsi="Times New Roman"/>
          <w:sz w:val="18"/>
          <w:szCs w:val="18"/>
          <w:color w:val="auto"/>
        </w:rPr>
      </w:pPr>
    </w:p>
    <w:p>
      <w:pPr>
        <w:ind w:left="1460" w:right="8740" w:hanging="628"/>
        <w:spacing w:after="0" w:line="532" w:lineRule="auto"/>
        <w:tabs>
          <w:tab w:leader="none" w:pos="14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w:t>
      </w:r>
      <w:r>
        <w:rPr>
          <w:rFonts w:ascii="Times New Roman" w:cs="Times New Roman" w:eastAsia="Times New Roman" w:hAnsi="Times New Roman"/>
          <w:sz w:val="18"/>
          <w:szCs w:val="18"/>
          <w:color w:val="auto"/>
        </w:rPr>
        <w:t>: M87915274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r>
              <w:rPr>
                <w:rFonts w:ascii="Times New Roman" w:cs="Times New Roman" w:eastAsia="Times New Roman" w:hAnsi="Times New Roman"/>
                <w:sz w:val="18"/>
                <w:szCs w:val="18"/>
                <w:color w:val="auto"/>
              </w:rPr>
              <w:t>.</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Not applicable.</w:t>
            </w:r>
          </w:p>
        </w:tc>
      </w:tr>
      <w:tr>
        <w:trPr>
          <w:trHeight w:val="419"/>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Ownership:</w:t>
            </w:r>
          </w:p>
        </w:tc>
      </w:tr>
      <w:tr>
        <w:trPr>
          <w:trHeight w:val="20"/>
        </w:trPr>
        <w:tc>
          <w:tcPr>
            <w:tcW w:w="1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52" w:lineRule="exact"/>
        <w:rPr>
          <w:sz w:val="20"/>
          <w:szCs w:val="20"/>
          <w:color w:val="auto"/>
        </w:rPr>
      </w:pPr>
    </w:p>
    <w:p>
      <w:pPr>
        <w:ind w:left="1420" w:hanging="656"/>
        <w:spacing w:after="0"/>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9 of cover page of each reporting person.</w:t>
      </w:r>
    </w:p>
    <w:p>
      <w:pPr>
        <w:spacing w:after="0" w:line="252" w:lineRule="exact"/>
        <w:rPr>
          <w:rFonts w:ascii="Times New Roman" w:cs="Times New Roman" w:eastAsia="Times New Roman" w:hAnsi="Times New Roman"/>
          <w:sz w:val="18"/>
          <w:szCs w:val="18"/>
          <w:color w:val="auto"/>
        </w:rPr>
      </w:pPr>
    </w:p>
    <w:p>
      <w:pPr>
        <w:jc w:val="both"/>
        <w:ind w:left="14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Subsidiaries operates under independent management and makes its own independent voting and investment decisions. Neither the filing of this Schedule 13G nor any of its contents shall be deemed to constitute an admission by either the Filing Persons or Subsidiaries that a group exists for purposes of Section 13(d) of the Securities Exchange Act of 1934 or for any other purpose, and each reporting person disclaims the existence of any such group. In addition, each of the Filing Persons and Subsidiaries disclaims any beneficial ownership of the securities covered by this report in excess of their actual pecuniary interest therein. This Statement shall not be construed as an admission by the Filing Persons or Subsidiaries that they are the beneficial owners of any of the Ordinary Shares covered by this Statement, and each of Filing Persons and Subsidiaries disclaims beneficial ownership of any such Ordinary Shares.</w:t>
      </w:r>
    </w:p>
    <w:p>
      <w:pPr>
        <w:spacing w:after="0" w:line="216"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27, 2018, the securities reported herein were held as follows:</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Excellence "nostro"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-119380</wp:posOffset>
            </wp:positionV>
            <wp:extent cx="644906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906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Excellence pension and provident funds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Excellence trust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-119380</wp:posOffset>
            </wp:positionV>
            <wp:extent cx="644906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906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Excellence ETF's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Phoenix "nostro"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-119380</wp:posOffset>
            </wp:positionV>
            <wp:extent cx="644906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4906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Phoenix pension and provident funds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Linked insurance policies of Phoenix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-119380</wp:posOffset>
            </wp:positionV>
            <wp:extent cx="644906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4906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Linked insurance policies of Phoenix - Partnership for Israeli shares (1)</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Linked insurance policies of Phoenix - Partnership for investing in the TA 125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-111760</wp:posOffset>
            </wp:positionV>
            <wp:extent cx="644906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49060" cy="15430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Partnership for international shares (1)</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total</w:t>
            </w: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Ordinary</w:t>
            </w:r>
          </w:p>
        </w:tc>
      </w:tr>
      <w:tr>
        <w:trPr>
          <w:trHeight w:val="216"/>
        </w:trPr>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45"/>
        </w:trPr>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r>
      <w:tr>
        <w:trPr>
          <w:trHeight w:val="243"/>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151,587.77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43"/>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1,291,398.41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3"/>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281,210.24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43"/>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147,506.20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43"/>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37,770.71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43"/>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2,713,034.54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43"/>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362,885.36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43"/>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2">
            <w:col w:w="8380" w:space="720"/>
            <w:col w:w="2320"/>
          </w:cols>
          <w:pgMar w:left="240" w:top="360" w:right="239" w:bottom="1440" w:gutter="0" w:footer="0" w:header="0"/>
          <w:type w:val="continuous"/>
        </w:sectPr>
      </w:pPr>
    </w:p>
    <w:p>
      <w:pPr>
        <w:spacing w:after="0" w:line="25" w:lineRule="exact"/>
        <w:rPr>
          <w:sz w:val="20"/>
          <w:szCs w:val="20"/>
          <w:color w:val="auto"/>
        </w:rPr>
      </w:pPr>
    </w:p>
    <w:p>
      <w:pPr>
        <w:ind w:left="1460" w:right="140" w:firstLine="7"/>
        <w:spacing w:after="0" w:line="282" w:lineRule="auto"/>
        <w:tabs>
          <w:tab w:leader="none" w:pos="170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ownership rights in this partnership belong to companies that are part of Phoenix Group. The amount of ownership rights held by such companies in the partnership changes frequently according to a mechanism provided in the partnership agreement.</w:t>
      </w:r>
    </w:p>
    <w:p>
      <w:pPr>
        <w:spacing w:after="0" w:line="188" w:lineRule="exact"/>
        <w:rPr>
          <w:rFonts w:ascii="Times New Roman" w:cs="Times New Roman" w:eastAsia="Times New Roman" w:hAnsi="Times New Roman"/>
          <w:sz w:val="18"/>
          <w:szCs w:val="18"/>
          <w:color w:val="auto"/>
        </w:rPr>
      </w:pPr>
    </w:p>
    <w:p>
      <w:pPr>
        <w:ind w:left="1420" w:hanging="656"/>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11 of cover page of each reporting person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6" w:name="page7"/>
    <w:bookmarkEnd w:id="6"/>
    <w:p>
      <w:pPr>
        <w:ind w:left="1420" w:hanging="656"/>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such person has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2180" w:hanging="646"/>
        <w:spacing w:after="0"/>
        <w:tabs>
          <w:tab w:leader="none" w:pos="21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2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5 of cover page of each reporting person</w:t>
      </w:r>
    </w:p>
    <w:p>
      <w:pPr>
        <w:spacing w:after="0" w:line="252" w:lineRule="exact"/>
        <w:rPr>
          <w:rFonts w:ascii="Times New Roman" w:cs="Times New Roman" w:eastAsia="Times New Roman" w:hAnsi="Times New Roman"/>
          <w:sz w:val="18"/>
          <w:szCs w:val="18"/>
          <w:color w:val="auto"/>
        </w:rPr>
      </w:pPr>
    </w:p>
    <w:p>
      <w:pPr>
        <w:ind w:left="2180" w:hanging="646"/>
        <w:spacing w:after="0"/>
        <w:tabs>
          <w:tab w:leader="none" w:pos="21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2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6 of cover page of each reporting person and note in Item 4(a) above</w:t>
      </w:r>
    </w:p>
    <w:p>
      <w:pPr>
        <w:spacing w:after="0" w:line="27" w:lineRule="exact"/>
        <w:rPr>
          <w:rFonts w:ascii="Times New Roman" w:cs="Times New Roman" w:eastAsia="Times New Roman" w:hAnsi="Times New Roman"/>
          <w:sz w:val="18"/>
          <w:szCs w:val="18"/>
          <w:color w:val="auto"/>
        </w:rPr>
      </w:pPr>
    </w:p>
    <w:p>
      <w:pPr>
        <w:ind w:left="2180" w:right="5240" w:hanging="646"/>
        <w:spacing w:after="0" w:line="535" w:lineRule="auto"/>
        <w:tabs>
          <w:tab w:leader="none" w:pos="21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 See row 7 of cover page of each reporting person</w:t>
      </w:r>
    </w:p>
    <w:p>
      <w:pPr>
        <w:spacing w:after="0" w:line="1" w:lineRule="exact"/>
        <w:rPr>
          <w:rFonts w:ascii="Times New Roman" w:cs="Times New Roman" w:eastAsia="Times New Roman" w:hAnsi="Times New Roman"/>
          <w:sz w:val="17"/>
          <w:szCs w:val="17"/>
          <w:color w:val="auto"/>
        </w:rPr>
      </w:pPr>
    </w:p>
    <w:p>
      <w:pPr>
        <w:ind w:left="2180" w:hanging="646"/>
        <w:spacing w:after="0"/>
        <w:tabs>
          <w:tab w:leader="none" w:pos="21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rFonts w:ascii="Times New Roman" w:cs="Times New Roman" w:eastAsia="Times New Roman" w:hAnsi="Times New Roman"/>
          <w:sz w:val="18"/>
          <w:szCs w:val="18"/>
          <w:color w:val="auto"/>
        </w:rPr>
      </w:pPr>
    </w:p>
    <w:p>
      <w:pPr>
        <w:ind w:left="2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8 of cover page of each reporting person and note in Item 4(a) above</w:t>
      </w:r>
    </w:p>
    <w:p>
      <w:pPr>
        <w:spacing w:after="0" w:line="24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Ownership of Five Percent or Less of a Class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Ownership of More than Five Percent on Behalf of Another</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7</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the Subsidiary Which Acquired the Security Being Reported on by the Parent Holding Company or</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u w:val="single" w:color="auto"/>
          <w:color w:val="auto"/>
        </w:rPr>
        <w:t>Control Person</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8</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Members of the Group</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9</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Notice of Dissolution of Group</w:t>
      </w:r>
      <w:r>
        <w:rPr>
          <w:rFonts w:ascii="Times New Roman" w:cs="Times New Roman" w:eastAsia="Times New Roman" w:hAnsi="Times New Roman"/>
          <w:sz w:val="17"/>
          <w:szCs w:val="17"/>
          <w:color w:val="auto"/>
        </w:rPr>
        <w:t>:</w:t>
      </w:r>
    </w:p>
    <w:p>
      <w:pPr>
        <w:spacing w:after="0" w:line="2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sectPr>
      </w:pPr>
    </w:p>
    <w:bookmarkStart w:id="7" w:name="page8"/>
    <w:bookmarkEnd w:id="7"/>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April 11, 2018</w:t>
      </w:r>
    </w:p>
    <w:p>
      <w:pPr>
        <w:spacing w:after="0" w:line="2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Itshak Sharon (Tshuva)</w:t>
      </w:r>
    </w:p>
    <w:p>
      <w:pPr>
        <w:spacing w:after="0" w:line="22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u w:val="single" w:color="auto"/>
          <w:color w:val="auto"/>
        </w:rPr>
        <w:t>/s/ Itshak Sharon (Tshuva)</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 Itshak Sharon (Tshuva)</w:t>
      </w:r>
    </w:p>
    <w:p>
      <w:pPr>
        <w:spacing w:after="0" w:line="23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Delek Group Ltd.</w:t>
      </w:r>
    </w:p>
    <w:p>
      <w:pPr>
        <w:spacing w:after="0" w:line="22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u w:val="single" w:color="auto"/>
          <w:color w:val="auto"/>
        </w:rPr>
        <w:t>/s/ Leora Pratt Levin</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 Leora Pratt Levin*</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 V.P. Legal Affairs</w:t>
      </w:r>
    </w:p>
    <w:p>
      <w:pPr>
        <w:spacing w:after="0" w:line="2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u w:val="single" w:color="auto"/>
          <w:color w:val="auto"/>
        </w:rPr>
        <w:t>/s/ Gabi Last</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 Gabi Last*</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 Chairman</w:t>
      </w:r>
    </w:p>
    <w:p>
      <w:pPr>
        <w:spacing w:after="0" w:line="23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The Phoenix Holding Ltd.</w:t>
      </w:r>
    </w:p>
    <w:p>
      <w:pPr>
        <w:spacing w:after="0" w:line="22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u w:val="single" w:color="auto"/>
          <w:color w:val="auto"/>
        </w:rPr>
        <w:t>/s/ Eli Schwartz</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 Eli Schwartz**</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u w:val="single" w:color="auto"/>
          <w:color w:val="auto"/>
        </w:rPr>
        <w:t>/s/Menachem Neeman</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 Menachem Neeman**</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 Legal Counsel and Company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Signature duly authorized by resolution of the Board of Directors, notice of which is attached as Exhibit 2 to this Schedule 13G.</w:t>
      </w:r>
    </w:p>
    <w:p>
      <w:pPr>
        <w:spacing w:after="0" w:line="225" w:lineRule="exact"/>
        <w:rPr>
          <w:sz w:val="20"/>
          <w:szCs w:val="20"/>
          <w:color w:val="auto"/>
        </w:rPr>
      </w:pPr>
    </w:p>
    <w:p>
      <w:pPr>
        <w:ind w:left="5660" w:right="1660" w:hanging="5652"/>
        <w:spacing w:after="0" w:line="282" w:lineRule="auto"/>
        <w:tabs>
          <w:tab w:leader="none" w:pos="2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duly authorized by resolution of the Board of Directors, notice of which is attached as Exhibit 3 to this Schedule 13G.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20"/>
          </w:cols>
          <w:pgMar w:left="240" w:top="360" w:right="539" w:bottom="1440" w:gutter="0" w:footer="0" w:header="0"/>
        </w:sectPr>
      </w:pPr>
    </w:p>
    <w:bookmarkStart w:id="9" w:name="page10"/>
    <w:bookmarkEnd w:id="9"/>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7" w:lineRule="exact"/>
        <w:rPr>
          <w:sz w:val="20"/>
          <w:szCs w:val="20"/>
          <w:color w:val="auto"/>
        </w:rPr>
      </w:pPr>
    </w:p>
    <w:p>
      <w:pPr>
        <w:ind w:left="1120" w:hanging="1120"/>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Exhibit 1</w:t>
      </w:r>
      <w:r>
        <w:rPr>
          <w:sz w:val="20"/>
          <w:szCs w:val="20"/>
          <w:color w:val="auto"/>
        </w:rPr>
        <w:tab/>
      </w:r>
      <w:r>
        <w:rPr>
          <w:rFonts w:ascii="Times New Roman" w:cs="Times New Roman" w:eastAsia="Times New Roman" w:hAnsi="Times New Roman"/>
          <w:sz w:val="18"/>
          <w:szCs w:val="18"/>
          <w:color w:val="auto"/>
        </w:rPr>
        <w:t>Agreement of Joint Filing by and among the Reporting Persons, dated as of August 22, 2017 (included herein by reference to Exhibit 1 to the Schedule 13G filed on August 23, 2017).</w:t>
      </w:r>
    </w:p>
    <w:p>
      <w:pPr>
        <w:spacing w:after="0" w:line="162" w:lineRule="exact"/>
        <w:rPr>
          <w:sz w:val="20"/>
          <w:szCs w:val="20"/>
          <w:color w:val="auto"/>
        </w:rPr>
      </w:pPr>
    </w:p>
    <w:p>
      <w:pPr>
        <w:ind w:left="1120" w:right="20" w:hanging="1120"/>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Exhibit 2</w:t>
      </w:r>
      <w:r>
        <w:rPr>
          <w:sz w:val="20"/>
          <w:szCs w:val="20"/>
          <w:color w:val="auto"/>
        </w:rPr>
        <w:tab/>
      </w:r>
      <w:r>
        <w:rPr>
          <w:rFonts w:ascii="Times New Roman" w:cs="Times New Roman" w:eastAsia="Times New Roman" w:hAnsi="Times New Roman"/>
          <w:sz w:val="18"/>
          <w:szCs w:val="18"/>
          <w:color w:val="auto"/>
        </w:rPr>
        <w:t>Notice of resolution of the Board of Directors of Delek Group Ltd., dated as of November 25, 2009 (included herein by reference to Exhibit 2 to the Schedule 13G filed on August 23, 2017).</w:t>
      </w:r>
    </w:p>
    <w:p>
      <w:pPr>
        <w:spacing w:after="0" w:line="162" w:lineRule="exact"/>
        <w:rPr>
          <w:sz w:val="20"/>
          <w:szCs w:val="20"/>
          <w:color w:val="auto"/>
        </w:rPr>
      </w:pPr>
    </w:p>
    <w:p>
      <w:pPr>
        <w:ind w:left="1120" w:hanging="1120"/>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Exhibit 3</w:t>
      </w:r>
      <w:r>
        <w:rPr>
          <w:sz w:val="20"/>
          <w:szCs w:val="20"/>
          <w:color w:val="auto"/>
        </w:rPr>
        <w:tab/>
      </w:r>
      <w:r>
        <w:rPr>
          <w:rFonts w:ascii="Times New Roman" w:cs="Times New Roman" w:eastAsia="Times New Roman" w:hAnsi="Times New Roman"/>
          <w:sz w:val="18"/>
          <w:szCs w:val="18"/>
          <w:color w:val="auto"/>
        </w:rPr>
        <w:t>Notice of resolution of the Board of Directors of the Phoenix Holding Ltd., dated as of May 25, 2017 (included herein by reference to Exhibit 3 to the Schedule 13G filed on August 23, 2017).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50430" cy="45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bullet"/>
      <w:start w:val="1"/>
    </w:lvl>
  </w:abstractNum>
  <w:abstractNum w:abstractNumId="4">
    <w:nsid w:val="140E0F76"/>
    <w:multiLevelType w:val="hybridMultilevel"/>
    <w:lvl w:ilvl="0">
      <w:lvlJc w:val="left"/>
      <w:lvlText w:val="2"/>
      <w:numFmt w:val="bullet"/>
      <w:start w:val="1"/>
    </w:lvl>
    <w:lvl w:ilvl="1">
      <w:lvlJc w:val="left"/>
      <w:lvlText w:val="(%2)"/>
      <w:numFmt w:val="lowerLetter"/>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bullet"/>
      <w:start w:val="1"/>
    </w:lvl>
  </w:abstractNum>
  <w:abstractNum w:abstractNumId="7">
    <w:nsid w:val="DED7263"/>
    <w:multiLevelType w:val="hybridMultilevel"/>
    <w:lvl w:ilvl="0">
      <w:lvlJc w:val="left"/>
      <w:lvlText w:val="2"/>
      <w:numFmt w:val="bullet"/>
      <w:start w:val="1"/>
    </w:lvl>
    <w:lvl w:ilvl="1">
      <w:lvlJc w:val="left"/>
      <w:lvlText w:val="(%2)"/>
      <w:numFmt w:val="lowerLetter"/>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bullet"/>
      <w:start w:val="1"/>
    </w:lvl>
  </w:abstractNum>
  <w:abstractNum w:abstractNumId="10">
    <w:nsid w:val="41A7C4C9"/>
    <w:multiLevelType w:val="hybridMultilevel"/>
    <w:lvl w:ilvl="0">
      <w:lvlJc w:val="left"/>
      <w:lvlText w:val="2"/>
      <w:numFmt w:val="bullet"/>
      <w:start w:val="1"/>
    </w:lvl>
    <w:lvl w:ilvl="1">
      <w:lvlJc w:val="left"/>
      <w:lvlText w:val="(%2)"/>
      <w:numFmt w:val="lowerLetter"/>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2"/>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Letter"/>
      <w:start w:val="2"/>
    </w:lvl>
    <w:lvl w:ilvl="1">
      <w:lvlJc w:val="left"/>
      <w:lvlText w:val="%2."/>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lvl w:ilvl="1">
      <w:lvlJc w:val="left"/>
      <w:lvlText w:val="(%2)"/>
      <w:numFmt w:val="decimal"/>
      <w:start w:val="1"/>
    </w:lvl>
  </w:abstractNum>
  <w:abstractNum w:abstractNumId="17">
    <w:nsid w:val="7C83E458"/>
    <w:multiLevelType w:val="hybridMultilevel"/>
    <w:lvl w:ilvl="0">
      <w:lvlJc w:val="left"/>
      <w:lvlText w:val="(%1)"/>
      <w:numFmt w:val="lowerLetter"/>
      <w:start w:val="2"/>
    </w:lvl>
    <w:lvl w:ilvl="1">
      <w:lvlJc w:val="left"/>
      <w:lvlText w:val="%2"/>
      <w:numFmt w:val="decimal"/>
      <w:start w:val="1"/>
    </w:lvl>
  </w:abstractNum>
  <w:abstractNum w:abstractNumId="18">
    <w:nsid w:val="257130A3"/>
    <w:multiLevelType w:val="hybridMultilevel"/>
    <w:lvl w:ilvl="0">
      <w:lvlJc w:val="left"/>
      <w:lvlText w:val="(%1)"/>
      <w:numFmt w:val="lowerLetter"/>
      <w:start w:val="3"/>
    </w:lvl>
    <w:lvl w:ilvl="1">
      <w:lvlJc w:val="left"/>
      <w:lvlText w:val="(%2)"/>
      <w:numFmt w:val="lowerRoman"/>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2019-12-17T07:32:01Z</dcterms:created>
  <dcterms:modified xsi:type="dcterms:W3CDTF">2019-12-17T07:32:01Z</dcterms:modified>
</cp:coreProperties>
</file>