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 the month of March 2020 No.1</w:t>
      </w:r>
    </w:p>
    <w:p>
      <w:pPr>
        <w:spacing w:after="0" w:line="27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P.O. Box 619, Migdal Haemek, Israel 2310502</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39"/>
        <w:spacing w:after="0" w:line="253" w:lineRule="exact"/>
        <w:tabs>
          <w:tab w:leader="none" w:pos="42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____</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19" w:right="279" w:bottom="1440" w:gutter="0" w:footer="0" w:header="0"/>
        </w:sectPr>
      </w:pPr>
    </w:p>
    <w:bookmarkStart w:id="1" w:name="page2"/>
    <w:bookmarkEnd w:id="1"/>
    <w:p>
      <w:pPr>
        <w:ind w:firstLine="639"/>
        <w:spacing w:after="0" w:line="276" w:lineRule="auto"/>
        <w:rPr>
          <w:sz w:val="20"/>
          <w:szCs w:val="20"/>
          <w:color w:val="auto"/>
        </w:rPr>
      </w:pPr>
      <w:r>
        <w:rPr>
          <w:rFonts w:ascii="Arial" w:cs="Arial" w:eastAsia="Arial" w:hAnsi="Arial"/>
          <w:sz w:val="22"/>
          <w:szCs w:val="22"/>
          <w:color w:val="auto"/>
        </w:rPr>
        <w:t>On March 2, 2020, the Registrant announced its financial results for the year ended December 31, 2019. Attached hereto is the following exhibit.</w:t>
      </w:r>
    </w:p>
    <w:p>
      <w:pPr>
        <w:spacing w:after="0" w:line="236" w:lineRule="exact"/>
        <w:rPr>
          <w:sz w:val="20"/>
          <w:szCs w:val="20"/>
          <w:color w:val="auto"/>
        </w:rPr>
      </w:pPr>
    </w:p>
    <w:p>
      <w:pPr>
        <w:ind w:left="1000" w:hanging="971"/>
        <w:spacing w:after="0" w:line="266"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 Registrant’s consolidated financial statements as of December 31, 2019 and the report thereon dated March 2, 2020 of Brightman Almagor</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Zohar &amp; Co.</w:t>
        </w:r>
      </w:hyperlink>
    </w:p>
    <w:p>
      <w:pPr>
        <w:ind w:left="20" w:right="3940"/>
        <w:spacing w:after="0" w:line="309" w:lineRule="auto"/>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Exhibit 99.2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Exhibit 99.3 Consent of Independent Registered Accounting Firm</w:t>
        </w:r>
      </w:hyperlink>
    </w:p>
    <w:p>
      <w:pPr>
        <w:spacing w:after="0" w:line="216" w:lineRule="exact"/>
        <w:rPr>
          <w:sz w:val="20"/>
          <w:szCs w:val="20"/>
          <w:color w:val="auto"/>
        </w:rPr>
      </w:pPr>
    </w:p>
    <w:p>
      <w:pPr>
        <w:ind w:right="160" w:firstLine="50"/>
        <w:spacing w:after="0" w:line="276" w:lineRule="auto"/>
        <w:rPr>
          <w:sz w:val="20"/>
          <w:szCs w:val="20"/>
          <w:color w:val="auto"/>
        </w:rPr>
      </w:pPr>
      <w:r>
        <w:rPr>
          <w:rFonts w:ascii="Arial" w:cs="Arial" w:eastAsia="Arial" w:hAnsi="Arial"/>
          <w:sz w:val="22"/>
          <w:szCs w:val="22"/>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666"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0" w:lineRule="exact"/>
        <w:rPr>
          <w:sz w:val="20"/>
          <w:szCs w:val="20"/>
          <w:color w:val="auto"/>
        </w:rPr>
      </w:pPr>
    </w:p>
    <w:p>
      <w:pPr>
        <w:spacing w:after="0" w:line="357"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TOWER SEMICONDUCTOR LTD.</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AND SUBSIDIARIES</w:t>
      </w:r>
    </w:p>
    <w:p>
      <w:pPr>
        <w:spacing w:after="0" w:line="277"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CONSOLIDATED FINANCIAL STATEMENTS</w:t>
      </w:r>
    </w:p>
    <w:p>
      <w:pPr>
        <w:spacing w:after="0" w:line="3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295910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43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5"/>
              </w:rPr>
              <w:t>Page</w:t>
            </w:r>
          </w:p>
        </w:tc>
      </w:tr>
      <w:tr>
        <w:trPr>
          <w:trHeight w:val="392"/>
        </w:trPr>
        <w:tc>
          <w:tcPr>
            <w:tcW w:w="990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REPORT OF INDEPENDENT REGISTERED PUBLIC ACCOUNTING FIRM</w:t>
              </w:r>
            </w:hyperlink>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8"/>
              </w:rPr>
              <w:t>F-2</w:t>
            </w:r>
          </w:p>
        </w:tc>
      </w:tr>
      <w:tr>
        <w:trPr>
          <w:trHeight w:val="412"/>
        </w:trPr>
        <w:tc>
          <w:tcPr>
            <w:tcW w:w="5800" w:type="dxa"/>
            <w:vAlign w:val="bottom"/>
            <w:tcBorders>
              <w:top w:val="single" w:sz="8" w:color="0000EE"/>
            </w:tcBorders>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BALANCE SHEETS</w:t>
              </w:r>
            </w:hyperlink>
          </w:p>
        </w:tc>
        <w:tc>
          <w:tcPr>
            <w:tcW w:w="410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8"/>
              </w:rPr>
              <w:t>F-4</w:t>
            </w:r>
          </w:p>
        </w:tc>
      </w:tr>
      <w:tr>
        <w:trPr>
          <w:trHeight w:val="20"/>
        </w:trPr>
        <w:tc>
          <w:tcPr>
            <w:tcW w:w="1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412"/>
        </w:trPr>
        <w:tc>
          <w:tcPr>
            <w:tcW w:w="990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STATEMENTS OF OPERATIONS</w:t>
              </w:r>
            </w:hyperlink>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8"/>
              </w:rPr>
              <w:t>F-5</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412"/>
        </w:trPr>
        <w:tc>
          <w:tcPr>
            <w:tcW w:w="9900" w:type="dxa"/>
            <w:vAlign w:val="bottom"/>
            <w:gridSpan w:val="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STATEMENTS OF COMPREHENSIVE INCOME</w:t>
              </w:r>
            </w:hyperlink>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8"/>
              </w:rPr>
              <w:t>F-6</w:t>
            </w: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412"/>
        </w:trPr>
        <w:tc>
          <w:tcPr>
            <w:tcW w:w="990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STATEMENTS OF CHANGES IN SHAREHOLDERS’ EQUITY</w:t>
              </w:r>
            </w:hyperlink>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8"/>
              </w:rPr>
              <w:t>F-7</w:t>
            </w:r>
          </w:p>
        </w:tc>
      </w:tr>
      <w:tr>
        <w:trPr>
          <w:trHeight w:val="412"/>
        </w:trPr>
        <w:tc>
          <w:tcPr>
            <w:tcW w:w="2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STATEMENTS OF CASH FLOWS</w:t>
              </w:r>
            </w:hyperlink>
          </w:p>
        </w:tc>
        <w:tc>
          <w:tcPr>
            <w:tcW w:w="2180" w:type="dxa"/>
            <w:vAlign w:val="bottom"/>
            <w:tcBorders>
              <w:top w:val="single" w:sz="8" w:color="0000EE"/>
            </w:tcBorders>
            <w:gridSpan w:val="3"/>
          </w:tcPr>
          <w:p>
            <w:pPr>
              <w:spacing w:after="0"/>
              <w:rPr>
                <w:sz w:val="24"/>
                <w:szCs w:val="24"/>
                <w:color w:val="auto"/>
              </w:rPr>
            </w:pPr>
          </w:p>
        </w:tc>
        <w:tc>
          <w:tcPr>
            <w:tcW w:w="512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F-8</w:t>
            </w:r>
          </w:p>
        </w:tc>
        <w:tc>
          <w:tcPr>
            <w:tcW w:w="800" w:type="dxa"/>
            <w:vAlign w:val="bottom"/>
          </w:tcPr>
          <w:p>
            <w:pPr>
              <w:ind w:left="20"/>
              <w:spacing w:after="0"/>
              <w:rPr>
                <w:sz w:val="20"/>
                <w:szCs w:val="20"/>
                <w:color w:val="auto"/>
              </w:rPr>
            </w:pPr>
            <w:r>
              <w:rPr>
                <w:rFonts w:ascii="Arial" w:cs="Arial" w:eastAsia="Arial" w:hAnsi="Arial"/>
                <w:sz w:val="18"/>
                <w:szCs w:val="18"/>
                <w:color w:val="auto"/>
              </w:rPr>
              <w:t>- F-9</w:t>
            </w:r>
          </w:p>
        </w:tc>
      </w:tr>
      <w:tr>
        <w:trPr>
          <w:trHeight w:val="412"/>
        </w:trPr>
        <w:tc>
          <w:tcPr>
            <w:tcW w:w="9900" w:type="dxa"/>
            <w:vAlign w:val="bottom"/>
            <w:gridSpan w:val="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NOTES TO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F-10</w:t>
            </w:r>
          </w:p>
        </w:tc>
        <w:tc>
          <w:tcPr>
            <w:tcW w:w="800" w:type="dxa"/>
            <w:vAlign w:val="bottom"/>
          </w:tcPr>
          <w:p>
            <w:pPr>
              <w:ind w:left="20"/>
              <w:spacing w:after="0"/>
              <w:rPr>
                <w:sz w:val="20"/>
                <w:szCs w:val="20"/>
                <w:color w:val="auto"/>
              </w:rPr>
            </w:pPr>
            <w:r>
              <w:rPr>
                <w:rFonts w:ascii="Arial" w:cs="Arial" w:eastAsia="Arial" w:hAnsi="Arial"/>
                <w:sz w:val="18"/>
                <w:szCs w:val="18"/>
                <w:color w:val="auto"/>
              </w:rPr>
              <w:t>- F-53</w:t>
            </w:r>
          </w:p>
        </w:tc>
      </w:tr>
      <w:tr>
        <w:trPr>
          <w:trHeight w:val="473"/>
        </w:trPr>
        <w:tc>
          <w:tcPr>
            <w:tcW w:w="156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2058035"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54660"/>
                    </a:xfrm>
                    <a:prstGeom prst="rect">
                      <a:avLst/>
                    </a:prstGeom>
                    <a:noFill/>
                  </pic:spPr>
                </pic:pic>
              </a:graphicData>
            </a:graphic>
          </wp:anchor>
        </w:drawing>
        <w:t>REPORT OF INDEPENDENT REGISTERED PUBLIC ACCOUNTING FIRM</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the Board of Directors of Tower Semiconductor Ltd.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93"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We have audited the accompanying consolidated balance sheets of Tower Semiconductor Ltd. and subsidiaries (the "Company") as of December 31, 2019 and 2018, the related consolidated statements of operations, comprehensive income, shareholders'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93"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Audit Matter</w:t>
      </w:r>
    </w:p>
    <w:p>
      <w:pPr>
        <w:spacing w:after="0" w:line="29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 — Income Tax Provision — Refer to Note 19 to the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Audit Matter Description</w:t>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The Company's provision for income taxes is affected by income taxes in Israel, the United States, and Japan. The income tax provision is an estimate determined based on management’s understanding of current enacted tax laws and tax rates of each tax jurisdiction and the use of acceptable allocation methodologies (transfer pricing) to allocate taxable income between tax jurisdictions based upon the structure of the Company’s operations and customer arrangements. The subsidiaries, which are semiconductors fabrications located outside Israel, are dependent on the allocation of production orders, managed centrally by the corporate global planning division, which directly affects the generation of income and local taxable income. For the year-ended December 31, 2019, the consolidated provision for income taxes was $2.9 million comprised of amounts related to Israel, Japan and U.S. operations, as detailed in Note 19.</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identified management’s determination of the taxable income and its related income tax provision as a critical audit matter because of the significant judgements and estimates management makes related to the taxable income allocation,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ectPr>
          <w:pgSz w:w="11900" w:h="16838" w:orient="portrait"/>
          <w:cols w:equalWidth="0" w:num="1">
            <w:col w:w="11420"/>
          </w:cols>
          <w:pgMar w:left="240" w:top="1382" w:right="239" w:bottom="5" w:gutter="0" w:footer="0" w:header="0"/>
        </w:sectPr>
      </w:pPr>
    </w:p>
    <w:bookmarkStart w:id="6" w:name="page7"/>
    <w:bookmarkEnd w:id="6"/>
    <w:p>
      <w:pPr>
        <w:jc w:val="center"/>
        <w:ind w:right="-20"/>
        <w:spacing w:after="0"/>
        <w:rPr>
          <w:sz w:val="20"/>
          <w:szCs w:val="20"/>
          <w:color w:val="auto"/>
        </w:rPr>
      </w:pPr>
      <w:r>
        <w:rPr>
          <w:rFonts w:ascii="Arial" w:cs="Arial" w:eastAsia="Arial" w:hAnsi="Arial"/>
          <w:sz w:val="19"/>
          <w:szCs w:val="19"/>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72390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How the Critical Audit Matter was addressed in the Audit</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Our audit procedures related to the determination of the taxable income allocation and income tax provision included the following, among others:</w:t>
      </w:r>
    </w:p>
    <w:p>
      <w:pPr>
        <w:spacing w:after="0" w:line="222" w:lineRule="exact"/>
        <w:rPr>
          <w:sz w:val="20"/>
          <w:szCs w:val="20"/>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2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Company’s process to allocate its taxable income between the different subsidiaries based on the Company's transfer pricing studies.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read and evaluated management’s documentation, including information obtained by management from outside tax specialists that detailed the basis of the uncertain tax positions.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appropriateness of the ranges of outcomes utilized and the pricing conclusions reached within the transfer pricing studies conducted by the Company's outside tax specialists.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transfer pricing methodology utilized by management with alternative methodologies and industry benchmarks.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relevant facts by reading the Company’s correspondence with the relevant tax authorities and any third-party advice obtained by the Company.</w:t>
      </w:r>
    </w:p>
    <w:p>
      <w:pPr>
        <w:spacing w:after="0" w:line="302"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measurement of uncertain tax positions related to transfer pricing based on our knowledge of international and local income tax laws, as well as historical settlement activity from income tax authorities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Brightman Almagor Zohar &amp; Co.</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Certified Public Accountants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Firm in The Deloitte Global Network</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Tel Aviv, Israel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2, 2020</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1993.</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As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355,561</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Short-term interest-bearing deposits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215,609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Marketable securities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176,070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receivable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126,966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Inventories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192,256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22,019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0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1,088,481</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987,959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40,085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681,939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GOODWILL</w:t>
            </w:r>
          </w:p>
        </w:tc>
        <w:tc>
          <w:tcPr>
            <w:tcW w:w="1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640"/>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1,932,833</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1,789,977</w:t>
            </w:r>
          </w:p>
        </w:tc>
        <w:tc>
          <w:tcPr>
            <w:tcW w:w="0" w:type="dxa"/>
            <w:vAlign w:val="bottom"/>
          </w:tcPr>
          <w:p>
            <w:pPr>
              <w:spacing w:after="0"/>
              <w:rPr>
                <w:sz w:val="1"/>
                <w:szCs w:val="1"/>
                <w:color w:val="auto"/>
              </w:rPr>
            </w:pPr>
          </w:p>
        </w:tc>
      </w:tr>
      <w:tr>
        <w:trPr>
          <w:trHeight w:val="21"/>
        </w:trPr>
        <w:tc>
          <w:tcPr>
            <w:tcW w:w="78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Current maturities of long-term debt</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65,932</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119,199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Deferred revenue and customers' advances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Employee related liabilities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50,302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253,056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LONG-TERM DEBT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Debentures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94,552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Other long-term debt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151,269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28,196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EMPLOYEE RELATED LIABILITIES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DEFERRED TAX LIABILITY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45,238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Ordinary shares of NIS 15 par value: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426,111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150,000 authorized as of December 31, 2019 and 2018</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80"/>
              <w:spacing w:after="0"/>
              <w:rPr>
                <w:sz w:val="20"/>
                <w:szCs w:val="20"/>
                <w:color w:val="auto"/>
              </w:rPr>
            </w:pPr>
            <w:r>
              <w:rPr>
                <w:rFonts w:ascii="Arial" w:cs="Arial" w:eastAsia="Arial" w:hAnsi="Arial"/>
                <w:sz w:val="18"/>
                <w:szCs w:val="18"/>
                <w:b w:val="1"/>
                <w:bCs w:val="1"/>
                <w:color w:val="auto"/>
              </w:rPr>
              <w:t>106,895 and 106,808 issued and outstanding, respectively, as of December 31, 2019</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105,066 and 104,979 issued and outstanding, respectively, as of December 31, 2018</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Additional paid-in capital</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1,395,376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1,380,396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Capital notes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Cumulative stock based compensation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107,774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Accumulated other comprehensive loss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(18,244)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Accumulated deficit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(547,398)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(637,446)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1,363,619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1,252,038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Treasury stock, at cost - 87 shares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(9,072)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THE COMPANY'S SHAREHOLDERS' EQUITY</w:t>
            </w:r>
          </w:p>
        </w:tc>
        <w:tc>
          <w:tcPr>
            <w:tcW w:w="10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1,242,966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Non-controlling interest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SHAREHOLDERS' EQUITY</w:t>
            </w:r>
          </w:p>
        </w:tc>
        <w:tc>
          <w:tcPr>
            <w:tcW w:w="1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1,346,723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1,236,205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SHAREHOLDERS' EQUITY</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1,932,833</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1,789,977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52" w:lineRule="exact"/>
        <w:rPr>
          <w:sz w:val="20"/>
          <w:szCs w:val="20"/>
          <w:color w:val="auto"/>
        </w:rPr>
      </w:pPr>
    </w:p>
    <w:p>
      <w:pPr>
        <w:jc w:val="right"/>
        <w:ind w:right="4299"/>
        <w:spacing w:after="0"/>
        <w:rPr>
          <w:sz w:val="20"/>
          <w:szCs w:val="20"/>
          <w:color w:val="auto"/>
        </w:rPr>
      </w:pPr>
      <w:r>
        <w:rPr>
          <w:rFonts w:ascii="Arial" w:cs="Arial" w:eastAsia="Arial" w:hAnsi="Arial"/>
          <w:sz w:val="22"/>
          <w:szCs w:val="22"/>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1,234,003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1,304,034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1,387,310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1,004,332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1,011,087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229,671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292,947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354,305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73,053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67,376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64,951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142,955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138,004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134,463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86,716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154,943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219,842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FINANCING INCOME (EXPENSE),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(13,184)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91,021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139,317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(2,948)</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88,073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133,379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90,048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135,579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298,011</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BASIC EARNINGS PER ORDINARY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0.85</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106,256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100,399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96,647</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DILUTED EARNINGS PER ORDINARY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0.84</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90,048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135,579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306,905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Weighted average number of ordinary shares outstanding</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used for diluted earnings per share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107,438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102,517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105,947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left="260" w:right="2660"/>
        <w:spacing w:after="0" w:line="266" w:lineRule="auto"/>
        <w:rPr>
          <w:sz w:val="20"/>
          <w:szCs w:val="20"/>
          <w:color w:val="auto"/>
        </w:rPr>
      </w:pPr>
      <w:r>
        <w:rPr>
          <w:rFonts w:ascii="Arial" w:cs="Arial" w:eastAsia="Arial" w:hAnsi="Arial"/>
          <w:sz w:val="18"/>
          <w:szCs w:val="18"/>
          <w:b w:val="1"/>
          <w:bCs w:val="1"/>
          <w:color w:val="auto"/>
        </w:rPr>
        <w:t xml:space="preserve">TOWER SEMICONDUCTOR LTD. AND SUBSIDIARIES CONSOLIDATED STATEMENTS OF COMPREHENSIVE INCOME (LOSS) </w:t>
      </w:r>
      <w:r>
        <w:rPr>
          <w:rFonts w:ascii="Arial" w:cs="Arial" w:eastAsia="Arial" w:hAnsi="Arial"/>
          <w:sz w:val="18"/>
          <w:szCs w:val="18"/>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88,073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133,379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Foreign currency translation adjustment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3,478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Change in employees plan assets and benefit obligations, net of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(1,118)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Unrealized gain (loss) on derivatives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94,129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134,543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309,644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loss (income) attributable to non-controlling interest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the Company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95,192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134,950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303,079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line="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CONSOLIDATED STATEMENT OF CHANGES IN SHAREHOLDERS' EQUITY (dollars and share data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15"/>
          </w:tcPr>
          <w:p>
            <w:pPr>
              <w:jc w:val="right"/>
              <w:ind w:right="560"/>
              <w:spacing w:after="0"/>
              <w:rPr>
                <w:sz w:val="20"/>
                <w:szCs w:val="20"/>
                <w:color w:val="auto"/>
              </w:rPr>
            </w:pPr>
            <w:r>
              <w:rPr>
                <w:rFonts w:ascii="Arial" w:cs="Arial" w:eastAsia="Arial" w:hAnsi="Arial"/>
                <w:sz w:val="14"/>
                <w:szCs w:val="14"/>
                <w:b w:val="1"/>
                <w:bCs w:val="1"/>
                <w:color w:val="auto"/>
              </w:rPr>
              <w:t>THE COMPANY'S SHAREHOLDERS' EQUITY</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Ordinary</w:t>
            </w: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Ordinary</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Unearned</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comprehensive</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translation</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780" w:type="dxa"/>
            <w:vAlign w:val="bottom"/>
            <w:gridSpan w:val="7"/>
          </w:tcPr>
          <w:p>
            <w:pPr>
              <w:ind w:left="40"/>
              <w:spacing w:after="0"/>
              <w:rPr>
                <w:sz w:val="20"/>
                <w:szCs w:val="20"/>
                <w:color w:val="auto"/>
              </w:rPr>
            </w:pPr>
            <w:r>
              <w:rPr>
                <w:rFonts w:ascii="Arial" w:cs="Arial" w:eastAsia="Arial" w:hAnsi="Arial"/>
                <w:sz w:val="14"/>
                <w:szCs w:val="14"/>
                <w:b w:val="1"/>
                <w:bCs w:val="1"/>
                <w:color w:val="auto"/>
              </w:rPr>
              <w:t>Treasury  Comprehensive</w:t>
            </w:r>
          </w:p>
        </w:tc>
        <w:tc>
          <w:tcPr>
            <w:tcW w:w="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issued</w:t>
            </w:r>
          </w:p>
        </w:tc>
        <w:tc>
          <w:tcPr>
            <w:tcW w:w="60" w:type="dxa"/>
            <w:vAlign w:val="bottom"/>
          </w:tcPr>
          <w:p>
            <w:pPr>
              <w:spacing w:after="0"/>
              <w:rPr>
                <w:sz w:val="16"/>
                <w:szCs w:val="16"/>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notes</w:t>
            </w: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6"/>
                <w:szCs w:val="16"/>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income (loss)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7"/>
              </w:rPr>
              <w:t>stock</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BALANCE AS</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OF JANUARY</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1, 2017</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93,071</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9"/>
              </w:rPr>
              <w:t>$ 369,057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$ 1,318,725</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41,264</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68,921</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(544)</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(27,283)</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7"/>
              </w:rPr>
              <w:t>(1,071,036)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(7,418)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682,614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5"/>
              </w:rPr>
              <w:t>Changes during the</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period:</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gridSpan w:val="3"/>
          </w:tcPr>
          <w:p>
            <w:pPr>
              <w:spacing w:after="0"/>
              <w:rPr>
                <w:sz w:val="12"/>
                <w:szCs w:val="12"/>
                <w:color w:val="auto"/>
              </w:rPr>
            </w:pPr>
          </w:p>
        </w:tc>
        <w:tc>
          <w:tcPr>
            <w:tcW w:w="740" w:type="dxa"/>
            <w:vAlign w:val="bottom"/>
            <w:gridSpan w:val="3"/>
          </w:tcPr>
          <w:p>
            <w:pPr>
              <w:spacing w:after="0"/>
              <w:rPr>
                <w:sz w:val="12"/>
                <w:szCs w:val="12"/>
                <w:color w:val="auto"/>
              </w:rPr>
            </w:pPr>
          </w:p>
        </w:tc>
        <w:tc>
          <w:tcPr>
            <w:tcW w:w="7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9"/>
              </w:rPr>
              <w:t>Issuance of shares</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2,914</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12,128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4,247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16,375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auto"/>
              </w:rPr>
              <w:t>Conversion of</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debentures and</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4"/>
              </w:rPr>
              <w:t>exercise of warrants</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into share capital</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7"/>
              </w:rPr>
              <w:t>Exercise of options</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1,629</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6,750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8,180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14,930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auto"/>
              </w:rPr>
              <w:t>Capital notes</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2"/>
              </w:rPr>
              <w:t>converted into share</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930</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3,792</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16,714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(20,506)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Employee stock-</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0"/>
              </w:rPr>
              <w:t>based compensation</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11,644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11,644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auto"/>
              </w:rPr>
              <w:t>Stock-based</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related to the</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Facility Agreement</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with the Banks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Dividend to</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Panasonic</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(5,501)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(5,501)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160"/>
              <w:spacing w:after="0"/>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Pr>
          <w:p>
            <w:pPr>
              <w:ind w:left="160"/>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Profit</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298,011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298,011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3,645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301,656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Foreign</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currency</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2,761</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2,761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2,920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5,681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Change in</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w w:val="89"/>
              </w:rPr>
              <w:t>employees plan</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assets and</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benefit</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obligations</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511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511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511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gain on</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derivatives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1,796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1,796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1,796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Comprehensive</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303,079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BALANCE AS</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OF</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DECEMBER</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31, 2017</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98,544</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9"/>
              </w:rPr>
              <w:t>$ 391,727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$ 1,347,866</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20,758</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80,565</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1,763</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(24,522)</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(773,025)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(6,354)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3"/>
              </w:rPr>
              <w:t>1,029,706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5"/>
              </w:rPr>
              <w:t>Changes during the</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period:</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Conversion of notes</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into share capital</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5,790</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23,722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34,864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58,586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auto"/>
                <w:w w:val="97"/>
              </w:rPr>
              <w:t>Exercise of options</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and RSUs</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732</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3,043</w:t>
            </w:r>
          </w:p>
        </w:tc>
        <w:tc>
          <w:tcPr>
            <w:tcW w:w="8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(2,334)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709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Employee stock-</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0"/>
              </w:rPr>
              <w:t>based compensation</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12,661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12,661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160"/>
              <w:spacing w:after="0"/>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Pr>
          <w:p>
            <w:pPr>
              <w:ind w:left="160"/>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Profit</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135,579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135,579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(2,200)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133,379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Foreign</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currency</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1,806</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1,806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1,793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3,599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Change in</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w w:val="89"/>
              </w:rPr>
              <w:t>employees plan</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assets and</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benefit</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obligations</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269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w w:val="91"/>
              </w:rPr>
              <w:t>Unrealized loss</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w w:val="99"/>
              </w:rPr>
              <w:t>on derivatives</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(2,704)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(2,704)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(2,704)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Comprehensive</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134,950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BALANCE AS</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OF</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DECEMBER</w:t>
            </w: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31, 2018</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105,066</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9"/>
              </w:rPr>
              <w:t>$ 418,492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$ 1,380,396</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20,758</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93,226</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(672)</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(22,716)</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(637,446)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(6,761)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3"/>
              </w:rPr>
              <w:t>1,236,205</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period:</w:t>
      </w:r>
    </w:p>
    <w:p>
      <w:pPr>
        <w:sectPr>
          <w:pgSz w:w="11900" w:h="16844" w:orient="portrait"/>
          <w:cols w:equalWidth="0" w:num="1">
            <w:col w:w="11420"/>
          </w:cols>
          <w:pgMar w:left="240" w:top="121" w:right="23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Exercise of options</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and RSUs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2,727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(886)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1,841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b w:val="1"/>
                <w:bCs w:val="1"/>
                <w:color w:val="auto"/>
              </w:rPr>
              <w:t>Capital notes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w w:val="95"/>
              </w:rPr>
              <w:t>converted into share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1,181</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4,892</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15,866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(20,758)</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Employee stock-</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based compensation</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14,548</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14,548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20" w:type="dxa"/>
            <w:vAlign w:val="bottom"/>
          </w:tcPr>
          <w:p>
            <w:pPr>
              <w:ind w:left="160"/>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tcPr>
          <w:p>
            <w:pPr>
              <w:ind w:left="160"/>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tcPr>
          <w:p>
            <w:pPr>
              <w:ind w:left="160"/>
              <w:spacing w:after="0"/>
              <w:rPr>
                <w:sz w:val="20"/>
                <w:szCs w:val="20"/>
                <w:color w:val="auto"/>
              </w:rPr>
            </w:pPr>
            <w:r>
              <w:rPr>
                <w:rFonts w:ascii="Arial" w:cs="Arial" w:eastAsia="Arial" w:hAnsi="Arial"/>
                <w:sz w:val="14"/>
                <w:szCs w:val="14"/>
                <w:b w:val="1"/>
                <w:bCs w:val="1"/>
                <w:color w:val="auto"/>
              </w:rPr>
              <w:t>income: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Profit</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90,048</w:t>
            </w: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90,048</w:t>
            </w: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(1,975)</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88,073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Foreign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currency</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translation</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adjustments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2,566</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2,566</w:t>
            </w:r>
          </w:p>
        </w:tc>
        <w:tc>
          <w:tcPr>
            <w:tcW w:w="1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912</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3,478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Change in</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w w:val="93"/>
              </w:rPr>
              <w:t>employees plan</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assets and</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benefit</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obligations</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(1,118)</w:t>
            </w: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(1,118)</w:t>
            </w: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(1,118)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Unrealized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gain on</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derivatives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3,696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3,696</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3,696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95,192</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BALANCE AS</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OF</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DECEMBER</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2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31, 2019</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106,895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$ 426,111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$ 1,395,376</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107,774</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1,906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(20,150) $</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(547,398)  $</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9"/>
              </w:rPr>
              <w:t>(9,072)</w:t>
            </w:r>
          </w:p>
        </w:tc>
        <w:tc>
          <w:tcPr>
            <w:tcW w:w="3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(7,824)</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4"/>
              </w:rPr>
              <w:t>$ 1,346,723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OUTSTANDING</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SHARES, NET OF</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TREASURY</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 AS OF</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2019</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106,808</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Year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88,073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133,379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214,474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214,391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Effect of exchange rate differences on debentures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10,294</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(9,791)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expense (income),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(4,293)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27,317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Other current assets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11,260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(21,021)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(26,344)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(339)</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(10,331)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Employee related liabilities and other current liabilities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(9,435)</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(6,745)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(108,844)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291,320</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312,897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355,635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(191,396)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(210,192)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Proceeds related to sale and disposal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19,230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40,451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 grants received</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other assets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(14,536)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Deposits and marketable securities,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(132,515)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(143,940)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(80,643)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76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(305,094)</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(328,217)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(245,360)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loans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98,990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Loans repayment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(142,285)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Principal payments on account of capital lease obligation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(19,402)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(5,554)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Debentures repayment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Dividend paid to Panasonic</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76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(17,560)</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(48,135)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(23,318)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3,720</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(29,530)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(60,870)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385,091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445,961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355,284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385,091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Year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39,184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28,052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Conversion of notes into share capital</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22,600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58,586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Cash received during the period from interest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14,436</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8,818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Cash paid during the period for interest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Cash paid during the period for income taxes, net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13,026</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5,768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17,668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1</w:t>
        <w:tab/>
        <w:t>-</w:t>
      </w:r>
      <w:r>
        <w:rPr>
          <w:sz w:val="20"/>
          <w:szCs w:val="20"/>
          <w:color w:val="auto"/>
        </w:rPr>
        <w:tab/>
      </w:r>
      <w:r>
        <w:rPr>
          <w:rFonts w:ascii="Arial" w:cs="Arial" w:eastAsia="Arial" w:hAnsi="Arial"/>
          <w:sz w:val="21"/>
          <w:szCs w:val="21"/>
          <w:b w:val="1"/>
          <w:bCs w:val="1"/>
          <w:color w:val="auto"/>
        </w:rPr>
        <w:t>DESCRIPTION OF BUSINESS AND GENERAL</w:t>
      </w:r>
    </w:p>
    <w:p>
      <w:pPr>
        <w:spacing w:after="0" w:line="293"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The consolidated financial statements of Tower Semiconductor Ltd. (“Tower”) include the financial statements of Tower, and (i) its wholly-owned subsidiary Tower US Holdings Inc., the sole owner of: (1) Jazz US Holdings Inc. and its wholly-owned subsidiary, Jazz Semiconductor, Inc., an independent semiconductor foundry focused on specialty process technologies for the manufacture of analog intensive mixed-signal semiconductor devices (Jazz US Holdings Inc. and Jazz Semiconductor, Inc. collectively referred to herein as “Jazz”); and (2) TowerJazz Texas Inc. (“TJT”); and (ii) its 51% owned subsidiary, TowerJazz Panasonic Semiconductor Co., Ltd. (“TPSCo”), an independent semiconductor foundry which includes three semiconductor manufacturing facilities located in Tonami, Uozu and Arai, in Hokuriku Japan. TPSCo’s other 49% shares are held by Panasonic Semiconductor Solution Co., Ltd (“PSCS”), a fully owned subsidiary of Panasonic Corporation as of December 31, 2019. On November 28, 2019, Panasonic Corportaion announced it will sell PSCS to Nuvoton Technology Corporation, a Taiwan-based semiconductor company, which is an affiliate of Winbond Electronics Corporation, in a transaction that is targeted by Panasonic to close on June 2020 Tower and its subsidiaries are collectively referred to as the “Company”.</w:t>
      </w:r>
    </w:p>
    <w:p>
      <w:pPr>
        <w:spacing w:after="0" w:line="212" w:lineRule="exact"/>
        <w:rPr>
          <w:sz w:val="20"/>
          <w:szCs w:val="20"/>
          <w:color w:val="auto"/>
        </w:rPr>
      </w:pPr>
    </w:p>
    <w:p>
      <w:pPr>
        <w:jc w:val="both"/>
        <w:ind w:left="1300"/>
        <w:spacing w:after="0" w:line="305" w:lineRule="auto"/>
        <w:rPr>
          <w:sz w:val="20"/>
          <w:szCs w:val="20"/>
          <w:color w:val="auto"/>
        </w:rPr>
      </w:pPr>
      <w:r>
        <w:rPr>
          <w:rFonts w:ascii="Arial" w:cs="Arial" w:eastAsia="Arial" w:hAnsi="Arial"/>
          <w:sz w:val="19"/>
          <w:szCs w:val="19"/>
          <w:color w:val="auto"/>
        </w:rPr>
        <w:t>The Company is a global specialty foundry leader manufacturing integrated circuits, offering a broad range of customizable process technologies including: SiGe, BiCMOS, mixed-signal/CMOS, RF CMOS, CMOS image sensor, integrated power management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45nm CMOS, 65nm RF CMOS and 65nm advanced image sensor technologies.</w:t>
      </w:r>
    </w:p>
    <w:p>
      <w:pPr>
        <w:spacing w:after="0" w:line="210" w:lineRule="exact"/>
        <w:rPr>
          <w:sz w:val="20"/>
          <w:szCs w:val="20"/>
          <w:color w:val="auto"/>
        </w:rPr>
      </w:pPr>
    </w:p>
    <w:p>
      <w:pPr>
        <w:jc w:val="both"/>
        <w:ind w:left="1300" w:right="20"/>
        <w:spacing w:after="0" w:line="276" w:lineRule="auto"/>
        <w:rPr>
          <w:sz w:val="20"/>
          <w:szCs w:val="20"/>
          <w:color w:val="auto"/>
        </w:rPr>
      </w:pPr>
      <w:r>
        <w:rPr>
          <w:rFonts w:ascii="Arial" w:cs="Arial" w:eastAsia="Arial" w:hAnsi="Arial"/>
          <w:sz w:val="22"/>
          <w:szCs w:val="22"/>
          <w:color w:val="auto"/>
        </w:rPr>
        <w:t>Tower’s ordinary shares are traded on the NASDAQ Global Select Market and on the Tel-Aviv Stock Exchange (“TASE”) under the symbol TSEM.</w:t>
      </w:r>
    </w:p>
    <w:p>
      <w:pPr>
        <w:spacing w:after="0" w:line="228" w:lineRule="exact"/>
        <w:rPr>
          <w:sz w:val="20"/>
          <w:szCs w:val="20"/>
          <w:color w:val="auto"/>
        </w:rPr>
      </w:pPr>
    </w:p>
    <w:p>
      <w:pPr>
        <w:jc w:val="both"/>
        <w:ind w:left="1300"/>
        <w:spacing w:after="0" w:line="276" w:lineRule="auto"/>
        <w:rPr>
          <w:sz w:val="20"/>
          <w:szCs w:val="20"/>
          <w:color w:val="auto"/>
        </w:rPr>
      </w:pPr>
      <w:r>
        <w:rPr>
          <w:rFonts w:ascii="Arial" w:cs="Arial" w:eastAsia="Arial" w:hAnsi="Arial"/>
          <w:sz w:val="22"/>
          <w:szCs w:val="22"/>
          <w:color w:val="auto"/>
        </w:rPr>
        <w:t>The Company’s consolidated financial statements are presented in accordance with U.S. generally accepted accounting principles (“US GAAP”).</w:t>
      </w:r>
    </w:p>
    <w:p>
      <w:pPr>
        <w:spacing w:after="0" w:line="222"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2"/>
          <w:szCs w:val="22"/>
          <w:b w:val="1"/>
          <w:bCs w:val="1"/>
          <w:color w:val="auto"/>
        </w:rPr>
        <w:t>SUMMARY OF SIGNIFICANT ACCOUNTING POLICIES</w:t>
      </w:r>
    </w:p>
    <w:p>
      <w:pPr>
        <w:spacing w:after="0" w:line="283" w:lineRule="exact"/>
        <w:rPr>
          <w:sz w:val="20"/>
          <w:szCs w:val="20"/>
          <w:color w:val="auto"/>
        </w:rPr>
      </w:pPr>
    </w:p>
    <w:p>
      <w:pPr>
        <w:ind w:left="1860" w:hanging="555"/>
        <w:spacing w:after="0"/>
        <w:tabs>
          <w:tab w:leader="none" w:pos="18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Preparation of Financial Statements</w:t>
      </w:r>
    </w:p>
    <w:p>
      <w:pPr>
        <w:spacing w:after="0" w:line="290" w:lineRule="exact"/>
        <w:rPr>
          <w:sz w:val="20"/>
          <w:szCs w:val="20"/>
          <w:color w:val="auto"/>
        </w:rPr>
      </w:pPr>
    </w:p>
    <w:p>
      <w:pPr>
        <w:jc w:val="both"/>
        <w:ind w:left="1880"/>
        <w:spacing w:after="0" w:line="317" w:lineRule="auto"/>
        <w:rPr>
          <w:sz w:val="20"/>
          <w:szCs w:val="20"/>
          <w:color w:val="auto"/>
        </w:rPr>
      </w:pPr>
      <w:r>
        <w:rPr>
          <w:rFonts w:ascii="Arial" w:cs="Arial" w:eastAsia="Arial" w:hAnsi="Arial"/>
          <w:sz w:val="19"/>
          <w:szCs w:val="19"/>
          <w:color w:val="auto"/>
        </w:rPr>
        <w:t>The preparation of financial statements in conformity with GAAP requires the Company to make estimates and assumptions that affect the reported amounts of assets and liabilities, affect the disclosure of contingent assets and liabilities as of the date of the financial statements, and the reported amounts of revenues and expenses during the reporting periods. Actual results could differ from those estimates.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1"/>
          <w:szCs w:val="21"/>
          <w:b w:val="1"/>
          <w:bCs w:val="1"/>
          <w:color w:val="auto"/>
        </w:rPr>
        <w:t>SUMMARY OF SIGNIFICANT ACCOUNTING POLICIES (cont.)</w:t>
      </w:r>
    </w:p>
    <w:p>
      <w:pPr>
        <w:spacing w:after="0" w:line="283" w:lineRule="exact"/>
        <w:rPr>
          <w:sz w:val="20"/>
          <w:szCs w:val="20"/>
          <w:color w:val="auto"/>
        </w:rPr>
      </w:pPr>
    </w:p>
    <w:p>
      <w:pPr>
        <w:ind w:left="1880" w:hanging="575"/>
        <w:spacing w:after="0"/>
        <w:tabs>
          <w:tab w:leader="none" w:pos="18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The Company’s consolidated financial statements include the financial statements of Tower and its subsidiaries. The Company’s consolidated financial statements are presented after elimination of inter-company transactions and balances.</w:t>
      </w:r>
    </w:p>
    <w:p>
      <w:pPr>
        <w:spacing w:after="0" w:line="229" w:lineRule="exact"/>
        <w:rPr>
          <w:sz w:val="20"/>
          <w:szCs w:val="20"/>
          <w:color w:val="auto"/>
        </w:rPr>
      </w:pPr>
    </w:p>
    <w:p>
      <w:pPr>
        <w:ind w:left="1880" w:hanging="575"/>
        <w:spacing w:after="0"/>
        <w:tabs>
          <w:tab w:leader="none" w:pos="18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90" w:lineRule="exact"/>
        <w:rPr>
          <w:sz w:val="20"/>
          <w:szCs w:val="20"/>
          <w:color w:val="auto"/>
        </w:rPr>
      </w:pPr>
    </w:p>
    <w:p>
      <w:pPr>
        <w:ind w:left="1880"/>
        <w:spacing w:after="0" w:line="276" w:lineRule="auto"/>
        <w:rPr>
          <w:sz w:val="20"/>
          <w:szCs w:val="20"/>
          <w:color w:val="auto"/>
        </w:rPr>
      </w:pPr>
      <w:r>
        <w:rPr>
          <w:rFonts w:ascii="Arial" w:cs="Arial" w:eastAsia="Arial" w:hAnsi="Arial"/>
          <w:sz w:val="22"/>
          <w:szCs w:val="22"/>
          <w:color w:val="auto"/>
        </w:rPr>
        <w:t>Cash and cash equivalents consist of cash, bank deposits and short-term investments with original maturities of three months or less.</w:t>
      </w:r>
    </w:p>
    <w:p>
      <w:pPr>
        <w:spacing w:after="0" w:line="218" w:lineRule="exact"/>
        <w:rPr>
          <w:sz w:val="20"/>
          <w:szCs w:val="20"/>
          <w:color w:val="auto"/>
        </w:rPr>
      </w:pPr>
    </w:p>
    <w:p>
      <w:pPr>
        <w:ind w:left="1880" w:hanging="575"/>
        <w:spacing w:after="0"/>
        <w:tabs>
          <w:tab w:leader="none" w:pos="18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Interest-Bearing Deposits</w:t>
      </w:r>
    </w:p>
    <w:p>
      <w:pPr>
        <w:spacing w:after="0" w:line="290" w:lineRule="exact"/>
        <w:rPr>
          <w:sz w:val="20"/>
          <w:szCs w:val="20"/>
          <w:color w:val="auto"/>
        </w:rPr>
      </w:pPr>
    </w:p>
    <w:p>
      <w:pPr>
        <w:ind w:left="1880"/>
        <w:spacing w:after="0" w:line="358" w:lineRule="auto"/>
        <w:rPr>
          <w:sz w:val="20"/>
          <w:szCs w:val="20"/>
          <w:color w:val="auto"/>
        </w:rPr>
      </w:pPr>
      <w:r>
        <w:rPr>
          <w:rFonts w:ascii="Arial" w:cs="Arial" w:eastAsia="Arial" w:hAnsi="Arial"/>
          <w:sz w:val="19"/>
          <w:szCs w:val="19"/>
          <w:color w:val="auto"/>
        </w:rPr>
        <w:t>Short-term deposits include bank deposits with original maturities greater than three months and less than one year. Such deposits presented at cost, including accrued interest, which approximates their fair value.</w:t>
      </w:r>
    </w:p>
    <w:p>
      <w:pPr>
        <w:spacing w:after="0" w:line="148" w:lineRule="exact"/>
        <w:rPr>
          <w:sz w:val="20"/>
          <w:szCs w:val="20"/>
          <w:color w:val="auto"/>
        </w:rPr>
      </w:pPr>
    </w:p>
    <w:p>
      <w:pPr>
        <w:ind w:left="1880" w:hanging="575"/>
        <w:spacing w:after="0"/>
        <w:tabs>
          <w:tab w:leader="none" w:pos="18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63" w:lineRule="exact"/>
        <w:rPr>
          <w:sz w:val="20"/>
          <w:szCs w:val="20"/>
          <w:color w:val="auto"/>
        </w:rPr>
      </w:pPr>
    </w:p>
    <w:p>
      <w:pPr>
        <w:jc w:val="both"/>
        <w:ind w:left="1880"/>
        <w:spacing w:after="0" w:line="327" w:lineRule="auto"/>
        <w:rPr>
          <w:sz w:val="20"/>
          <w:szCs w:val="20"/>
          <w:color w:val="auto"/>
        </w:rPr>
      </w:pPr>
      <w:r>
        <w:rPr>
          <w:rFonts w:ascii="Arial" w:cs="Arial" w:eastAsia="Arial" w:hAnsi="Arial"/>
          <w:sz w:val="19"/>
          <w:szCs w:val="19"/>
          <w:color w:val="auto"/>
        </w:rPr>
        <w:t>The Company accounts for investments in debt securities in accordance with ASC 320 "</w:t>
      </w:r>
      <w:r>
        <w:rPr>
          <w:rFonts w:ascii="Arial" w:cs="Arial" w:eastAsia="Arial" w:hAnsi="Arial"/>
          <w:sz w:val="19"/>
          <w:szCs w:val="19"/>
          <w:i w:val="1"/>
          <w:iCs w:val="1"/>
          <w:color w:val="auto"/>
        </w:rPr>
        <w:t>Investments - Debt</w:t>
      </w:r>
      <w:r>
        <w:rPr>
          <w:rFonts w:ascii="Arial" w:cs="Arial" w:eastAsia="Arial" w:hAnsi="Arial"/>
          <w:sz w:val="19"/>
          <w:szCs w:val="19"/>
          <w:color w:val="auto"/>
        </w:rPr>
        <w:t xml:space="preserve"> </w:t>
      </w:r>
      <w:r>
        <w:rPr>
          <w:rFonts w:ascii="Arial" w:cs="Arial" w:eastAsia="Arial" w:hAnsi="Arial"/>
          <w:sz w:val="19"/>
          <w:szCs w:val="19"/>
          <w:i w:val="1"/>
          <w:iCs w:val="1"/>
          <w:color w:val="auto"/>
        </w:rPr>
        <w:t>and Equity Securities"</w:t>
      </w:r>
      <w:r>
        <w:rPr>
          <w:rFonts w:ascii="Arial" w:cs="Arial" w:eastAsia="Arial" w:hAnsi="Arial"/>
          <w:sz w:val="19"/>
          <w:szCs w:val="19"/>
          <w:color w:val="auto"/>
        </w:rPr>
        <w:t>. Management determines the appropriate classification of its investments in debt</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at the time of purchase and re-evaluates such determinations at each balance sheet date.</w:t>
      </w:r>
    </w:p>
    <w:p>
      <w:pPr>
        <w:spacing w:after="0" w:line="187" w:lineRule="exact"/>
        <w:rPr>
          <w:sz w:val="20"/>
          <w:szCs w:val="20"/>
          <w:color w:val="auto"/>
        </w:rPr>
      </w:pPr>
    </w:p>
    <w:p>
      <w:pPr>
        <w:jc w:val="both"/>
        <w:ind w:left="1880"/>
        <w:spacing w:after="0" w:line="279" w:lineRule="auto"/>
        <w:rPr>
          <w:sz w:val="20"/>
          <w:szCs w:val="20"/>
          <w:color w:val="auto"/>
        </w:rPr>
      </w:pPr>
      <w:r>
        <w:rPr>
          <w:rFonts w:ascii="Arial" w:cs="Arial" w:eastAsia="Arial" w:hAnsi="Arial"/>
          <w:sz w:val="21"/>
          <w:szCs w:val="21"/>
          <w:color w:val="auto"/>
        </w:rPr>
        <w:t>Marketable securities classified as "available-for-sale" are carried at fair value, based on quoted market prices. Unrealized gains and losses are reported in a separate component of shareholders' equity in accumulated other comprehensive income (“OCI”). Gains and losses are recognized when realized, on a specific identification basis, in the Company's consolidated statements of income.</w:t>
      </w:r>
    </w:p>
    <w:p>
      <w:pPr>
        <w:spacing w:after="0" w:line="228" w:lineRule="exact"/>
        <w:rPr>
          <w:sz w:val="20"/>
          <w:szCs w:val="20"/>
          <w:color w:val="auto"/>
        </w:rPr>
      </w:pPr>
    </w:p>
    <w:p>
      <w:pPr>
        <w:jc w:val="both"/>
        <w:ind w:left="1880"/>
        <w:spacing w:after="0" w:line="272" w:lineRule="auto"/>
        <w:rPr>
          <w:sz w:val="20"/>
          <w:szCs w:val="20"/>
          <w:color w:val="auto"/>
        </w:rPr>
      </w:pPr>
      <w:r>
        <w:rPr>
          <w:rFonts w:ascii="Arial" w:cs="Arial" w:eastAsia="Arial" w:hAnsi="Arial"/>
          <w:sz w:val="21"/>
          <w:szCs w:val="21"/>
          <w:color w:val="auto"/>
        </w:rPr>
        <w:t>The Company's securities are reviewed for impairment in accordance with ASC 320-10-35. If such assets are considered to be impaired, the impairment charge is recognized in earnings when a decline in the fair value of its investments below the cost basis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w:t>
      </w:r>
    </w:p>
    <w:p>
      <w:pPr>
        <w:spacing w:after="0" w:line="238" w:lineRule="exact"/>
        <w:rPr>
          <w:sz w:val="20"/>
          <w:szCs w:val="20"/>
          <w:color w:val="auto"/>
        </w:rPr>
      </w:pPr>
    </w:p>
    <w:p>
      <w:pPr>
        <w:jc w:val="both"/>
        <w:ind w:left="1880" w:right="20"/>
        <w:spacing w:after="0" w:line="358" w:lineRule="auto"/>
        <w:rPr>
          <w:sz w:val="20"/>
          <w:szCs w:val="20"/>
          <w:color w:val="auto"/>
        </w:rPr>
      </w:pPr>
      <w:r>
        <w:rPr>
          <w:rFonts w:ascii="Arial" w:cs="Arial" w:eastAsia="Arial" w:hAnsi="Arial"/>
          <w:sz w:val="19"/>
          <w:szCs w:val="19"/>
          <w:color w:val="auto"/>
        </w:rPr>
        <w:t>For securities that do not meet these criteria, the amount of impairment recognized in earnings is limited to the amount related to credit losses, while declines in fair value related to other factors are recognized in OCI.</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1"/>
          <w:szCs w:val="21"/>
          <w:b w:val="1"/>
          <w:bCs w:val="1"/>
          <w:color w:val="auto"/>
        </w:rPr>
        <w:t>SUMMARY OF SIGNIFICANT ACCOUNTING POLICIES (cont.)</w:t>
      </w:r>
    </w:p>
    <w:p>
      <w:pPr>
        <w:spacing w:after="0" w:line="283" w:lineRule="exact"/>
        <w:rPr>
          <w:sz w:val="20"/>
          <w:szCs w:val="20"/>
          <w:color w:val="auto"/>
        </w:rPr>
      </w:pPr>
    </w:p>
    <w:p>
      <w:pPr>
        <w:ind w:left="1880" w:hanging="575"/>
        <w:spacing w:after="0"/>
        <w:tabs>
          <w:tab w:leader="none" w:pos="18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 (Cont.)</w:t>
      </w:r>
    </w:p>
    <w:p>
      <w:pPr>
        <w:spacing w:after="0" w:line="290" w:lineRule="exact"/>
        <w:rPr>
          <w:sz w:val="20"/>
          <w:szCs w:val="20"/>
          <w:color w:val="auto"/>
        </w:rPr>
      </w:pPr>
    </w:p>
    <w:p>
      <w:pPr>
        <w:jc w:val="both"/>
        <w:ind w:left="1920"/>
        <w:spacing w:after="0" w:line="263" w:lineRule="auto"/>
        <w:rPr>
          <w:sz w:val="20"/>
          <w:szCs w:val="20"/>
          <w:color w:val="auto"/>
        </w:rPr>
      </w:pPr>
      <w:r>
        <w:rPr>
          <w:rFonts w:ascii="Arial" w:cs="Arial" w:eastAsia="Arial" w:hAnsi="Arial"/>
          <w:sz w:val="22"/>
          <w:szCs w:val="22"/>
          <w:color w:val="auto"/>
        </w:rPr>
        <w:t>If quoted prices for identical instruments are available in an active market, marketable securities are classified within Level 1 of the fair value hierarchy. If quoted prices for identical instruments in active markets are not available, fair values are estimated using quoted prices of similar instruments and are classified within Level 2 of the fair value hierarchy.</w:t>
      </w:r>
    </w:p>
    <w:p>
      <w:pPr>
        <w:spacing w:after="0" w:line="231" w:lineRule="exact"/>
        <w:rPr>
          <w:sz w:val="20"/>
          <w:szCs w:val="20"/>
          <w:color w:val="auto"/>
        </w:rPr>
      </w:pPr>
    </w:p>
    <w:p>
      <w:pPr>
        <w:ind w:left="1880" w:hanging="575"/>
        <w:spacing w:after="0"/>
        <w:tabs>
          <w:tab w:leader="none" w:pos="18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Trade Accounts Receivables - Allowance for Doubtful Accounts</w:t>
      </w:r>
    </w:p>
    <w:p>
      <w:pPr>
        <w:spacing w:after="0" w:line="290" w:lineRule="exact"/>
        <w:rPr>
          <w:sz w:val="20"/>
          <w:szCs w:val="20"/>
          <w:color w:val="auto"/>
        </w:rPr>
      </w:pPr>
    </w:p>
    <w:p>
      <w:pPr>
        <w:jc w:val="both"/>
        <w:ind w:left="1880"/>
        <w:spacing w:after="0" w:line="317" w:lineRule="auto"/>
        <w:rPr>
          <w:sz w:val="20"/>
          <w:szCs w:val="20"/>
          <w:color w:val="auto"/>
        </w:rPr>
      </w:pPr>
      <w:r>
        <w:rPr>
          <w:rFonts w:ascii="Arial" w:cs="Arial" w:eastAsia="Arial" w:hAnsi="Arial"/>
          <w:sz w:val="19"/>
          <w:szCs w:val="19"/>
          <w:color w:val="auto"/>
        </w:rPr>
        <w:t>The Company maintains an allowance for doubtful accounts, based on specific analysis of the account receivable’s aging, assessment of its related risk and ability of the customer to make the required payment.. As of December 31, 2019 and 2018, the allowance for doubtful accounts was $10,925 and $4,208, respectively, of which $10,000 and $3,000, respectively, relates to a customer located in the Far East region.</w:t>
      </w:r>
    </w:p>
    <w:p>
      <w:pPr>
        <w:spacing w:after="0" w:line="190"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Accounts Receivable Factoring</w:t>
      </w:r>
    </w:p>
    <w:p>
      <w:pPr>
        <w:spacing w:after="0" w:line="293" w:lineRule="exact"/>
        <w:rPr>
          <w:sz w:val="20"/>
          <w:szCs w:val="20"/>
          <w:color w:val="auto"/>
        </w:rPr>
      </w:pPr>
    </w:p>
    <w:p>
      <w:pPr>
        <w:jc w:val="both"/>
        <w:ind w:left="1920"/>
        <w:spacing w:after="0" w:line="266" w:lineRule="auto"/>
        <w:rPr>
          <w:sz w:val="20"/>
          <w:szCs w:val="20"/>
          <w:color w:val="auto"/>
        </w:rPr>
      </w:pPr>
      <w:r>
        <w:rPr>
          <w:rFonts w:ascii="Arial" w:cs="Arial" w:eastAsia="Arial" w:hAnsi="Arial"/>
          <w:sz w:val="22"/>
          <w:szCs w:val="22"/>
          <w:color w:val="auto"/>
        </w:rPr>
        <w:t>From time to time, the Company uses non-recourse factoring arrangements, to sell accounts receivable to third-party financial institutions. The sale of the receivables in these arrangements are accounted for as a true sale, under ASC 860.</w:t>
      </w:r>
    </w:p>
    <w:p>
      <w:pPr>
        <w:spacing w:after="0" w:line="229" w:lineRule="exact"/>
        <w:rPr>
          <w:sz w:val="20"/>
          <w:szCs w:val="20"/>
          <w:color w:val="auto"/>
        </w:rPr>
      </w:pPr>
    </w:p>
    <w:p>
      <w:pPr>
        <w:ind w:left="1880" w:hanging="575"/>
        <w:spacing w:after="0"/>
        <w:tabs>
          <w:tab w:leader="none" w:pos="18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90" w:lineRule="exact"/>
        <w:rPr>
          <w:sz w:val="20"/>
          <w:szCs w:val="20"/>
          <w:color w:val="auto"/>
        </w:rPr>
      </w:pPr>
    </w:p>
    <w:p>
      <w:pPr>
        <w:jc w:val="both"/>
        <w:ind w:left="1880"/>
        <w:spacing w:after="0" w:line="263" w:lineRule="auto"/>
        <w:rPr>
          <w:sz w:val="20"/>
          <w:szCs w:val="20"/>
          <w:color w:val="auto"/>
        </w:rPr>
      </w:pPr>
      <w:r>
        <w:rPr>
          <w:rFonts w:ascii="Arial" w:cs="Arial" w:eastAsia="Arial" w:hAnsi="Arial"/>
          <w:sz w:val="22"/>
          <w:szCs w:val="22"/>
          <w:color w:val="auto"/>
        </w:rPr>
        <w:t>Inventories are stated at the lower of aggregate cost or net realizable value. If inventory costs exceed expected net realizable value, the Company records reserves for the difference between the cost and the expected net realizable value. Cost of raw materials is determined mainly on the basis of the weighted average moving price per unit.</w:t>
      </w:r>
    </w:p>
    <w:p>
      <w:pPr>
        <w:spacing w:after="0" w:line="231" w:lineRule="exact"/>
        <w:rPr>
          <w:sz w:val="20"/>
          <w:szCs w:val="20"/>
          <w:color w:val="auto"/>
        </w:rPr>
      </w:pPr>
    </w:p>
    <w:p>
      <w:pPr>
        <w:ind w:left="1860" w:hanging="555"/>
        <w:spacing w:after="0"/>
        <w:tabs>
          <w:tab w:leader="none" w:pos="18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Privately-Held Companies</w:t>
      </w:r>
    </w:p>
    <w:p>
      <w:pPr>
        <w:spacing w:after="0" w:line="290" w:lineRule="exact"/>
        <w:rPr>
          <w:sz w:val="20"/>
          <w:szCs w:val="20"/>
          <w:color w:val="auto"/>
        </w:rPr>
      </w:pPr>
    </w:p>
    <w:p>
      <w:pPr>
        <w:jc w:val="both"/>
        <w:ind w:left="1880"/>
        <w:spacing w:after="0" w:line="259" w:lineRule="auto"/>
        <w:rPr>
          <w:sz w:val="20"/>
          <w:szCs w:val="20"/>
          <w:color w:val="auto"/>
        </w:rPr>
      </w:pPr>
      <w:r>
        <w:rPr>
          <w:rFonts w:ascii="Arial" w:cs="Arial" w:eastAsia="Arial" w:hAnsi="Arial"/>
          <w:sz w:val="22"/>
          <w:szCs w:val="22"/>
          <w:color w:val="auto"/>
        </w:rPr>
        <w:t xml:space="preserve">Long-term investments include equity investments in privately-held companies without readily determinable fair values. In accordance with ASC 321 - </w:t>
      </w:r>
      <w:r>
        <w:rPr>
          <w:rFonts w:ascii="Arial" w:cs="Arial" w:eastAsia="Arial" w:hAnsi="Arial"/>
          <w:sz w:val="22"/>
          <w:szCs w:val="22"/>
          <w:i w:val="1"/>
          <w:iCs w:val="1"/>
          <w:color w:val="auto"/>
        </w:rPr>
        <w:t>“Investments - Equity Securities</w:t>
      </w:r>
      <w:r>
        <w:rPr>
          <w:rFonts w:ascii="Arial" w:cs="Arial" w:eastAsia="Arial" w:hAnsi="Arial"/>
          <w:sz w:val="22"/>
          <w:szCs w:val="22"/>
          <w:color w:val="auto"/>
        </w:rPr>
        <w:t>”, Company may elect between fair value and measurement alternative of cost, less impairments, and further adjust up or down, based on observable price changes in orderly transactions for identical or similar investments of the same issuer (“measurement alternative”). The Company elected to use the measurement alternative for each of its investments made through December 31, 2019. Any adjustments resulting from impairments and/or observable price changes are recorded as “other income (expense), net” in the consolidated statements of operations.</w:t>
      </w:r>
    </w:p>
    <w:p>
      <w:pPr>
        <w:spacing w:after="0" w:line="237" w:lineRule="exact"/>
        <w:rPr>
          <w:sz w:val="20"/>
          <w:szCs w:val="20"/>
          <w:color w:val="auto"/>
        </w:rPr>
      </w:pPr>
    </w:p>
    <w:p>
      <w:pPr>
        <w:ind w:left="1880" w:hanging="575"/>
        <w:spacing w:after="0"/>
        <w:tabs>
          <w:tab w:leader="none" w:pos="18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90" w:lineRule="exact"/>
        <w:rPr>
          <w:sz w:val="20"/>
          <w:szCs w:val="20"/>
          <w:color w:val="auto"/>
        </w:rPr>
      </w:pPr>
    </w:p>
    <w:p>
      <w:pPr>
        <w:jc w:val="both"/>
        <w:ind w:left="1880"/>
        <w:spacing w:after="0" w:line="312" w:lineRule="auto"/>
        <w:rPr>
          <w:sz w:val="20"/>
          <w:szCs w:val="20"/>
          <w:color w:val="auto"/>
        </w:rPr>
      </w:pPr>
      <w:r>
        <w:rPr>
          <w:rFonts w:ascii="Arial" w:cs="Arial" w:eastAsia="Arial" w:hAnsi="Arial"/>
          <w:sz w:val="19"/>
          <w:szCs w:val="19"/>
          <w:color w:val="auto"/>
        </w:rPr>
        <w:t>The Company accounts for property and equipment in accordance with Accounting Standards Codification ASC 360 “</w:t>
      </w:r>
      <w:r>
        <w:rPr>
          <w:rFonts w:ascii="Arial" w:cs="Arial" w:eastAsia="Arial" w:hAnsi="Arial"/>
          <w:sz w:val="19"/>
          <w:szCs w:val="19"/>
          <w:i w:val="1"/>
          <w:iCs w:val="1"/>
          <w:color w:val="auto"/>
        </w:rPr>
        <w:t>Accounting for the Property, Plant and Equipment</w:t>
      </w:r>
      <w:r>
        <w:rPr>
          <w:rFonts w:ascii="Arial" w:cs="Arial" w:eastAsia="Arial" w:hAnsi="Arial"/>
          <w:sz w:val="19"/>
          <w:szCs w:val="19"/>
          <w:color w:val="auto"/>
        </w:rPr>
        <w:t>”. Property and equipment are presented at cost, including capitalizable costs. Capitalizable costs include only costs that are identifiable with, and related to the property and equipment and are incurred prior to their initial operation. Identifiable incremental direct costs include costs associated with constructing, establishing and installing property and equipment.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1"/>
          <w:szCs w:val="21"/>
          <w:b w:val="1"/>
          <w:bCs w:val="1"/>
          <w:color w:val="auto"/>
        </w:rPr>
        <w:t>SUMMARY OF SIGNIFICANT ACCOUNTING POLICIES (cont.)</w:t>
      </w:r>
    </w:p>
    <w:p>
      <w:pPr>
        <w:spacing w:after="0" w:line="283" w:lineRule="exact"/>
        <w:rPr>
          <w:sz w:val="20"/>
          <w:szCs w:val="20"/>
          <w:color w:val="auto"/>
        </w:rPr>
      </w:pPr>
    </w:p>
    <w:p>
      <w:pPr>
        <w:ind w:left="1880" w:hanging="575"/>
        <w:spacing w:after="0"/>
        <w:tabs>
          <w:tab w:leader="none" w:pos="18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(cont.)</w:t>
      </w:r>
    </w:p>
    <w:p>
      <w:pPr>
        <w:spacing w:after="0" w:line="29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Maintenance and repairs are charged to expenses as incurred.</w:t>
      </w:r>
    </w:p>
    <w:p>
      <w:pPr>
        <w:spacing w:after="0" w:line="287"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Property and equipment are presented net of investment grants received, and less accumulated depreciation.</w:t>
      </w:r>
    </w:p>
    <w:p>
      <w:pPr>
        <w:spacing w:after="0" w:line="322" w:lineRule="exact"/>
        <w:rPr>
          <w:sz w:val="20"/>
          <w:szCs w:val="20"/>
          <w:color w:val="auto"/>
        </w:rPr>
      </w:pPr>
    </w:p>
    <w:p>
      <w:pPr>
        <w:ind w:left="1880"/>
        <w:spacing w:after="0" w:line="276" w:lineRule="auto"/>
        <w:rPr>
          <w:sz w:val="20"/>
          <w:szCs w:val="20"/>
          <w:color w:val="auto"/>
        </w:rPr>
      </w:pPr>
      <w:r>
        <w:rPr>
          <w:rFonts w:ascii="Arial" w:cs="Arial" w:eastAsia="Arial" w:hAnsi="Arial"/>
          <w:sz w:val="22"/>
          <w:szCs w:val="22"/>
          <w:color w:val="auto"/>
        </w:rPr>
        <w:t>Depreciation is calculated based on the straight-line method over the Company’s estimated useful lives of the assets,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100" w:type="dxa"/>
            <w:vAlign w:val="bottom"/>
            <w:shd w:val="clear" w:color="auto" w:fill="CCECFF"/>
          </w:tcPr>
          <w:p>
            <w:pPr>
              <w:spacing w:after="0"/>
              <w:rPr>
                <w:sz w:val="20"/>
                <w:szCs w:val="20"/>
                <w:color w:val="auto"/>
              </w:rPr>
            </w:pPr>
            <w:r>
              <w:rPr>
                <w:rFonts w:ascii="Arial" w:cs="Arial" w:eastAsia="Arial" w:hAnsi="Arial"/>
                <w:sz w:val="18"/>
                <w:szCs w:val="18"/>
                <w:color w:val="auto"/>
              </w:rPr>
              <w:t>Buildings and building improvements, including facility infrastructure</w:t>
            </w:r>
          </w:p>
        </w:tc>
        <w:tc>
          <w:tcPr>
            <w:tcW w:w="1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10-25 years</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Machinery and equipment, software and hardware</w:t>
            </w:r>
          </w:p>
        </w:tc>
        <w:tc>
          <w:tcPr>
            <w:tcW w:w="1880" w:type="dxa"/>
            <w:vAlign w:val="bottom"/>
          </w:tcPr>
          <w:p>
            <w:pPr>
              <w:jc w:val="right"/>
              <w:spacing w:after="0"/>
              <w:rPr>
                <w:sz w:val="20"/>
                <w:szCs w:val="20"/>
                <w:color w:val="auto"/>
              </w:rPr>
            </w:pPr>
            <w:r>
              <w:rPr>
                <w:rFonts w:ascii="Arial" w:cs="Arial" w:eastAsia="Arial" w:hAnsi="Arial"/>
                <w:sz w:val="18"/>
                <w:szCs w:val="18"/>
                <w:color w:val="auto"/>
              </w:rPr>
              <w:t>3-15 years</w:t>
            </w:r>
          </w:p>
        </w:tc>
      </w:tr>
    </w:tbl>
    <w:p>
      <w:pPr>
        <w:spacing w:after="0" w:line="24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Impairment charges, if needed, are determined based on the policy outlined in L below.</w:t>
      </w:r>
    </w:p>
    <w:p>
      <w:pPr>
        <w:spacing w:after="0" w:line="287" w:lineRule="exact"/>
        <w:rPr>
          <w:sz w:val="20"/>
          <w:szCs w:val="20"/>
          <w:color w:val="auto"/>
        </w:rPr>
      </w:pPr>
    </w:p>
    <w:p>
      <w:pPr>
        <w:ind w:left="1880"/>
        <w:spacing w:after="0" w:line="276" w:lineRule="auto"/>
        <w:rPr>
          <w:sz w:val="20"/>
          <w:szCs w:val="20"/>
          <w:color w:val="auto"/>
        </w:rPr>
      </w:pPr>
      <w:r>
        <w:rPr>
          <w:rFonts w:ascii="Arial" w:cs="Arial" w:eastAsia="Arial" w:hAnsi="Arial"/>
          <w:sz w:val="22"/>
          <w:szCs w:val="22"/>
          <w:color w:val="auto"/>
        </w:rPr>
        <w:t>Property and equipment includes also assets under capital leases and are depreciated according to their applicable useful life.</w:t>
      </w:r>
    </w:p>
    <w:p>
      <w:pPr>
        <w:spacing w:after="0" w:line="218" w:lineRule="exact"/>
        <w:rPr>
          <w:sz w:val="20"/>
          <w:szCs w:val="20"/>
          <w:color w:val="auto"/>
        </w:rPr>
      </w:pPr>
    </w:p>
    <w:p>
      <w:pPr>
        <w:ind w:left="1880" w:hanging="575"/>
        <w:spacing w:after="0"/>
        <w:tabs>
          <w:tab w:leader="none" w:pos="1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The Company accounts for intangible assets and goodwill in accordance with ASC 350 “</w:t>
      </w:r>
      <w:r>
        <w:rPr>
          <w:rFonts w:ascii="Arial" w:cs="Arial" w:eastAsia="Arial" w:hAnsi="Arial"/>
          <w:sz w:val="22"/>
          <w:szCs w:val="22"/>
          <w:i w:val="1"/>
          <w:iCs w:val="1"/>
          <w:color w:val="auto"/>
        </w:rPr>
        <w:t>Intangibles-Goodwill</w:t>
      </w:r>
      <w:r>
        <w:rPr>
          <w:rFonts w:ascii="Arial" w:cs="Arial" w:eastAsia="Arial" w:hAnsi="Arial"/>
          <w:sz w:val="22"/>
          <w:szCs w:val="22"/>
          <w:color w:val="auto"/>
        </w:rPr>
        <w:t xml:space="preserve"> </w:t>
      </w:r>
      <w:r>
        <w:rPr>
          <w:rFonts w:ascii="Arial" w:cs="Arial" w:eastAsia="Arial" w:hAnsi="Arial"/>
          <w:sz w:val="22"/>
          <w:szCs w:val="22"/>
          <w:i w:val="1"/>
          <w:iCs w:val="1"/>
          <w:color w:val="auto"/>
        </w:rPr>
        <w:t>and Other</w:t>
      </w:r>
      <w:r>
        <w:rPr>
          <w:rFonts w:ascii="Arial" w:cs="Arial" w:eastAsia="Arial" w:hAnsi="Arial"/>
          <w:sz w:val="22"/>
          <w:szCs w:val="22"/>
          <w:color w:val="auto"/>
        </w:rPr>
        <w:t>”. Intangible assets include the values assigned to the intangible assets as part of the purchase price</w:t>
      </w:r>
      <w:r>
        <w:rPr>
          <w:rFonts w:ascii="Arial" w:cs="Arial" w:eastAsia="Arial" w:hAnsi="Arial"/>
          <w:sz w:val="22"/>
          <w:szCs w:val="22"/>
          <w:i w:val="1"/>
          <w:iCs w:val="1"/>
          <w:color w:val="auto"/>
        </w:rPr>
        <w:t xml:space="preserve"> </w:t>
      </w:r>
      <w:r>
        <w:rPr>
          <w:rFonts w:ascii="Arial" w:cs="Arial" w:eastAsia="Arial" w:hAnsi="Arial"/>
          <w:sz w:val="22"/>
          <w:szCs w:val="22"/>
          <w:color w:val="auto"/>
        </w:rPr>
        <w:t>allocation made at the time of acquisition.</w:t>
      </w:r>
    </w:p>
    <w:p>
      <w:pPr>
        <w:spacing w:after="0" w:line="239" w:lineRule="exact"/>
        <w:rPr>
          <w:sz w:val="20"/>
          <w:szCs w:val="20"/>
          <w:color w:val="auto"/>
        </w:rPr>
      </w:pPr>
    </w:p>
    <w:p>
      <w:pPr>
        <w:jc w:val="both"/>
        <w:ind w:left="1880"/>
        <w:spacing w:after="0" w:line="284" w:lineRule="auto"/>
        <w:rPr>
          <w:sz w:val="20"/>
          <w:szCs w:val="20"/>
          <w:color w:val="auto"/>
        </w:rPr>
      </w:pPr>
      <w:r>
        <w:rPr>
          <w:rFonts w:ascii="Arial" w:cs="Arial" w:eastAsia="Arial" w:hAnsi="Arial"/>
          <w:sz w:val="21"/>
          <w:szCs w:val="21"/>
          <w:color w:val="auto"/>
        </w:rPr>
        <w:t>Intangible assets are amortized over the expected estimated economic life of the intangible assets commonly used in the industry. Goodwill is not amortized and subject to impairment test. Impairment charges on intangibles or goodwill, if needed, are determined based on the policy outlined in L below.</w:t>
      </w:r>
    </w:p>
    <w:p>
      <w:pPr>
        <w:spacing w:after="0" w:line="213" w:lineRule="exact"/>
        <w:rPr>
          <w:sz w:val="20"/>
          <w:szCs w:val="20"/>
          <w:color w:val="auto"/>
        </w:rPr>
      </w:pPr>
    </w:p>
    <w:p>
      <w:pPr>
        <w:ind w:left="1880" w:hanging="575"/>
        <w:spacing w:after="0"/>
        <w:tabs>
          <w:tab w:leader="none" w:pos="18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w:t>
      </w:r>
    </w:p>
    <w:p>
      <w:pPr>
        <w:spacing w:after="0" w:line="290" w:lineRule="exact"/>
        <w:rPr>
          <w:sz w:val="20"/>
          <w:szCs w:val="20"/>
          <w:color w:val="auto"/>
        </w:rPr>
      </w:pPr>
    </w:p>
    <w:p>
      <w:pPr>
        <w:ind w:left="1880"/>
        <w:spacing w:after="0"/>
        <w:rPr>
          <w:sz w:val="20"/>
          <w:szCs w:val="20"/>
          <w:color w:val="auto"/>
        </w:rPr>
      </w:pPr>
      <w:r>
        <w:rPr>
          <w:rFonts w:ascii="Arial" w:cs="Arial" w:eastAsia="Arial" w:hAnsi="Arial"/>
          <w:sz w:val="22"/>
          <w:szCs w:val="22"/>
          <w:b w:val="1"/>
          <w:bCs w:val="1"/>
          <w:i w:val="1"/>
          <w:iCs w:val="1"/>
          <w:color w:val="auto"/>
        </w:rPr>
        <w:t>Impairment of Property, Equipment and Intangible Assets</w:t>
      </w:r>
    </w:p>
    <w:p>
      <w:pPr>
        <w:spacing w:after="0" w:line="22" w:lineRule="exact"/>
        <w:rPr>
          <w:sz w:val="20"/>
          <w:szCs w:val="20"/>
          <w:color w:val="auto"/>
        </w:rPr>
      </w:pPr>
    </w:p>
    <w:p>
      <w:pPr>
        <w:jc w:val="both"/>
        <w:ind w:left="1880"/>
        <w:spacing w:after="0" w:line="274" w:lineRule="auto"/>
        <w:rPr>
          <w:sz w:val="20"/>
          <w:szCs w:val="20"/>
          <w:color w:val="auto"/>
        </w:rPr>
      </w:pPr>
      <w:r>
        <w:rPr>
          <w:rFonts w:ascii="Arial" w:cs="Arial" w:eastAsia="Arial" w:hAnsi="Arial"/>
          <w:sz w:val="21"/>
          <w:szCs w:val="21"/>
          <w:color w:val="auto"/>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it. If applicable, the Company recognizes an impairment loss based upon the difference between the carrying amount and the fair value of such assets, in accordance with ASC 360-10 “</w:t>
      </w:r>
      <w:r>
        <w:rPr>
          <w:rFonts w:ascii="Arial" w:cs="Arial" w:eastAsia="Arial" w:hAnsi="Arial"/>
          <w:sz w:val="21"/>
          <w:szCs w:val="21"/>
          <w:i w:val="1"/>
          <w:iCs w:val="1"/>
          <w:color w:val="auto"/>
        </w:rPr>
        <w:t>Property,</w:t>
      </w:r>
      <w:r>
        <w:rPr>
          <w:rFonts w:ascii="Arial" w:cs="Arial" w:eastAsia="Arial" w:hAnsi="Arial"/>
          <w:sz w:val="21"/>
          <w:szCs w:val="21"/>
          <w:color w:val="auto"/>
        </w:rPr>
        <w:t xml:space="preserve"> </w:t>
      </w:r>
      <w:r>
        <w:rPr>
          <w:rFonts w:ascii="Arial" w:cs="Arial" w:eastAsia="Arial" w:hAnsi="Arial"/>
          <w:sz w:val="21"/>
          <w:szCs w:val="21"/>
          <w:i w:val="1"/>
          <w:iCs w:val="1"/>
          <w:color w:val="auto"/>
        </w:rPr>
        <w:t>Plant and Equipment</w:t>
      </w:r>
      <w:r>
        <w:rPr>
          <w:rFonts w:ascii="Arial" w:cs="Arial" w:eastAsia="Arial" w:hAnsi="Arial"/>
          <w:sz w:val="21"/>
          <w:szCs w:val="21"/>
          <w:color w:val="auto"/>
        </w:rPr>
        <w:t>”.</w:t>
      </w:r>
    </w:p>
    <w:p>
      <w:pPr>
        <w:spacing w:after="0" w:line="232" w:lineRule="exact"/>
        <w:rPr>
          <w:sz w:val="20"/>
          <w:szCs w:val="20"/>
          <w:color w:val="auto"/>
        </w:rPr>
      </w:pPr>
    </w:p>
    <w:p>
      <w:pPr>
        <w:ind w:left="1880"/>
        <w:spacing w:after="0"/>
        <w:rPr>
          <w:sz w:val="20"/>
          <w:szCs w:val="20"/>
          <w:color w:val="auto"/>
        </w:rPr>
      </w:pPr>
      <w:r>
        <w:rPr>
          <w:rFonts w:ascii="Arial" w:cs="Arial" w:eastAsia="Arial" w:hAnsi="Arial"/>
          <w:sz w:val="22"/>
          <w:szCs w:val="22"/>
          <w:b w:val="1"/>
          <w:bCs w:val="1"/>
          <w:i w:val="1"/>
          <w:iCs w:val="1"/>
          <w:color w:val="auto"/>
        </w:rPr>
        <w:t>Impairment of Goodwill</w:t>
      </w:r>
    </w:p>
    <w:p>
      <w:pPr>
        <w:spacing w:after="0" w:line="22" w:lineRule="exact"/>
        <w:rPr>
          <w:sz w:val="20"/>
          <w:szCs w:val="20"/>
          <w:color w:val="auto"/>
        </w:rPr>
      </w:pPr>
    </w:p>
    <w:p>
      <w:pPr>
        <w:jc w:val="both"/>
        <w:ind w:left="1880"/>
        <w:spacing w:after="0" w:line="308" w:lineRule="auto"/>
        <w:rPr>
          <w:sz w:val="20"/>
          <w:szCs w:val="20"/>
          <w:color w:val="auto"/>
        </w:rPr>
      </w:pPr>
      <w:r>
        <w:rPr>
          <w:rFonts w:ascii="Arial" w:cs="Arial" w:eastAsia="Arial" w:hAnsi="Arial"/>
          <w:sz w:val="19"/>
          <w:szCs w:val="19"/>
          <w:color w:val="auto"/>
        </w:rPr>
        <w:t>The Company tests goodwill for impairment by performing a qualitative assessment process, or using a two-step quantitative assessment process. If the Company chooses to perform a qualitative assessment process and determines it is more likely than not (that is, a likelihood of more than 50 percent) that the carrying value of the net assets is more than the fair value of the reporting unit, the two-step quantitative assessment process is then performed; otherwise, no further testing is required. The Company may elect not to perform the qualitative assessment process and, instead, proceed directly to the two-step quantitative assessment process.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1"/>
          <w:szCs w:val="21"/>
          <w:b w:val="1"/>
          <w:bCs w:val="1"/>
          <w:color w:val="auto"/>
        </w:rPr>
        <w:t>SUMMARY OF SIGNIFICANT ACCOUNTING POLICIES (cont.)</w:t>
      </w:r>
    </w:p>
    <w:p>
      <w:pPr>
        <w:spacing w:after="0" w:line="283" w:lineRule="exact"/>
        <w:rPr>
          <w:sz w:val="20"/>
          <w:szCs w:val="20"/>
          <w:color w:val="auto"/>
        </w:rPr>
      </w:pPr>
    </w:p>
    <w:p>
      <w:pPr>
        <w:ind w:left="1880" w:hanging="575"/>
        <w:spacing w:after="0"/>
        <w:tabs>
          <w:tab w:leader="none" w:pos="18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 (cont.)</w:t>
      </w:r>
    </w:p>
    <w:p>
      <w:pPr>
        <w:spacing w:after="0" w:line="290" w:lineRule="exact"/>
        <w:rPr>
          <w:sz w:val="20"/>
          <w:szCs w:val="20"/>
          <w:color w:val="auto"/>
        </w:rPr>
      </w:pPr>
    </w:p>
    <w:p>
      <w:pPr>
        <w:ind w:left="1880"/>
        <w:spacing w:after="0"/>
        <w:rPr>
          <w:sz w:val="20"/>
          <w:szCs w:val="20"/>
          <w:color w:val="auto"/>
        </w:rPr>
      </w:pPr>
      <w:r>
        <w:rPr>
          <w:rFonts w:ascii="Arial" w:cs="Arial" w:eastAsia="Arial" w:hAnsi="Arial"/>
          <w:sz w:val="22"/>
          <w:szCs w:val="22"/>
          <w:b w:val="1"/>
          <w:bCs w:val="1"/>
          <w:i w:val="1"/>
          <w:iCs w:val="1"/>
          <w:color w:val="auto"/>
        </w:rPr>
        <w:t>Impairment of Goodwill (Cont.)</w:t>
      </w:r>
    </w:p>
    <w:p>
      <w:pPr>
        <w:spacing w:after="0" w:line="287" w:lineRule="exact"/>
        <w:rPr>
          <w:sz w:val="20"/>
          <w:szCs w:val="20"/>
          <w:color w:val="auto"/>
        </w:rPr>
      </w:pPr>
    </w:p>
    <w:p>
      <w:pPr>
        <w:jc w:val="both"/>
        <w:ind w:left="1880"/>
        <w:spacing w:after="0" w:line="258" w:lineRule="auto"/>
        <w:rPr>
          <w:sz w:val="20"/>
          <w:szCs w:val="20"/>
          <w:color w:val="auto"/>
        </w:rPr>
      </w:pPr>
      <w:r>
        <w:rPr>
          <w:rFonts w:ascii="Arial" w:cs="Arial" w:eastAsia="Arial" w:hAnsi="Arial"/>
          <w:sz w:val="22"/>
          <w:szCs w:val="22"/>
          <w:color w:val="auto"/>
        </w:rPr>
        <w:t>The first step identifies potential impairment by comparing the fair value of a reporting unit with its carrying amount, including the goodwill. The fair value of the reporting units is determined using a discounted cash flow analysis (income approach). This fair value approach requires significant management judgment and estimations. The determination of fair value using a discounted cash flow analysis requires the use of key judgments, estimates and assumptions including revenue growth rates, projected operating margins, changes in working capital, terminal values, and discount rates. If the fair value exceeds the carrying amount of a reporting unit, goodwill is not considered impaired and the second step of the test is unnecessary. If the carrying amount exceeds the fair value of a reporting unit, the second step measures the impairment loss, if any.</w:t>
      </w:r>
    </w:p>
    <w:p>
      <w:pPr>
        <w:spacing w:after="0" w:line="254" w:lineRule="exact"/>
        <w:rPr>
          <w:sz w:val="20"/>
          <w:szCs w:val="20"/>
          <w:color w:val="auto"/>
        </w:rPr>
      </w:pPr>
    </w:p>
    <w:p>
      <w:pPr>
        <w:jc w:val="both"/>
        <w:ind w:left="1880"/>
        <w:spacing w:after="0" w:line="272" w:lineRule="auto"/>
        <w:rPr>
          <w:sz w:val="20"/>
          <w:szCs w:val="20"/>
          <w:color w:val="auto"/>
        </w:rPr>
      </w:pPr>
      <w:r>
        <w:rPr>
          <w:rFonts w:ascii="Arial" w:cs="Arial" w:eastAsia="Arial" w:hAnsi="Arial"/>
          <w:sz w:val="21"/>
          <w:szCs w:val="21"/>
          <w:color w:val="auto"/>
        </w:rPr>
        <w:t>The second step compares the implied fair value of goodwill with the carrying amount of that goodwill. The implied fair value of goodwill is determined in the same manner as the amount of goodwill recognized in a business combination. The implied fair value of the reporting unit’s goodwill is calculated by creating a hypothetical balance sheet as if the reporting unit had just been acquired. This balance sheet contains all assets and liabilities recorded at fair value (including any intangible assets that may not have any corresponding carrying value in the balance sheet). The implied value of the reporting unit’s goodwill is calculated by subtracting the fair value of the net assets from the fair value of the reporting unit. If the carrying amount of goodwill exceeds the implied fair value of that goodwill, an impairment loss is recognized in an amount equal to that excess.</w:t>
      </w:r>
    </w:p>
    <w:p>
      <w:pPr>
        <w:spacing w:after="0" w:line="232" w:lineRule="exact"/>
        <w:rPr>
          <w:sz w:val="20"/>
          <w:szCs w:val="20"/>
          <w:color w:val="auto"/>
        </w:rPr>
      </w:pPr>
    </w:p>
    <w:p>
      <w:pPr>
        <w:ind w:left="2000" w:hanging="695"/>
        <w:spacing w:after="0"/>
        <w:tabs>
          <w:tab w:leader="none" w:pos="200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293" w:lineRule="exact"/>
        <w:rPr>
          <w:sz w:val="20"/>
          <w:szCs w:val="20"/>
          <w:color w:val="auto"/>
        </w:rPr>
      </w:pPr>
    </w:p>
    <w:p>
      <w:pPr>
        <w:jc w:val="both"/>
        <w:ind w:left="1880"/>
        <w:spacing w:after="0" w:line="312" w:lineRule="auto"/>
        <w:rPr>
          <w:sz w:val="20"/>
          <w:szCs w:val="20"/>
          <w:color w:val="auto"/>
        </w:rPr>
      </w:pPr>
      <w:r>
        <w:rPr>
          <w:rFonts w:ascii="Arial" w:cs="Arial" w:eastAsia="Arial" w:hAnsi="Arial"/>
          <w:sz w:val="19"/>
          <w:szCs w:val="19"/>
          <w:color w:val="auto"/>
        </w:rPr>
        <w:t xml:space="preserve">In February 2016, the Financial Accounting Standards Board (“FASB”) issued ASU No. 2016-02, </w:t>
      </w:r>
      <w:r>
        <w:rPr>
          <w:rFonts w:ascii="Arial" w:cs="Arial" w:eastAsia="Arial" w:hAnsi="Arial"/>
          <w:sz w:val="19"/>
          <w:szCs w:val="19"/>
          <w:i w:val="1"/>
          <w:iCs w:val="1"/>
          <w:color w:val="auto"/>
        </w:rPr>
        <w:t>“Leases”</w:t>
      </w:r>
      <w:r>
        <w:rPr>
          <w:rFonts w:ascii="Arial" w:cs="Arial" w:eastAsia="Arial" w:hAnsi="Arial"/>
          <w:sz w:val="19"/>
          <w:szCs w:val="19"/>
          <w:color w:val="auto"/>
        </w:rPr>
        <w:t xml:space="preserve"> (“Topic 842”), which requires lessees to recognize a right-of-use (“ROU”) asset and a lease liability for all operating and capital leases with a term greater than twelve months and also requires disclosures by lessees and lessors about the amount, timing and uncertainty of cash flows arising from leases. Subsequent to the issuance of Topic 842, the FASB clarified the guidance through several ASUs (“ASC 842”).</w:t>
      </w:r>
    </w:p>
    <w:p>
      <w:pPr>
        <w:spacing w:after="0" w:line="200" w:lineRule="exact"/>
        <w:rPr>
          <w:sz w:val="20"/>
          <w:szCs w:val="20"/>
          <w:color w:val="auto"/>
        </w:rPr>
      </w:pPr>
    </w:p>
    <w:p>
      <w:pPr>
        <w:jc w:val="both"/>
        <w:ind w:left="1880"/>
        <w:spacing w:after="0" w:line="309" w:lineRule="auto"/>
        <w:rPr>
          <w:sz w:val="20"/>
          <w:szCs w:val="20"/>
          <w:color w:val="auto"/>
        </w:rPr>
      </w:pPr>
      <w:r>
        <w:rPr>
          <w:rFonts w:ascii="Arial" w:cs="Arial" w:eastAsia="Arial" w:hAnsi="Arial"/>
          <w:sz w:val="19"/>
          <w:szCs w:val="19"/>
          <w:color w:val="auto"/>
        </w:rPr>
        <w:t>On January 1, 2019, the Company adopted ASC 842 using the modified retrospective transition method. Results for the reporting period beginning January 1, 2019 are presented under ASC 842, while prior period amounts were not adjusted and continue to be reported in accordance with historical accounting under ASC 840, “</w:t>
      </w:r>
      <w:r>
        <w:rPr>
          <w:rFonts w:ascii="Arial" w:cs="Arial" w:eastAsia="Arial" w:hAnsi="Arial"/>
          <w:sz w:val="19"/>
          <w:szCs w:val="19"/>
          <w:i w:val="1"/>
          <w:iCs w:val="1"/>
          <w:color w:val="auto"/>
        </w:rPr>
        <w:t>Leases</w:t>
      </w:r>
      <w:r>
        <w:rPr>
          <w:rFonts w:ascii="Arial" w:cs="Arial" w:eastAsia="Arial" w:hAnsi="Arial"/>
          <w:sz w:val="19"/>
          <w:szCs w:val="19"/>
          <w:color w:val="auto"/>
        </w:rPr>
        <w:t>”. Due to the adoption of ASC 842, as of December 31, 2019, operating lease ROU in the amount of approximately $18,000 are recorded as assets and as operating lease liabilities. The aforementioned did not have any impact on the results of operations or cash flows.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1"/>
          <w:szCs w:val="21"/>
          <w:b w:val="1"/>
          <w:bCs w:val="1"/>
          <w:color w:val="auto"/>
        </w:rPr>
        <w:t>SUMMARY OF SIGNIFICANT ACCOUNTING POLICIES (cont.)</w:t>
      </w:r>
    </w:p>
    <w:p>
      <w:pPr>
        <w:spacing w:after="0" w:line="287" w:lineRule="exact"/>
        <w:rPr>
          <w:sz w:val="20"/>
          <w:szCs w:val="20"/>
          <w:color w:val="auto"/>
        </w:rPr>
      </w:pPr>
    </w:p>
    <w:p>
      <w:pPr>
        <w:ind w:left="1940" w:hanging="635"/>
        <w:spacing w:after="0"/>
        <w:tabs>
          <w:tab w:leader="none" w:pos="194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Leases (cont.)</w:t>
      </w:r>
    </w:p>
    <w:p>
      <w:pPr>
        <w:spacing w:after="0" w:line="293" w:lineRule="exact"/>
        <w:rPr>
          <w:sz w:val="20"/>
          <w:szCs w:val="20"/>
          <w:color w:val="auto"/>
        </w:rPr>
      </w:pPr>
    </w:p>
    <w:p>
      <w:pPr>
        <w:jc w:val="both"/>
        <w:ind w:left="1880"/>
        <w:spacing w:after="0" w:line="263" w:lineRule="auto"/>
        <w:rPr>
          <w:sz w:val="20"/>
          <w:szCs w:val="20"/>
          <w:color w:val="auto"/>
        </w:rPr>
      </w:pPr>
      <w:r>
        <w:rPr>
          <w:rFonts w:ascii="Arial" w:cs="Arial" w:eastAsia="Arial" w:hAnsi="Arial"/>
          <w:sz w:val="22"/>
          <w:szCs w:val="22"/>
          <w:color w:val="auto"/>
        </w:rPr>
        <w:t>For all leases that commenced before the effective date of ASC 842, the permitted “practical expedients” as stipulated in the ASC was elected and accordingly, the Company did not reassess: (1) whether any expired or existing contracts contain leases; (2) the lease classification for any expired or existing leases; and (3) initial direct costs for any existing leases.</w:t>
      </w:r>
    </w:p>
    <w:p>
      <w:pPr>
        <w:spacing w:after="0" w:line="242" w:lineRule="exact"/>
        <w:rPr>
          <w:sz w:val="20"/>
          <w:szCs w:val="20"/>
          <w:color w:val="auto"/>
        </w:rPr>
      </w:pPr>
    </w:p>
    <w:p>
      <w:pPr>
        <w:jc w:val="both"/>
        <w:ind w:left="1880"/>
        <w:spacing w:after="0" w:line="271" w:lineRule="auto"/>
        <w:rPr>
          <w:sz w:val="20"/>
          <w:szCs w:val="20"/>
          <w:color w:val="auto"/>
        </w:rPr>
      </w:pPr>
      <w:r>
        <w:rPr>
          <w:rFonts w:ascii="Arial" w:cs="Arial" w:eastAsia="Arial" w:hAnsi="Arial"/>
          <w:sz w:val="21"/>
          <w:szCs w:val="21"/>
          <w:color w:val="auto"/>
        </w:rPr>
        <w:t>The determination if an arrangement is a lease is to be made at inception of a lease contract. ROU assets represent Company’s right to use an underlying asset for the lease term and lease liabilities represent Company’s obligation to make lease payments arising from the lease. ROU assets and lease liabilities are recognized at the lease commencement date based on the present value of lease payments over the lease term. Whenever leases do not provide an implicit interest rate, incremental borrowing rate is used based on the information available at commencement date in determining the present value of lease payments. The lease terms used to calculate the ROU asset and related lease liability include options to extend or terminate the lease when it is reasonably certain that the Company will exercise that option. Lease expense for operating leases is recognized on a straight-line basis over the lease term as an operating expense. Certain lease agreements require payments for lease and non-lease components and the Company elected to account for these as a single lease component related to other operating facilities. For additional information, please see Notes 11D and 11E.</w:t>
      </w:r>
    </w:p>
    <w:p>
      <w:pPr>
        <w:spacing w:after="0" w:line="229" w:lineRule="exact"/>
        <w:rPr>
          <w:sz w:val="20"/>
          <w:szCs w:val="20"/>
          <w:color w:val="auto"/>
        </w:rPr>
      </w:pPr>
    </w:p>
    <w:p>
      <w:pPr>
        <w:ind w:left="1880" w:hanging="575"/>
        <w:spacing w:after="0"/>
        <w:tabs>
          <w:tab w:leader="none" w:pos="18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90" w:lineRule="exact"/>
        <w:rPr>
          <w:sz w:val="20"/>
          <w:szCs w:val="20"/>
          <w:color w:val="auto"/>
        </w:rPr>
      </w:pPr>
    </w:p>
    <w:p>
      <w:pPr>
        <w:jc w:val="both"/>
        <w:ind w:left="1880"/>
        <w:spacing w:after="0" w:line="309" w:lineRule="auto"/>
        <w:rPr>
          <w:sz w:val="20"/>
          <w:szCs w:val="20"/>
          <w:color w:val="auto"/>
        </w:rPr>
      </w:pPr>
      <w:r>
        <w:rPr>
          <w:rFonts w:ascii="Arial" w:cs="Arial" w:eastAsia="Arial" w:hAnsi="Arial"/>
          <w:sz w:val="19"/>
          <w:szCs w:val="19"/>
          <w:color w:val="auto"/>
        </w:rPr>
        <w:t>ASC Topic 606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(“Topic 606”), supersedes the previous revenue recognition guidance and industry-specific guidance under ASC Topic 605 </w:t>
      </w:r>
      <w:r>
        <w:rPr>
          <w:rFonts w:ascii="Arial" w:cs="Arial" w:eastAsia="Arial" w:hAnsi="Arial"/>
          <w:sz w:val="19"/>
          <w:szCs w:val="19"/>
          <w:i w:val="1"/>
          <w:iCs w:val="1"/>
          <w:color w:val="auto"/>
        </w:rPr>
        <w:t>“Revenue Recognition”</w:t>
      </w:r>
      <w:r>
        <w:rPr>
          <w:rFonts w:ascii="Arial" w:cs="Arial" w:eastAsia="Arial" w:hAnsi="Arial"/>
          <w:sz w:val="19"/>
          <w:szCs w:val="19"/>
          <w:color w:val="auto"/>
        </w:rPr>
        <w:t>. Topic 606 requires an entity to recognize revenue when it transfers the control of promised goods or services to customers in an amount that reflects the consideration the entity expects to be entitled to in exchange for those goods or services. The Company adopted Topic 606 on January 1, 2018, using the modified retrospective method applied to contracts that were not completed as of January 1, 2018.</w:t>
      </w:r>
    </w:p>
    <w:p>
      <w:pPr>
        <w:spacing w:after="0" w:line="203" w:lineRule="exact"/>
        <w:rPr>
          <w:sz w:val="20"/>
          <w:szCs w:val="20"/>
          <w:color w:val="auto"/>
        </w:rPr>
      </w:pPr>
    </w:p>
    <w:p>
      <w:pPr>
        <w:jc w:val="both"/>
        <w:ind w:left="1880" w:right="20"/>
        <w:spacing w:after="0" w:line="276" w:lineRule="auto"/>
        <w:rPr>
          <w:sz w:val="20"/>
          <w:szCs w:val="20"/>
          <w:color w:val="auto"/>
        </w:rPr>
      </w:pPr>
      <w:r>
        <w:rPr>
          <w:rFonts w:ascii="Arial" w:cs="Arial" w:eastAsia="Arial" w:hAnsi="Arial"/>
          <w:sz w:val="22"/>
          <w:szCs w:val="22"/>
          <w:color w:val="auto"/>
        </w:rPr>
        <w:t>Under the modified retrospective method, prior period financial positions and results are not adjusted. There was no transition adjustment to the company’s retained earnings upon adoption.</w:t>
      </w:r>
    </w:p>
    <w:p>
      <w:pPr>
        <w:spacing w:after="0" w:line="228" w:lineRule="exact"/>
        <w:rPr>
          <w:sz w:val="20"/>
          <w:szCs w:val="20"/>
          <w:color w:val="auto"/>
        </w:rPr>
      </w:pPr>
    </w:p>
    <w:p>
      <w:pPr>
        <w:jc w:val="both"/>
        <w:ind w:left="1880"/>
        <w:spacing w:after="0" w:line="263" w:lineRule="auto"/>
        <w:rPr>
          <w:sz w:val="20"/>
          <w:szCs w:val="20"/>
          <w:color w:val="auto"/>
        </w:rPr>
      </w:pPr>
      <w:r>
        <w:rPr>
          <w:rFonts w:ascii="Arial" w:cs="Arial" w:eastAsia="Arial" w:hAnsi="Arial"/>
          <w:sz w:val="22"/>
          <w:szCs w:val="22"/>
          <w:color w:val="auto"/>
        </w:rPr>
        <w:t>The Company’s revenues are generated principally from sales of semiconductor wafers. The Company, to a much lesser extent, also derives revenues from design support and other technical and support services incidental to the sale of semiconductor wafers. The vast majority of the Company’s sales are achieved through the effort of its direct sales force.</w:t>
      </w:r>
    </w:p>
    <w:p>
      <w:pPr>
        <w:spacing w:after="0" w:line="242" w:lineRule="exact"/>
        <w:rPr>
          <w:sz w:val="20"/>
          <w:szCs w:val="20"/>
          <w:color w:val="auto"/>
        </w:rPr>
      </w:pPr>
    </w:p>
    <w:p>
      <w:pPr>
        <w:jc w:val="both"/>
        <w:ind w:left="1880"/>
        <w:spacing w:after="0" w:line="306" w:lineRule="auto"/>
        <w:rPr>
          <w:sz w:val="20"/>
          <w:szCs w:val="20"/>
          <w:color w:val="auto"/>
        </w:rPr>
      </w:pPr>
      <w:r>
        <w:rPr>
          <w:rFonts w:ascii="Arial" w:cs="Arial" w:eastAsia="Arial" w:hAnsi="Arial"/>
          <w:sz w:val="19"/>
          <w:szCs w:val="19"/>
          <w:color w:val="auto"/>
        </w:rPr>
        <w:t>Wafer sales are recognized at a point in time, which is upon shipment or upon delivery of the Company’s products to unaffiliated customers, depending on shipping terms. Accordingly, control of the products transfers to the customer in accordance with the transaction's shipping terms. Sales revenue is recognized for the amount of consideration that the Company expects to be entitled to in exchange for its products. Taxes imposed by governmental authorities, such as sales taxes or value-added taxes, are excluded from net sales. The Company’s contracts typically contain a single performance obligation that is fulfilled on the date of delivery based on shipping terms stipulated in the contract.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1"/>
          <w:szCs w:val="21"/>
          <w:b w:val="1"/>
          <w:bCs w:val="1"/>
          <w:color w:val="auto"/>
        </w:rPr>
        <w:t>SUMMARY OF SIGNIFICANT ACCOUNTING POLICIES (cont.)</w:t>
      </w:r>
    </w:p>
    <w:p>
      <w:pPr>
        <w:spacing w:after="0" w:line="283" w:lineRule="exact"/>
        <w:rPr>
          <w:sz w:val="20"/>
          <w:szCs w:val="20"/>
          <w:color w:val="auto"/>
        </w:rPr>
      </w:pPr>
    </w:p>
    <w:p>
      <w:pPr>
        <w:ind w:left="1880" w:hanging="575"/>
        <w:spacing w:after="0"/>
        <w:tabs>
          <w:tab w:leader="none" w:pos="18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The Company provides for sales returns allowance relating to specified yield or quality commitments as a reduction of revenues, based on past experience and specific identification of events necessitating an allowance, which has been in immaterial amounts.</w:t>
      </w:r>
    </w:p>
    <w:p>
      <w:pPr>
        <w:spacing w:after="0" w:line="239"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The Company provides its customers with other services that are less significant in scope and amount and for which recognition is over time when customer receives the services.</w:t>
      </w:r>
    </w:p>
    <w:p>
      <w:pPr>
        <w:spacing w:after="0" w:line="218" w:lineRule="exact"/>
        <w:rPr>
          <w:sz w:val="20"/>
          <w:szCs w:val="20"/>
          <w:color w:val="auto"/>
        </w:rPr>
      </w:pPr>
    </w:p>
    <w:p>
      <w:pPr>
        <w:ind w:left="1880" w:hanging="575"/>
        <w:spacing w:after="0"/>
        <w:tabs>
          <w:tab w:leader="none" w:pos="18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90" w:lineRule="exact"/>
        <w:rPr>
          <w:sz w:val="20"/>
          <w:szCs w:val="20"/>
          <w:color w:val="auto"/>
        </w:rPr>
      </w:pPr>
    </w:p>
    <w:p>
      <w:pPr>
        <w:jc w:val="both"/>
        <w:ind w:left="1880"/>
        <w:spacing w:after="0" w:line="317" w:lineRule="auto"/>
        <w:rPr>
          <w:sz w:val="20"/>
          <w:szCs w:val="20"/>
          <w:color w:val="auto"/>
        </w:rPr>
      </w:pPr>
      <w:r>
        <w:rPr>
          <w:rFonts w:ascii="Arial" w:cs="Arial" w:eastAsia="Arial" w:hAnsi="Arial"/>
          <w:sz w:val="19"/>
          <w:szCs w:val="19"/>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86" w:lineRule="exact"/>
        <w:rPr>
          <w:sz w:val="20"/>
          <w:szCs w:val="20"/>
          <w:color w:val="auto"/>
        </w:rPr>
      </w:pPr>
    </w:p>
    <w:p>
      <w:pPr>
        <w:ind w:left="1880" w:hanging="575"/>
        <w:spacing w:after="0"/>
        <w:tabs>
          <w:tab w:leader="none" w:pos="18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90" w:lineRule="exact"/>
        <w:rPr>
          <w:sz w:val="20"/>
          <w:szCs w:val="20"/>
          <w:color w:val="auto"/>
        </w:rPr>
      </w:pPr>
    </w:p>
    <w:p>
      <w:pPr>
        <w:jc w:val="both"/>
        <w:ind w:left="1880"/>
        <w:spacing w:after="0" w:line="273" w:lineRule="auto"/>
        <w:rPr>
          <w:sz w:val="20"/>
          <w:szCs w:val="20"/>
          <w:color w:val="auto"/>
        </w:rPr>
      </w:pPr>
      <w:r>
        <w:rPr>
          <w:rFonts w:ascii="Arial" w:cs="Arial" w:eastAsia="Arial" w:hAnsi="Arial"/>
          <w:sz w:val="21"/>
          <w:szCs w:val="21"/>
          <w:color w:val="auto"/>
        </w:rPr>
        <w:t>The Company accounts for income taxes using an asset and liability approach as prescribed in ASC 740-10 “</w:t>
      </w:r>
      <w:r>
        <w:rPr>
          <w:rFonts w:ascii="Arial" w:cs="Arial" w:eastAsia="Arial" w:hAnsi="Arial"/>
          <w:sz w:val="21"/>
          <w:szCs w:val="21"/>
          <w:i w:val="1"/>
          <w:iCs w:val="1"/>
          <w:color w:val="auto"/>
        </w:rPr>
        <w:t>Income Taxes</w:t>
      </w:r>
      <w:r>
        <w:rPr>
          <w:rFonts w:ascii="Arial" w:cs="Arial" w:eastAsia="Arial" w:hAnsi="Arial"/>
          <w:sz w:val="21"/>
          <w:szCs w:val="21"/>
          <w:color w:val="auto"/>
        </w:rPr>
        <w:t>” (“ASC 740-10”).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 Deferred tax assets and liabilities, as well as any related valuation allowance, are classified as noncurrent in a classified statement of financial position.</w:t>
      </w:r>
    </w:p>
    <w:p>
      <w:pPr>
        <w:spacing w:after="0" w:line="238" w:lineRule="exact"/>
        <w:rPr>
          <w:sz w:val="20"/>
          <w:szCs w:val="20"/>
          <w:color w:val="auto"/>
        </w:rPr>
      </w:pPr>
    </w:p>
    <w:p>
      <w:pPr>
        <w:jc w:val="both"/>
        <w:ind w:left="1880"/>
        <w:spacing w:after="0" w:line="309" w:lineRule="auto"/>
        <w:rPr>
          <w:sz w:val="20"/>
          <w:szCs w:val="20"/>
          <w:color w:val="auto"/>
        </w:rPr>
      </w:pPr>
      <w:r>
        <w:rPr>
          <w:rFonts w:ascii="Arial" w:cs="Arial" w:eastAsia="Arial" w:hAnsi="Arial"/>
          <w:sz w:val="19"/>
          <w:szCs w:val="19"/>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projected future taxable income.</w:t>
      </w:r>
    </w:p>
    <w:p>
      <w:pPr>
        <w:spacing w:after="0" w:line="203" w:lineRule="exact"/>
        <w:rPr>
          <w:sz w:val="20"/>
          <w:szCs w:val="20"/>
          <w:color w:val="auto"/>
        </w:rPr>
      </w:pPr>
    </w:p>
    <w:p>
      <w:pPr>
        <w:jc w:val="both"/>
        <w:ind w:left="1880"/>
        <w:spacing w:after="0" w:line="358" w:lineRule="auto"/>
        <w:rPr>
          <w:sz w:val="20"/>
          <w:szCs w:val="20"/>
          <w:color w:val="auto"/>
        </w:rPr>
      </w:pPr>
      <w:r>
        <w:rPr>
          <w:rFonts w:ascii="Arial" w:cs="Arial" w:eastAsia="Arial" w:hAnsi="Arial"/>
          <w:sz w:val="19"/>
          <w:szCs w:val="19"/>
          <w:color w:val="auto"/>
        </w:rPr>
        <w:t>In circumstances where there is sufficient negative evidence indicating that the Company's deferred tax assets are not more-likely-than-not realizable, the Company establishes a valuation allowance, see Note 19.</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1"/>
          <w:szCs w:val="21"/>
          <w:b w:val="1"/>
          <w:bCs w:val="1"/>
          <w:color w:val="auto"/>
        </w:rPr>
        <w:t>SUMMARY OF SIGNIFICANT ACCOUNTING POLICIES (cont.)</w:t>
      </w:r>
    </w:p>
    <w:p>
      <w:pPr>
        <w:spacing w:after="0" w:line="283" w:lineRule="exact"/>
        <w:rPr>
          <w:sz w:val="20"/>
          <w:szCs w:val="20"/>
          <w:color w:val="auto"/>
        </w:rPr>
      </w:pPr>
    </w:p>
    <w:p>
      <w:pPr>
        <w:ind w:left="1880" w:hanging="575"/>
        <w:spacing w:after="0"/>
        <w:tabs>
          <w:tab w:leader="none" w:pos="18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w:t>
      </w:r>
    </w:p>
    <w:p>
      <w:pPr>
        <w:spacing w:after="0" w:line="290" w:lineRule="exact"/>
        <w:rPr>
          <w:sz w:val="20"/>
          <w:szCs w:val="20"/>
          <w:color w:val="auto"/>
        </w:rPr>
      </w:pPr>
    </w:p>
    <w:p>
      <w:pPr>
        <w:jc w:val="both"/>
        <w:ind w:left="1880"/>
        <w:spacing w:after="0" w:line="257" w:lineRule="auto"/>
        <w:rPr>
          <w:sz w:val="20"/>
          <w:szCs w:val="20"/>
          <w:color w:val="auto"/>
        </w:rPr>
      </w:pPr>
      <w:r>
        <w:rPr>
          <w:rFonts w:ascii="Arial" w:cs="Arial" w:eastAsia="Arial" w:hAnsi="Arial"/>
          <w:sz w:val="22"/>
          <w:szCs w:val="22"/>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w:t>
      </w:r>
    </w:p>
    <w:p>
      <w:pPr>
        <w:spacing w:after="0" w:line="1" w:lineRule="exact"/>
        <w:rPr>
          <w:sz w:val="20"/>
          <w:szCs w:val="20"/>
          <w:color w:val="auto"/>
        </w:rPr>
      </w:pPr>
    </w:p>
    <w:p>
      <w:pPr>
        <w:jc w:val="both"/>
        <w:ind w:left="1880"/>
        <w:spacing w:after="0" w:line="260" w:lineRule="auto"/>
        <w:rPr>
          <w:sz w:val="20"/>
          <w:szCs w:val="20"/>
          <w:color w:val="auto"/>
        </w:rPr>
      </w:pPr>
      <w:r>
        <w:rPr>
          <w:rFonts w:ascii="Arial" w:cs="Arial" w:eastAsia="Arial" w:hAnsi="Arial"/>
          <w:sz w:val="22"/>
          <w:szCs w:val="22"/>
          <w:color w:val="auto"/>
        </w:rPr>
        <w:t>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236" w:lineRule="exact"/>
        <w:rPr>
          <w:sz w:val="20"/>
          <w:szCs w:val="20"/>
          <w:color w:val="auto"/>
        </w:rPr>
      </w:pPr>
    </w:p>
    <w:p>
      <w:pPr>
        <w:ind w:left="1880" w:hanging="575"/>
        <w:spacing w:after="0"/>
        <w:tabs>
          <w:tab w:leader="none" w:pos="18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Ordinary Share</w:t>
      </w:r>
    </w:p>
    <w:p>
      <w:pPr>
        <w:spacing w:after="0" w:line="290" w:lineRule="exact"/>
        <w:rPr>
          <w:sz w:val="20"/>
          <w:szCs w:val="20"/>
          <w:color w:val="auto"/>
        </w:rPr>
      </w:pPr>
    </w:p>
    <w:p>
      <w:pPr>
        <w:jc w:val="both"/>
        <w:ind w:left="1880"/>
        <w:spacing w:after="0" w:line="312" w:lineRule="auto"/>
        <w:rPr>
          <w:sz w:val="20"/>
          <w:szCs w:val="20"/>
          <w:color w:val="auto"/>
        </w:rPr>
      </w:pPr>
      <w:r>
        <w:rPr>
          <w:rFonts w:ascii="Arial" w:cs="Arial" w:eastAsia="Arial" w:hAnsi="Arial"/>
          <w:sz w:val="19"/>
          <w:szCs w:val="19"/>
          <w:color w:val="auto"/>
        </w:rPr>
        <w:t>Basic earnings per share are calculated in accordance with ASC 260, “</w:t>
      </w:r>
      <w:r>
        <w:rPr>
          <w:rFonts w:ascii="Arial" w:cs="Arial" w:eastAsia="Arial" w:hAnsi="Arial"/>
          <w:sz w:val="19"/>
          <w:szCs w:val="19"/>
          <w:i w:val="1"/>
          <w:iCs w:val="1"/>
          <w:color w:val="auto"/>
        </w:rPr>
        <w:t>Earnings Per Share</w:t>
      </w:r>
      <w:r>
        <w:rPr>
          <w:rFonts w:ascii="Arial" w:cs="Arial" w:eastAsia="Arial" w:hAnsi="Arial"/>
          <w:sz w:val="19"/>
          <w:szCs w:val="19"/>
          <w:color w:val="auto"/>
        </w:rPr>
        <w:t>” by dividing net profit or loss attributable to ordinary equity holders of Tower (the numerator) by the weighted average number of ordinary shares outstanding during the reported period (the denominator). Diluted earnings per share are calculated, if applicable, by adjusting net profit attributable to ordinary equity holders of Tower, and the weighted average number of ordinary shares, taking into effect all potential dilutive ordinary shares.</w:t>
      </w:r>
    </w:p>
    <w:p>
      <w:pPr>
        <w:spacing w:after="0" w:line="190" w:lineRule="exact"/>
        <w:rPr>
          <w:sz w:val="20"/>
          <w:szCs w:val="20"/>
          <w:color w:val="auto"/>
        </w:rPr>
      </w:pPr>
    </w:p>
    <w:p>
      <w:pPr>
        <w:ind w:left="1880" w:hanging="575"/>
        <w:spacing w:after="0"/>
        <w:tabs>
          <w:tab w:leader="none" w:pos="18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90" w:lineRule="exact"/>
        <w:rPr>
          <w:sz w:val="20"/>
          <w:szCs w:val="20"/>
          <w:color w:val="auto"/>
        </w:rPr>
      </w:pPr>
    </w:p>
    <w:p>
      <w:pPr>
        <w:jc w:val="both"/>
        <w:ind w:left="1880"/>
        <w:spacing w:after="0" w:line="312" w:lineRule="auto"/>
        <w:rPr>
          <w:sz w:val="20"/>
          <w:szCs w:val="20"/>
          <w:color w:val="auto"/>
        </w:rPr>
      </w:pPr>
      <w:r>
        <w:rPr>
          <w:rFonts w:ascii="Arial" w:cs="Arial" w:eastAsia="Arial" w:hAnsi="Arial"/>
          <w:sz w:val="19"/>
          <w:szCs w:val="19"/>
          <w:color w:val="auto"/>
        </w:rPr>
        <w:t>In accordance with ASC 220 “</w:t>
      </w:r>
      <w:r>
        <w:rPr>
          <w:rFonts w:ascii="Arial" w:cs="Arial" w:eastAsia="Arial" w:hAnsi="Arial"/>
          <w:sz w:val="19"/>
          <w:szCs w:val="19"/>
          <w:i w:val="1"/>
          <w:iCs w:val="1"/>
          <w:color w:val="auto"/>
        </w:rPr>
        <w:t>Comprehensive Income</w:t>
      </w:r>
      <w:r>
        <w:rPr>
          <w:rFonts w:ascii="Arial" w:cs="Arial" w:eastAsia="Arial" w:hAnsi="Arial"/>
          <w:sz w:val="19"/>
          <w:szCs w:val="19"/>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190" w:lineRule="exact"/>
        <w:rPr>
          <w:sz w:val="20"/>
          <w:szCs w:val="20"/>
          <w:color w:val="auto"/>
        </w:rPr>
      </w:pPr>
    </w:p>
    <w:p>
      <w:pPr>
        <w:ind w:left="1880" w:hanging="575"/>
        <w:spacing w:after="0"/>
        <w:tabs>
          <w:tab w:leader="none" w:pos="18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 and Exchange Rate Income (Loss)</w:t>
      </w:r>
    </w:p>
    <w:p>
      <w:pPr>
        <w:spacing w:after="0" w:line="290" w:lineRule="exact"/>
        <w:rPr>
          <w:sz w:val="20"/>
          <w:szCs w:val="20"/>
          <w:color w:val="auto"/>
        </w:rPr>
      </w:pPr>
    </w:p>
    <w:p>
      <w:pPr>
        <w:jc w:val="both"/>
        <w:ind w:left="1880"/>
        <w:spacing w:after="0" w:line="273" w:lineRule="auto"/>
        <w:rPr>
          <w:sz w:val="20"/>
          <w:szCs w:val="20"/>
          <w:color w:val="auto"/>
        </w:rPr>
      </w:pPr>
      <w:r>
        <w:rPr>
          <w:rFonts w:ascii="Arial" w:cs="Arial" w:eastAsia="Arial" w:hAnsi="Arial"/>
          <w:sz w:val="21"/>
          <w:szCs w:val="21"/>
          <w:color w:val="auto"/>
        </w:rPr>
        <w:t>The currency of the primary economic environment in which Tower, TJT and Jazz conduct their operations is the U.S. Dollar (“dollar”). Thus, the dollar is their functional and reporting currency. Accordingly, monetary accounts maintained in currencies other than the dollar are re-measured into dollars in accordance with ASC 830-10 “</w:t>
      </w:r>
      <w:r>
        <w:rPr>
          <w:rFonts w:ascii="Arial" w:cs="Arial" w:eastAsia="Arial" w:hAnsi="Arial"/>
          <w:sz w:val="21"/>
          <w:szCs w:val="21"/>
          <w:i w:val="1"/>
          <w:iCs w:val="1"/>
          <w:color w:val="auto"/>
        </w:rPr>
        <w:t>Foreign Currency Matters</w:t>
      </w:r>
      <w:r>
        <w:rPr>
          <w:rFonts w:ascii="Arial" w:cs="Arial" w:eastAsia="Arial" w:hAnsi="Arial"/>
          <w:sz w:val="21"/>
          <w:szCs w:val="21"/>
          <w:color w:val="auto"/>
        </w:rPr>
        <w:t>”.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w:t>
      </w:r>
    </w:p>
    <w:p>
      <w:pPr>
        <w:spacing w:after="0" w:line="233"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The statements of operations of TPSCo has been translated using the average exchange rate for the reported period. The resulting translation adjustments are charged or credited to OCI.</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1"/>
          <w:szCs w:val="21"/>
          <w:b w:val="1"/>
          <w:bCs w:val="1"/>
          <w:color w:val="auto"/>
        </w:rPr>
        <w:t>SUMMARY OF SIGNIFICANT ACCOUNTING POLICIES (cont.)</w:t>
      </w:r>
    </w:p>
    <w:p>
      <w:pPr>
        <w:spacing w:after="0" w:line="283" w:lineRule="exact"/>
        <w:rPr>
          <w:sz w:val="20"/>
          <w:szCs w:val="20"/>
          <w:color w:val="auto"/>
        </w:rPr>
      </w:pPr>
    </w:p>
    <w:p>
      <w:pPr>
        <w:ind w:left="1880" w:hanging="575"/>
        <w:spacing w:after="0"/>
        <w:tabs>
          <w:tab w:leader="none" w:pos="18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The Company applies the provisions of ASC Topic 718 “</w:t>
      </w:r>
      <w:r>
        <w:rPr>
          <w:rFonts w:ascii="Arial" w:cs="Arial" w:eastAsia="Arial" w:hAnsi="Arial"/>
          <w:sz w:val="22"/>
          <w:szCs w:val="22"/>
          <w:i w:val="1"/>
          <w:iCs w:val="1"/>
          <w:color w:val="auto"/>
        </w:rPr>
        <w:t>Compensation - Stock Compensation</w:t>
      </w:r>
      <w:r>
        <w:rPr>
          <w:rFonts w:ascii="Arial" w:cs="Arial" w:eastAsia="Arial" w:hAnsi="Arial"/>
          <w:sz w:val="22"/>
          <w:szCs w:val="22"/>
          <w:color w:val="auto"/>
        </w:rPr>
        <w:t>”, under which employees’ share-based equity awards (mostly restricted stock units and performance unit shares) are accounted for under the fair value method.</w:t>
      </w:r>
    </w:p>
    <w:p>
      <w:pPr>
        <w:spacing w:after="0" w:line="239" w:lineRule="exact"/>
        <w:rPr>
          <w:sz w:val="20"/>
          <w:szCs w:val="20"/>
          <w:color w:val="auto"/>
        </w:rPr>
      </w:pPr>
    </w:p>
    <w:p>
      <w:pPr>
        <w:jc w:val="both"/>
        <w:ind w:left="1880"/>
        <w:spacing w:after="0" w:line="263" w:lineRule="auto"/>
        <w:rPr>
          <w:sz w:val="20"/>
          <w:szCs w:val="20"/>
          <w:color w:val="auto"/>
        </w:rPr>
      </w:pPr>
      <w:r>
        <w:rPr>
          <w:rFonts w:ascii="Arial" w:cs="Arial" w:eastAsia="Arial" w:hAnsi="Arial"/>
          <w:sz w:val="22"/>
          <w:szCs w:val="22"/>
          <w:color w:val="auto"/>
        </w:rPr>
        <w:t>Accordingly, stock-based compensation granted to employees and directors is measured at the grant date, based on the fair value of the grant. The compensation costs are recognized using the graded vesting attribution method based on the vesting terms of each unit included in the award resulting in an accelerated recognition of compensation costs.</w:t>
      </w:r>
    </w:p>
    <w:p>
      <w:pPr>
        <w:spacing w:after="0" w:line="231" w:lineRule="exact"/>
        <w:rPr>
          <w:sz w:val="20"/>
          <w:szCs w:val="20"/>
          <w:color w:val="auto"/>
        </w:rPr>
      </w:pPr>
    </w:p>
    <w:p>
      <w:pPr>
        <w:ind w:left="1880" w:hanging="575"/>
        <w:spacing w:after="0"/>
        <w:tabs>
          <w:tab w:leader="none" w:pos="18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and Fair Value Measurements</w:t>
      </w:r>
    </w:p>
    <w:p>
      <w:pPr>
        <w:spacing w:after="0" w:line="290" w:lineRule="exact"/>
        <w:rPr>
          <w:sz w:val="20"/>
          <w:szCs w:val="20"/>
          <w:color w:val="auto"/>
        </w:rPr>
      </w:pPr>
    </w:p>
    <w:p>
      <w:pPr>
        <w:jc w:val="both"/>
        <w:ind w:left="1880"/>
        <w:spacing w:after="0" w:line="312" w:lineRule="auto"/>
        <w:rPr>
          <w:sz w:val="20"/>
          <w:szCs w:val="20"/>
          <w:color w:val="auto"/>
        </w:rPr>
      </w:pPr>
      <w:r>
        <w:rPr>
          <w:rFonts w:ascii="Arial" w:cs="Arial" w:eastAsia="Arial" w:hAnsi="Arial"/>
          <w:sz w:val="19"/>
          <w:szCs w:val="19"/>
          <w:color w:val="auto"/>
        </w:rPr>
        <w:t>ASC 820, "</w:t>
      </w:r>
      <w:r>
        <w:rPr>
          <w:rFonts w:ascii="Arial" w:cs="Arial" w:eastAsia="Arial" w:hAnsi="Arial"/>
          <w:sz w:val="19"/>
          <w:szCs w:val="19"/>
          <w:i w:val="1"/>
          <w:iCs w:val="1"/>
          <w:color w:val="auto"/>
        </w:rPr>
        <w:t>Fair Value Measurements and Disclosures</w:t>
      </w:r>
      <w:r>
        <w:rPr>
          <w:rFonts w:ascii="Arial" w:cs="Arial" w:eastAsia="Arial" w:hAnsi="Arial"/>
          <w:sz w:val="19"/>
          <w:szCs w:val="19"/>
          <w:color w:val="auto"/>
        </w:rPr>
        <w:t>" (“ASC 820”),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20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ASC 820 prioritizes the inputs into three levels that may be used to measure fair value:</w:t>
      </w:r>
    </w:p>
    <w:p>
      <w:pPr>
        <w:spacing w:after="0" w:line="287" w:lineRule="exact"/>
        <w:rPr>
          <w:sz w:val="20"/>
          <w:szCs w:val="20"/>
          <w:color w:val="auto"/>
        </w:rPr>
      </w:pPr>
    </w:p>
    <w:p>
      <w:pPr>
        <w:ind w:left="1880"/>
        <w:spacing w:after="0"/>
        <w:rPr>
          <w:sz w:val="20"/>
          <w:szCs w:val="20"/>
          <w:color w:val="auto"/>
        </w:rPr>
      </w:pPr>
      <w:r>
        <w:rPr>
          <w:rFonts w:ascii="Arial" w:cs="Arial" w:eastAsia="Arial" w:hAnsi="Arial"/>
          <w:sz w:val="22"/>
          <w:szCs w:val="22"/>
          <w:b w:val="1"/>
          <w:bCs w:val="1"/>
          <w:i w:val="1"/>
          <w:iCs w:val="1"/>
          <w:color w:val="auto"/>
        </w:rPr>
        <w:t>Level 1</w:t>
      </w:r>
    </w:p>
    <w:p>
      <w:pPr>
        <w:spacing w:after="0" w:line="22" w:lineRule="exact"/>
        <w:rPr>
          <w:sz w:val="20"/>
          <w:szCs w:val="20"/>
          <w:color w:val="auto"/>
        </w:rPr>
      </w:pPr>
    </w:p>
    <w:p>
      <w:pPr>
        <w:jc w:val="both"/>
        <w:ind w:left="1880" w:right="20"/>
        <w:spacing w:after="0" w:line="272" w:lineRule="auto"/>
        <w:rPr>
          <w:sz w:val="20"/>
          <w:szCs w:val="20"/>
          <w:color w:val="auto"/>
        </w:rPr>
      </w:pPr>
      <w:r>
        <w:rPr>
          <w:rFonts w:ascii="Arial" w:cs="Arial" w:eastAsia="Arial" w:hAnsi="Arial"/>
          <w:sz w:val="22"/>
          <w:szCs w:val="22"/>
          <w:color w:val="auto"/>
        </w:rPr>
        <w:t>Level 1 applies to assets or liabilities for which there are quoted prices in active markets for identical assets or liabilities.</w:t>
      </w:r>
    </w:p>
    <w:p>
      <w:pPr>
        <w:spacing w:after="0" w:line="232" w:lineRule="exact"/>
        <w:rPr>
          <w:sz w:val="20"/>
          <w:szCs w:val="20"/>
          <w:color w:val="auto"/>
        </w:rPr>
      </w:pPr>
    </w:p>
    <w:p>
      <w:pPr>
        <w:ind w:left="1880"/>
        <w:spacing w:after="0"/>
        <w:rPr>
          <w:sz w:val="20"/>
          <w:szCs w:val="20"/>
          <w:color w:val="auto"/>
        </w:rPr>
      </w:pPr>
      <w:r>
        <w:rPr>
          <w:rFonts w:ascii="Arial" w:cs="Arial" w:eastAsia="Arial" w:hAnsi="Arial"/>
          <w:sz w:val="22"/>
          <w:szCs w:val="22"/>
          <w:b w:val="1"/>
          <w:bCs w:val="1"/>
          <w:i w:val="1"/>
          <w:iCs w:val="1"/>
          <w:color w:val="auto"/>
        </w:rPr>
        <w:t>Level 2</w:t>
      </w:r>
    </w:p>
    <w:p>
      <w:pPr>
        <w:spacing w:after="0" w:line="22" w:lineRule="exact"/>
        <w:rPr>
          <w:sz w:val="20"/>
          <w:szCs w:val="20"/>
          <w:color w:val="auto"/>
        </w:rPr>
      </w:pPr>
    </w:p>
    <w:p>
      <w:pPr>
        <w:jc w:val="both"/>
        <w:ind w:left="1880"/>
        <w:spacing w:after="0" w:line="275" w:lineRule="auto"/>
        <w:rPr>
          <w:sz w:val="20"/>
          <w:szCs w:val="20"/>
          <w:color w:val="auto"/>
        </w:rPr>
      </w:pPr>
      <w:r>
        <w:rPr>
          <w:rFonts w:ascii="Arial" w:cs="Arial" w:eastAsia="Arial" w:hAnsi="Arial"/>
          <w:sz w:val="21"/>
          <w:szCs w:val="21"/>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33" w:lineRule="exact"/>
        <w:rPr>
          <w:sz w:val="20"/>
          <w:szCs w:val="20"/>
          <w:color w:val="auto"/>
        </w:rPr>
      </w:pPr>
    </w:p>
    <w:p>
      <w:pPr>
        <w:ind w:left="1880"/>
        <w:spacing w:after="0"/>
        <w:rPr>
          <w:sz w:val="20"/>
          <w:szCs w:val="20"/>
          <w:color w:val="auto"/>
        </w:rPr>
      </w:pPr>
      <w:r>
        <w:rPr>
          <w:rFonts w:ascii="Arial" w:cs="Arial" w:eastAsia="Arial" w:hAnsi="Arial"/>
          <w:sz w:val="22"/>
          <w:szCs w:val="22"/>
          <w:b w:val="1"/>
          <w:bCs w:val="1"/>
          <w:i w:val="1"/>
          <w:iCs w:val="1"/>
          <w:color w:val="auto"/>
        </w:rPr>
        <w:t>Level 3</w:t>
      </w:r>
    </w:p>
    <w:p>
      <w:pPr>
        <w:spacing w:after="0" w:line="22" w:lineRule="exact"/>
        <w:rPr>
          <w:sz w:val="20"/>
          <w:szCs w:val="20"/>
          <w:color w:val="auto"/>
        </w:rPr>
      </w:pPr>
    </w:p>
    <w:p>
      <w:pPr>
        <w:jc w:val="both"/>
        <w:ind w:left="1880" w:right="20"/>
        <w:spacing w:after="0" w:line="272" w:lineRule="auto"/>
        <w:rPr>
          <w:sz w:val="20"/>
          <w:szCs w:val="20"/>
          <w:color w:val="auto"/>
        </w:rPr>
      </w:pPr>
      <w:r>
        <w:rPr>
          <w:rFonts w:ascii="Arial" w:cs="Arial" w:eastAsia="Arial" w:hAnsi="Arial"/>
          <w:sz w:val="22"/>
          <w:szCs w:val="22"/>
          <w:color w:val="auto"/>
        </w:rPr>
        <w:t>Level 3 applies to assets or liabilities for which there are unobservable inputs to the valuation methodology that are significant to the measurement of the fair value of the assets or liabilities.</w:t>
      </w:r>
    </w:p>
    <w:p>
      <w:pPr>
        <w:spacing w:after="0" w:line="232" w:lineRule="exact"/>
        <w:rPr>
          <w:sz w:val="20"/>
          <w:szCs w:val="20"/>
          <w:color w:val="auto"/>
        </w:rPr>
      </w:pPr>
    </w:p>
    <w:p>
      <w:pPr>
        <w:jc w:val="both"/>
        <w:ind w:left="1880"/>
        <w:spacing w:after="0" w:line="312" w:lineRule="auto"/>
        <w:rPr>
          <w:sz w:val="20"/>
          <w:szCs w:val="20"/>
          <w:color w:val="auto"/>
        </w:rPr>
      </w:pPr>
      <w:r>
        <w:rPr>
          <w:rFonts w:ascii="Arial" w:cs="Arial" w:eastAsia="Arial" w:hAnsi="Arial"/>
          <w:sz w:val="19"/>
          <w:szCs w:val="19"/>
          <w:color w:val="auto"/>
        </w:rPr>
        <w:t>The Company's financial instruments of cash, bank deposits, marketable securities, account receivable and payables, accrued liabilities, loans and leases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1"/>
          <w:szCs w:val="21"/>
          <w:b w:val="1"/>
          <w:bCs w:val="1"/>
          <w:color w:val="auto"/>
        </w:rPr>
        <w:t>SUMMARY OF SIGNIFICANT ACCOUNTING POLICIES (cont.)</w:t>
      </w:r>
    </w:p>
    <w:p>
      <w:pPr>
        <w:spacing w:after="0" w:line="283" w:lineRule="exact"/>
        <w:rPr>
          <w:sz w:val="20"/>
          <w:szCs w:val="20"/>
          <w:color w:val="auto"/>
        </w:rPr>
      </w:pPr>
    </w:p>
    <w:p>
      <w:pPr>
        <w:ind w:left="1880" w:hanging="575"/>
        <w:spacing w:after="0"/>
        <w:tabs>
          <w:tab w:leader="none" w:pos="18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w:t>
      </w:r>
    </w:p>
    <w:p>
      <w:pPr>
        <w:spacing w:after="0" w:line="290" w:lineRule="exact"/>
        <w:rPr>
          <w:sz w:val="20"/>
          <w:szCs w:val="20"/>
          <w:color w:val="auto"/>
        </w:rPr>
      </w:pPr>
    </w:p>
    <w:p>
      <w:pPr>
        <w:jc w:val="both"/>
        <w:ind w:left="1920"/>
        <w:spacing w:after="0" w:line="266" w:lineRule="auto"/>
        <w:rPr>
          <w:sz w:val="20"/>
          <w:szCs w:val="20"/>
          <w:color w:val="auto"/>
        </w:rPr>
      </w:pPr>
      <w:r>
        <w:rPr>
          <w:rFonts w:ascii="Arial" w:cs="Arial" w:eastAsia="Arial" w:hAnsi="Arial"/>
          <w:sz w:val="22"/>
          <w:szCs w:val="22"/>
          <w:color w:val="auto"/>
        </w:rPr>
        <w:t>Derivative instruments are recognized as either assets or liabilities and are measured at fair value. The accounting for changes in the fair value of a derivative depends on the intended use of the derivative and the resulting designation.</w:t>
      </w:r>
    </w:p>
    <w:p>
      <w:pPr>
        <w:spacing w:after="0" w:line="239" w:lineRule="exact"/>
        <w:rPr>
          <w:sz w:val="20"/>
          <w:szCs w:val="20"/>
          <w:color w:val="auto"/>
        </w:rPr>
      </w:pPr>
    </w:p>
    <w:p>
      <w:pPr>
        <w:jc w:val="both"/>
        <w:ind w:left="1920"/>
        <w:spacing w:after="0" w:line="266" w:lineRule="auto"/>
        <w:rPr>
          <w:sz w:val="20"/>
          <w:szCs w:val="20"/>
          <w:color w:val="auto"/>
        </w:rPr>
      </w:pPr>
      <w:r>
        <w:rPr>
          <w:rFonts w:ascii="Arial" w:cs="Arial" w:eastAsia="Arial" w:hAnsi="Arial"/>
          <w:sz w:val="22"/>
          <w:szCs w:val="22"/>
          <w:color w:val="auto"/>
        </w:rPr>
        <w:t>For derivative instruments designated as fair value hedges, the gains (losses) are recognized in earnings in the periods of change together with the offsetting losses (gains) on the hedged items attributed to the risk being hedged.</w:t>
      </w:r>
    </w:p>
    <w:p>
      <w:pPr>
        <w:spacing w:after="0" w:line="239" w:lineRule="exact"/>
        <w:rPr>
          <w:sz w:val="20"/>
          <w:szCs w:val="20"/>
          <w:color w:val="auto"/>
        </w:rPr>
      </w:pPr>
    </w:p>
    <w:p>
      <w:pPr>
        <w:jc w:val="both"/>
        <w:ind w:left="1920"/>
        <w:spacing w:after="0" w:line="261" w:lineRule="auto"/>
        <w:rPr>
          <w:sz w:val="20"/>
          <w:szCs w:val="20"/>
          <w:color w:val="auto"/>
        </w:rPr>
      </w:pPr>
      <w:r>
        <w:rPr>
          <w:rFonts w:ascii="Arial" w:cs="Arial" w:eastAsia="Arial" w:hAnsi="Arial"/>
          <w:sz w:val="22"/>
          <w:szCs w:val="22"/>
          <w:color w:val="auto"/>
        </w:rPr>
        <w:t>For derivative instruments designated as cash flow hedges, the effective portion of the gains (losses) on the derivatives is initially reported as a component of OCI and is subsequently recognized in earnings when the hedged exposure is recognized in earnings. Gains (losses) on derivatives are recognized in earnings, representing either hedge components excluded from the assessment of effectiveness or hedge ineffectiveness.</w:t>
      </w:r>
    </w:p>
    <w:p>
      <w:pPr>
        <w:spacing w:after="0" w:line="245" w:lineRule="exact"/>
        <w:rPr>
          <w:sz w:val="20"/>
          <w:szCs w:val="20"/>
          <w:color w:val="auto"/>
        </w:rPr>
      </w:pPr>
    </w:p>
    <w:p>
      <w:pPr>
        <w:jc w:val="both"/>
        <w:ind w:left="1920" w:right="20"/>
        <w:spacing w:after="0" w:line="276" w:lineRule="auto"/>
        <w:rPr>
          <w:sz w:val="20"/>
          <w:szCs w:val="20"/>
          <w:color w:val="auto"/>
        </w:rPr>
      </w:pPr>
      <w:r>
        <w:rPr>
          <w:rFonts w:ascii="Arial" w:cs="Arial" w:eastAsia="Arial" w:hAnsi="Arial"/>
          <w:sz w:val="22"/>
          <w:szCs w:val="22"/>
          <w:color w:val="auto"/>
        </w:rPr>
        <w:t>For derivative instruments that are not designated as hedges, gains (losses) from changes in fair values are primarily recognized in the same line of the item economically hedged.</w:t>
      </w:r>
    </w:p>
    <w:p>
      <w:pPr>
        <w:spacing w:after="0" w:line="218" w:lineRule="exact"/>
        <w:rPr>
          <w:sz w:val="20"/>
          <w:szCs w:val="20"/>
          <w:color w:val="auto"/>
        </w:rPr>
      </w:pPr>
    </w:p>
    <w:p>
      <w:pPr>
        <w:ind w:left="1880" w:hanging="534"/>
        <w:spacing w:after="0"/>
        <w:tabs>
          <w:tab w:leader="none" w:pos="1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90" w:lineRule="exact"/>
        <w:rPr>
          <w:sz w:val="20"/>
          <w:szCs w:val="20"/>
          <w:color w:val="auto"/>
        </w:rPr>
      </w:pPr>
    </w:p>
    <w:p>
      <w:pPr>
        <w:jc w:val="both"/>
        <w:ind w:left="1880"/>
        <w:spacing w:after="0" w:line="259" w:lineRule="auto"/>
        <w:rPr>
          <w:sz w:val="20"/>
          <w:szCs w:val="20"/>
          <w:color w:val="auto"/>
        </w:rPr>
      </w:pPr>
      <w:r>
        <w:rPr>
          <w:rFonts w:ascii="Arial" w:cs="Arial" w:eastAsia="Arial" w:hAnsi="Arial"/>
          <w:sz w:val="22"/>
          <w:szCs w:val="22"/>
          <w:color w:val="auto"/>
        </w:rPr>
        <w:t xml:space="preserve">In December 2019, the FASB issued ASU No. 2019-12, </w:t>
      </w:r>
      <w:r>
        <w:rPr>
          <w:rFonts w:ascii="Arial" w:cs="Arial" w:eastAsia="Arial" w:hAnsi="Arial"/>
          <w:sz w:val="22"/>
          <w:szCs w:val="22"/>
          <w:i w:val="1"/>
          <w:iCs w:val="1"/>
          <w:color w:val="auto"/>
        </w:rPr>
        <w:t>"Income Taxes</w:t>
      </w:r>
      <w:r>
        <w:rPr>
          <w:rFonts w:ascii="Arial" w:cs="Arial" w:eastAsia="Arial" w:hAnsi="Arial"/>
          <w:sz w:val="22"/>
          <w:szCs w:val="22"/>
          <w:color w:val="auto"/>
        </w:rPr>
        <w:t xml:space="preserve"> - </w:t>
      </w:r>
      <w:r>
        <w:rPr>
          <w:rFonts w:ascii="Arial" w:cs="Arial" w:eastAsia="Arial" w:hAnsi="Arial"/>
          <w:sz w:val="22"/>
          <w:szCs w:val="22"/>
          <w:i w:val="1"/>
          <w:iCs w:val="1"/>
          <w:color w:val="auto"/>
        </w:rPr>
        <w:t>Simplifying the Accounting for</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Income Taxes” </w:t>
      </w:r>
      <w:r>
        <w:rPr>
          <w:rFonts w:ascii="Arial" w:cs="Arial" w:eastAsia="Arial" w:hAnsi="Arial"/>
          <w:sz w:val="22"/>
          <w:szCs w:val="22"/>
          <w:color w:val="auto"/>
        </w:rPr>
        <w:t>(“Topic 740”). The ASU simplifies the accounting for income taxes by removing certain</w:t>
      </w:r>
      <w:r>
        <w:rPr>
          <w:rFonts w:ascii="Arial" w:cs="Arial" w:eastAsia="Arial" w:hAnsi="Arial"/>
          <w:sz w:val="22"/>
          <w:szCs w:val="22"/>
          <w:i w:val="1"/>
          <w:iCs w:val="1"/>
          <w:color w:val="auto"/>
        </w:rPr>
        <w:t xml:space="preserve"> </w:t>
      </w:r>
      <w:r>
        <w:rPr>
          <w:rFonts w:ascii="Arial" w:cs="Arial" w:eastAsia="Arial" w:hAnsi="Arial"/>
          <w:sz w:val="22"/>
          <w:szCs w:val="22"/>
          <w:color w:val="auto"/>
        </w:rPr>
        <w:t>exceptions to the general principles in Topic 740. The ASU also clarifies and amends existing guidance to improve consistent application among reporting entities. The guidance will be effective for fiscal years and interim periods within those fiscal years, beginning after December 15, 2020, with early adoption permitted. The Company is currently evaluating the impact of adopting this standard on its consolidated financial statements.</w:t>
      </w:r>
    </w:p>
    <w:p>
      <w:pPr>
        <w:spacing w:after="0" w:line="250" w:lineRule="exact"/>
        <w:rPr>
          <w:sz w:val="20"/>
          <w:szCs w:val="20"/>
          <w:color w:val="auto"/>
        </w:rPr>
      </w:pPr>
    </w:p>
    <w:p>
      <w:pPr>
        <w:jc w:val="both"/>
        <w:ind w:left="1880"/>
        <w:spacing w:after="0" w:line="276" w:lineRule="auto"/>
        <w:rPr>
          <w:sz w:val="20"/>
          <w:szCs w:val="20"/>
          <w:color w:val="auto"/>
        </w:rPr>
      </w:pPr>
      <w:r>
        <w:rPr>
          <w:rFonts w:ascii="Arial" w:cs="Arial" w:eastAsia="Arial" w:hAnsi="Arial"/>
          <w:sz w:val="21"/>
          <w:szCs w:val="21"/>
          <w:color w:val="auto"/>
        </w:rPr>
        <w:t>In August 2018, the FASB issued ASU No. 2018-13 “</w:t>
      </w:r>
      <w:r>
        <w:rPr>
          <w:rFonts w:ascii="Arial" w:cs="Arial" w:eastAsia="Arial" w:hAnsi="Arial"/>
          <w:sz w:val="21"/>
          <w:szCs w:val="21"/>
          <w:i w:val="1"/>
          <w:iCs w:val="1"/>
          <w:color w:val="auto"/>
        </w:rPr>
        <w:t>Fair Value Measurement</w:t>
      </w:r>
      <w:r>
        <w:rPr>
          <w:rFonts w:ascii="Arial" w:cs="Arial" w:eastAsia="Arial" w:hAnsi="Arial"/>
          <w:sz w:val="21"/>
          <w:szCs w:val="21"/>
          <w:color w:val="auto"/>
        </w:rPr>
        <w:t>” Disclosure Framework – Changes to the Disclosure Requirements for Fair Value Measurement. This ASU removes certain disclosure requirements regarding the amounts and reasons for transfers between Level 1 and Level 2 of the fair value hierarchy and the policy for timing of transfers between the levels. This ASU have no effect on the Company’s disclosures or on the financial position, results of operations and cash flows.</w:t>
      </w:r>
    </w:p>
    <w:p>
      <w:pPr>
        <w:spacing w:after="0" w:line="232" w:lineRule="exact"/>
        <w:rPr>
          <w:sz w:val="20"/>
          <w:szCs w:val="20"/>
          <w:color w:val="auto"/>
        </w:rPr>
      </w:pPr>
    </w:p>
    <w:p>
      <w:pPr>
        <w:jc w:val="both"/>
        <w:ind w:left="1880"/>
        <w:spacing w:after="0" w:line="306" w:lineRule="auto"/>
        <w:rPr>
          <w:sz w:val="20"/>
          <w:szCs w:val="20"/>
          <w:color w:val="auto"/>
        </w:rPr>
      </w:pPr>
      <w:r>
        <w:rPr>
          <w:rFonts w:ascii="Arial" w:cs="Arial" w:eastAsia="Arial" w:hAnsi="Arial"/>
          <w:sz w:val="19"/>
          <w:szCs w:val="19"/>
          <w:color w:val="auto"/>
        </w:rPr>
        <w:t>In June 2018, the FASB issued ASU No. 2018-07 “</w:t>
      </w:r>
      <w:r>
        <w:rPr>
          <w:rFonts w:ascii="Arial" w:cs="Arial" w:eastAsia="Arial" w:hAnsi="Arial"/>
          <w:sz w:val="19"/>
          <w:szCs w:val="19"/>
          <w:i w:val="1"/>
          <w:iCs w:val="1"/>
          <w:color w:val="auto"/>
        </w:rPr>
        <w:t>Compensation - Stock Compensation</w:t>
      </w:r>
      <w:r>
        <w:rPr>
          <w:rFonts w:ascii="Arial" w:cs="Arial" w:eastAsia="Arial" w:hAnsi="Arial"/>
          <w:sz w:val="19"/>
          <w:szCs w:val="19"/>
          <w:color w:val="auto"/>
        </w:rPr>
        <w:t>” (“Topic 718”): Improvements to Nonemployee Share-Based Payment Accounting. This ASU expands the scope of Topic 718 to include accounting for share-based payments for acquiring goods and services from non-employees except for specific guidance on assumptions used in an option pricing model and expense attribution. Topic 718 is effective for periods beginning after December 15, 2018, with early adoption permitted. The Company does not have any stock-based instruments outstanding to non-employees. Accordingly, the adoption of this ASU has no effect on the Company’s financial position, results of operations or cash flows.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080" w:val="left"/>
          <w:tab w:leader="none" w:pos="1700" w:val="left"/>
        </w:tabs>
        <w:rPr>
          <w:sz w:val="20"/>
          <w:szCs w:val="20"/>
          <w:color w:val="auto"/>
        </w:rPr>
      </w:pPr>
      <w:r>
        <w:rPr>
          <w:rFonts w:ascii="Arial" w:cs="Arial" w:eastAsia="Arial" w:hAnsi="Arial"/>
          <w:sz w:val="22"/>
          <w:szCs w:val="22"/>
          <w:b w:val="1"/>
          <w:bCs w:val="1"/>
          <w:color w:val="auto"/>
        </w:rPr>
        <w:t>NOTE 2</w:t>
        <w:tab/>
        <w:t>-</w:t>
      </w:r>
      <w:r>
        <w:rPr>
          <w:sz w:val="20"/>
          <w:szCs w:val="20"/>
          <w:color w:val="auto"/>
        </w:rPr>
        <w:tab/>
      </w:r>
      <w:r>
        <w:rPr>
          <w:rFonts w:ascii="Arial" w:cs="Arial" w:eastAsia="Arial" w:hAnsi="Arial"/>
          <w:sz w:val="21"/>
          <w:szCs w:val="21"/>
          <w:b w:val="1"/>
          <w:bCs w:val="1"/>
          <w:color w:val="auto"/>
        </w:rPr>
        <w:t>SUMMARY OF SIGNIFICANT ACCOUNTING POLICIES (cont.)</w:t>
      </w:r>
    </w:p>
    <w:p>
      <w:pPr>
        <w:spacing w:after="0" w:line="283" w:lineRule="exact"/>
        <w:rPr>
          <w:sz w:val="20"/>
          <w:szCs w:val="20"/>
          <w:color w:val="auto"/>
        </w:rPr>
      </w:pPr>
    </w:p>
    <w:p>
      <w:pPr>
        <w:ind w:left="1880" w:hanging="575"/>
        <w:spacing w:after="0"/>
        <w:tabs>
          <w:tab w:leader="none" w:pos="18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w:t>
      </w:r>
    </w:p>
    <w:p>
      <w:pPr>
        <w:spacing w:after="0" w:line="290" w:lineRule="exact"/>
        <w:rPr>
          <w:sz w:val="20"/>
          <w:szCs w:val="20"/>
          <w:color w:val="auto"/>
        </w:rPr>
      </w:pPr>
    </w:p>
    <w:p>
      <w:pPr>
        <w:jc w:val="both"/>
        <w:ind w:left="1880"/>
        <w:spacing w:after="0" w:line="306" w:lineRule="auto"/>
        <w:rPr>
          <w:sz w:val="20"/>
          <w:szCs w:val="20"/>
          <w:color w:val="auto"/>
        </w:rPr>
      </w:pPr>
      <w:r>
        <w:rPr>
          <w:rFonts w:ascii="Arial" w:cs="Arial" w:eastAsia="Arial" w:hAnsi="Arial"/>
          <w:sz w:val="19"/>
          <w:szCs w:val="19"/>
          <w:color w:val="auto"/>
        </w:rPr>
        <w:t xml:space="preserve">In January 2017, the FASB issued ASU 2017-04 </w:t>
      </w:r>
      <w:r>
        <w:rPr>
          <w:rFonts w:ascii="Arial" w:cs="Arial" w:eastAsia="Arial" w:hAnsi="Arial"/>
          <w:sz w:val="19"/>
          <w:szCs w:val="19"/>
          <w:i w:val="1"/>
          <w:iCs w:val="1"/>
          <w:color w:val="auto"/>
        </w:rPr>
        <w:t>“Intangibles - Goodwill and Other: Simplifying the Test for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Goodwill Impairment” </w:t>
      </w:r>
      <w:r>
        <w:rPr>
          <w:rFonts w:ascii="Arial" w:cs="Arial" w:eastAsia="Arial" w:hAnsi="Arial"/>
          <w:sz w:val="19"/>
          <w:szCs w:val="19"/>
          <w:color w:val="auto"/>
        </w:rPr>
        <w:t>(“Topic 350”), which clarified its guidance to simplify the measurement of goodwill</w:t>
      </w:r>
      <w:r>
        <w:rPr>
          <w:rFonts w:ascii="Arial" w:cs="Arial" w:eastAsia="Arial" w:hAnsi="Arial"/>
          <w:sz w:val="19"/>
          <w:szCs w:val="19"/>
          <w:i w:val="1"/>
          <w:iCs w:val="1"/>
          <w:color w:val="auto"/>
        </w:rPr>
        <w:t xml:space="preserve"> </w:t>
      </w:r>
      <w:r>
        <w:rPr>
          <w:rFonts w:ascii="Arial" w:cs="Arial" w:eastAsia="Arial" w:hAnsi="Arial"/>
          <w:sz w:val="19"/>
          <w:szCs w:val="19"/>
          <w:color w:val="auto"/>
        </w:rPr>
        <w:t>by eliminating the Step 2 impairment test. The new guidance requires companies to perform the goodwill impairment test by comparing the fair value of a reporting unit with its carrying amount. The amendment will be effective beginning in its first quarter of fiscal year 2020. The amendment is required to be adopted prospectively. Early adoption is permitted. The adoption of this guidance is not expected to have a significant impact on the Company’s consolidated financial statements.</w:t>
      </w:r>
    </w:p>
    <w:p>
      <w:pPr>
        <w:spacing w:after="0" w:line="211" w:lineRule="exact"/>
        <w:rPr>
          <w:sz w:val="20"/>
          <w:szCs w:val="20"/>
          <w:color w:val="auto"/>
        </w:rPr>
      </w:pPr>
    </w:p>
    <w:p>
      <w:pPr>
        <w:jc w:val="both"/>
        <w:ind w:left="1880"/>
        <w:spacing w:after="0" w:line="304" w:lineRule="auto"/>
        <w:rPr>
          <w:sz w:val="20"/>
          <w:szCs w:val="20"/>
          <w:color w:val="auto"/>
        </w:rPr>
      </w:pPr>
      <w:r>
        <w:rPr>
          <w:rFonts w:ascii="Arial" w:cs="Arial" w:eastAsia="Arial" w:hAnsi="Arial"/>
          <w:sz w:val="19"/>
          <w:szCs w:val="19"/>
          <w:color w:val="auto"/>
        </w:rPr>
        <w:t>In June 2016, the FASB issued ASU 2016-13 “</w:t>
      </w:r>
      <w:r>
        <w:rPr>
          <w:rFonts w:ascii="Arial" w:cs="Arial" w:eastAsia="Arial" w:hAnsi="Arial"/>
          <w:sz w:val="19"/>
          <w:szCs w:val="19"/>
          <w:i w:val="1"/>
          <w:iCs w:val="1"/>
          <w:color w:val="auto"/>
        </w:rPr>
        <w:t>Financial Instruments Credit Losses</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This update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An entity must use judgment in determining the relevant information and estimation methods that are appropriate in its circumstances. The update is effective January 1, 2020, and for interim periods within that year. Early adoption is permitted only after January 1, 2019. The Company has previously incurred an immaterial amount of bad debt and expects no material impact on its consolidated financial statements and disclosures resulting from adopting this guidance.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0"/>
                <w:szCs w:val="20"/>
                <w:color w:val="auto"/>
              </w:rPr>
            </w:pPr>
            <w:r>
              <w:rPr>
                <w:rFonts w:ascii="Arial" w:cs="Arial" w:eastAsia="Arial" w:hAnsi="Arial"/>
                <w:sz w:val="22"/>
                <w:szCs w:val="22"/>
                <w:b w:val="1"/>
                <w:bCs w:val="1"/>
                <w:color w:val="auto"/>
              </w:rPr>
              <w:t>NOTE 3   -</w:t>
            </w:r>
          </w:p>
        </w:tc>
        <w:tc>
          <w:tcPr>
            <w:tcW w:w="140" w:type="dxa"/>
            <w:vAlign w:val="bottom"/>
          </w:tcPr>
          <w:p>
            <w:pPr>
              <w:spacing w:after="0"/>
              <w:rPr>
                <w:sz w:val="24"/>
                <w:szCs w:val="24"/>
                <w:color w:val="auto"/>
              </w:rPr>
            </w:pP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INVENTORIES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7880" w:type="dxa"/>
            <w:vAlign w:val="bottom"/>
            <w:gridSpan w:val="2"/>
          </w:tcPr>
          <w:p>
            <w:pPr>
              <w:ind w:left="60"/>
              <w:spacing w:after="0"/>
              <w:rPr>
                <w:sz w:val="20"/>
                <w:szCs w:val="20"/>
                <w:color w:val="auto"/>
              </w:rPr>
            </w:pPr>
            <w:r>
              <w:rPr>
                <w:rFonts w:ascii="Arial" w:cs="Arial" w:eastAsia="Arial" w:hAnsi="Arial"/>
                <w:sz w:val="22"/>
                <w:szCs w:val="22"/>
                <w:color w:val="auto"/>
              </w:rPr>
              <w:t>Inventories consist of the following:</w:t>
            </w:r>
          </w:p>
        </w:tc>
        <w:tc>
          <w:tcPr>
            <w:tcW w:w="220" w:type="dxa"/>
            <w:vAlign w:val="bottom"/>
          </w:tcPr>
          <w:p>
            <w:pPr>
              <w:spacing w:after="0"/>
              <w:rPr>
                <w:sz w:val="24"/>
                <w:szCs w:val="24"/>
                <w:color w:val="auto"/>
              </w:rPr>
            </w:pPr>
          </w:p>
        </w:tc>
        <w:tc>
          <w:tcPr>
            <w:tcW w:w="2080" w:type="dxa"/>
            <w:vAlign w:val="bottom"/>
            <w:gridSpan w:val="5"/>
            <w:vMerge w:val="restart"/>
          </w:tcPr>
          <w:p>
            <w:pPr>
              <w:jc w:val="right"/>
              <w:ind w:right="480"/>
              <w:spacing w:after="0"/>
              <w:rPr>
                <w:sz w:val="20"/>
                <w:szCs w:val="20"/>
                <w:color w:val="auto"/>
              </w:rPr>
            </w:pPr>
            <w:r>
              <w:rPr>
                <w:rFonts w:ascii="Arial" w:cs="Arial" w:eastAsia="Arial" w:hAnsi="Arial"/>
                <w:sz w:val="18"/>
                <w:szCs w:val="18"/>
                <w:color w:val="auto"/>
                <w:w w:val="99"/>
              </w:rPr>
              <w:t>As of December 31,</w:t>
            </w: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91,537</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92,047</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192,256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300"/>
        <w:spacing w:after="0" w:line="276" w:lineRule="auto"/>
        <w:rPr>
          <w:sz w:val="20"/>
          <w:szCs w:val="20"/>
          <w:color w:val="auto"/>
        </w:rPr>
      </w:pPr>
      <w:r>
        <w:rPr>
          <w:rFonts w:ascii="Arial" w:cs="Arial" w:eastAsia="Arial" w:hAnsi="Arial"/>
          <w:sz w:val="22"/>
          <w:szCs w:val="22"/>
          <w:color w:val="auto"/>
        </w:rPr>
        <w:t>Work in process and finished goods are presented net of aggregate write-downs to net realizable value of $649 and $1,206 as of December 31, 2019 and 2018,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0"/>
                <w:szCs w:val="20"/>
                <w:color w:val="auto"/>
              </w:rPr>
            </w:pPr>
            <w:r>
              <w:rPr>
                <w:rFonts w:ascii="Arial" w:cs="Arial" w:eastAsia="Arial" w:hAnsi="Arial"/>
                <w:sz w:val="22"/>
                <w:szCs w:val="22"/>
                <w:b w:val="1"/>
                <w:bCs w:val="1"/>
                <w:color w:val="auto"/>
              </w:rPr>
              <w:t>NOTE 4   -</w:t>
            </w:r>
          </w:p>
        </w:tc>
        <w:tc>
          <w:tcPr>
            <w:tcW w:w="140" w:type="dxa"/>
            <w:vAlign w:val="bottom"/>
          </w:tcPr>
          <w:p>
            <w:pPr>
              <w:spacing w:after="0"/>
              <w:rPr>
                <w:sz w:val="24"/>
                <w:szCs w:val="24"/>
                <w:color w:val="auto"/>
              </w:rPr>
            </w:pP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OTHER CURRENT ASSETS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7880" w:type="dxa"/>
            <w:vAlign w:val="bottom"/>
            <w:gridSpan w:val="2"/>
          </w:tcPr>
          <w:p>
            <w:pPr>
              <w:ind w:left="60"/>
              <w:spacing w:after="0"/>
              <w:rPr>
                <w:sz w:val="20"/>
                <w:szCs w:val="20"/>
                <w:color w:val="auto"/>
              </w:rPr>
            </w:pPr>
            <w:r>
              <w:rPr>
                <w:rFonts w:ascii="Arial" w:cs="Arial" w:eastAsia="Arial" w:hAnsi="Arial"/>
                <w:sz w:val="22"/>
                <w:szCs w:val="22"/>
                <w:color w:val="auto"/>
              </w:rPr>
              <w:t>Other current assets consist of the following:</w:t>
            </w:r>
          </w:p>
        </w:tc>
        <w:tc>
          <w:tcPr>
            <w:tcW w:w="220" w:type="dxa"/>
            <w:vAlign w:val="bottom"/>
          </w:tcPr>
          <w:p>
            <w:pPr>
              <w:spacing w:after="0"/>
              <w:rPr>
                <w:sz w:val="24"/>
                <w:szCs w:val="24"/>
                <w:color w:val="auto"/>
              </w:rPr>
            </w:pPr>
          </w:p>
        </w:tc>
        <w:tc>
          <w:tcPr>
            <w:tcW w:w="2080" w:type="dxa"/>
            <w:vAlign w:val="bottom"/>
            <w:gridSpan w:val="5"/>
            <w:vMerge w:val="restart"/>
          </w:tcPr>
          <w:p>
            <w:pPr>
              <w:jc w:val="right"/>
              <w:ind w:right="480"/>
              <w:spacing w:after="0"/>
              <w:rPr>
                <w:sz w:val="20"/>
                <w:szCs w:val="20"/>
                <w:color w:val="auto"/>
              </w:rPr>
            </w:pPr>
            <w:r>
              <w:rPr>
                <w:rFonts w:ascii="Arial" w:cs="Arial" w:eastAsia="Arial" w:hAnsi="Arial"/>
                <w:sz w:val="18"/>
                <w:szCs w:val="18"/>
                <w:color w:val="auto"/>
                <w:w w:val="99"/>
              </w:rPr>
              <w:t>As of December 31,</w:t>
            </w: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Tax receivables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on bank deposits and other receivables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22,019</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22,752</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0"/>
                <w:szCs w:val="20"/>
                <w:color w:val="auto"/>
              </w:rPr>
            </w:pPr>
            <w:r>
              <w:rPr>
                <w:rFonts w:ascii="Arial" w:cs="Arial" w:eastAsia="Arial" w:hAnsi="Arial"/>
                <w:sz w:val="22"/>
                <w:szCs w:val="22"/>
                <w:b w:val="1"/>
                <w:bCs w:val="1"/>
                <w:color w:val="auto"/>
              </w:rPr>
              <w:t>NOTE 5   -</w:t>
            </w:r>
          </w:p>
        </w:tc>
        <w:tc>
          <w:tcPr>
            <w:tcW w:w="140" w:type="dxa"/>
            <w:vAlign w:val="bottom"/>
          </w:tcPr>
          <w:p>
            <w:pPr>
              <w:spacing w:after="0"/>
              <w:rPr>
                <w:sz w:val="24"/>
                <w:szCs w:val="24"/>
                <w:color w:val="auto"/>
              </w:rPr>
            </w:pPr>
          </w:p>
        </w:tc>
        <w:tc>
          <w:tcPr>
            <w:tcW w:w="7740" w:type="dxa"/>
            <w:vAlign w:val="bottom"/>
          </w:tcPr>
          <w:p>
            <w:pPr>
              <w:ind w:left="340"/>
              <w:spacing w:after="0"/>
              <w:rPr>
                <w:sz w:val="20"/>
                <w:szCs w:val="20"/>
                <w:color w:val="auto"/>
              </w:rPr>
            </w:pPr>
            <w:r>
              <w:rPr>
                <w:rFonts w:ascii="Arial" w:cs="Arial" w:eastAsia="Arial" w:hAnsi="Arial"/>
                <w:sz w:val="22"/>
                <w:szCs w:val="22"/>
                <w:b w:val="1"/>
                <w:bCs w:val="1"/>
                <w:color w:val="auto"/>
              </w:rPr>
              <w:t>LONG-TERM INVESTMENTS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7880" w:type="dxa"/>
            <w:vAlign w:val="bottom"/>
            <w:gridSpan w:val="2"/>
          </w:tcPr>
          <w:p>
            <w:pPr>
              <w:ind w:left="60"/>
              <w:spacing w:after="0"/>
              <w:rPr>
                <w:sz w:val="20"/>
                <w:szCs w:val="20"/>
                <w:color w:val="auto"/>
              </w:rPr>
            </w:pPr>
            <w:r>
              <w:rPr>
                <w:rFonts w:ascii="Arial" w:cs="Arial" w:eastAsia="Arial" w:hAnsi="Arial"/>
                <w:sz w:val="22"/>
                <w:szCs w:val="22"/>
                <w:color w:val="auto"/>
              </w:rPr>
              <w:t>Long-term investments consist of the following: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w w:val="89"/>
              </w:rPr>
              <w:t>As of December</w:t>
            </w:r>
          </w:p>
        </w:tc>
        <w:tc>
          <w:tcPr>
            <w:tcW w:w="0" w:type="dxa"/>
            <w:vAlign w:val="bottom"/>
          </w:tcPr>
          <w:p>
            <w:pPr>
              <w:spacing w:after="0"/>
              <w:rPr>
                <w:sz w:val="1"/>
                <w:szCs w:val="1"/>
                <w:color w:val="auto"/>
              </w:rPr>
            </w:pPr>
          </w:p>
        </w:tc>
      </w:tr>
      <w:tr>
        <w:trPr>
          <w:trHeight w:val="205"/>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Severance-pay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Long-term bank deposit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privately- held companies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40,085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35,945</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NOTE 6</w:t>
            </w:r>
          </w:p>
        </w:tc>
        <w:tc>
          <w:tcPr>
            <w:tcW w:w="30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140" w:type="dxa"/>
            <w:vAlign w:val="bottom"/>
          </w:tcPr>
          <w:p>
            <w:pPr>
              <w:spacing w:after="0"/>
              <w:rPr>
                <w:sz w:val="24"/>
                <w:szCs w:val="24"/>
                <w:color w:val="auto"/>
              </w:rPr>
            </w:pPr>
          </w:p>
        </w:tc>
        <w:tc>
          <w:tcPr>
            <w:tcW w:w="7760" w:type="dxa"/>
            <w:vAlign w:val="bottom"/>
          </w:tcPr>
          <w:p>
            <w:pPr>
              <w:ind w:left="340"/>
              <w:spacing w:after="0"/>
              <w:rPr>
                <w:sz w:val="20"/>
                <w:szCs w:val="20"/>
                <w:color w:val="auto"/>
              </w:rPr>
            </w:pPr>
            <w:r>
              <w:rPr>
                <w:rFonts w:ascii="Arial" w:cs="Arial" w:eastAsia="Arial" w:hAnsi="Arial"/>
                <w:sz w:val="22"/>
                <w:szCs w:val="22"/>
                <w:b w:val="1"/>
                <w:bCs w:val="1"/>
                <w:color w:val="auto"/>
              </w:rPr>
              <w:t>PROPERTY AND EQUIPMENT, NET</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00" w:type="dxa"/>
            <w:vAlign w:val="bottom"/>
            <w:gridSpan w:val="2"/>
          </w:tcPr>
          <w:p>
            <w:pPr>
              <w:ind w:left="60"/>
              <w:spacing w:after="0"/>
              <w:rPr>
                <w:sz w:val="20"/>
                <w:szCs w:val="20"/>
                <w:color w:val="auto"/>
              </w:rPr>
            </w:pPr>
            <w:r>
              <w:rPr>
                <w:rFonts w:ascii="Arial" w:cs="Arial" w:eastAsia="Arial" w:hAnsi="Arial"/>
                <w:sz w:val="22"/>
                <w:szCs w:val="22"/>
                <w:color w:val="auto"/>
              </w:rPr>
              <w:t>Composition:</w:t>
            </w:r>
          </w:p>
        </w:tc>
        <w:tc>
          <w:tcPr>
            <w:tcW w:w="140" w:type="dxa"/>
            <w:vAlign w:val="bottom"/>
          </w:tcPr>
          <w:p>
            <w:pPr>
              <w:spacing w:after="0"/>
              <w:rPr>
                <w:sz w:val="24"/>
                <w:szCs w:val="24"/>
                <w:color w:val="auto"/>
              </w:rPr>
            </w:pPr>
          </w:p>
        </w:tc>
        <w:tc>
          <w:tcPr>
            <w:tcW w:w="2140" w:type="dxa"/>
            <w:vAlign w:val="bottom"/>
            <w:gridSpan w:val="5"/>
            <w:vMerge w:val="restart"/>
          </w:tcPr>
          <w:p>
            <w:pPr>
              <w:jc w:val="right"/>
              <w:ind w:right="48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7"/>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Original cost: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Land and Buildings (including facility infrastructure)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363,133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347,798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 (*)</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2,684,980</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2,482,609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3,048,113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2,830,407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Buildings (including facility infrastructure)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(239,241)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(224,796)</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(2,126,933)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(1,948,377)</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7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(2,366,174)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(2,173,173)</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7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681,939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1300" w:firstLine="5"/>
        <w:spacing w:after="0" w:line="284" w:lineRule="auto"/>
        <w:tabs>
          <w:tab w:leader="none" w:pos="1608" w:val="left"/>
        </w:tabs>
        <w:numPr>
          <w:ilvl w:val="0"/>
          <w:numId w:val="32"/>
        </w:numPr>
        <w:rPr>
          <w:rFonts w:ascii="Arial" w:cs="Arial" w:eastAsia="Arial" w:hAnsi="Arial"/>
          <w:sz w:val="21"/>
          <w:szCs w:val="21"/>
          <w:color w:val="auto"/>
        </w:rPr>
      </w:pPr>
      <w:r>
        <w:rPr>
          <w:rFonts w:ascii="Arial" w:cs="Arial" w:eastAsia="Arial" w:hAnsi="Arial"/>
          <w:sz w:val="21"/>
          <w:szCs w:val="21"/>
          <w:color w:val="auto"/>
        </w:rPr>
        <w:t>Original cost of machinery and equipment includes ROU assets under capital lease in the amount of $86,087 and $54,873 as of December 31, 2019 and 2018, respectively. The depreciation expense of such assets amounted to $9,941 and $2,102 for the years ended December 31, 2019 and 2018, respectively.</w:t>
      </w:r>
    </w:p>
    <w:p>
      <w:pPr>
        <w:spacing w:after="0" w:line="223" w:lineRule="exact"/>
        <w:rPr>
          <w:sz w:val="20"/>
          <w:szCs w:val="20"/>
          <w:color w:val="auto"/>
        </w:rPr>
      </w:pPr>
    </w:p>
    <w:p>
      <w:pPr>
        <w:ind w:left="1300" w:right="20"/>
        <w:spacing w:after="0" w:line="276" w:lineRule="auto"/>
        <w:rPr>
          <w:sz w:val="20"/>
          <w:szCs w:val="20"/>
          <w:color w:val="auto"/>
        </w:rPr>
      </w:pPr>
      <w:r>
        <w:rPr>
          <w:rFonts w:ascii="Arial" w:cs="Arial" w:eastAsia="Arial" w:hAnsi="Arial"/>
          <w:sz w:val="22"/>
          <w:szCs w:val="22"/>
          <w:color w:val="auto"/>
        </w:rPr>
        <w:t>As of December 31, 2019 and 2018, the original cost of land, buildings, machinery and equipment was reflected net of investment grants in the aggregate amount of $285,615 and $285,636,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NOTE 7</w:t>
            </w:r>
          </w:p>
        </w:tc>
        <w:tc>
          <w:tcPr>
            <w:tcW w:w="30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140" w:type="dxa"/>
            <w:vAlign w:val="bottom"/>
          </w:tcPr>
          <w:p>
            <w:pPr>
              <w:spacing w:after="0"/>
              <w:rPr>
                <w:sz w:val="24"/>
                <w:szCs w:val="24"/>
                <w:color w:val="auto"/>
              </w:rPr>
            </w:pPr>
          </w:p>
        </w:tc>
        <w:tc>
          <w:tcPr>
            <w:tcW w:w="5340" w:type="dxa"/>
            <w:vAlign w:val="bottom"/>
          </w:tcPr>
          <w:p>
            <w:pPr>
              <w:ind w:left="340"/>
              <w:spacing w:after="0"/>
              <w:rPr>
                <w:sz w:val="20"/>
                <w:szCs w:val="20"/>
                <w:color w:val="auto"/>
              </w:rPr>
            </w:pPr>
            <w:r>
              <w:rPr>
                <w:rFonts w:ascii="Arial" w:cs="Arial" w:eastAsia="Arial" w:hAnsi="Arial"/>
                <w:sz w:val="22"/>
                <w:szCs w:val="22"/>
                <w:b w:val="1"/>
                <w:bCs w:val="1"/>
                <w:color w:val="auto"/>
              </w:rPr>
              <w:t>INTANGIBLE ASSETS, NET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9"/>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60" w:type="dxa"/>
            <w:vAlign w:val="bottom"/>
            <w:gridSpan w:val="3"/>
          </w:tcPr>
          <w:p>
            <w:pPr>
              <w:ind w:left="60"/>
              <w:spacing w:after="0"/>
              <w:rPr>
                <w:sz w:val="20"/>
                <w:szCs w:val="20"/>
                <w:color w:val="auto"/>
              </w:rPr>
            </w:pPr>
            <w:r>
              <w:rPr>
                <w:rFonts w:ascii="Arial" w:cs="Arial" w:eastAsia="Arial" w:hAnsi="Arial"/>
                <w:sz w:val="22"/>
                <w:szCs w:val="22"/>
                <w:color w:val="auto"/>
                <w:w w:val="97"/>
              </w:rPr>
              <w:t>Intangible assets consist of the following as of December 31, 2019: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6"/>
              </w:rPr>
              <w:t>Useful Life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89"/>
              </w:rPr>
              <w:t>(years)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3"/>
          </w:tcPr>
          <w:p>
            <w:pPr>
              <w:ind w:left="140"/>
              <w:spacing w:after="0"/>
              <w:rPr>
                <w:sz w:val="20"/>
                <w:szCs w:val="20"/>
                <w:color w:val="auto"/>
              </w:rPr>
            </w:pPr>
            <w:r>
              <w:rPr>
                <w:rFonts w:ascii="Arial" w:cs="Arial" w:eastAsia="Arial" w:hAnsi="Arial"/>
                <w:sz w:val="18"/>
                <w:szCs w:val="18"/>
                <w:color w:val="auto"/>
              </w:rPr>
              <w:t>Cost</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Amortization</w:t>
            </w:r>
          </w:p>
        </w:tc>
        <w:tc>
          <w:tcPr>
            <w:tcW w:w="260" w:type="dxa"/>
            <w:vAlign w:val="bottom"/>
          </w:tcPr>
          <w:p>
            <w:pPr>
              <w:spacing w:after="0"/>
              <w:rPr>
                <w:sz w:val="20"/>
                <w:szCs w:val="20"/>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Net</w:t>
            </w: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Technologies</w:t>
            </w:r>
          </w:p>
        </w:tc>
        <w:tc>
          <w:tcPr>
            <w:tcW w:w="9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4;5;9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(110,730)</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Facilities lease</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33,500</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(24,241)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w:t>
            </w:r>
          </w:p>
        </w:tc>
        <w:tc>
          <w:tcPr>
            <w:tcW w:w="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(1,956)</w:t>
            </w: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57"/>
        </w:trPr>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identifiable intangible assets</w:t>
            </w: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154,910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(144,629)</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65"/>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60" w:type="dxa"/>
            <w:vAlign w:val="bottom"/>
            <w:gridSpan w:val="3"/>
          </w:tcPr>
          <w:p>
            <w:pPr>
              <w:ind w:left="120"/>
              <w:spacing w:after="0"/>
              <w:rPr>
                <w:sz w:val="20"/>
                <w:szCs w:val="20"/>
                <w:color w:val="auto"/>
              </w:rPr>
            </w:pPr>
            <w:r>
              <w:rPr>
                <w:rFonts w:ascii="Arial" w:cs="Arial" w:eastAsia="Arial" w:hAnsi="Arial"/>
                <w:sz w:val="22"/>
                <w:szCs w:val="22"/>
                <w:color w:val="auto"/>
                <w:w w:val="96"/>
              </w:rPr>
              <w:t>Intangible assets consist of the following as of December 31, 2018: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6"/>
              </w:rPr>
              <w:t>Useful Life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89"/>
              </w:rPr>
              <w:t>(years)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3"/>
          </w:tcPr>
          <w:p>
            <w:pPr>
              <w:ind w:left="140"/>
              <w:spacing w:after="0"/>
              <w:rPr>
                <w:sz w:val="20"/>
                <w:szCs w:val="20"/>
                <w:color w:val="auto"/>
              </w:rPr>
            </w:pPr>
            <w:r>
              <w:rPr>
                <w:rFonts w:ascii="Arial" w:cs="Arial" w:eastAsia="Arial" w:hAnsi="Arial"/>
                <w:sz w:val="18"/>
                <w:szCs w:val="18"/>
                <w:color w:val="auto"/>
              </w:rPr>
              <w:t>Cost</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Amortization</w:t>
            </w:r>
          </w:p>
        </w:tc>
        <w:tc>
          <w:tcPr>
            <w:tcW w:w="260" w:type="dxa"/>
            <w:vAlign w:val="bottom"/>
          </w:tcPr>
          <w:p>
            <w:pPr>
              <w:spacing w:after="0"/>
              <w:rPr>
                <w:sz w:val="20"/>
                <w:szCs w:val="20"/>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Net</w:t>
            </w: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Technologies</w:t>
            </w:r>
          </w:p>
        </w:tc>
        <w:tc>
          <w:tcPr>
            <w:tcW w:w="9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4;5;9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110,835</w:t>
            </w:r>
          </w:p>
        </w:tc>
        <w:tc>
          <w:tcPr>
            <w:tcW w:w="20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(108,888)</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Facilities lease</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33,500</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(22,953)</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10,547</w:t>
            </w: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w:t>
            </w:r>
          </w:p>
        </w:tc>
        <w:tc>
          <w:tcPr>
            <w:tcW w:w="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(1,783)</w:t>
            </w: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57"/>
        </w:trPr>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identifiable intangible assets</w:t>
            </w: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154,606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(141,171)</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NOTE 8</w:t>
            </w:r>
          </w:p>
        </w:tc>
        <w:tc>
          <w:tcPr>
            <w:tcW w:w="30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140" w:type="dxa"/>
            <w:vAlign w:val="bottom"/>
          </w:tcPr>
          <w:p>
            <w:pPr>
              <w:spacing w:after="0"/>
              <w:rPr>
                <w:sz w:val="24"/>
                <w:szCs w:val="24"/>
                <w:color w:val="auto"/>
              </w:rPr>
            </w:pPr>
          </w:p>
        </w:tc>
        <w:tc>
          <w:tcPr>
            <w:tcW w:w="6980" w:type="dxa"/>
            <w:vAlign w:val="bottom"/>
          </w:tcPr>
          <w:p>
            <w:pPr>
              <w:ind w:left="340"/>
              <w:spacing w:after="0"/>
              <w:rPr>
                <w:sz w:val="20"/>
                <w:szCs w:val="20"/>
                <w:color w:val="auto"/>
              </w:rPr>
            </w:pPr>
            <w:r>
              <w:rPr>
                <w:rFonts w:ascii="Arial" w:cs="Arial" w:eastAsia="Arial" w:hAnsi="Arial"/>
                <w:sz w:val="22"/>
                <w:szCs w:val="22"/>
                <w:b w:val="1"/>
                <w:bCs w:val="1"/>
                <w:color w:val="auto"/>
              </w:rPr>
              <w:t>DEFERRED TAX AND OTHER LONG-TERM ASSETS, NET</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gridSpan w:val="2"/>
          </w:tcPr>
          <w:p>
            <w:pPr>
              <w:ind w:left="60"/>
              <w:spacing w:after="0"/>
              <w:rPr>
                <w:sz w:val="20"/>
                <w:szCs w:val="20"/>
                <w:color w:val="auto"/>
              </w:rPr>
            </w:pPr>
            <w:r>
              <w:rPr>
                <w:rFonts w:ascii="Arial" w:cs="Arial" w:eastAsia="Arial" w:hAnsi="Arial"/>
                <w:sz w:val="22"/>
                <w:szCs w:val="22"/>
                <w:color w:val="auto"/>
              </w:rPr>
              <w:t>Deferred tax and other long-term assets, net consist of the following:</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8"/>
                <w:szCs w:val="18"/>
                <w:color w:val="auto"/>
                <w:w w:val="99"/>
              </w:rPr>
              <w:t>As of December 31,</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(see Note 19)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Right of use - assets under operating leases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17,828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long-term land lease, net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Fair value of cross currency interest rate swap (see Note 12D)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12,625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prepaid expenses and others</w:t>
            </w: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105,047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88,404</w:t>
            </w:r>
          </w:p>
        </w:tc>
        <w:tc>
          <w:tcPr>
            <w:tcW w:w="0" w:type="dxa"/>
            <w:vAlign w:val="bottom"/>
          </w:tcPr>
          <w:p>
            <w:pPr>
              <w:spacing w:after="0"/>
              <w:rPr>
                <w:sz w:val="1"/>
                <w:szCs w:val="1"/>
                <w:color w:val="auto"/>
              </w:rPr>
            </w:pPr>
          </w:p>
        </w:tc>
      </w:tr>
      <w:tr>
        <w:trPr>
          <w:trHeight w:val="21"/>
        </w:trPr>
        <w:tc>
          <w:tcPr>
            <w:tcW w:w="940" w:type="dxa"/>
            <w:vAlign w:val="bottom"/>
            <w:vMerge w:val="restart"/>
          </w:tcPr>
          <w:p>
            <w:pPr>
              <w:spacing w:after="0"/>
              <w:rPr>
                <w:sz w:val="20"/>
                <w:szCs w:val="20"/>
                <w:color w:val="auto"/>
              </w:rPr>
            </w:pPr>
            <w:r>
              <w:rPr>
                <w:rFonts w:ascii="Arial" w:cs="Arial" w:eastAsia="Arial" w:hAnsi="Arial"/>
                <w:sz w:val="22"/>
                <w:szCs w:val="22"/>
                <w:b w:val="1"/>
                <w:bCs w:val="1"/>
                <w:color w:val="auto"/>
              </w:rPr>
              <w:t>NOTE 9</w:t>
            </w:r>
          </w:p>
        </w:tc>
        <w:tc>
          <w:tcPr>
            <w:tcW w:w="30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140" w:type="dxa"/>
            <w:vAlign w:val="bottom"/>
          </w:tcPr>
          <w:p>
            <w:pPr>
              <w:spacing w:after="0" w:line="20" w:lineRule="exact"/>
              <w:rPr>
                <w:sz w:val="1"/>
                <w:szCs w:val="1"/>
                <w:color w:val="auto"/>
              </w:rPr>
            </w:pPr>
          </w:p>
        </w:tc>
        <w:tc>
          <w:tcPr>
            <w:tcW w:w="6980" w:type="dxa"/>
            <w:vAlign w:val="bottom"/>
            <w:vMerge w:val="restart"/>
          </w:tcPr>
          <w:p>
            <w:pPr>
              <w:ind w:left="340"/>
              <w:spacing w:after="0"/>
              <w:rPr>
                <w:sz w:val="20"/>
                <w:szCs w:val="20"/>
                <w:color w:val="auto"/>
              </w:rPr>
            </w:pPr>
            <w:r>
              <w:rPr>
                <w:rFonts w:ascii="Arial" w:cs="Arial" w:eastAsia="Arial" w:hAnsi="Arial"/>
                <w:sz w:val="22"/>
                <w:szCs w:val="22"/>
                <w:b w:val="1"/>
                <w:bCs w:val="1"/>
                <w:color w:val="auto"/>
              </w:rPr>
              <w:t>OTHER CURRENT LIABILITIES</w:t>
            </w: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6"/>
        </w:trPr>
        <w:tc>
          <w:tcPr>
            <w:tcW w:w="94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gridSpan w:val="2"/>
          </w:tcPr>
          <w:p>
            <w:pPr>
              <w:ind w:left="60"/>
              <w:spacing w:after="0"/>
              <w:rPr>
                <w:sz w:val="20"/>
                <w:szCs w:val="20"/>
                <w:color w:val="auto"/>
              </w:rPr>
            </w:pPr>
            <w:r>
              <w:rPr>
                <w:rFonts w:ascii="Arial" w:cs="Arial" w:eastAsia="Arial" w:hAnsi="Arial"/>
                <w:sz w:val="22"/>
                <w:szCs w:val="22"/>
                <w:color w:val="auto"/>
              </w:rPr>
              <w:t>Other current liabilities consist of the following:</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8"/>
                <w:szCs w:val="18"/>
                <w:color w:val="auto"/>
                <w:w w:val="99"/>
              </w:rPr>
              <w:t>As of December 31,</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payable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1,057</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7,301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80" w:type="dxa"/>
            <w:vAlign w:val="bottom"/>
            <w:vMerge w:val="restart"/>
          </w:tcPr>
          <w:p>
            <w:pPr>
              <w:ind w:left="4080"/>
              <w:spacing w:after="0"/>
              <w:rPr>
                <w:sz w:val="20"/>
                <w:szCs w:val="20"/>
                <w:color w:val="auto"/>
              </w:rPr>
            </w:pPr>
            <w:r>
              <w:rPr>
                <w:rFonts w:ascii="Arial" w:cs="Arial" w:eastAsia="Arial" w:hAnsi="Arial"/>
                <w:sz w:val="22"/>
                <w:szCs w:val="22"/>
                <w:color w:val="auto"/>
              </w:rPr>
              <w:t>F - 22</w:t>
            </w: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5"/>
        </w:trPr>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9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50" w:lineRule="exact"/>
        <w:rPr>
          <w:sz w:val="20"/>
          <w:szCs w:val="20"/>
          <w:color w:val="auto"/>
        </w:rPr>
      </w:pPr>
    </w:p>
    <w:p>
      <w:pPr>
        <w:spacing w:after="0"/>
        <w:tabs>
          <w:tab w:leader="none" w:pos="1200" w:val="left"/>
          <w:tab w:leader="none" w:pos="1760" w:val="left"/>
        </w:tabs>
        <w:rPr>
          <w:sz w:val="20"/>
          <w:szCs w:val="20"/>
          <w:color w:val="auto"/>
        </w:rPr>
      </w:pPr>
      <w:r>
        <w:rPr>
          <w:rFonts w:ascii="Arial" w:cs="Arial" w:eastAsia="Arial" w:hAnsi="Arial"/>
          <w:sz w:val="22"/>
          <w:szCs w:val="22"/>
          <w:b w:val="1"/>
          <w:bCs w:val="1"/>
          <w:color w:val="auto"/>
        </w:rPr>
        <w:t>NOTE 10</w:t>
        <w:tab/>
        <w:t>-</w:t>
      </w:r>
      <w:r>
        <w:rPr>
          <w:sz w:val="20"/>
          <w:szCs w:val="20"/>
          <w:color w:val="auto"/>
        </w:rPr>
        <w:tab/>
      </w:r>
      <w:r>
        <w:rPr>
          <w:rFonts w:ascii="Arial" w:cs="Arial" w:eastAsia="Arial" w:hAnsi="Arial"/>
          <w:sz w:val="21"/>
          <w:szCs w:val="21"/>
          <w:b w:val="1"/>
          <w:bCs w:val="1"/>
          <w:color w:val="auto"/>
        </w:rPr>
        <w:t>DEBENTURES</w:t>
      </w:r>
    </w:p>
    <w:p>
      <w:pPr>
        <w:spacing w:after="0" w:line="283" w:lineRule="exact"/>
        <w:rPr>
          <w:sz w:val="20"/>
          <w:szCs w:val="20"/>
          <w:color w:val="auto"/>
        </w:rPr>
      </w:pPr>
    </w:p>
    <w:p>
      <w:pPr>
        <w:ind w:left="1960" w:hanging="655"/>
        <w:spacing w:after="0"/>
        <w:tabs>
          <w:tab w:leader="none" w:pos="1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by Repayment Schedule:</w:t>
      </w:r>
    </w:p>
    <w:p>
      <w:pPr>
        <w:spacing w:after="0" w:line="283"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1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color w:val="auto"/>
              </w:rPr>
              <w:t>As of December 31, 2019</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3"/>
              </w:rPr>
              <w:t>Interest rate</w:t>
            </w:r>
          </w:p>
        </w:tc>
        <w:tc>
          <w:tcPr>
            <w:tcW w:w="30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23"/>
        </w:trPr>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Debentures Series G (see B below)</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38,690</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19,347</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2"/>
        </w:trPr>
        <w:tc>
          <w:tcPr>
            <w:tcW w:w="2940" w:type="dxa"/>
            <w:vAlign w:val="bottom"/>
            <w:gridSpan w:val="3"/>
          </w:tcPr>
          <w:p>
            <w:pPr>
              <w:spacing w:after="0" w:line="201" w:lineRule="exact"/>
              <w:rPr>
                <w:sz w:val="20"/>
                <w:szCs w:val="20"/>
                <w:color w:val="auto"/>
              </w:rPr>
            </w:pPr>
            <w:r>
              <w:rPr>
                <w:rFonts w:ascii="Arial" w:cs="Arial" w:eastAsia="Arial" w:hAnsi="Arial"/>
                <w:sz w:val="18"/>
                <w:szCs w:val="18"/>
                <w:color w:val="auto"/>
              </w:rPr>
              <w:t>Accretion of carrying amount to</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720" w:type="dxa"/>
            <w:vAlign w:val="bottom"/>
          </w:tcPr>
          <w:p>
            <w:pPr>
              <w:spacing w:after="0"/>
              <w:rPr>
                <w:sz w:val="20"/>
                <w:szCs w:val="20"/>
                <w:color w:val="auto"/>
              </w:rPr>
            </w:pPr>
            <w:r>
              <w:rPr>
                <w:rFonts w:ascii="Arial" w:cs="Arial" w:eastAsia="Arial" w:hAnsi="Arial"/>
                <w:sz w:val="18"/>
                <w:szCs w:val="18"/>
                <w:color w:val="auto"/>
              </w:rPr>
              <w:t>principal amount</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(3,134)</w:t>
            </w:r>
          </w:p>
        </w:tc>
      </w:tr>
      <w:tr>
        <w:trPr>
          <w:trHeight w:val="257"/>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0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87"/>
        </w:trPr>
        <w:tc>
          <w:tcPr>
            <w:tcW w:w="17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As of December 31, 2018</w:t>
            </w: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7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Interest rate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Debentures Series G</w:t>
            </w: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(see B below)</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35,676</w:t>
            </w:r>
          </w:p>
        </w:tc>
        <w:tc>
          <w:tcPr>
            <w:tcW w:w="3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35,676</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17,839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124,867</w:t>
            </w:r>
          </w:p>
        </w:tc>
        <w:tc>
          <w:tcPr>
            <w:tcW w:w="100" w:type="dxa"/>
            <w:vAlign w:val="bottom"/>
            <w:shd w:val="clear" w:color="auto" w:fill="CCEEFF"/>
          </w:tcPr>
          <w:p>
            <w:pPr>
              <w:spacing w:after="0"/>
              <w:rPr>
                <w:sz w:val="20"/>
                <w:szCs w:val="20"/>
                <w:color w:val="auto"/>
              </w:rPr>
            </w:pPr>
          </w:p>
        </w:tc>
      </w:tr>
      <w:tr>
        <w:trPr>
          <w:trHeight w:val="202"/>
        </w:trPr>
        <w:tc>
          <w:tcPr>
            <w:tcW w:w="17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Accretion of carrying</w:t>
            </w: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amount to principal</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720" w:type="dxa"/>
            <w:vAlign w:val="bottom"/>
          </w:tcPr>
          <w:p>
            <w:pPr>
              <w:spacing w:after="0"/>
              <w:rPr>
                <w:sz w:val="20"/>
                <w:szCs w:val="20"/>
                <w:color w:val="auto"/>
              </w:rPr>
            </w:pPr>
            <w:r>
              <w:rPr>
                <w:rFonts w:ascii="Arial" w:cs="Arial" w:eastAsia="Arial" w:hAnsi="Arial"/>
                <w:sz w:val="18"/>
                <w:szCs w:val="18"/>
                <w:color w:val="auto"/>
              </w:rPr>
              <w:t>amount</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(4,697)</w:t>
            </w:r>
          </w:p>
        </w:tc>
      </w:tr>
      <w:tr>
        <w:trPr>
          <w:trHeight w:val="257"/>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0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ind w:left="1880" w:hanging="575"/>
        <w:spacing w:after="0"/>
        <w:tabs>
          <w:tab w:leader="none" w:pos="18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Debentures Series G</w:t>
      </w:r>
    </w:p>
    <w:p>
      <w:pPr>
        <w:spacing w:after="0" w:line="290"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In June 2016, Tower raised approximately $115,000 through the issuance of long-term unsecured non-convertible debentures (“Series G Debentures”).</w:t>
      </w:r>
    </w:p>
    <w:p>
      <w:pPr>
        <w:spacing w:after="0" w:line="228" w:lineRule="exact"/>
        <w:rPr>
          <w:sz w:val="20"/>
          <w:szCs w:val="20"/>
          <w:color w:val="auto"/>
        </w:rPr>
      </w:pPr>
    </w:p>
    <w:p>
      <w:pPr>
        <w:jc w:val="both"/>
        <w:ind w:left="1880"/>
        <w:spacing w:after="0" w:line="261" w:lineRule="auto"/>
        <w:rPr>
          <w:sz w:val="20"/>
          <w:szCs w:val="20"/>
          <w:color w:val="auto"/>
        </w:rPr>
      </w:pPr>
      <w:r>
        <w:rPr>
          <w:rFonts w:ascii="Arial" w:cs="Arial" w:eastAsia="Arial" w:hAnsi="Arial"/>
          <w:sz w:val="22"/>
          <w:szCs w:val="22"/>
          <w:color w:val="auto"/>
        </w:rPr>
        <w:t>The Series G Debentures are payable in seven semi-annual consecutive equal installments from March 2020 to March 2023 and carrying an annual interest rate of 2.79%, payable semi-annually. The principal and interest amounts are denominated in NIS and are not linked to any index or to any other currency. The Company entered into hedging transactions to mitigate the foreign exchange rate differences on the principal and interest using a cross currency swap.</w:t>
      </w:r>
    </w:p>
    <w:p>
      <w:pPr>
        <w:spacing w:after="0" w:line="245" w:lineRule="exact"/>
        <w:rPr>
          <w:sz w:val="20"/>
          <w:szCs w:val="20"/>
          <w:color w:val="auto"/>
        </w:rPr>
      </w:pPr>
    </w:p>
    <w:p>
      <w:pPr>
        <w:jc w:val="both"/>
        <w:ind w:left="1880"/>
        <w:spacing w:after="0" w:line="305" w:lineRule="auto"/>
        <w:rPr>
          <w:sz w:val="20"/>
          <w:szCs w:val="20"/>
          <w:color w:val="auto"/>
        </w:rPr>
      </w:pPr>
      <w:r>
        <w:rPr>
          <w:rFonts w:ascii="Arial" w:cs="Arial" w:eastAsia="Arial" w:hAnsi="Arial"/>
          <w:sz w:val="19"/>
          <w:szCs w:val="19"/>
          <w:color w:val="auto"/>
        </w:rPr>
        <w:t>As of December 31, 2019 and 2018, the outstanding principal amount of Series G Debentures was NIS 468,000 (approximately $135,000 and $125,000 as of December 31, 2019 and December 31, 2018, respectively), with related hedging transactions net asset fair value of approximately $16,000 and $5,000, respectively. The changes in the fair value of outstanding principal amount of the debentures and in the fair value of the hedging transaction, are attributed to the corresponding changes in the exchange rates during the reported periods (see Note 12D). The Series G Debentures’ indenture includes customary financial and other terms and conditions, including a negative pledge and financial covenants. As of December 31, 2019, the Company was in compliance with all of the financial covenants under the indenture.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40" w:type="dxa"/>
            <w:vAlign w:val="bottom"/>
          </w:tcPr>
          <w:p>
            <w:pPr>
              <w:spacing w:after="0"/>
              <w:rPr>
                <w:sz w:val="20"/>
                <w:szCs w:val="20"/>
                <w:color w:val="auto"/>
              </w:rPr>
            </w:pPr>
            <w:r>
              <w:rPr>
                <w:rFonts w:ascii="Arial" w:cs="Arial" w:eastAsia="Arial" w:hAnsi="Arial"/>
                <w:sz w:val="22"/>
                <w:szCs w:val="22"/>
                <w:b w:val="1"/>
                <w:bCs w:val="1"/>
                <w:color w:val="auto"/>
              </w:rPr>
              <w:t>NOTE 11</w:t>
            </w:r>
          </w:p>
        </w:tc>
        <w:tc>
          <w:tcPr>
            <w:tcW w:w="340" w:type="dxa"/>
            <w:vAlign w:val="bottom"/>
          </w:tcPr>
          <w:p>
            <w:pPr>
              <w:jc w:val="right"/>
              <w:ind w:right="1"/>
              <w:spacing w:after="0"/>
              <w:rPr>
                <w:sz w:val="20"/>
                <w:szCs w:val="20"/>
                <w:color w:val="auto"/>
              </w:rPr>
            </w:pPr>
            <w:r>
              <w:rPr>
                <w:rFonts w:ascii="Arial" w:cs="Arial" w:eastAsia="Arial" w:hAnsi="Arial"/>
                <w:sz w:val="22"/>
                <w:szCs w:val="22"/>
                <w:b w:val="1"/>
                <w:bCs w:val="1"/>
                <w:color w:val="auto"/>
              </w:rPr>
              <w:t>-</w:t>
            </w:r>
          </w:p>
        </w:tc>
        <w:tc>
          <w:tcPr>
            <w:tcW w:w="240" w:type="dxa"/>
            <w:vAlign w:val="bottom"/>
          </w:tcPr>
          <w:p>
            <w:pPr>
              <w:spacing w:after="0"/>
              <w:rPr>
                <w:sz w:val="24"/>
                <w:szCs w:val="24"/>
                <w:color w:val="auto"/>
              </w:rPr>
            </w:pPr>
          </w:p>
        </w:tc>
        <w:tc>
          <w:tcPr>
            <w:tcW w:w="7500" w:type="dxa"/>
            <w:vAlign w:val="bottom"/>
          </w:tcPr>
          <w:p>
            <w:pPr>
              <w:ind w:left="140"/>
              <w:spacing w:after="0"/>
              <w:rPr>
                <w:sz w:val="20"/>
                <w:szCs w:val="20"/>
                <w:color w:val="auto"/>
              </w:rPr>
            </w:pPr>
            <w:r>
              <w:rPr>
                <w:rFonts w:ascii="Arial" w:cs="Arial" w:eastAsia="Arial" w:hAnsi="Arial"/>
                <w:sz w:val="22"/>
                <w:szCs w:val="22"/>
                <w:b w:val="1"/>
                <w:bCs w:val="1"/>
                <w:color w:val="auto"/>
              </w:rPr>
              <w:t>OTHER LONG-TERM DEBT</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0"/>
        </w:trPr>
        <w:tc>
          <w:tcPr>
            <w:tcW w:w="104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b w:val="1"/>
                <w:bCs w:val="1"/>
                <w:color w:val="auto"/>
              </w:rPr>
              <w:t>A.</w:t>
            </w:r>
          </w:p>
        </w:tc>
        <w:tc>
          <w:tcPr>
            <w:tcW w:w="7500" w:type="dxa"/>
            <w:vAlign w:val="bottom"/>
          </w:tcPr>
          <w:p>
            <w:pPr>
              <w:ind w:left="260"/>
              <w:spacing w:after="0"/>
              <w:rPr>
                <w:sz w:val="20"/>
                <w:szCs w:val="20"/>
                <w:color w:val="auto"/>
              </w:rPr>
            </w:pPr>
            <w:r>
              <w:rPr>
                <w:rFonts w:ascii="Arial" w:cs="Arial" w:eastAsia="Arial" w:hAnsi="Arial"/>
                <w:sz w:val="18"/>
                <w:szCs w:val="18"/>
                <w:b w:val="1"/>
                <w:bCs w:val="1"/>
                <w:color w:val="auto"/>
              </w:rPr>
              <w:t>Composition:</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8"/>
                <w:szCs w:val="18"/>
                <w:color w:val="auto"/>
                <w:w w:val="99"/>
              </w:rPr>
              <w:t>As of December 31,</w:t>
            </w:r>
          </w:p>
        </w:tc>
      </w:tr>
      <w:tr>
        <w:trPr>
          <w:trHeight w:val="223"/>
        </w:trPr>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JPY bank loan - principal amount, see B and C below</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100,118</w:t>
            </w: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Capital leases - see D below</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60,277</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47,195</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 see E below</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17,828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Less - current maturities of long-term debt</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(28,201)</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(10,814)</w:t>
            </w:r>
          </w:p>
        </w:tc>
      </w:tr>
      <w:tr>
        <w:trPr>
          <w:trHeight w:val="257"/>
        </w:trPr>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151,269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ind w:left="1880" w:hanging="575"/>
        <w:spacing w:after="0"/>
        <w:tabs>
          <w:tab w:leader="none" w:pos="18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by Repayment Schedule of Loans:</w:t>
      </w:r>
    </w:p>
    <w:p>
      <w:pPr>
        <w:spacing w:after="0" w:line="27" w:lineRule="exact"/>
        <w:rPr>
          <w:sz w:val="20"/>
          <w:szCs w:val="20"/>
          <w:color w:val="auto"/>
        </w:rPr>
      </w:pPr>
    </w:p>
    <w:tbl>
      <w:tblPr>
        <w:tblLayout w:type="fixed"/>
        <w:tblInd w:w="1380" w:type="dxa"/>
        <w:tblCellMar>
          <w:top w:w="0" w:type="dxa"/>
          <w:left w:w="0" w:type="dxa"/>
          <w:bottom w:w="0" w:type="dxa"/>
          <w:right w:w="0" w:type="dxa"/>
        </w:tblCellMar>
      </w:tblPr>
      <w:tr>
        <w:trPr>
          <w:trHeight w:val="223"/>
        </w:trPr>
        <w:tc>
          <w:tcPr>
            <w:tcW w:w="17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As of December 31, 2019</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2024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720" w:type="dxa"/>
            <w:vAlign w:val="bottom"/>
          </w:tcPr>
          <w:p>
            <w:pPr>
              <w:spacing w:after="0"/>
              <w:rPr>
                <w:sz w:val="20"/>
                <w:szCs w:val="20"/>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5"/>
              </w:rPr>
              <w:t>Interest rate</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and on</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23"/>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 JPY</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78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33,787</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020" w:type="dxa"/>
            <w:vAlign w:val="bottom"/>
            <w:gridSpan w:val="3"/>
          </w:tcPr>
          <w:p>
            <w:pPr>
              <w:spacing w:after="0" w:line="196" w:lineRule="exact"/>
              <w:rPr>
                <w:sz w:val="20"/>
                <w:szCs w:val="20"/>
                <w:color w:val="auto"/>
              </w:rPr>
            </w:pPr>
            <w:r>
              <w:rPr>
                <w:rFonts w:ascii="Arial" w:cs="Arial" w:eastAsia="Arial" w:hAnsi="Arial"/>
                <w:sz w:val="18"/>
                <w:szCs w:val="18"/>
                <w:color w:val="auto"/>
              </w:rPr>
              <w:t>Total outstanding principal</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22,526</w:t>
            </w:r>
          </w:p>
        </w:tc>
        <w:tc>
          <w:tcPr>
            <w:tcW w:w="300" w:type="dxa"/>
            <w:vAlign w:val="bottom"/>
            <w:gridSpan w:val="2"/>
          </w:tcPr>
          <w:p>
            <w:pPr>
              <w:jc w:val="right"/>
              <w:ind w:right="45"/>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22,526</w:t>
            </w:r>
          </w:p>
        </w:tc>
        <w:tc>
          <w:tcPr>
            <w:tcW w:w="3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22,526</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33,787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101,365</w:t>
            </w:r>
          </w:p>
        </w:tc>
        <w:tc>
          <w:tcPr>
            <w:tcW w:w="100" w:type="dxa"/>
            <w:vAlign w:val="bottom"/>
          </w:tcPr>
          <w:p>
            <w:pPr>
              <w:spacing w:after="0"/>
              <w:rPr>
                <w:sz w:val="18"/>
                <w:szCs w:val="18"/>
                <w:color w:val="auto"/>
              </w:rPr>
            </w:pPr>
          </w:p>
        </w:tc>
      </w:tr>
      <w:tr>
        <w:trPr>
          <w:trHeight w:val="21"/>
        </w:trPr>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7"/>
        </w:trPr>
        <w:tc>
          <w:tcPr>
            <w:tcW w:w="17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As of December 31, 2018</w:t>
            </w: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2023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720" w:type="dxa"/>
            <w:vAlign w:val="bottom"/>
          </w:tcPr>
          <w:p>
            <w:pPr>
              <w:spacing w:after="0"/>
              <w:rPr>
                <w:sz w:val="20"/>
                <w:szCs w:val="20"/>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5"/>
              </w:rPr>
              <w:t>Interest rate</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and on</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23"/>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 JPY</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78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020" w:type="dxa"/>
            <w:vAlign w:val="bottom"/>
            <w:gridSpan w:val="3"/>
          </w:tcPr>
          <w:p>
            <w:pPr>
              <w:spacing w:after="0" w:line="196" w:lineRule="exact"/>
              <w:rPr>
                <w:sz w:val="20"/>
                <w:szCs w:val="20"/>
                <w:color w:val="auto"/>
              </w:rPr>
            </w:pPr>
            <w:r>
              <w:rPr>
                <w:rFonts w:ascii="Arial" w:cs="Arial" w:eastAsia="Arial" w:hAnsi="Arial"/>
                <w:sz w:val="18"/>
                <w:szCs w:val="18"/>
                <w:color w:val="auto"/>
              </w:rPr>
              <w:t>Total outstanding principal</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gridSpan w:val="2"/>
          </w:tcPr>
          <w:p>
            <w:pPr>
              <w:jc w:val="right"/>
              <w:ind w:right="45"/>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22,248</w:t>
            </w:r>
          </w:p>
        </w:tc>
        <w:tc>
          <w:tcPr>
            <w:tcW w:w="3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22,248</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55,622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100,118</w:t>
            </w:r>
          </w:p>
        </w:tc>
      </w:tr>
      <w:tr>
        <w:trPr>
          <w:trHeight w:val="21"/>
        </w:trPr>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80" w:hanging="575"/>
        <w:spacing w:after="0"/>
        <w:tabs>
          <w:tab w:leader="none" w:pos="18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Loans to TPSCo from Financial Institutions</w:t>
      </w:r>
    </w:p>
    <w:p>
      <w:pPr>
        <w:spacing w:after="0" w:line="290" w:lineRule="exact"/>
        <w:rPr>
          <w:sz w:val="20"/>
          <w:szCs w:val="20"/>
          <w:color w:val="auto"/>
        </w:rPr>
      </w:pPr>
    </w:p>
    <w:p>
      <w:pPr>
        <w:jc w:val="both"/>
        <w:ind w:left="1880"/>
        <w:spacing w:after="0" w:line="259" w:lineRule="auto"/>
        <w:rPr>
          <w:sz w:val="20"/>
          <w:szCs w:val="20"/>
          <w:color w:val="auto"/>
        </w:rPr>
      </w:pPr>
      <w:r>
        <w:rPr>
          <w:rFonts w:ascii="Arial" w:cs="Arial" w:eastAsia="Arial" w:hAnsi="Arial"/>
          <w:sz w:val="22"/>
          <w:szCs w:val="22"/>
          <w:color w:val="auto"/>
        </w:rPr>
        <w:t>In June 2018, TPSCo refinanced its two then outstanding loans with 11 Billion JPY (approximately $100,000) new asset-based loan agreements with a consortia of financial institutes comprised of JA Mitsui Leasing, Ltd., Sumitomo Mitsui Trust Bank, Limited (SMTB), Sumitomo Mitsui Banking Corporation (SMBC) and China trust Commercial Bank Corporation (CTBC) (“JP Loan”). The JP Loan carries a fixed interest rate of 1.95% per annum with principal payable in nine semiannual payments from 2021 and until 2025. The JP Loan is secured mainly by a lien over the machinery and equipment of TPSCo located in Uozu and Tonami manufacturing facilities. Outstanding principal amount was approximately $101,000 as of December 31, 2019.</w:t>
      </w:r>
    </w:p>
    <w:p>
      <w:pPr>
        <w:spacing w:after="0" w:line="247"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The JP Loan also contains certain financial ratios and covenants, as well as customary definitions of events of default and acceleration of the repayment schedule. TPSCo’s obligations pursuant to the JP Loan are not guaranteed by Tower, Panasonic Corporation, PSCS, or any of its affiliates.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180" w:val="left"/>
          <w:tab w:leader="none" w:pos="1640" w:val="left"/>
        </w:tabs>
        <w:rPr>
          <w:sz w:val="20"/>
          <w:szCs w:val="20"/>
          <w:color w:val="auto"/>
        </w:rPr>
      </w:pPr>
      <w:r>
        <w:rPr>
          <w:rFonts w:ascii="Arial" w:cs="Arial" w:eastAsia="Arial" w:hAnsi="Arial"/>
          <w:sz w:val="22"/>
          <w:szCs w:val="22"/>
          <w:b w:val="1"/>
          <w:bCs w:val="1"/>
          <w:color w:val="auto"/>
        </w:rPr>
        <w:t>NOTE 11</w:t>
        <w:tab/>
        <w:t>-</w:t>
      </w:r>
      <w:r>
        <w:rPr>
          <w:sz w:val="20"/>
          <w:szCs w:val="20"/>
          <w:color w:val="auto"/>
        </w:rPr>
        <w:tab/>
      </w:r>
      <w:r>
        <w:rPr>
          <w:rFonts w:ascii="Arial" w:cs="Arial" w:eastAsia="Arial" w:hAnsi="Arial"/>
          <w:sz w:val="21"/>
          <w:szCs w:val="21"/>
          <w:b w:val="1"/>
          <w:bCs w:val="1"/>
          <w:color w:val="auto"/>
        </w:rPr>
        <w:t>OTHER LONG-TERM DEBT (Cont.)</w:t>
      </w:r>
    </w:p>
    <w:p>
      <w:pPr>
        <w:spacing w:after="0" w:line="283" w:lineRule="exact"/>
        <w:rPr>
          <w:sz w:val="20"/>
          <w:szCs w:val="20"/>
          <w:color w:val="auto"/>
        </w:rPr>
      </w:pPr>
    </w:p>
    <w:p>
      <w:pPr>
        <w:ind w:left="1800" w:hanging="576"/>
        <w:spacing w:after="0"/>
        <w:tabs>
          <w:tab w:leader="none" w:pos="18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Loans to TPSCo from Japanese Financial Institutions (Cont.)</w:t>
      </w:r>
    </w:p>
    <w:p>
      <w:pPr>
        <w:spacing w:after="0" w:line="290" w:lineRule="exact"/>
        <w:rPr>
          <w:sz w:val="20"/>
          <w:szCs w:val="20"/>
          <w:color w:val="auto"/>
        </w:rPr>
      </w:pPr>
    </w:p>
    <w:p>
      <w:pPr>
        <w:ind w:left="1880"/>
        <w:spacing w:after="0" w:line="276" w:lineRule="auto"/>
        <w:rPr>
          <w:sz w:val="20"/>
          <w:szCs w:val="20"/>
          <w:color w:val="auto"/>
        </w:rPr>
      </w:pPr>
      <w:r>
        <w:rPr>
          <w:rFonts w:ascii="Arial" w:cs="Arial" w:eastAsia="Arial" w:hAnsi="Arial"/>
          <w:sz w:val="22"/>
          <w:szCs w:val="22"/>
          <w:color w:val="auto"/>
        </w:rPr>
        <w:t>As of December 31, 2019, TPSCo was in compliance with all of the financial ratios and covenants under this JP Loan.</w:t>
      </w:r>
    </w:p>
    <w:p>
      <w:pPr>
        <w:spacing w:after="0" w:line="218" w:lineRule="exact"/>
        <w:rPr>
          <w:sz w:val="20"/>
          <w:szCs w:val="20"/>
          <w:color w:val="auto"/>
        </w:rPr>
      </w:pPr>
    </w:p>
    <w:p>
      <w:pPr>
        <w:ind w:left="1800" w:hanging="576"/>
        <w:spacing w:after="0"/>
        <w:tabs>
          <w:tab w:leader="none" w:pos="18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 Agreements</w:t>
      </w:r>
    </w:p>
    <w:p>
      <w:pPr>
        <w:spacing w:after="0" w:line="290" w:lineRule="exact"/>
        <w:rPr>
          <w:sz w:val="20"/>
          <w:szCs w:val="20"/>
          <w:color w:val="auto"/>
        </w:rPr>
      </w:pPr>
    </w:p>
    <w:p>
      <w:pPr>
        <w:jc w:val="both"/>
        <w:ind w:left="1880"/>
        <w:spacing w:after="0" w:line="273" w:lineRule="auto"/>
        <w:rPr>
          <w:sz w:val="20"/>
          <w:szCs w:val="20"/>
          <w:color w:val="auto"/>
        </w:rPr>
      </w:pPr>
      <w:r>
        <w:rPr>
          <w:rFonts w:ascii="Arial" w:cs="Arial" w:eastAsia="Arial" w:hAnsi="Arial"/>
          <w:sz w:val="21"/>
          <w:szCs w:val="21"/>
          <w:color w:val="auto"/>
        </w:rPr>
        <w:t>Certain of the Company’s subsidiaries enter, from time to time, into capital lease agreements for certain machinery and equipment it operates in some of its fabrication facilities, usually for a period of four years, with an option to buy the machinery and equipment after a period of between three to four years from the start of the lease period. The lease agreements contain annual interest rate of up to 1.95% and the assets under the lease agreements are pledged to the lender until the time at which the respective subsidiary will buy the assets, if at all. The obligations under the capital lease agreement are guaranteed by Tower, except for TPSCo’s obligations under its capital lease agreements.</w:t>
      </w:r>
    </w:p>
    <w:p>
      <w:pPr>
        <w:spacing w:after="0" w:line="238"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As of December 31, 2019 and 2018, the outstanding capital lease liabilities for fixed assets was $60,277 and $47,195, respectively, of which $21,070 and $10,814 respectively, were included under current maturities of long-term debt.</w:t>
      </w: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The following presents the maturity of capital lease liabilities as of December 31, 2019:</w:t>
      </w:r>
    </w:p>
    <w:p>
      <w:pPr>
        <w:spacing w:after="0" w:line="281" w:lineRule="exact"/>
        <w:rPr>
          <w:sz w:val="20"/>
          <w:szCs w:val="20"/>
          <w:color w:val="auto"/>
        </w:rPr>
      </w:pPr>
    </w:p>
    <w:tbl>
      <w:tblPr>
        <w:tblLayout w:type="fixed"/>
        <w:tblInd w:w="1880" w:type="dxa"/>
        <w:tblCellMar>
          <w:top w:w="0" w:type="dxa"/>
          <w:left w:w="0" w:type="dxa"/>
          <w:bottom w:w="0" w:type="dxa"/>
          <w:right w:w="0" w:type="dxa"/>
        </w:tblCellMar>
      </w:tblPr>
      <w:tr>
        <w:trPr>
          <w:trHeight w:val="237"/>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Year</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$ 21,070</w:t>
            </w:r>
          </w:p>
        </w:tc>
        <w:tc>
          <w:tcPr>
            <w:tcW w:w="6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16,332</w:t>
            </w:r>
          </w:p>
        </w:tc>
        <w:tc>
          <w:tcPr>
            <w:tcW w:w="6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6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2023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7,684</w:t>
            </w:r>
          </w:p>
        </w:tc>
        <w:tc>
          <w:tcPr>
            <w:tcW w:w="60" w:type="dxa"/>
            <w:vAlign w:val="bottom"/>
          </w:tcPr>
          <w:p>
            <w:pPr>
              <w:spacing w:after="0"/>
              <w:rPr>
                <w:sz w:val="18"/>
                <w:szCs w:val="18"/>
                <w:color w:val="auto"/>
              </w:rPr>
            </w:pPr>
          </w:p>
        </w:tc>
      </w:tr>
      <w:tr>
        <w:trPr>
          <w:trHeight w:val="223"/>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$ 60,277</w:t>
            </w:r>
          </w:p>
        </w:tc>
        <w:tc>
          <w:tcPr>
            <w:tcW w:w="60" w:type="dxa"/>
            <w:vAlign w:val="bottom"/>
          </w:tcPr>
          <w:p>
            <w:pPr>
              <w:spacing w:after="0"/>
              <w:rPr>
                <w:sz w:val="18"/>
                <w:szCs w:val="18"/>
                <w:color w:val="auto"/>
              </w:rPr>
            </w:pPr>
          </w:p>
        </w:tc>
      </w:tr>
      <w:tr>
        <w:trPr>
          <w:trHeight w:val="21"/>
        </w:trPr>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180" w:val="left"/>
          <w:tab w:leader="none" w:pos="1680" w:val="left"/>
        </w:tabs>
        <w:rPr>
          <w:sz w:val="20"/>
          <w:szCs w:val="20"/>
          <w:color w:val="auto"/>
        </w:rPr>
      </w:pPr>
      <w:r>
        <w:rPr>
          <w:rFonts w:ascii="Arial" w:cs="Arial" w:eastAsia="Arial" w:hAnsi="Arial"/>
          <w:sz w:val="22"/>
          <w:szCs w:val="22"/>
          <w:b w:val="1"/>
          <w:bCs w:val="1"/>
          <w:color w:val="auto"/>
        </w:rPr>
        <w:t>NOTE 11</w:t>
        <w:tab/>
        <w:t>-</w:t>
      </w:r>
      <w:r>
        <w:rPr>
          <w:sz w:val="20"/>
          <w:szCs w:val="20"/>
          <w:color w:val="auto"/>
        </w:rPr>
        <w:tab/>
      </w:r>
      <w:r>
        <w:rPr>
          <w:rFonts w:ascii="Arial" w:cs="Arial" w:eastAsia="Arial" w:hAnsi="Arial"/>
          <w:sz w:val="21"/>
          <w:szCs w:val="21"/>
          <w:b w:val="1"/>
          <w:bCs w:val="1"/>
          <w:color w:val="auto"/>
        </w:rPr>
        <w:t>OTHER LONG-TERM DEBT (Cont.)</w:t>
      </w:r>
    </w:p>
    <w:p>
      <w:pPr>
        <w:spacing w:after="0" w:line="287" w:lineRule="exact"/>
        <w:rPr>
          <w:sz w:val="20"/>
          <w:szCs w:val="20"/>
          <w:color w:val="auto"/>
        </w:rPr>
      </w:pPr>
    </w:p>
    <w:p>
      <w:pPr>
        <w:ind w:left="1940" w:hanging="635"/>
        <w:spacing w:after="0"/>
        <w:tabs>
          <w:tab w:leader="none" w:pos="194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Operating Leases</w:t>
      </w:r>
    </w:p>
    <w:p>
      <w:pPr>
        <w:spacing w:after="0" w:line="293" w:lineRule="exact"/>
        <w:rPr>
          <w:sz w:val="20"/>
          <w:szCs w:val="20"/>
          <w:color w:val="auto"/>
        </w:rPr>
      </w:pPr>
    </w:p>
    <w:p>
      <w:pPr>
        <w:jc w:val="both"/>
        <w:ind w:left="1880"/>
        <w:spacing w:after="0" w:line="263" w:lineRule="auto"/>
        <w:rPr>
          <w:sz w:val="20"/>
          <w:szCs w:val="20"/>
          <w:color w:val="auto"/>
        </w:rPr>
      </w:pPr>
      <w:r>
        <w:rPr>
          <w:rFonts w:ascii="Arial" w:cs="Arial" w:eastAsia="Arial" w:hAnsi="Arial"/>
          <w:sz w:val="22"/>
          <w:szCs w:val="22"/>
          <w:color w:val="auto"/>
        </w:rPr>
        <w:t xml:space="preserve">In 2019, the Company adopted ASU No. 2016-02, </w:t>
      </w:r>
      <w:r>
        <w:rPr>
          <w:rFonts w:ascii="Arial" w:cs="Arial" w:eastAsia="Arial" w:hAnsi="Arial"/>
          <w:sz w:val="22"/>
          <w:szCs w:val="22"/>
          <w:i w:val="1"/>
          <w:iCs w:val="1"/>
          <w:color w:val="auto"/>
        </w:rPr>
        <w:t>" Leases"</w:t>
      </w:r>
      <w:r>
        <w:rPr>
          <w:rFonts w:ascii="Arial" w:cs="Arial" w:eastAsia="Arial" w:hAnsi="Arial"/>
          <w:sz w:val="22"/>
          <w:szCs w:val="22"/>
          <w:color w:val="auto"/>
        </w:rPr>
        <w:t xml:space="preserve"> (Topic 842). The Company enters from time to time into operating leases for office space, operating facilities and vehicles. Operating lease cost for the years ended December 31, 2019, 2018 and 2017 was $8,045, $8,773 and $8,809, respectively. During 2019, cash paid for operating lease liabilities was $8,113.</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presents the composition of operating lease:</w:t>
      </w:r>
    </w:p>
    <w:p>
      <w:pPr>
        <w:spacing w:after="0" w:line="2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December</w:t>
            </w:r>
          </w:p>
        </w:tc>
      </w:tr>
      <w:tr>
        <w:trPr>
          <w:trHeight w:val="216"/>
        </w:trPr>
        <w:tc>
          <w:tcPr>
            <w:tcW w:w="44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Classification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r>
      <w:tr>
        <w:trPr>
          <w:trHeight w:val="237"/>
        </w:trPr>
        <w:tc>
          <w:tcPr>
            <w:tcW w:w="4400" w:type="dxa"/>
            <w:vAlign w:val="bottom"/>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Balance Sheets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r>
      <w:tr>
        <w:trPr>
          <w:trHeight w:val="257"/>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 of use - assets under operating leases</w:t>
            </w: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and other long-term assets, net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Lease liabilities: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operating leases liabilities</w:t>
            </w: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6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4400" w:type="dxa"/>
            <w:vAlign w:val="bottom"/>
          </w:tcPr>
          <w:p>
            <w:pPr>
              <w:spacing w:after="0"/>
              <w:rPr>
                <w:sz w:val="20"/>
                <w:szCs w:val="20"/>
                <w:color w:val="auto"/>
              </w:rPr>
            </w:pPr>
            <w:r>
              <w:rPr>
                <w:rFonts w:ascii="Arial" w:cs="Arial" w:eastAsia="Arial" w:hAnsi="Arial"/>
                <w:sz w:val="18"/>
                <w:szCs w:val="18"/>
                <w:color w:val="auto"/>
              </w:rPr>
              <w:t>Other long-term debt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160" w:type="dxa"/>
            <w:vAlign w:val="bottom"/>
          </w:tcPr>
          <w:p>
            <w:pPr>
              <w:spacing w:after="0"/>
              <w:rPr>
                <w:sz w:val="19"/>
                <w:szCs w:val="19"/>
                <w:color w:val="auto"/>
              </w:rPr>
            </w:pPr>
          </w:p>
        </w:tc>
      </w:tr>
      <w:tr>
        <w:trPr>
          <w:trHeight w:val="257"/>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4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64"/>
        </w:trPr>
        <w:tc>
          <w:tcPr>
            <w:tcW w:w="44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4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r>
      <w:tr>
        <w:trPr>
          <w:trHeight w:val="21"/>
        </w:trPr>
        <w:tc>
          <w:tcPr>
            <w:tcW w:w="44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presents the maturity of operating lease liabilities as of December 31, 2019:</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600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18,456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Less – imputed interest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(628)</w:t>
            </w:r>
          </w:p>
        </w:tc>
      </w:tr>
      <w:tr>
        <w:trPr>
          <w:trHeight w:val="257"/>
        </w:trPr>
        <w:tc>
          <w:tcPr>
            <w:tcW w:w="20" w:type="dxa"/>
            <w:vAlign w:val="bottom"/>
          </w:tcPr>
          <w:p>
            <w:pPr>
              <w:spacing w:after="0"/>
              <w:rPr>
                <w:sz w:val="22"/>
                <w:szCs w:val="22"/>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17,828</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180" w:val="left"/>
          <w:tab w:leader="none" w:pos="1680" w:val="left"/>
        </w:tabs>
        <w:rPr>
          <w:sz w:val="20"/>
          <w:szCs w:val="20"/>
          <w:color w:val="auto"/>
        </w:rPr>
      </w:pPr>
      <w:r>
        <w:rPr>
          <w:rFonts w:ascii="Arial" w:cs="Arial" w:eastAsia="Arial" w:hAnsi="Arial"/>
          <w:sz w:val="22"/>
          <w:szCs w:val="22"/>
          <w:b w:val="1"/>
          <w:bCs w:val="1"/>
          <w:color w:val="auto"/>
        </w:rPr>
        <w:t>NOTE 11</w:t>
        <w:tab/>
        <w:t>-</w:t>
      </w:r>
      <w:r>
        <w:rPr>
          <w:sz w:val="20"/>
          <w:szCs w:val="20"/>
          <w:color w:val="auto"/>
        </w:rPr>
        <w:tab/>
      </w:r>
      <w:r>
        <w:rPr>
          <w:rFonts w:ascii="Arial" w:cs="Arial" w:eastAsia="Arial" w:hAnsi="Arial"/>
          <w:sz w:val="21"/>
          <w:szCs w:val="21"/>
          <w:b w:val="1"/>
          <w:bCs w:val="1"/>
          <w:color w:val="auto"/>
        </w:rPr>
        <w:t>OTHER LONG-TERM DEBT (Cont.)</w:t>
      </w:r>
    </w:p>
    <w:p>
      <w:pPr>
        <w:spacing w:after="0" w:line="283" w:lineRule="exact"/>
        <w:rPr>
          <w:sz w:val="20"/>
          <w:szCs w:val="20"/>
          <w:color w:val="auto"/>
        </w:rPr>
      </w:pPr>
    </w:p>
    <w:p>
      <w:pPr>
        <w:ind w:left="1880" w:hanging="575"/>
        <w:spacing w:after="0"/>
        <w:tabs>
          <w:tab w:leader="none" w:pos="18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Wells Fargo Credit Line</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In December 2013, Jazz entered into an agreement with Wells Fargo Capital Finance, part of Wells Fargo &amp; Company (“Wells Fargo”), for a five-year secured asset-based revolving credit line in the total amount of up to $70,000, maturing in December 2018.</w:t>
      </w:r>
    </w:p>
    <w:p>
      <w:pPr>
        <w:spacing w:after="0" w:line="239" w:lineRule="exact"/>
        <w:rPr>
          <w:sz w:val="20"/>
          <w:szCs w:val="20"/>
          <w:color w:val="auto"/>
        </w:rPr>
      </w:pPr>
    </w:p>
    <w:p>
      <w:pPr>
        <w:jc w:val="both"/>
        <w:ind w:left="1880"/>
        <w:spacing w:after="0" w:line="261" w:lineRule="auto"/>
        <w:rPr>
          <w:sz w:val="20"/>
          <w:szCs w:val="20"/>
          <w:color w:val="auto"/>
        </w:rPr>
      </w:pPr>
      <w:r>
        <w:rPr>
          <w:rFonts w:ascii="Arial" w:cs="Arial" w:eastAsia="Arial" w:hAnsi="Arial"/>
          <w:sz w:val="22"/>
          <w:szCs w:val="22"/>
          <w:color w:val="auto"/>
        </w:rPr>
        <w:t>In February 2018, Jazz and Wells Fargo signed an amendment to the credit line, under which the line is extended by five years, to mature in 2023, and the total amount remained at up to $70,000 (the “Jazz Credit Line Agreement”). The applicable interest on the loans is at a rate equal to, at lender’s option, either the lender’s prime rate plus a margin ranging from 0.0% to 0.5% or the LIBOR rate plus a margin ranging from 1.25% to 1.75% per annum.</w:t>
      </w:r>
    </w:p>
    <w:p>
      <w:pPr>
        <w:spacing w:after="0" w:line="245" w:lineRule="exact"/>
        <w:rPr>
          <w:sz w:val="20"/>
          <w:szCs w:val="20"/>
          <w:color w:val="auto"/>
        </w:rPr>
      </w:pPr>
    </w:p>
    <w:p>
      <w:pPr>
        <w:jc w:val="both"/>
        <w:ind w:left="1880"/>
        <w:spacing w:after="0" w:line="306" w:lineRule="auto"/>
        <w:rPr>
          <w:sz w:val="20"/>
          <w:szCs w:val="20"/>
          <w:color w:val="auto"/>
        </w:rPr>
      </w:pPr>
      <w:r>
        <w:rPr>
          <w:rFonts w:ascii="Arial" w:cs="Arial" w:eastAsia="Arial" w:hAnsi="Arial"/>
          <w:sz w:val="19"/>
          <w:szCs w:val="19"/>
          <w:color w:val="auto"/>
        </w:rPr>
        <w:t>The outstanding borrowing availability varies from time to time based on the levels of Jazz’s eligible accounts receivable, eligible equipment, eligible inventories and other terms and conditions described in the Jazz Credit Line Agreement. The obligations of Jazz under the Jazz Credit Line Agreement are secured by a security interest on all the assets of Jazz. The Jazz Credit Line Agreement contains customary covenants and other terms, including customary events of default. If any event of default will occur, Wells Fargo may declare all borrowings under the facility due immediately and foreclose on the collateral. Jazz’s obligations pursuant to the Jazz Credit Line Agreement are not guaranteed by Tower or any of its affiliates.</w:t>
      </w:r>
    </w:p>
    <w:p>
      <w:pPr>
        <w:spacing w:after="0" w:line="211"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As of December 31, 2019, Jazz was in compliance with all of the covenants under the Jazz Credit Line Agreement.</w:t>
      </w:r>
    </w:p>
    <w:p>
      <w:pPr>
        <w:spacing w:after="0" w:line="228"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As of December 31, 2019, borrowing availability under the Jazz Credit Line Agreement was approximately $70,000, of which approximately $1,000 was utilized through letters of credit.</w:t>
      </w:r>
    </w:p>
    <w:p>
      <w:pPr>
        <w:spacing w:after="0" w:line="228"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As of December 31, 2019 and 2018, no loan amounts were outstanding under the Jazz Credit Line Agreement.</w:t>
      </w:r>
    </w:p>
    <w:p>
      <w:pPr>
        <w:spacing w:after="0" w:line="222"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12</w:t>
        <w:tab/>
        <w:t>-</w:t>
      </w:r>
      <w:r>
        <w:rPr>
          <w:sz w:val="20"/>
          <w:szCs w:val="20"/>
          <w:color w:val="auto"/>
        </w:rPr>
        <w:tab/>
      </w:r>
      <w:r>
        <w:rPr>
          <w:rFonts w:ascii="Arial" w:cs="Arial" w:eastAsia="Arial" w:hAnsi="Arial"/>
          <w:sz w:val="21"/>
          <w:szCs w:val="21"/>
          <w:b w:val="1"/>
          <w:bCs w:val="1"/>
          <w:color w:val="auto"/>
        </w:rPr>
        <w:t>FINANCIAL INSTRUMENTS AND FAIR VALUE MEASUREMENTS</w:t>
      </w:r>
    </w:p>
    <w:p>
      <w:pPr>
        <w:spacing w:after="0" w:line="293" w:lineRule="exact"/>
        <w:rPr>
          <w:sz w:val="20"/>
          <w:szCs w:val="20"/>
          <w:color w:val="auto"/>
        </w:rPr>
      </w:pPr>
    </w:p>
    <w:p>
      <w:pPr>
        <w:jc w:val="both"/>
        <w:ind w:left="1300"/>
        <w:spacing w:after="0" w:line="284" w:lineRule="auto"/>
        <w:rPr>
          <w:sz w:val="20"/>
          <w:szCs w:val="20"/>
          <w:color w:val="auto"/>
        </w:rPr>
      </w:pPr>
      <w:r>
        <w:rPr>
          <w:rFonts w:ascii="Arial" w:cs="Arial" w:eastAsia="Arial" w:hAnsi="Arial"/>
          <w:sz w:val="21"/>
          <w:szCs w:val="21"/>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213" w:lineRule="exact"/>
        <w:rPr>
          <w:sz w:val="20"/>
          <w:szCs w:val="20"/>
          <w:color w:val="auto"/>
        </w:rPr>
      </w:pPr>
    </w:p>
    <w:p>
      <w:pPr>
        <w:ind w:left="1880" w:hanging="575"/>
        <w:spacing w:after="0"/>
        <w:tabs>
          <w:tab w:leader="none" w:pos="18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Non-Designated Exchange Rate Transactions</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As the functional currency of Tower is the USD and part of Tower's expenses are denominated in NIS, Tower enters from time to time into exchange rate agreements to protect against the volatility of future cash flows caused by changes in foreign exchange rates on NIS denominated expenses.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12</w:t>
        <w:tab/>
        <w:t>-</w:t>
      </w:r>
      <w:r>
        <w:rPr>
          <w:sz w:val="20"/>
          <w:szCs w:val="20"/>
          <w:color w:val="auto"/>
        </w:rPr>
        <w:tab/>
      </w:r>
      <w:r>
        <w:rPr>
          <w:rFonts w:ascii="Arial" w:cs="Arial" w:eastAsia="Arial" w:hAnsi="Arial"/>
          <w:sz w:val="21"/>
          <w:szCs w:val="21"/>
          <w:b w:val="1"/>
          <w:bCs w:val="1"/>
          <w:color w:val="auto"/>
        </w:rPr>
        <w:t>FINANCIAL INSTRUMENTS AND FAIR VALUE MEASUREMENTS (Cont.)</w:t>
      </w:r>
    </w:p>
    <w:p>
      <w:pPr>
        <w:spacing w:after="0" w:line="283" w:lineRule="exact"/>
        <w:rPr>
          <w:sz w:val="20"/>
          <w:szCs w:val="20"/>
          <w:color w:val="auto"/>
        </w:rPr>
      </w:pPr>
    </w:p>
    <w:p>
      <w:pPr>
        <w:ind w:left="1880" w:hanging="575"/>
        <w:spacing w:after="0"/>
        <w:tabs>
          <w:tab w:leader="none" w:pos="18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Non-Designated Exchange Rate Transactions (Cont.)</w:t>
      </w:r>
    </w:p>
    <w:p>
      <w:pPr>
        <w:spacing w:after="0" w:line="290" w:lineRule="exact"/>
        <w:rPr>
          <w:sz w:val="20"/>
          <w:szCs w:val="20"/>
          <w:color w:val="auto"/>
        </w:rPr>
      </w:pPr>
    </w:p>
    <w:p>
      <w:pPr>
        <w:jc w:val="both"/>
        <w:ind w:left="1880"/>
        <w:spacing w:after="0" w:line="263" w:lineRule="auto"/>
        <w:rPr>
          <w:sz w:val="20"/>
          <w:szCs w:val="20"/>
          <w:color w:val="auto"/>
        </w:rPr>
      </w:pPr>
      <w:r>
        <w:rPr>
          <w:rFonts w:ascii="Arial" w:cs="Arial" w:eastAsia="Arial" w:hAnsi="Arial"/>
          <w:sz w:val="22"/>
          <w:szCs w:val="22"/>
          <w:color w:val="auto"/>
        </w:rPr>
        <w:t>As of December 31, 2019, the fair value amounts of such exchange rate agreements were $167 in an asset position, presented in other current assets with a face value of $48,000. As of December 31, 2018, the fair value amounts of such exchange rate agreements were $379 in a liability position, presented in current liabilities with a face value of $92,000.</w:t>
      </w:r>
    </w:p>
    <w:p>
      <w:pPr>
        <w:spacing w:after="0" w:line="242" w:lineRule="exact"/>
        <w:rPr>
          <w:sz w:val="20"/>
          <w:szCs w:val="20"/>
          <w:color w:val="auto"/>
        </w:rPr>
      </w:pPr>
    </w:p>
    <w:p>
      <w:pPr>
        <w:jc w:val="both"/>
        <w:ind w:left="1880" w:right="20"/>
        <w:spacing w:after="0" w:line="276" w:lineRule="auto"/>
        <w:rPr>
          <w:sz w:val="20"/>
          <w:szCs w:val="20"/>
          <w:color w:val="auto"/>
        </w:rPr>
      </w:pPr>
      <w:r>
        <w:rPr>
          <w:rFonts w:ascii="Arial" w:cs="Arial" w:eastAsia="Arial" w:hAnsi="Arial"/>
          <w:sz w:val="22"/>
          <w:szCs w:val="22"/>
          <w:color w:val="auto"/>
        </w:rPr>
        <w:t>Changes in the fair values of such derivatives are presented in cost of revenues in the statements of operations.</w:t>
      </w:r>
    </w:p>
    <w:p>
      <w:pPr>
        <w:spacing w:after="0" w:line="228" w:lineRule="exact"/>
        <w:rPr>
          <w:sz w:val="20"/>
          <w:szCs w:val="20"/>
          <w:color w:val="auto"/>
        </w:rPr>
      </w:pPr>
    </w:p>
    <w:p>
      <w:pPr>
        <w:jc w:val="both"/>
        <w:ind w:left="1880"/>
        <w:spacing w:after="0" w:line="309" w:lineRule="auto"/>
        <w:rPr>
          <w:sz w:val="20"/>
          <w:szCs w:val="20"/>
          <w:color w:val="auto"/>
        </w:rPr>
      </w:pPr>
      <w:r>
        <w:rPr>
          <w:rFonts w:ascii="Arial" w:cs="Arial" w:eastAsia="Arial" w:hAnsi="Arial"/>
          <w:sz w:val="19"/>
          <w:szCs w:val="19"/>
          <w:color w:val="auto"/>
        </w:rPr>
        <w:t>As the functional currency of TPSCo is the JPY and part of TPSCo revenues are denominated in USD, TPSCo enters from time to time into exchange rate agreements to protect against the volatility of future cash flows caused by changes in foreign exchange rates on USD denominated amounts. As of December 31, 2019 and 2018, the fair value amounts of such exchange rate agreements were $318 and $16, respectively, in a liability position, presented in other current liabilities with a face value of $36,000 and $42,000, respectively. Changes in the fair value of such derivatives are presented in the statements of operations.</w:t>
      </w:r>
    </w:p>
    <w:p>
      <w:pPr>
        <w:spacing w:after="0" w:line="193" w:lineRule="exact"/>
        <w:rPr>
          <w:sz w:val="20"/>
          <w:szCs w:val="20"/>
          <w:color w:val="auto"/>
        </w:rPr>
      </w:pPr>
    </w:p>
    <w:p>
      <w:pPr>
        <w:ind w:left="1880" w:hanging="575"/>
        <w:spacing w:after="0"/>
        <w:tabs>
          <w:tab w:leader="none" w:pos="18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Risks</w:t>
      </w:r>
    </w:p>
    <w:p>
      <w:pPr>
        <w:spacing w:after="0" w:line="290" w:lineRule="exact"/>
        <w:rPr>
          <w:sz w:val="20"/>
          <w:szCs w:val="20"/>
          <w:color w:val="auto"/>
        </w:rPr>
      </w:pPr>
    </w:p>
    <w:p>
      <w:pPr>
        <w:jc w:val="both"/>
        <w:ind w:left="1880"/>
        <w:spacing w:after="0" w:line="260" w:lineRule="auto"/>
        <w:rPr>
          <w:sz w:val="20"/>
          <w:szCs w:val="20"/>
          <w:color w:val="auto"/>
        </w:rPr>
      </w:pPr>
      <w:r>
        <w:rPr>
          <w:rFonts w:ascii="Arial" w:cs="Arial" w:eastAsia="Arial" w:hAnsi="Arial"/>
          <w:sz w:val="22"/>
          <w:szCs w:val="22"/>
          <w:color w:val="auto"/>
        </w:rPr>
        <w:t>Financial instruments that potentially subject the Company to concentrations of credit risk consist principally of cash and cash equivalents, bank deposits, marketable securities, derivative, trade receivables and government and other receivables. The Company's cash, deposits, marketable securities and derivative are maintained with large and reputable banks and investment banks. The composition and maturities of investments are regularly monitored by the Company. Generally, these securities may be redeemed upon demand and bear minimal risk.</w:t>
      </w:r>
    </w:p>
    <w:p>
      <w:pPr>
        <w:spacing w:after="0" w:line="246" w:lineRule="exact"/>
        <w:rPr>
          <w:sz w:val="20"/>
          <w:szCs w:val="20"/>
          <w:color w:val="auto"/>
        </w:rPr>
      </w:pPr>
    </w:p>
    <w:p>
      <w:pPr>
        <w:jc w:val="both"/>
        <w:ind w:left="1880"/>
        <w:spacing w:after="0" w:line="279" w:lineRule="auto"/>
        <w:rPr>
          <w:sz w:val="20"/>
          <w:szCs w:val="20"/>
          <w:color w:val="auto"/>
        </w:rPr>
      </w:pPr>
      <w:r>
        <w:rPr>
          <w:rFonts w:ascii="Arial" w:cs="Arial" w:eastAsia="Arial" w:hAnsi="Arial"/>
          <w:sz w:val="21"/>
          <w:szCs w:val="21"/>
          <w:color w:val="auto"/>
        </w:rPr>
        <w:t>The Company generally does not require collateral for insurance of receivables; however, in certain circumstances, the Company obtains credit insurance or may require advance payments. An allowance for doubtful accounts is determined with respect to those amounts the collection of which is determined to be doubtful. The Company performs ongoing credit evaluations of its customers.</w:t>
      </w:r>
    </w:p>
    <w:p>
      <w:pPr>
        <w:spacing w:after="0" w:line="217" w:lineRule="exact"/>
        <w:rPr>
          <w:sz w:val="20"/>
          <w:szCs w:val="20"/>
          <w:color w:val="auto"/>
        </w:rPr>
      </w:pPr>
    </w:p>
    <w:p>
      <w:pPr>
        <w:ind w:left="1880" w:hanging="575"/>
        <w:spacing w:after="0"/>
        <w:tabs>
          <w:tab w:leader="none" w:pos="18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90" w:lineRule="exact"/>
        <w:rPr>
          <w:sz w:val="20"/>
          <w:szCs w:val="20"/>
          <w:color w:val="auto"/>
        </w:rPr>
      </w:pPr>
    </w:p>
    <w:p>
      <w:pPr>
        <w:jc w:val="both"/>
        <w:ind w:left="1880"/>
        <w:spacing w:after="0" w:line="261" w:lineRule="auto"/>
        <w:rPr>
          <w:sz w:val="20"/>
          <w:szCs w:val="20"/>
          <w:color w:val="auto"/>
        </w:rPr>
      </w:pPr>
      <w:r>
        <w:rPr>
          <w:rFonts w:ascii="Arial" w:cs="Arial" w:eastAsia="Arial" w:hAnsi="Arial"/>
          <w:sz w:val="22"/>
          <w:szCs w:val="22"/>
          <w:color w:val="auto"/>
        </w:rPr>
        <w:t>The estimated fair values of the Company’s financial instruments, excluding debentures do not materially differ from their respective carrying amounts as of December 31, 2019 and 2018. The fair value of debentures, based on quoted market prices as of December 31, 2019 and 2018, was approximately $140,000 and $127,000, respectively, compared to carrying amounts of approximately $132,000 and $120,000, for the above dates, respectively.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12</w:t>
        <w:tab/>
        <w:t>-</w:t>
      </w:r>
      <w:r>
        <w:rPr>
          <w:sz w:val="20"/>
          <w:szCs w:val="20"/>
          <w:color w:val="auto"/>
        </w:rPr>
        <w:tab/>
      </w:r>
      <w:r>
        <w:rPr>
          <w:rFonts w:ascii="Arial" w:cs="Arial" w:eastAsia="Arial" w:hAnsi="Arial"/>
          <w:sz w:val="21"/>
          <w:szCs w:val="21"/>
          <w:b w:val="1"/>
          <w:bCs w:val="1"/>
          <w:color w:val="auto"/>
        </w:rPr>
        <w:t>FINANCIAL INSTRUMENTS AND FAIR VALUE MEASUREMENTS (Cont.)</w:t>
      </w:r>
    </w:p>
    <w:p>
      <w:pPr>
        <w:spacing w:after="0" w:line="283" w:lineRule="exact"/>
        <w:rPr>
          <w:sz w:val="20"/>
          <w:szCs w:val="20"/>
          <w:color w:val="auto"/>
        </w:rPr>
      </w:pPr>
    </w:p>
    <w:p>
      <w:pPr>
        <w:ind w:left="1880" w:hanging="575"/>
        <w:spacing w:after="0"/>
        <w:tabs>
          <w:tab w:leader="none" w:pos="18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Cash Flow Hedge Gains (Losses)</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The Company entered into cash flow hedging transactions to mitigate the foreign exchange rate differences on principal and interest using a cross currency swap to mitigate the risk arising from Series G Debentures denomination in NIS.</w:t>
      </w:r>
    </w:p>
    <w:p>
      <w:pPr>
        <w:spacing w:after="0" w:line="239" w:lineRule="exact"/>
        <w:rPr>
          <w:sz w:val="20"/>
          <w:szCs w:val="20"/>
          <w:color w:val="auto"/>
        </w:rPr>
      </w:pPr>
    </w:p>
    <w:p>
      <w:pPr>
        <w:jc w:val="both"/>
        <w:ind w:left="1880"/>
        <w:spacing w:after="0" w:line="279" w:lineRule="auto"/>
        <w:rPr>
          <w:sz w:val="20"/>
          <w:szCs w:val="20"/>
          <w:color w:val="auto"/>
        </w:rPr>
      </w:pPr>
      <w:r>
        <w:rPr>
          <w:rFonts w:ascii="Arial" w:cs="Arial" w:eastAsia="Arial" w:hAnsi="Arial"/>
          <w:sz w:val="21"/>
          <w:szCs w:val="21"/>
          <w:color w:val="auto"/>
        </w:rPr>
        <w:t>As of December 31, 2019, the fair value of the swap was $15,642 in an asset, net position, of which $3,017 was presented in other current assets and $12,625 was presented in long-term assets. As of December 31, 2018, the fair value of the swap was $4,951 in an asset, net position, of which $1,771 was presented in other current liabilities and $6,722 was presented in long-term assets.</w:t>
      </w:r>
    </w:p>
    <w:p>
      <w:pPr>
        <w:spacing w:after="0" w:line="228" w:lineRule="exact"/>
        <w:rPr>
          <w:sz w:val="20"/>
          <w:szCs w:val="20"/>
          <w:color w:val="auto"/>
        </w:rPr>
      </w:pPr>
    </w:p>
    <w:p>
      <w:pPr>
        <w:jc w:val="both"/>
        <w:ind w:left="1880"/>
        <w:spacing w:after="0" w:line="260" w:lineRule="auto"/>
        <w:rPr>
          <w:sz w:val="20"/>
          <w:szCs w:val="20"/>
          <w:color w:val="auto"/>
        </w:rPr>
      </w:pPr>
      <w:r>
        <w:rPr>
          <w:rFonts w:ascii="Arial" w:cs="Arial" w:eastAsia="Arial" w:hAnsi="Arial"/>
          <w:sz w:val="22"/>
          <w:szCs w:val="22"/>
          <w:color w:val="auto"/>
        </w:rPr>
        <w:t>As of December 31, 2019 and December 31, 2018, the effective portions of $1,504 and $1,329, respectively, were recorded in OCI, of which a loss of $719 is expected to be reclassified into earnings during the twelve months ending December 31, 2020. For the years ended December 31, 2019 and December 31, 2018, the hedging effect on the Company’s results of operations was $8,816 income and $11,787 loss, respectively, and was recognized as financing expense, net, to offset the effect of the rate difference related to Series G Debentures.</w:t>
      </w:r>
    </w:p>
    <w:p>
      <w:pPr>
        <w:spacing w:after="0" w:line="236" w:lineRule="exact"/>
        <w:rPr>
          <w:sz w:val="20"/>
          <w:szCs w:val="20"/>
          <w:color w:val="auto"/>
        </w:rPr>
      </w:pPr>
    </w:p>
    <w:p>
      <w:pPr>
        <w:ind w:left="1880" w:hanging="575"/>
        <w:spacing w:after="0"/>
        <w:tabs>
          <w:tab w:leader="none" w:pos="18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84"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Valuation Techniques</w:t>
      </w:r>
    </w:p>
    <w:p>
      <w:pPr>
        <w:spacing w:after="0" w:line="293" w:lineRule="exact"/>
        <w:rPr>
          <w:sz w:val="20"/>
          <w:szCs w:val="20"/>
          <w:color w:val="auto"/>
        </w:rPr>
      </w:pPr>
    </w:p>
    <w:p>
      <w:pPr>
        <w:jc w:val="both"/>
        <w:ind w:left="1880"/>
        <w:spacing w:after="0" w:line="260" w:lineRule="auto"/>
        <w:rPr>
          <w:sz w:val="20"/>
          <w:szCs w:val="20"/>
          <w:color w:val="auto"/>
        </w:rPr>
      </w:pPr>
      <w:r>
        <w:rPr>
          <w:rFonts w:ascii="Arial" w:cs="Arial" w:eastAsia="Arial" w:hAnsi="Arial"/>
          <w:sz w:val="22"/>
          <w:szCs w:val="22"/>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246" w:lineRule="exact"/>
        <w:rPr>
          <w:sz w:val="20"/>
          <w:szCs w:val="20"/>
          <w:color w:val="auto"/>
        </w:rPr>
      </w:pPr>
    </w:p>
    <w:p>
      <w:pPr>
        <w:ind w:left="1880"/>
        <w:spacing w:after="0"/>
        <w:rPr>
          <w:sz w:val="20"/>
          <w:szCs w:val="20"/>
          <w:color w:val="auto"/>
        </w:rPr>
      </w:pPr>
      <w:r>
        <w:rPr>
          <w:rFonts w:ascii="Arial" w:cs="Arial" w:eastAsia="Arial" w:hAnsi="Arial"/>
          <w:sz w:val="22"/>
          <w:szCs w:val="22"/>
          <w:b w:val="1"/>
          <w:bCs w:val="1"/>
          <w:i w:val="1"/>
          <w:iCs w:val="1"/>
          <w:color w:val="auto"/>
        </w:rPr>
        <w:t>Level 1 Measurements</w:t>
      </w:r>
    </w:p>
    <w:p>
      <w:pPr>
        <w:spacing w:after="0" w:line="22" w:lineRule="exact"/>
        <w:rPr>
          <w:sz w:val="20"/>
          <w:szCs w:val="20"/>
          <w:color w:val="auto"/>
        </w:rPr>
      </w:pPr>
    </w:p>
    <w:p>
      <w:pPr>
        <w:jc w:val="both"/>
        <w:ind w:left="1880"/>
        <w:spacing w:after="0" w:line="261" w:lineRule="auto"/>
        <w:rPr>
          <w:sz w:val="20"/>
          <w:szCs w:val="20"/>
          <w:color w:val="auto"/>
        </w:rPr>
      </w:pPr>
      <w:r>
        <w:rPr>
          <w:rFonts w:ascii="Arial" w:cs="Arial" w:eastAsia="Arial" w:hAnsi="Arial"/>
          <w:sz w:val="22"/>
          <w:szCs w:val="22"/>
          <w:color w:val="auto"/>
        </w:rPr>
        <w:t>Assets held for sale - securities classified as available for sale are reported at fair value on a recurring basis. These securities are classified as Level 1 of the valuation hierarchy where quoted market prices from reputable third-party brokers are available in an active market. Changes in fair value of securities available for sale are recorded in other comprehensive income.</w:t>
      </w:r>
    </w:p>
    <w:p>
      <w:pPr>
        <w:spacing w:after="0" w:line="246" w:lineRule="exact"/>
        <w:rPr>
          <w:sz w:val="20"/>
          <w:szCs w:val="20"/>
          <w:color w:val="auto"/>
        </w:rPr>
      </w:pPr>
    </w:p>
    <w:p>
      <w:pPr>
        <w:ind w:left="1880"/>
        <w:spacing w:after="0"/>
        <w:rPr>
          <w:sz w:val="20"/>
          <w:szCs w:val="20"/>
          <w:color w:val="auto"/>
        </w:rPr>
      </w:pPr>
      <w:r>
        <w:rPr>
          <w:rFonts w:ascii="Arial" w:cs="Arial" w:eastAsia="Arial" w:hAnsi="Arial"/>
          <w:sz w:val="22"/>
          <w:szCs w:val="22"/>
          <w:b w:val="1"/>
          <w:bCs w:val="1"/>
          <w:i w:val="1"/>
          <w:iCs w:val="1"/>
          <w:color w:val="auto"/>
        </w:rPr>
        <w:t>Level 2 Measurements</w:t>
      </w:r>
    </w:p>
    <w:p>
      <w:pPr>
        <w:spacing w:after="0" w:line="22" w:lineRule="exact"/>
        <w:rPr>
          <w:sz w:val="20"/>
          <w:szCs w:val="20"/>
          <w:color w:val="auto"/>
        </w:rPr>
      </w:pPr>
    </w:p>
    <w:p>
      <w:pPr>
        <w:jc w:val="both"/>
        <w:ind w:left="1880"/>
        <w:spacing w:after="0" w:line="275" w:lineRule="auto"/>
        <w:rPr>
          <w:sz w:val="20"/>
          <w:szCs w:val="20"/>
          <w:color w:val="auto"/>
        </w:rPr>
      </w:pPr>
      <w:r>
        <w:rPr>
          <w:rFonts w:ascii="Arial" w:cs="Arial" w:eastAsia="Arial" w:hAnsi="Arial"/>
          <w:sz w:val="21"/>
          <w:szCs w:val="21"/>
          <w:color w:val="auto"/>
        </w:rPr>
        <w:t>If quoted market prices are not available, the Company obtains fair value measurements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12</w:t>
        <w:tab/>
        <w:t>-</w:t>
      </w:r>
      <w:r>
        <w:rPr>
          <w:sz w:val="20"/>
          <w:szCs w:val="20"/>
          <w:color w:val="auto"/>
        </w:rPr>
        <w:tab/>
      </w:r>
      <w:r>
        <w:rPr>
          <w:rFonts w:ascii="Arial" w:cs="Arial" w:eastAsia="Arial" w:hAnsi="Arial"/>
          <w:sz w:val="21"/>
          <w:szCs w:val="21"/>
          <w:b w:val="1"/>
          <w:bCs w:val="1"/>
          <w:color w:val="auto"/>
        </w:rPr>
        <w:t>FINANCIAL INSTRUMENTS AND FAIR VALUE MEASUREMENTS (Cont.)</w:t>
      </w:r>
    </w:p>
    <w:p>
      <w:pPr>
        <w:spacing w:after="0" w:line="283" w:lineRule="exact"/>
        <w:rPr>
          <w:sz w:val="20"/>
          <w:szCs w:val="20"/>
          <w:color w:val="auto"/>
        </w:rPr>
      </w:pPr>
    </w:p>
    <w:p>
      <w:pPr>
        <w:ind w:left="1880" w:hanging="575"/>
        <w:spacing w:after="0"/>
        <w:tabs>
          <w:tab w:leader="none" w:pos="18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w:t>
      </w:r>
    </w:p>
    <w:p>
      <w:pPr>
        <w:spacing w:after="0" w:line="290" w:lineRule="exact"/>
        <w:rPr>
          <w:sz w:val="20"/>
          <w:szCs w:val="20"/>
          <w:color w:val="auto"/>
        </w:rPr>
      </w:pPr>
    </w:p>
    <w:p>
      <w:pPr>
        <w:ind w:left="1880"/>
        <w:spacing w:after="0"/>
        <w:rPr>
          <w:sz w:val="20"/>
          <w:szCs w:val="20"/>
          <w:color w:val="auto"/>
        </w:rPr>
      </w:pPr>
      <w:r>
        <w:rPr>
          <w:rFonts w:ascii="Arial" w:cs="Arial" w:eastAsia="Arial" w:hAnsi="Arial"/>
          <w:sz w:val="22"/>
          <w:szCs w:val="22"/>
          <w:b w:val="1"/>
          <w:bCs w:val="1"/>
          <w:i w:val="1"/>
          <w:iCs w:val="1"/>
          <w:color w:val="auto"/>
        </w:rPr>
        <w:t>Level 3 Measurements</w:t>
      </w:r>
    </w:p>
    <w:p>
      <w:pPr>
        <w:spacing w:after="0" w:line="22" w:lineRule="exact"/>
        <w:rPr>
          <w:sz w:val="20"/>
          <w:szCs w:val="20"/>
          <w:color w:val="auto"/>
        </w:rPr>
      </w:pPr>
    </w:p>
    <w:p>
      <w:pPr>
        <w:jc w:val="both"/>
        <w:ind w:left="1880"/>
        <w:spacing w:after="0" w:line="272" w:lineRule="auto"/>
        <w:rPr>
          <w:sz w:val="20"/>
          <w:szCs w:val="20"/>
          <w:color w:val="auto"/>
        </w:rPr>
      </w:pPr>
      <w:r>
        <w:rPr>
          <w:rFonts w:ascii="Arial" w:cs="Arial" w:eastAsia="Arial" w:hAnsi="Arial"/>
          <w:sz w:val="22"/>
          <w:szCs w:val="22"/>
          <w:color w:val="auto"/>
        </w:rPr>
        <w:t>For cross currency swap measured under level 2 - the Company uses the market approach using quotations from banks and other public information.</w:t>
      </w:r>
    </w:p>
    <w:p>
      <w:pPr>
        <w:spacing w:after="0" w:line="232" w:lineRule="exact"/>
        <w:rPr>
          <w:sz w:val="20"/>
          <w:szCs w:val="20"/>
          <w:color w:val="auto"/>
        </w:rPr>
      </w:pPr>
    </w:p>
    <w:p>
      <w:pPr>
        <w:jc w:val="both"/>
        <w:ind w:left="1880"/>
        <w:spacing w:after="0" w:line="305" w:lineRule="auto"/>
        <w:rPr>
          <w:sz w:val="20"/>
          <w:szCs w:val="20"/>
          <w:color w:val="auto"/>
        </w:rPr>
      </w:pPr>
      <w:r>
        <w:rPr>
          <w:rFonts w:ascii="Arial" w:cs="Arial" w:eastAsia="Arial" w:hAnsi="Arial"/>
          <w:sz w:val="19"/>
          <w:szCs w:val="19"/>
          <w:color w:val="auto"/>
        </w:rPr>
        <w:t>Equity Securities without Readily Determinable Fair Values - Investments in privately-held companies are measured using the measurement alternatives, see Note 2I above. The Company reviews these investments for impairment and observable price changes on a quarterly basis, and adjusts the carrying value accordingly. For the year ended December 31, 2019, the Company recorded an increase of $5,270 in the value of such investments, and for the year ended December 31, 2018, the Company recorded a decrease of $5,000 in the value of such investments, presented in other income (expense), net in the statements of operations. The fair value of these investments represents a Level 3 valuation as the assumptions used in valuing these investments are not directly or indirectly observable.</w:t>
      </w:r>
    </w:p>
    <w:p>
      <w:pPr>
        <w:spacing w:after="0" w:line="21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Recurring fair value measurements using the indicated inputs:</w:t>
      </w:r>
    </w:p>
    <w:p>
      <w:pPr>
        <w:spacing w:after="0" w:line="28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87"/>
              </w:rPr>
              <w:t>Quoted prices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in active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3"/>
              </w:rPr>
              <w:t>market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other</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Significant</w:t>
            </w:r>
          </w:p>
        </w:tc>
      </w:tr>
      <w:tr>
        <w:trPr>
          <w:trHeight w:val="216"/>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observable</w:t>
            </w:r>
          </w:p>
        </w:tc>
        <w:tc>
          <w:tcPr>
            <w:tcW w:w="1080" w:type="dxa"/>
            <w:vAlign w:val="bottom"/>
            <w:gridSpan w:val="3"/>
          </w:tcPr>
          <w:p>
            <w:pPr>
              <w:ind w:left="20"/>
              <w:spacing w:after="0"/>
              <w:rPr>
                <w:sz w:val="20"/>
                <w:szCs w:val="20"/>
                <w:color w:val="auto"/>
              </w:rPr>
            </w:pPr>
            <w:r>
              <w:rPr>
                <w:rFonts w:ascii="Arial" w:cs="Arial" w:eastAsia="Arial" w:hAnsi="Arial"/>
                <w:sz w:val="18"/>
                <w:szCs w:val="18"/>
                <w:color w:val="auto"/>
                <w:w w:val="96"/>
              </w:rPr>
              <w:t>unobservable</w:t>
            </w:r>
          </w:p>
        </w:tc>
      </w:tr>
      <w:tr>
        <w:trPr>
          <w:trHeight w:val="216"/>
        </w:trPr>
        <w:tc>
          <w:tcPr>
            <w:tcW w:w="53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rPr>
              <w:t>liability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inputs</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inputs</w:t>
            </w:r>
          </w:p>
        </w:tc>
      </w:tr>
      <w:tr>
        <w:trPr>
          <w:trHeight w:val="237"/>
        </w:trPr>
        <w:tc>
          <w:tcPr>
            <w:tcW w:w="5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 - net asset position</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Privately-held companies</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15,725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15,725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for sale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340" w:type="dxa"/>
            <w:vAlign w:val="bottom"/>
          </w:tcPr>
          <w:p>
            <w:pPr>
              <w:ind w:left="40"/>
              <w:spacing w:after="0"/>
              <w:rPr>
                <w:sz w:val="20"/>
                <w:szCs w:val="20"/>
                <w:color w:val="auto"/>
              </w:rPr>
            </w:pPr>
            <w:r>
              <w:rPr>
                <w:rFonts w:ascii="Arial" w:cs="Arial" w:eastAsia="Arial" w:hAnsi="Arial"/>
                <w:sz w:val="18"/>
                <w:szCs w:val="18"/>
                <w:color w:val="auto"/>
              </w:rPr>
              <w:t>Foreign exchange forward and cylinders - liability position</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5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206,521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8"/>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87"/>
              </w:rPr>
              <w:t>Quoted prices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in active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3"/>
              </w:rPr>
              <w:t>market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other</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Significant</w:t>
            </w:r>
          </w:p>
        </w:tc>
      </w:tr>
      <w:tr>
        <w:trPr>
          <w:trHeight w:val="216"/>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observable</w:t>
            </w:r>
          </w:p>
        </w:tc>
        <w:tc>
          <w:tcPr>
            <w:tcW w:w="1080" w:type="dxa"/>
            <w:vAlign w:val="bottom"/>
            <w:gridSpan w:val="3"/>
          </w:tcPr>
          <w:p>
            <w:pPr>
              <w:ind w:left="20"/>
              <w:spacing w:after="0"/>
              <w:rPr>
                <w:sz w:val="20"/>
                <w:szCs w:val="20"/>
                <w:color w:val="auto"/>
              </w:rPr>
            </w:pPr>
            <w:r>
              <w:rPr>
                <w:rFonts w:ascii="Arial" w:cs="Arial" w:eastAsia="Arial" w:hAnsi="Arial"/>
                <w:sz w:val="18"/>
                <w:szCs w:val="18"/>
                <w:color w:val="auto"/>
                <w:w w:val="96"/>
              </w:rPr>
              <w:t>unobservable</w:t>
            </w:r>
          </w:p>
        </w:tc>
      </w:tr>
      <w:tr>
        <w:trPr>
          <w:trHeight w:val="216"/>
        </w:trPr>
        <w:tc>
          <w:tcPr>
            <w:tcW w:w="53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rPr>
              <w:t>liability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inputs</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inputs</w:t>
            </w:r>
          </w:p>
        </w:tc>
      </w:tr>
      <w:tr>
        <w:trPr>
          <w:trHeight w:val="237"/>
        </w:trPr>
        <w:tc>
          <w:tcPr>
            <w:tcW w:w="5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 - net asset position</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Privately-held companies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9,830</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for sale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340" w:type="dxa"/>
            <w:vAlign w:val="bottom"/>
          </w:tcPr>
          <w:p>
            <w:pPr>
              <w:ind w:left="40"/>
              <w:spacing w:after="0"/>
              <w:rPr>
                <w:sz w:val="20"/>
                <w:szCs w:val="20"/>
                <w:color w:val="auto"/>
              </w:rPr>
            </w:pPr>
            <w:r>
              <w:rPr>
                <w:rFonts w:ascii="Arial" w:cs="Arial" w:eastAsia="Arial" w:hAnsi="Arial"/>
                <w:sz w:val="18"/>
                <w:szCs w:val="18"/>
                <w:color w:val="auto"/>
              </w:rPr>
              <w:t>Foreign exchange forward and cylinders - liability position</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5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149,613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12</w:t>
        <w:tab/>
        <w:t>-</w:t>
      </w:r>
      <w:r>
        <w:rPr>
          <w:sz w:val="20"/>
          <w:szCs w:val="20"/>
          <w:color w:val="auto"/>
        </w:rPr>
        <w:tab/>
      </w:r>
      <w:r>
        <w:rPr>
          <w:rFonts w:ascii="Arial" w:cs="Arial" w:eastAsia="Arial" w:hAnsi="Arial"/>
          <w:sz w:val="21"/>
          <w:szCs w:val="21"/>
          <w:b w:val="1"/>
          <w:bCs w:val="1"/>
          <w:color w:val="auto"/>
        </w:rPr>
        <w:t>FINANCIAL INSTRUMENTS AND FAIR VALUE MEASUREMENTS (Cont.)</w:t>
      </w:r>
    </w:p>
    <w:p>
      <w:pPr>
        <w:spacing w:after="0" w:line="287" w:lineRule="exact"/>
        <w:rPr>
          <w:sz w:val="20"/>
          <w:szCs w:val="20"/>
          <w:color w:val="auto"/>
        </w:rPr>
      </w:pPr>
    </w:p>
    <w:p>
      <w:pPr>
        <w:ind w:left="1900" w:hanging="595"/>
        <w:spacing w:after="0"/>
        <w:tabs>
          <w:tab w:leader="none" w:pos="190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Short-Term and Long-Term Deposits and Marketable Securities</w:t>
      </w:r>
    </w:p>
    <w:p>
      <w:pPr>
        <w:spacing w:after="0" w:line="293" w:lineRule="exact"/>
        <w:rPr>
          <w:sz w:val="20"/>
          <w:szCs w:val="20"/>
          <w:color w:val="auto"/>
        </w:rPr>
      </w:pPr>
    </w:p>
    <w:p>
      <w:pPr>
        <w:jc w:val="both"/>
        <w:ind w:left="1880"/>
        <w:spacing w:after="0" w:line="312" w:lineRule="auto"/>
        <w:rPr>
          <w:sz w:val="20"/>
          <w:szCs w:val="20"/>
          <w:color w:val="auto"/>
        </w:rPr>
      </w:pPr>
      <w:r>
        <w:rPr>
          <w:rFonts w:ascii="Arial" w:cs="Arial" w:eastAsia="Arial" w:hAnsi="Arial"/>
          <w:sz w:val="19"/>
          <w:szCs w:val="19"/>
          <w:color w:val="auto"/>
        </w:rPr>
        <w:t>Short-term and long-term deposits and marketable securities as of December 31, 2019 included short term deposits in the amount of $215,609, marketable securities in the amount of $176,070 and a long-term bank deposit in the amount of $12,500; as of December 31, 2018, short-term and long-term deposits and marketable securities included short term deposits in the amount of $120,079, marketable securities in the amount of $135,850 and a long-term bank deposit in the amount of $12,500.</w:t>
      </w:r>
    </w:p>
    <w:p>
      <w:pPr>
        <w:spacing w:after="0" w:line="200"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The following table summarizes amortized costs, gross unrealized gains and losses and estimated fair values of available-for-sale marketable securities as of December 31, 2019:</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unrealized</w:t>
            </w:r>
          </w:p>
        </w:tc>
        <w:tc>
          <w:tcPr>
            <w:tcW w:w="1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Estimated</w:t>
            </w:r>
          </w:p>
        </w:tc>
      </w:tr>
      <w:tr>
        <w:trPr>
          <w:trHeight w:val="237"/>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cost (*)</w:t>
            </w:r>
          </w:p>
        </w:tc>
        <w:tc>
          <w:tcPr>
            <w:tcW w:w="12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Gains</w:t>
            </w:r>
          </w:p>
        </w:tc>
        <w:tc>
          <w:tcPr>
            <w:tcW w:w="1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losses</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fair value</w:t>
            </w: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154,167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155,226</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U.S government bonds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 government bonds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15,591</w:t>
            </w:r>
          </w:p>
        </w:tc>
      </w:tr>
      <w:tr>
        <w:trPr>
          <w:trHeight w:val="223"/>
        </w:trPr>
        <w:tc>
          <w:tcPr>
            <w:tcW w:w="5340" w:type="dxa"/>
            <w:vAlign w:val="bottom"/>
          </w:tcPr>
          <w:p>
            <w:pPr>
              <w:ind w:left="140"/>
              <w:spacing w:after="0"/>
              <w:rPr>
                <w:sz w:val="20"/>
                <w:szCs w:val="20"/>
                <w:color w:val="auto"/>
              </w:rPr>
            </w:pPr>
            <w:r>
              <w:rPr>
                <w:rFonts w:ascii="Arial" w:cs="Arial" w:eastAsia="Arial" w:hAnsi="Arial"/>
                <w:sz w:val="18"/>
                <w:szCs w:val="18"/>
                <w:color w:val="auto"/>
              </w:rPr>
              <w:t>Certificate of deposits</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57"/>
        </w:trPr>
        <w:tc>
          <w:tcPr>
            <w:tcW w:w="5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173,817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Excluding accrued interest of $765.</w:t>
      </w:r>
    </w:p>
    <w:p>
      <w:pPr>
        <w:spacing w:after="0" w:line="287" w:lineRule="exact"/>
        <w:rPr>
          <w:sz w:val="20"/>
          <w:szCs w:val="20"/>
          <w:color w:val="auto"/>
        </w:rPr>
      </w:pPr>
    </w:p>
    <w:p>
      <w:pPr>
        <w:ind w:left="1880" w:right="20"/>
        <w:spacing w:after="0" w:line="276" w:lineRule="auto"/>
        <w:rPr>
          <w:sz w:val="20"/>
          <w:szCs w:val="20"/>
          <w:color w:val="auto"/>
        </w:rPr>
      </w:pPr>
      <w:r>
        <w:rPr>
          <w:rFonts w:ascii="Arial" w:cs="Arial" w:eastAsia="Arial" w:hAnsi="Arial"/>
          <w:sz w:val="22"/>
          <w:szCs w:val="22"/>
          <w:color w:val="auto"/>
        </w:rPr>
        <w:t>The scheduled maturities of available-for-sale marketable securities as of December 31, 2019, were as follows:</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Estimated</w:t>
            </w:r>
          </w:p>
        </w:tc>
      </w:tr>
      <w:tr>
        <w:trPr>
          <w:trHeight w:val="237"/>
        </w:trPr>
        <w:tc>
          <w:tcPr>
            <w:tcW w:w="7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r>
      <w:tr>
        <w:trPr>
          <w:trHeight w:val="216"/>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37,818</w:t>
            </w:r>
          </w:p>
        </w:tc>
        <w:tc>
          <w:tcPr>
            <w:tcW w:w="100" w:type="dxa"/>
            <w:vAlign w:val="bottom"/>
            <w:shd w:val="clear" w:color="auto" w:fill="CCEEFF"/>
          </w:tcPr>
          <w:p>
            <w:pPr>
              <w:spacing w:after="0"/>
              <w:rPr>
                <w:sz w:val="18"/>
                <w:szCs w:val="18"/>
                <w:color w:val="auto"/>
              </w:rPr>
            </w:pPr>
          </w:p>
        </w:tc>
      </w:tr>
      <w:tr>
        <w:trPr>
          <w:trHeight w:val="223"/>
        </w:trPr>
        <w:tc>
          <w:tcPr>
            <w:tcW w:w="7740" w:type="dxa"/>
            <w:vAlign w:val="bottom"/>
          </w:tcPr>
          <w:p>
            <w:pPr>
              <w:ind w:left="14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135,972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137,487</w:t>
            </w:r>
          </w:p>
        </w:tc>
        <w:tc>
          <w:tcPr>
            <w:tcW w:w="100" w:type="dxa"/>
            <w:vAlign w:val="bottom"/>
          </w:tcPr>
          <w:p>
            <w:pPr>
              <w:spacing w:after="0"/>
              <w:rPr>
                <w:sz w:val="19"/>
                <w:szCs w:val="19"/>
                <w:color w:val="auto"/>
              </w:rPr>
            </w:pPr>
          </w:p>
        </w:tc>
      </w:tr>
      <w:tr>
        <w:trPr>
          <w:trHeight w:val="257"/>
        </w:trPr>
        <w:tc>
          <w:tcPr>
            <w:tcW w:w="7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173,817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12</w:t>
        <w:tab/>
        <w:t>-</w:t>
      </w:r>
      <w:r>
        <w:rPr>
          <w:sz w:val="20"/>
          <w:szCs w:val="20"/>
          <w:color w:val="auto"/>
        </w:rPr>
        <w:tab/>
      </w:r>
      <w:r>
        <w:rPr>
          <w:rFonts w:ascii="Arial" w:cs="Arial" w:eastAsia="Arial" w:hAnsi="Arial"/>
          <w:sz w:val="21"/>
          <w:szCs w:val="21"/>
          <w:b w:val="1"/>
          <w:bCs w:val="1"/>
          <w:color w:val="auto"/>
        </w:rPr>
        <w:t>FINANCIAL INSTRUMENTS AND FAIR VALUE MEASUREMENTS (Cont.)</w:t>
      </w:r>
    </w:p>
    <w:p>
      <w:pPr>
        <w:spacing w:after="0" w:line="287" w:lineRule="exact"/>
        <w:rPr>
          <w:sz w:val="20"/>
          <w:szCs w:val="20"/>
          <w:color w:val="auto"/>
        </w:rPr>
      </w:pPr>
    </w:p>
    <w:p>
      <w:pPr>
        <w:ind w:left="1900" w:hanging="595"/>
        <w:spacing w:after="0"/>
        <w:tabs>
          <w:tab w:leader="none" w:pos="190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Short-Term and Long-Term Deposits and Marketable Securities (Cont.)</w:t>
      </w:r>
    </w:p>
    <w:p>
      <w:pPr>
        <w:spacing w:after="0" w:line="293"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The following table summarizes amortized costs, gross unrealized gains and losses and estimated fair values of available-for-sale marketable securities as of December 31, 2018:</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1"/>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Estimated</w:t>
            </w:r>
          </w:p>
        </w:tc>
      </w:tr>
      <w:tr>
        <w:trPr>
          <w:trHeight w:val="237"/>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cost (*)</w:t>
            </w:r>
          </w:p>
        </w:tc>
        <w:tc>
          <w:tcPr>
            <w:tcW w:w="1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gains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losses</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fair value</w:t>
            </w: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111,639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109,639</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U.S government bonds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 government bonds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15,225</w:t>
            </w:r>
          </w:p>
        </w:tc>
      </w:tr>
      <w:tr>
        <w:trPr>
          <w:trHeight w:val="223"/>
        </w:trPr>
        <w:tc>
          <w:tcPr>
            <w:tcW w:w="5340" w:type="dxa"/>
            <w:vAlign w:val="bottom"/>
          </w:tcPr>
          <w:p>
            <w:pPr>
              <w:ind w:left="140"/>
              <w:spacing w:after="0"/>
              <w:rPr>
                <w:sz w:val="20"/>
                <w:szCs w:val="20"/>
                <w:color w:val="auto"/>
              </w:rPr>
            </w:pPr>
            <w:r>
              <w:rPr>
                <w:rFonts w:ascii="Arial" w:cs="Arial" w:eastAsia="Arial" w:hAnsi="Arial"/>
                <w:sz w:val="18"/>
                <w:szCs w:val="18"/>
                <w:color w:val="auto"/>
              </w:rPr>
              <w:t>Certificate of deposits</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r>
      <w:tr>
        <w:trPr>
          <w:trHeight w:val="257"/>
        </w:trPr>
        <w:tc>
          <w:tcPr>
            <w:tcW w:w="5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Excluding accrued interest of $623.</w:t>
      </w:r>
    </w:p>
    <w:p>
      <w:pPr>
        <w:spacing w:after="0" w:line="287" w:lineRule="exact"/>
        <w:rPr>
          <w:sz w:val="20"/>
          <w:szCs w:val="20"/>
          <w:color w:val="auto"/>
        </w:rPr>
      </w:pPr>
    </w:p>
    <w:p>
      <w:pPr>
        <w:jc w:val="both"/>
        <w:ind w:left="1880" w:right="20"/>
        <w:spacing w:after="0" w:line="276" w:lineRule="auto"/>
        <w:rPr>
          <w:sz w:val="20"/>
          <w:szCs w:val="20"/>
          <w:color w:val="auto"/>
        </w:rPr>
      </w:pPr>
      <w:r>
        <w:rPr>
          <w:rFonts w:ascii="Arial" w:cs="Arial" w:eastAsia="Arial" w:hAnsi="Arial"/>
          <w:sz w:val="22"/>
          <w:szCs w:val="22"/>
          <w:color w:val="auto"/>
        </w:rPr>
        <w:t>The scheduled maturities of available-for-sale marketable securities as of December 31, 2018, were as follows:</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Estimated</w:t>
            </w:r>
          </w:p>
        </w:tc>
      </w:tr>
      <w:tr>
        <w:trPr>
          <w:trHeight w:val="237"/>
        </w:trPr>
        <w:tc>
          <w:tcPr>
            <w:tcW w:w="7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fair value</w:t>
            </w:r>
          </w:p>
        </w:tc>
      </w:tr>
      <w:tr>
        <w:trPr>
          <w:trHeight w:val="216"/>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16,661</w:t>
            </w:r>
          </w:p>
        </w:tc>
        <w:tc>
          <w:tcPr>
            <w:tcW w:w="100" w:type="dxa"/>
            <w:vAlign w:val="bottom"/>
            <w:shd w:val="clear" w:color="auto" w:fill="CCEEFF"/>
          </w:tcPr>
          <w:p>
            <w:pPr>
              <w:spacing w:after="0"/>
              <w:rPr>
                <w:sz w:val="18"/>
                <w:szCs w:val="18"/>
                <w:color w:val="auto"/>
              </w:rPr>
            </w:pPr>
          </w:p>
        </w:tc>
      </w:tr>
      <w:tr>
        <w:trPr>
          <w:trHeight w:val="223"/>
        </w:trPr>
        <w:tc>
          <w:tcPr>
            <w:tcW w:w="7740" w:type="dxa"/>
            <w:vAlign w:val="bottom"/>
          </w:tcPr>
          <w:p>
            <w:pPr>
              <w:ind w:left="14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120,574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118,566</w:t>
            </w:r>
          </w:p>
        </w:tc>
      </w:tr>
      <w:tr>
        <w:trPr>
          <w:trHeight w:val="257"/>
        </w:trPr>
        <w:tc>
          <w:tcPr>
            <w:tcW w:w="7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Investments with continuous unrealized losses for less than twelve months and twelve months or more and their related fair values as of December 31, 2019 and December 31, 2018, were as indicated in the following tables: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color w:val="auto"/>
              </w:rPr>
              <w:t>December 31, 2019</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jc w:val="center"/>
              <w:ind w:right="240"/>
              <w:spacing w:after="0" w:line="201" w:lineRule="exact"/>
              <w:rPr>
                <w:sz w:val="20"/>
                <w:szCs w:val="20"/>
                <w:color w:val="auto"/>
              </w:rPr>
            </w:pPr>
            <w:r>
              <w:rPr>
                <w:rFonts w:ascii="Arial" w:cs="Arial" w:eastAsia="Arial" w:hAnsi="Arial"/>
                <w:sz w:val="18"/>
                <w:szCs w:val="18"/>
                <w:color w:val="auto"/>
                <w:w w:val="92"/>
              </w:rPr>
              <w:t>Investment with continuous</w:t>
            </w:r>
          </w:p>
        </w:tc>
        <w:tc>
          <w:tcPr>
            <w:tcW w:w="2380" w:type="dxa"/>
            <w:vAlign w:val="bottom"/>
            <w:gridSpan w:val="6"/>
          </w:tcPr>
          <w:p>
            <w:pPr>
              <w:jc w:val="center"/>
              <w:ind w:right="200"/>
              <w:spacing w:after="0" w:line="201" w:lineRule="exact"/>
              <w:rPr>
                <w:sz w:val="20"/>
                <w:szCs w:val="20"/>
                <w:color w:val="auto"/>
              </w:rPr>
            </w:pPr>
            <w:r>
              <w:rPr>
                <w:rFonts w:ascii="Arial" w:cs="Arial" w:eastAsia="Arial" w:hAnsi="Arial"/>
                <w:sz w:val="18"/>
                <w:szCs w:val="18"/>
                <w:color w:val="auto"/>
                <w:w w:val="91"/>
              </w:rPr>
              <w:t>Investments with continuous</w:t>
            </w:r>
          </w:p>
        </w:tc>
        <w:tc>
          <w:tcPr>
            <w:tcW w:w="200" w:type="dxa"/>
            <w:vAlign w:val="bottom"/>
          </w:tcPr>
          <w:p>
            <w:pPr>
              <w:spacing w:after="0"/>
              <w:rPr>
                <w:sz w:val="17"/>
                <w:szCs w:val="17"/>
                <w:color w:val="auto"/>
              </w:rPr>
            </w:pPr>
          </w:p>
        </w:tc>
        <w:tc>
          <w:tcPr>
            <w:tcW w:w="196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92"/>
              </w:rPr>
              <w:t>Total Investments with</w:t>
            </w:r>
          </w:p>
        </w:tc>
        <w:tc>
          <w:tcPr>
            <w:tcW w:w="100" w:type="dxa"/>
            <w:vAlign w:val="bottom"/>
          </w:tcPr>
          <w:p>
            <w:pPr>
              <w:spacing w:after="0"/>
              <w:rPr>
                <w:sz w:val="17"/>
                <w:szCs w:val="17"/>
                <w:color w:val="auto"/>
              </w:rPr>
            </w:pP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unrealized losses for less</w:t>
            </w:r>
          </w:p>
        </w:tc>
        <w:tc>
          <w:tcPr>
            <w:tcW w:w="80" w:type="dxa"/>
            <w:vAlign w:val="bottom"/>
          </w:tcPr>
          <w:p>
            <w:pPr>
              <w:spacing w:after="0"/>
              <w:rPr>
                <w:sz w:val="18"/>
                <w:szCs w:val="18"/>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unrealized losses for twelve</w:t>
            </w:r>
          </w:p>
        </w:tc>
        <w:tc>
          <w:tcPr>
            <w:tcW w:w="200" w:type="dxa"/>
            <w:vAlign w:val="bottom"/>
          </w:tcPr>
          <w:p>
            <w:pPr>
              <w:spacing w:after="0"/>
              <w:rPr>
                <w:sz w:val="18"/>
                <w:szCs w:val="18"/>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continuous unrealized</w:t>
            </w:r>
          </w:p>
        </w:tc>
      </w:tr>
      <w:tr>
        <w:trPr>
          <w:trHeight w:val="237"/>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than twelve months</w:t>
            </w:r>
          </w:p>
        </w:tc>
        <w:tc>
          <w:tcPr>
            <w:tcW w:w="80" w:type="dxa"/>
            <w:vAlign w:val="bottom"/>
          </w:tcPr>
          <w:p>
            <w:pPr>
              <w:spacing w:after="0"/>
              <w:rPr>
                <w:sz w:val="20"/>
                <w:szCs w:val="20"/>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months or greater</w:t>
            </w:r>
          </w:p>
        </w:tc>
        <w:tc>
          <w:tcPr>
            <w:tcW w:w="200" w:type="dxa"/>
            <w:vAlign w:val="bottom"/>
          </w:tcPr>
          <w:p>
            <w:pPr>
              <w:spacing w:after="0"/>
              <w:rPr>
                <w:sz w:val="20"/>
                <w:szCs w:val="20"/>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8"/>
                <w:szCs w:val="18"/>
                <w:color w:val="auto"/>
                <w:w w:val="82"/>
              </w:rPr>
              <w:t>losses</w:t>
            </w:r>
          </w:p>
        </w:tc>
      </w:tr>
      <w:tr>
        <w:trPr>
          <w:trHeight w:val="202"/>
        </w:trPr>
        <w:tc>
          <w:tcPr>
            <w:tcW w:w="29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6"/>
              </w:rPr>
              <w:t>Fair</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Unrealized</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160"/>
              <w:spacing w:after="0" w:line="201" w:lineRule="exact"/>
              <w:rPr>
                <w:sz w:val="20"/>
                <w:szCs w:val="20"/>
                <w:color w:val="auto"/>
              </w:rPr>
            </w:pPr>
            <w:r>
              <w:rPr>
                <w:rFonts w:ascii="Arial" w:cs="Arial" w:eastAsia="Arial" w:hAnsi="Arial"/>
                <w:sz w:val="18"/>
                <w:szCs w:val="18"/>
                <w:color w:val="auto"/>
                <w:w w:val="90"/>
              </w:rPr>
              <w:t>Fair</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r>
      <w:tr>
        <w:trPr>
          <w:trHeight w:val="237"/>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value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2"/>
              </w:rPr>
              <w:t>losses</w:t>
            </w:r>
          </w:p>
        </w:tc>
        <w:tc>
          <w:tcPr>
            <w:tcW w:w="8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value</w:t>
            </w:r>
          </w:p>
        </w:tc>
        <w:tc>
          <w:tcPr>
            <w:tcW w:w="14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losses</w:t>
            </w:r>
          </w:p>
        </w:tc>
        <w:tc>
          <w:tcPr>
            <w:tcW w:w="20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value</w:t>
            </w:r>
          </w:p>
        </w:tc>
        <w:tc>
          <w:tcPr>
            <w:tcW w:w="12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losses</w:t>
            </w:r>
          </w:p>
        </w:tc>
      </w:tr>
      <w:tr>
        <w:trPr>
          <w:trHeight w:val="216"/>
        </w:trPr>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23,022</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31,584</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Non-U.S government bonds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940" w:type="dxa"/>
            <w:vAlign w:val="bottom"/>
          </w:tcPr>
          <w:p>
            <w:pPr>
              <w:ind w:left="60"/>
              <w:spacing w:after="0"/>
              <w:rPr>
                <w:sz w:val="20"/>
                <w:szCs w:val="20"/>
                <w:color w:val="auto"/>
              </w:rPr>
            </w:pPr>
            <w:r>
              <w:rPr>
                <w:rFonts w:ascii="Arial" w:cs="Arial" w:eastAsia="Arial" w:hAnsi="Arial"/>
                <w:sz w:val="18"/>
                <w:szCs w:val="18"/>
                <w:color w:val="auto"/>
              </w:rPr>
              <w:t>Certificate of deposits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31,584</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12</w:t>
        <w:tab/>
        <w:t>-</w:t>
      </w:r>
      <w:r>
        <w:rPr>
          <w:sz w:val="20"/>
          <w:szCs w:val="20"/>
          <w:color w:val="auto"/>
        </w:rPr>
        <w:tab/>
      </w:r>
      <w:r>
        <w:rPr>
          <w:rFonts w:ascii="Arial" w:cs="Arial" w:eastAsia="Arial" w:hAnsi="Arial"/>
          <w:sz w:val="21"/>
          <w:szCs w:val="21"/>
          <w:b w:val="1"/>
          <w:bCs w:val="1"/>
          <w:color w:val="auto"/>
        </w:rPr>
        <w:t>FINANCIAL INSTRUMENTS AND FAIR VALUE MEASUREMENTS (Cont.)</w:t>
      </w:r>
    </w:p>
    <w:p>
      <w:pPr>
        <w:spacing w:after="0" w:line="287" w:lineRule="exact"/>
        <w:rPr>
          <w:sz w:val="20"/>
          <w:szCs w:val="20"/>
          <w:color w:val="auto"/>
        </w:rPr>
      </w:pPr>
    </w:p>
    <w:p>
      <w:pPr>
        <w:ind w:left="1900" w:hanging="595"/>
        <w:spacing w:after="0"/>
        <w:tabs>
          <w:tab w:leader="none" w:pos="190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Short-Term and Long-Term Deposits and Marketable Securities (Cont.)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color w:val="auto"/>
              </w:rPr>
              <w:t>December 31, 2018</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jc w:val="center"/>
              <w:ind w:right="240"/>
              <w:spacing w:after="0" w:line="201" w:lineRule="exact"/>
              <w:rPr>
                <w:sz w:val="20"/>
                <w:szCs w:val="20"/>
                <w:color w:val="auto"/>
              </w:rPr>
            </w:pPr>
            <w:r>
              <w:rPr>
                <w:rFonts w:ascii="Arial" w:cs="Arial" w:eastAsia="Arial" w:hAnsi="Arial"/>
                <w:sz w:val="18"/>
                <w:szCs w:val="18"/>
                <w:color w:val="auto"/>
                <w:w w:val="92"/>
              </w:rPr>
              <w:t>Investment with continuous</w:t>
            </w:r>
          </w:p>
        </w:tc>
        <w:tc>
          <w:tcPr>
            <w:tcW w:w="100" w:type="dxa"/>
            <w:vAlign w:val="bottom"/>
          </w:tcPr>
          <w:p>
            <w:pPr>
              <w:spacing w:after="0"/>
              <w:rPr>
                <w:sz w:val="17"/>
                <w:szCs w:val="17"/>
                <w:color w:val="auto"/>
              </w:rPr>
            </w:pPr>
          </w:p>
        </w:tc>
        <w:tc>
          <w:tcPr>
            <w:tcW w:w="2280" w:type="dxa"/>
            <w:vAlign w:val="bottom"/>
            <w:gridSpan w:val="5"/>
          </w:tcPr>
          <w:p>
            <w:pPr>
              <w:jc w:val="center"/>
              <w:ind w:right="160"/>
              <w:spacing w:after="0" w:line="201" w:lineRule="exact"/>
              <w:rPr>
                <w:sz w:val="20"/>
                <w:szCs w:val="20"/>
                <w:color w:val="auto"/>
              </w:rPr>
            </w:pPr>
            <w:r>
              <w:rPr>
                <w:rFonts w:ascii="Arial" w:cs="Arial" w:eastAsia="Arial" w:hAnsi="Arial"/>
                <w:sz w:val="18"/>
                <w:szCs w:val="18"/>
                <w:color w:val="auto"/>
                <w:w w:val="91"/>
              </w:rPr>
              <w:t>Investments with continuous</w:t>
            </w:r>
          </w:p>
        </w:tc>
        <w:tc>
          <w:tcPr>
            <w:tcW w:w="200" w:type="dxa"/>
            <w:vAlign w:val="bottom"/>
          </w:tcPr>
          <w:p>
            <w:pPr>
              <w:spacing w:after="0"/>
              <w:rPr>
                <w:sz w:val="17"/>
                <w:szCs w:val="17"/>
                <w:color w:val="auto"/>
              </w:rPr>
            </w:pPr>
          </w:p>
        </w:tc>
        <w:tc>
          <w:tcPr>
            <w:tcW w:w="196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92"/>
              </w:rPr>
              <w:t>Total Investments with</w:t>
            </w:r>
          </w:p>
        </w:tc>
        <w:tc>
          <w:tcPr>
            <w:tcW w:w="100" w:type="dxa"/>
            <w:vAlign w:val="bottom"/>
          </w:tcPr>
          <w:p>
            <w:pPr>
              <w:spacing w:after="0"/>
              <w:rPr>
                <w:sz w:val="17"/>
                <w:szCs w:val="17"/>
                <w:color w:val="auto"/>
              </w:rPr>
            </w:pP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unrealized losses for less</w:t>
            </w:r>
          </w:p>
        </w:tc>
        <w:tc>
          <w:tcPr>
            <w:tcW w:w="100" w:type="dxa"/>
            <w:vAlign w:val="bottom"/>
          </w:tcPr>
          <w:p>
            <w:pPr>
              <w:spacing w:after="0"/>
              <w:rPr>
                <w:sz w:val="18"/>
                <w:szCs w:val="18"/>
                <w:color w:val="auto"/>
              </w:rPr>
            </w:pPr>
          </w:p>
        </w:tc>
        <w:tc>
          <w:tcPr>
            <w:tcW w:w="228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unrealized losses for twelve</w:t>
            </w:r>
          </w:p>
        </w:tc>
        <w:tc>
          <w:tcPr>
            <w:tcW w:w="200" w:type="dxa"/>
            <w:vAlign w:val="bottom"/>
          </w:tcPr>
          <w:p>
            <w:pPr>
              <w:spacing w:after="0"/>
              <w:rPr>
                <w:sz w:val="18"/>
                <w:szCs w:val="18"/>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continuous unrealized</w:t>
            </w:r>
          </w:p>
        </w:tc>
      </w:tr>
      <w:tr>
        <w:trPr>
          <w:trHeight w:val="237"/>
        </w:trPr>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than twelve months</w:t>
            </w:r>
          </w:p>
        </w:tc>
        <w:tc>
          <w:tcPr>
            <w:tcW w:w="100" w:type="dxa"/>
            <w:vAlign w:val="bottom"/>
          </w:tcPr>
          <w:p>
            <w:pPr>
              <w:spacing w:after="0"/>
              <w:rPr>
                <w:sz w:val="20"/>
                <w:szCs w:val="20"/>
                <w:color w:val="auto"/>
              </w:rPr>
            </w:pPr>
          </w:p>
        </w:tc>
        <w:tc>
          <w:tcPr>
            <w:tcW w:w="228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months or greater</w:t>
            </w:r>
          </w:p>
        </w:tc>
        <w:tc>
          <w:tcPr>
            <w:tcW w:w="200" w:type="dxa"/>
            <w:vAlign w:val="bottom"/>
          </w:tcPr>
          <w:p>
            <w:pPr>
              <w:spacing w:after="0"/>
              <w:rPr>
                <w:sz w:val="20"/>
                <w:szCs w:val="20"/>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8"/>
                <w:szCs w:val="18"/>
                <w:color w:val="auto"/>
                <w:w w:val="82"/>
              </w:rPr>
              <w:t>losses</w:t>
            </w:r>
          </w:p>
        </w:tc>
      </w:tr>
      <w:tr>
        <w:trPr>
          <w:trHeight w:val="202"/>
        </w:trPr>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6"/>
              </w:rPr>
              <w:t>Fair</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500"/>
              <w:spacing w:after="0" w:line="201" w:lineRule="exact"/>
              <w:rPr>
                <w:sz w:val="20"/>
                <w:szCs w:val="20"/>
                <w:color w:val="auto"/>
              </w:rPr>
            </w:pPr>
            <w:r>
              <w:rPr>
                <w:rFonts w:ascii="Arial" w:cs="Arial" w:eastAsia="Arial" w:hAnsi="Arial"/>
                <w:sz w:val="18"/>
                <w:szCs w:val="18"/>
                <w:color w:val="auto"/>
              </w:rPr>
              <w:t>Fair</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0"/>
              </w:rPr>
              <w:t>Fair</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r>
      <w:tr>
        <w:trPr>
          <w:trHeight w:val="237"/>
        </w:trPr>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value</w:t>
            </w:r>
          </w:p>
        </w:tc>
        <w:tc>
          <w:tcPr>
            <w:tcW w:w="1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losses</w:t>
            </w:r>
          </w:p>
        </w:tc>
        <w:tc>
          <w:tcPr>
            <w:tcW w:w="20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value</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losses</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79,609</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99,325</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Non-U.S government bonds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1,460</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Certificate of deposits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57"/>
        </w:trPr>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81,309</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104,223</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76"/>
        </w:trPr>
        <w:tc>
          <w:tcPr>
            <w:tcW w:w="1060" w:type="dxa"/>
            <w:vAlign w:val="bottom"/>
          </w:tcPr>
          <w:p>
            <w:pPr>
              <w:spacing w:after="0"/>
              <w:rPr>
                <w:sz w:val="20"/>
                <w:szCs w:val="20"/>
                <w:color w:val="auto"/>
              </w:rPr>
            </w:pPr>
            <w:r>
              <w:rPr>
                <w:rFonts w:ascii="Arial" w:cs="Arial" w:eastAsia="Arial" w:hAnsi="Arial"/>
                <w:sz w:val="22"/>
                <w:szCs w:val="22"/>
                <w:b w:val="1"/>
                <w:bCs w:val="1"/>
                <w:color w:val="auto"/>
              </w:rPr>
              <w:t>NOTE 13</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4160" w:type="dxa"/>
            <w:vAlign w:val="bottom"/>
            <w:gridSpan w:val="4"/>
          </w:tcPr>
          <w:p>
            <w:pPr>
              <w:ind w:left="340"/>
              <w:spacing w:after="0"/>
              <w:rPr>
                <w:sz w:val="20"/>
                <w:szCs w:val="20"/>
                <w:color w:val="auto"/>
              </w:rPr>
            </w:pPr>
            <w:r>
              <w:rPr>
                <w:rFonts w:ascii="Arial" w:cs="Arial" w:eastAsia="Arial" w:hAnsi="Arial"/>
                <w:sz w:val="22"/>
                <w:szCs w:val="22"/>
                <w:b w:val="1"/>
                <w:bCs w:val="1"/>
                <w:color w:val="auto"/>
              </w:rPr>
              <w:t>EMPLOYEE RELATED LIABILITIES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55" w:lineRule="exact"/>
        <w:rPr>
          <w:sz w:val="20"/>
          <w:szCs w:val="20"/>
          <w:color w:val="auto"/>
        </w:rPr>
      </w:pPr>
    </w:p>
    <w:p>
      <w:pPr>
        <w:ind w:left="1880" w:hanging="575"/>
        <w:spacing w:after="0"/>
        <w:tabs>
          <w:tab w:leader="none" w:pos="18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Termination Benefits</w:t>
      </w:r>
    </w:p>
    <w:p>
      <w:pPr>
        <w:spacing w:after="0" w:line="290" w:lineRule="exact"/>
        <w:rPr>
          <w:sz w:val="20"/>
          <w:szCs w:val="20"/>
          <w:color w:val="auto"/>
        </w:rPr>
      </w:pPr>
    </w:p>
    <w:p>
      <w:pPr>
        <w:jc w:val="both"/>
        <w:ind w:left="1880"/>
        <w:spacing w:after="0" w:line="305" w:lineRule="auto"/>
        <w:rPr>
          <w:sz w:val="20"/>
          <w:szCs w:val="20"/>
          <w:color w:val="auto"/>
        </w:rPr>
      </w:pPr>
      <w:r>
        <w:rPr>
          <w:rFonts w:ascii="Arial" w:cs="Arial" w:eastAsia="Arial" w:hAnsi="Arial"/>
          <w:sz w:val="19"/>
          <w:szCs w:val="19"/>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on the balance sheets in long-term investments and employee related liabilities in the amounts of $9,314 and $11,638, respectively, as of December 31, 2019.</w:t>
      </w:r>
    </w:p>
    <w:p>
      <w:pPr>
        <w:spacing w:after="0" w:line="210" w:lineRule="exact"/>
        <w:rPr>
          <w:sz w:val="20"/>
          <w:szCs w:val="20"/>
          <w:color w:val="auto"/>
        </w:rPr>
      </w:pPr>
    </w:p>
    <w:p>
      <w:pPr>
        <w:jc w:val="both"/>
        <w:ind w:left="1880"/>
        <w:spacing w:after="0" w:line="273" w:lineRule="auto"/>
        <w:rPr>
          <w:sz w:val="20"/>
          <w:szCs w:val="20"/>
          <w:color w:val="auto"/>
        </w:rPr>
      </w:pPr>
      <w:r>
        <w:rPr>
          <w:rFonts w:ascii="Arial" w:cs="Arial" w:eastAsia="Arial" w:hAnsi="Arial"/>
          <w:sz w:val="21"/>
          <w:szCs w:val="21"/>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$5,597, $5,158 and $5,059 for 2019, 2018 and 2017, respectively.</w:t>
      </w:r>
    </w:p>
    <w:p>
      <w:pPr>
        <w:spacing w:after="0" w:line="238" w:lineRule="exact"/>
        <w:rPr>
          <w:sz w:val="20"/>
          <w:szCs w:val="20"/>
          <w:color w:val="auto"/>
        </w:rPr>
      </w:pPr>
    </w:p>
    <w:p>
      <w:pPr>
        <w:jc w:val="both"/>
        <w:ind w:left="1880"/>
        <w:spacing w:after="0" w:line="309" w:lineRule="auto"/>
        <w:rPr>
          <w:sz w:val="20"/>
          <w:szCs w:val="20"/>
          <w:color w:val="auto"/>
        </w:rPr>
      </w:pPr>
      <w:r>
        <w:rPr>
          <w:rFonts w:ascii="Arial" w:cs="Arial" w:eastAsia="Arial" w:hAnsi="Arial"/>
          <w:sz w:val="19"/>
          <w:szCs w:val="19"/>
          <w:color w:val="auto"/>
        </w:rPr>
        <w:t>TPSCo established a Defined Contribution Retirement Plan (the “DC Plan”) for its employees through which TPSCo contributes approximately 9% with employee average match of 1% from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2019, 2018 and 2017 amounted to $6,572, $6,700 and $6,706, respectively.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13</w:t>
        <w:tab/>
        <w:t>-</w:t>
      </w:r>
      <w:r>
        <w:rPr>
          <w:sz w:val="20"/>
          <w:szCs w:val="20"/>
          <w:color w:val="auto"/>
        </w:rPr>
        <w:tab/>
      </w:r>
      <w:r>
        <w:rPr>
          <w:rFonts w:ascii="Arial" w:cs="Arial" w:eastAsia="Arial" w:hAnsi="Arial"/>
          <w:sz w:val="22"/>
          <w:szCs w:val="22"/>
          <w:b w:val="1"/>
          <w:bCs w:val="1"/>
          <w:color w:val="auto"/>
        </w:rPr>
        <w:t>EMPLOYEE RELATED LIABILITIES (Cont.)</w:t>
      </w:r>
    </w:p>
    <w:p>
      <w:pPr>
        <w:spacing w:after="0" w:line="283" w:lineRule="exact"/>
        <w:rPr>
          <w:sz w:val="20"/>
          <w:szCs w:val="20"/>
          <w:color w:val="auto"/>
        </w:rPr>
      </w:pPr>
    </w:p>
    <w:p>
      <w:pPr>
        <w:ind w:left="1880" w:hanging="575"/>
        <w:spacing w:after="0"/>
        <w:tabs>
          <w:tab w:leader="none" w:pos="18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Jazz Employee Benefit Plans</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The following information provides the changes in 2019, 2018 and 2017 periodic expenses and benefit obligations due to the bargaining agreement signed between Jazz with its collective bargaining unit employees.</w:t>
      </w:r>
    </w:p>
    <w:p>
      <w:pPr>
        <w:spacing w:after="0" w:line="233"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Post-Retirement Medical Plan</w:t>
      </w:r>
    </w:p>
    <w:p>
      <w:pPr>
        <w:spacing w:after="0" w:line="293"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The components of the net periodic benefit cost and other amounts recognized in other comprehensive income for post-retirement medical plan expense are as follows:</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6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December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 (gain)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r>
      <w:tr>
        <w:trPr>
          <w:trHeight w:val="27"/>
        </w:trPr>
        <w:tc>
          <w:tcPr>
            <w:tcW w:w="65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Total net periodic benefit cost</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1"/>
        </w:trPr>
        <w:tc>
          <w:tcPr>
            <w:tcW w:w="6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changes in plan assets and benefits obligations recognized in other comprehensive</w:t>
            </w:r>
          </w:p>
        </w:tc>
        <w:tc>
          <w:tcPr>
            <w:tcW w:w="1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Prior service cost for the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loss (gain) for the period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gain (loss)</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27"/>
        </w:trPr>
        <w:tc>
          <w:tcPr>
            <w:tcW w:w="65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Total recognized in other comprehensive income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1"/>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Total recognized in net periodic benefit cost and other comprehensive income (loss)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7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w:t>
            </w: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Discount rate</w:t>
            </w:r>
          </w:p>
        </w:tc>
        <w:tc>
          <w:tcPr>
            <w:tcW w:w="1380" w:type="dxa"/>
            <w:vAlign w:val="bottom"/>
          </w:tcPr>
          <w:p>
            <w:pPr>
              <w:jc w:val="right"/>
              <w:spacing w:after="0"/>
              <w:rPr>
                <w:sz w:val="20"/>
                <w:szCs w:val="20"/>
                <w:color w:val="auto"/>
              </w:rPr>
            </w:pPr>
            <w:r>
              <w:rPr>
                <w:rFonts w:ascii="Arial" w:cs="Arial" w:eastAsia="Arial" w:hAnsi="Arial"/>
                <w:sz w:val="18"/>
                <w:szCs w:val="18"/>
                <w:color w:val="auto"/>
              </w:rPr>
              <w:t>4.50%</w:t>
            </w:r>
          </w:p>
        </w:tc>
        <w:tc>
          <w:tcPr>
            <w:tcW w:w="1280" w:type="dxa"/>
            <w:vAlign w:val="bottom"/>
          </w:tcPr>
          <w:p>
            <w:pPr>
              <w:jc w:val="right"/>
              <w:spacing w:after="0"/>
              <w:rPr>
                <w:sz w:val="20"/>
                <w:szCs w:val="20"/>
                <w:color w:val="auto"/>
              </w:rPr>
            </w:pPr>
            <w:r>
              <w:rPr>
                <w:rFonts w:ascii="Arial" w:cs="Arial" w:eastAsia="Arial" w:hAnsi="Arial"/>
                <w:sz w:val="18"/>
                <w:szCs w:val="18"/>
                <w:color w:val="auto"/>
              </w:rPr>
              <w:t>3.80%</w:t>
            </w:r>
          </w:p>
        </w:tc>
        <w:tc>
          <w:tcPr>
            <w:tcW w:w="124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cost trend rates:</w:t>
            </w: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2"/>
        </w:trPr>
        <w:tc>
          <w:tcPr>
            <w:tcW w:w="6140" w:type="dxa"/>
            <w:vAlign w:val="bottom"/>
          </w:tcPr>
          <w:p>
            <w:pPr>
              <w:spacing w:after="0" w:line="201" w:lineRule="exact"/>
              <w:rPr>
                <w:sz w:val="20"/>
                <w:szCs w:val="20"/>
                <w:color w:val="auto"/>
              </w:rPr>
            </w:pPr>
            <w:r>
              <w:rPr>
                <w:rFonts w:ascii="Arial" w:cs="Arial" w:eastAsia="Arial" w:hAnsi="Arial"/>
                <w:sz w:val="18"/>
                <w:szCs w:val="18"/>
                <w:color w:val="auto"/>
                <w:w w:val="97"/>
              </w:rPr>
              <w:t>Health care cost trend rate assumed for current year (Pre-65/Post-65 Medicare</w:t>
            </w:r>
          </w:p>
        </w:tc>
        <w:tc>
          <w:tcPr>
            <w:tcW w:w="1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Advantage)</w:t>
            </w:r>
          </w:p>
        </w:tc>
        <w:tc>
          <w:tcPr>
            <w:tcW w:w="1380" w:type="dxa"/>
            <w:vAlign w:val="bottom"/>
          </w:tcPr>
          <w:p>
            <w:pPr>
              <w:jc w:val="right"/>
              <w:spacing w:after="0"/>
              <w:rPr>
                <w:sz w:val="20"/>
                <w:szCs w:val="20"/>
                <w:color w:val="auto"/>
              </w:rPr>
            </w:pPr>
            <w:r>
              <w:rPr>
                <w:rFonts w:ascii="Arial" w:cs="Arial" w:eastAsia="Arial" w:hAnsi="Arial"/>
                <w:sz w:val="18"/>
                <w:szCs w:val="18"/>
                <w:color w:val="auto"/>
              </w:rPr>
              <w:t>6.90%/13.10%</w:t>
            </w:r>
          </w:p>
        </w:tc>
        <w:tc>
          <w:tcPr>
            <w:tcW w:w="1280" w:type="dxa"/>
            <w:vAlign w:val="bottom"/>
          </w:tcPr>
          <w:p>
            <w:pPr>
              <w:jc w:val="right"/>
              <w:spacing w:after="0"/>
              <w:rPr>
                <w:sz w:val="20"/>
                <w:szCs w:val="20"/>
                <w:color w:val="auto"/>
              </w:rPr>
            </w:pPr>
            <w:r>
              <w:rPr>
                <w:rFonts w:ascii="Arial" w:cs="Arial" w:eastAsia="Arial" w:hAnsi="Arial"/>
                <w:sz w:val="18"/>
                <w:szCs w:val="18"/>
                <w:color w:val="auto"/>
              </w:rPr>
              <w:t>8.30%/11.10%</w:t>
            </w:r>
          </w:p>
        </w:tc>
        <w:tc>
          <w:tcPr>
            <w:tcW w:w="1240" w:type="dxa"/>
            <w:vAlign w:val="bottom"/>
          </w:tcPr>
          <w:p>
            <w:pPr>
              <w:jc w:val="right"/>
              <w:spacing w:after="0"/>
              <w:rPr>
                <w:sz w:val="20"/>
                <w:szCs w:val="20"/>
                <w:color w:val="auto"/>
              </w:rPr>
            </w:pPr>
            <w:r>
              <w:rPr>
                <w:rFonts w:ascii="Arial" w:cs="Arial" w:eastAsia="Arial" w:hAnsi="Arial"/>
                <w:sz w:val="18"/>
                <w:szCs w:val="18"/>
                <w:color w:val="auto"/>
              </w:rPr>
              <w:t>7.20%/10.00%</w:t>
            </w:r>
          </w:p>
        </w:tc>
      </w:tr>
      <w:tr>
        <w:trPr>
          <w:trHeight w:val="202"/>
        </w:trPr>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Health care cost trend rate assumed for current year (Pre-65/Post-65 Non Medicare</w:t>
            </w:r>
          </w:p>
        </w:tc>
        <w:tc>
          <w:tcPr>
            <w:tcW w:w="1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Advantage)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6.90%/7.90%</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Ultimate rate (Pre-65/Post-65)</w:t>
            </w:r>
          </w:p>
        </w:tc>
        <w:tc>
          <w:tcPr>
            <w:tcW w:w="1380" w:type="dxa"/>
            <w:vAlign w:val="bottom"/>
          </w:tcPr>
          <w:p>
            <w:pPr>
              <w:jc w:val="right"/>
              <w:spacing w:after="0"/>
              <w:rPr>
                <w:sz w:val="20"/>
                <w:szCs w:val="20"/>
                <w:color w:val="auto"/>
              </w:rPr>
            </w:pPr>
            <w:r>
              <w:rPr>
                <w:rFonts w:ascii="Arial" w:cs="Arial" w:eastAsia="Arial" w:hAnsi="Arial"/>
                <w:sz w:val="18"/>
                <w:szCs w:val="18"/>
                <w:color w:val="auto"/>
              </w:rPr>
              <w:t>4.50%/4.50%</w:t>
            </w:r>
          </w:p>
        </w:tc>
        <w:tc>
          <w:tcPr>
            <w:tcW w:w="1280" w:type="dxa"/>
            <w:vAlign w:val="bottom"/>
          </w:tcPr>
          <w:p>
            <w:pPr>
              <w:jc w:val="right"/>
              <w:spacing w:after="0"/>
              <w:rPr>
                <w:sz w:val="20"/>
                <w:szCs w:val="20"/>
                <w:color w:val="auto"/>
              </w:rPr>
            </w:pPr>
            <w:r>
              <w:rPr>
                <w:rFonts w:ascii="Arial" w:cs="Arial" w:eastAsia="Arial" w:hAnsi="Arial"/>
                <w:sz w:val="18"/>
                <w:szCs w:val="18"/>
                <w:color w:val="auto"/>
              </w:rPr>
              <w:t>4.50%/4.50%</w:t>
            </w:r>
          </w:p>
        </w:tc>
        <w:tc>
          <w:tcPr>
            <w:tcW w:w="1240" w:type="dxa"/>
            <w:vAlign w:val="bottom"/>
          </w:tcPr>
          <w:p>
            <w:pPr>
              <w:jc w:val="right"/>
              <w:spacing w:after="0"/>
              <w:rPr>
                <w:sz w:val="20"/>
                <w:szCs w:val="20"/>
                <w:color w:val="auto"/>
              </w:rPr>
            </w:pPr>
            <w:r>
              <w:rPr>
                <w:rFonts w:ascii="Arial" w:cs="Arial" w:eastAsia="Arial" w:hAnsi="Arial"/>
                <w:sz w:val="18"/>
                <w:szCs w:val="18"/>
                <w:color w:val="auto"/>
              </w:rPr>
              <w:t>4.50%/4.50%</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Year the ultimate rate is reached (Pre-65/Post-65)</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2029/2029</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2027/2027</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2025/2025</w:t>
            </w:r>
          </w:p>
        </w:tc>
      </w:tr>
      <w:tr>
        <w:trPr>
          <w:trHeight w:val="202"/>
        </w:trPr>
        <w:tc>
          <w:tcPr>
            <w:tcW w:w="6140" w:type="dxa"/>
            <w:vAlign w:val="bottom"/>
          </w:tcPr>
          <w:p>
            <w:pPr>
              <w:spacing w:after="0"/>
              <w:rPr>
                <w:sz w:val="17"/>
                <w:szCs w:val="17"/>
                <w:color w:val="auto"/>
              </w:rPr>
            </w:pPr>
          </w:p>
        </w:tc>
        <w:tc>
          <w:tcPr>
            <w:tcW w:w="13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December 31,</w:t>
            </w:r>
          </w:p>
        </w:tc>
        <w:tc>
          <w:tcPr>
            <w:tcW w:w="12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3"/>
              </w:rPr>
              <w:t>December 31,</w:t>
            </w:r>
          </w:p>
        </w:tc>
        <w:tc>
          <w:tcPr>
            <w:tcW w:w="124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1"/>
              </w:rPr>
              <w:t>December 31,</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Measurement date</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2017</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13</w:t>
        <w:tab/>
        <w:t>-</w:t>
      </w:r>
      <w:r>
        <w:rPr>
          <w:sz w:val="20"/>
          <w:szCs w:val="20"/>
          <w:color w:val="auto"/>
        </w:rPr>
        <w:tab/>
      </w:r>
      <w:r>
        <w:rPr>
          <w:rFonts w:ascii="Arial" w:cs="Arial" w:eastAsia="Arial" w:hAnsi="Arial"/>
          <w:sz w:val="22"/>
          <w:szCs w:val="22"/>
          <w:b w:val="1"/>
          <w:bCs w:val="1"/>
          <w:color w:val="auto"/>
        </w:rPr>
        <w:t>EMPLOYEE RELATED LIABILITIES (Cont.)</w:t>
      </w:r>
    </w:p>
    <w:p>
      <w:pPr>
        <w:spacing w:after="0" w:line="283" w:lineRule="exact"/>
        <w:rPr>
          <w:sz w:val="20"/>
          <w:szCs w:val="20"/>
          <w:color w:val="auto"/>
        </w:rPr>
      </w:pPr>
    </w:p>
    <w:p>
      <w:pPr>
        <w:ind w:left="1880" w:hanging="575"/>
        <w:spacing w:after="0"/>
        <w:tabs>
          <w:tab w:leader="none" w:pos="18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Jazz Employee Benefit Plans (Cont.)</w:t>
      </w:r>
    </w:p>
    <w:p>
      <w:pPr>
        <w:spacing w:after="0" w:line="284"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Post-Retirement Medical Plan (Cont.)</w:t>
      </w:r>
    </w:p>
    <w:p>
      <w:pPr>
        <w:spacing w:after="0" w:line="287"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Impact of one</w:t>
      </w:r>
      <w:r>
        <w:rPr>
          <w:rFonts w:ascii="Arial" w:cs="Arial" w:eastAsia="Arial" w:hAnsi="Arial"/>
          <w:sz w:val="19"/>
          <w:szCs w:val="19"/>
          <w:b w:val="1"/>
          <w:bCs w:val="1"/>
          <w:color w:val="auto"/>
        </w:rPr>
        <w:t>-</w:t>
      </w:r>
      <w:r>
        <w:rPr>
          <w:rFonts w:ascii="Arial" w:cs="Arial" w:eastAsia="Arial" w:hAnsi="Arial"/>
          <w:sz w:val="19"/>
          <w:szCs w:val="19"/>
          <w:color w:val="auto"/>
        </w:rPr>
        <w:t>percentage point change in assumed health care cost trend rates as of December 31, 2019:</w:t>
      </w:r>
    </w:p>
    <w:p>
      <w:pPr>
        <w:spacing w:after="0" w:line="321"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5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Increase</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Decrease</w:t>
            </w:r>
          </w:p>
        </w:tc>
        <w:tc>
          <w:tcPr>
            <w:tcW w:w="10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Effect on service cost and interest cost</w:t>
            </w:r>
          </w:p>
        </w:tc>
        <w:tc>
          <w:tcPr>
            <w:tcW w:w="2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31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bl>
    <w:p>
      <w:pPr>
        <w:spacing w:after="0" w:line="248" w:lineRule="exact"/>
        <w:rPr>
          <w:sz w:val="20"/>
          <w:szCs w:val="20"/>
          <w:color w:val="auto"/>
        </w:rPr>
      </w:pPr>
    </w:p>
    <w:p>
      <w:pPr>
        <w:ind w:left="1880"/>
        <w:spacing w:after="0" w:line="276" w:lineRule="auto"/>
        <w:rPr>
          <w:sz w:val="20"/>
          <w:szCs w:val="20"/>
          <w:color w:val="auto"/>
        </w:rPr>
      </w:pPr>
      <w:r>
        <w:rPr>
          <w:rFonts w:ascii="Arial" w:cs="Arial" w:eastAsia="Arial" w:hAnsi="Arial"/>
          <w:sz w:val="22"/>
          <w:szCs w:val="22"/>
          <w:color w:val="auto"/>
        </w:rPr>
        <w:t>The components of the change in benefit obligation, change in plan assets and funded status for post-retirement medical plan are as follows:</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2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December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9"/>
                <w:szCs w:val="19"/>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medical plan related benefit obligation: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4"/>
              </w:rPr>
              <w:t>Medical plan related benefit</w:t>
            </w:r>
          </w:p>
        </w:tc>
        <w:tc>
          <w:tcPr>
            <w:tcW w:w="4440" w:type="dxa"/>
            <w:vAlign w:val="bottom"/>
          </w:tcPr>
          <w:p>
            <w:pPr>
              <w:ind w:left="20"/>
              <w:spacing w:after="0"/>
              <w:rPr>
                <w:sz w:val="20"/>
                <w:szCs w:val="20"/>
                <w:color w:val="auto"/>
              </w:rPr>
            </w:pPr>
            <w:r>
              <w:rPr>
                <w:rFonts w:ascii="Arial" w:cs="Arial" w:eastAsia="Arial" w:hAnsi="Arial"/>
                <w:sz w:val="18"/>
                <w:szCs w:val="18"/>
                <w:color w:val="auto"/>
              </w:rPr>
              <w:t>obligation at beginning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1,628</w:t>
            </w:r>
          </w:p>
        </w:tc>
        <w:tc>
          <w:tcPr>
            <w:tcW w:w="14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1,936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Interest cost</w:t>
            </w: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Change in medical plan provisions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7"/>
        </w:trPr>
        <w:tc>
          <w:tcPr>
            <w:tcW w:w="210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100" w:type="dxa"/>
            <w:vAlign w:val="bottom"/>
          </w:tcPr>
          <w:p>
            <w:pPr>
              <w:spacing w:after="0"/>
              <w:rPr>
                <w:sz w:val="20"/>
                <w:szCs w:val="20"/>
                <w:color w:val="auto"/>
              </w:rPr>
            </w:pPr>
            <w:r>
              <w:rPr>
                <w:rFonts w:ascii="Arial" w:cs="Arial" w:eastAsia="Arial" w:hAnsi="Arial"/>
                <w:sz w:val="18"/>
                <w:szCs w:val="18"/>
                <w:color w:val="auto"/>
                <w:w w:val="93"/>
              </w:rPr>
              <w:t>Benefit medical plan related</w:t>
            </w:r>
          </w:p>
        </w:tc>
        <w:tc>
          <w:tcPr>
            <w:tcW w:w="4440" w:type="dxa"/>
            <w:vAlign w:val="bottom"/>
          </w:tcPr>
          <w:p>
            <w:pPr>
              <w:ind w:left="80"/>
              <w:spacing w:after="0"/>
              <w:rPr>
                <w:sz w:val="20"/>
                <w:szCs w:val="20"/>
                <w:color w:val="auto"/>
              </w:rPr>
            </w:pPr>
            <w:r>
              <w:rPr>
                <w:rFonts w:ascii="Arial" w:cs="Arial" w:eastAsia="Arial" w:hAnsi="Arial"/>
                <w:sz w:val="18"/>
                <w:szCs w:val="18"/>
                <w:color w:val="auto"/>
              </w:rPr>
              <w:t>obligation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1,628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4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Fair value of plan assets at beginning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3"/>
        </w:trPr>
        <w:tc>
          <w:tcPr>
            <w:tcW w:w="2100" w:type="dxa"/>
            <w:vAlign w:val="bottom"/>
          </w:tcPr>
          <w:p>
            <w:pPr>
              <w:spacing w:after="0"/>
              <w:rPr>
                <w:sz w:val="20"/>
                <w:szCs w:val="20"/>
                <w:color w:val="auto"/>
              </w:rPr>
            </w:pPr>
            <w:r>
              <w:rPr>
                <w:rFonts w:ascii="Arial" w:cs="Arial" w:eastAsia="Arial" w:hAnsi="Arial"/>
                <w:sz w:val="18"/>
                <w:szCs w:val="18"/>
                <w:color w:val="auto"/>
              </w:rPr>
              <w:t>Benefits paid</w:t>
            </w:r>
          </w:p>
        </w:tc>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57"/>
        </w:trPr>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at end of period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540" w:type="dxa"/>
            <w:vAlign w:val="bottom"/>
            <w:gridSpan w:val="2"/>
          </w:tcPr>
          <w:p>
            <w:pPr>
              <w:spacing w:after="0"/>
              <w:rPr>
                <w:sz w:val="20"/>
                <w:szCs w:val="20"/>
                <w:color w:val="auto"/>
              </w:rPr>
            </w:pPr>
            <w:r>
              <w:rPr>
                <w:rFonts w:ascii="Arial" w:cs="Arial" w:eastAsia="Arial" w:hAnsi="Arial"/>
                <w:sz w:val="18"/>
                <w:szCs w:val="18"/>
                <w:color w:val="auto"/>
              </w:rPr>
              <w:t>Medical plan related net funding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(1,689)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(1,628)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(1,936)</w:t>
            </w:r>
          </w:p>
        </w:tc>
      </w:tr>
      <w:tr>
        <w:trPr>
          <w:trHeight w:val="21"/>
        </w:trPr>
        <w:tc>
          <w:tcPr>
            <w:tcW w:w="2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60" w:type="dxa"/>
            <w:vAlign w:val="bottom"/>
          </w:tcPr>
          <w:p>
            <w:pPr>
              <w:spacing w:after="0"/>
              <w:rPr>
                <w:sz w:val="20"/>
                <w:szCs w:val="20"/>
                <w:color w:val="auto"/>
              </w:rPr>
            </w:pPr>
            <w:r>
              <w:rPr>
                <w:rFonts w:ascii="Arial" w:cs="Arial" w:eastAsia="Arial" w:hAnsi="Arial"/>
                <w:sz w:val="22"/>
                <w:szCs w:val="22"/>
                <w:b w:val="1"/>
                <w:bCs w:val="1"/>
                <w:color w:val="auto"/>
              </w:rPr>
              <w:t>NOTE 13</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auto"/>
              </w:rPr>
              <w:t>-</w:t>
            </w:r>
          </w:p>
        </w:tc>
        <w:tc>
          <w:tcPr>
            <w:tcW w:w="240" w:type="dxa"/>
            <w:vAlign w:val="bottom"/>
          </w:tcPr>
          <w:p>
            <w:pPr>
              <w:spacing w:after="0"/>
              <w:rPr>
                <w:sz w:val="24"/>
                <w:szCs w:val="24"/>
                <w:color w:val="auto"/>
              </w:rPr>
            </w:pPr>
          </w:p>
        </w:tc>
        <w:tc>
          <w:tcPr>
            <w:tcW w:w="6040" w:type="dxa"/>
            <w:vAlign w:val="bottom"/>
          </w:tcPr>
          <w:p>
            <w:pPr>
              <w:ind w:left="100"/>
              <w:spacing w:after="0"/>
              <w:rPr>
                <w:sz w:val="20"/>
                <w:szCs w:val="20"/>
                <w:color w:val="auto"/>
              </w:rPr>
            </w:pPr>
            <w:r>
              <w:rPr>
                <w:rFonts w:ascii="Arial" w:cs="Arial" w:eastAsia="Arial" w:hAnsi="Arial"/>
                <w:sz w:val="22"/>
                <w:szCs w:val="22"/>
                <w:b w:val="1"/>
                <w:bCs w:val="1"/>
                <w:color w:val="auto"/>
              </w:rPr>
              <w:t>EMPLOYEE RELATED LIABILITIES (Cont.)</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0"/>
        </w:trPr>
        <w:tc>
          <w:tcPr>
            <w:tcW w:w="1060" w:type="dxa"/>
            <w:vAlign w:val="bottom"/>
          </w:tcPr>
          <w:p>
            <w:pPr>
              <w:spacing w:after="0"/>
              <w:rPr>
                <w:sz w:val="24"/>
                <w:szCs w:val="24"/>
                <w:color w:val="auto"/>
              </w:rPr>
            </w:pPr>
          </w:p>
        </w:tc>
        <w:tc>
          <w:tcPr>
            <w:tcW w:w="560" w:type="dxa"/>
            <w:vAlign w:val="bottom"/>
            <w:gridSpan w:val="2"/>
          </w:tcPr>
          <w:p>
            <w:pPr>
              <w:ind w:left="240"/>
              <w:spacing w:after="0"/>
              <w:rPr>
                <w:sz w:val="20"/>
                <w:szCs w:val="20"/>
                <w:color w:val="auto"/>
              </w:rPr>
            </w:pPr>
            <w:r>
              <w:rPr>
                <w:rFonts w:ascii="Arial" w:cs="Arial" w:eastAsia="Arial" w:hAnsi="Arial"/>
                <w:sz w:val="22"/>
                <w:szCs w:val="22"/>
                <w:b w:val="1"/>
                <w:bCs w:val="1"/>
                <w:color w:val="auto"/>
              </w:rPr>
              <w:t>B.</w:t>
            </w:r>
          </w:p>
        </w:tc>
        <w:tc>
          <w:tcPr>
            <w:tcW w:w="6040" w:type="dxa"/>
            <w:vAlign w:val="bottom"/>
          </w:tcPr>
          <w:p>
            <w:pPr>
              <w:ind w:left="420"/>
              <w:spacing w:after="0"/>
              <w:rPr>
                <w:sz w:val="20"/>
                <w:szCs w:val="20"/>
                <w:color w:val="auto"/>
              </w:rPr>
            </w:pPr>
            <w:r>
              <w:rPr>
                <w:rFonts w:ascii="Arial" w:cs="Arial" w:eastAsia="Arial" w:hAnsi="Arial"/>
                <w:sz w:val="22"/>
                <w:szCs w:val="22"/>
                <w:b w:val="1"/>
                <w:bCs w:val="1"/>
                <w:color w:val="auto"/>
              </w:rPr>
              <w:t>Jazz Employee Benefit Plans (Cont.)</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0"/>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tcPr>
          <w:p>
            <w:pPr>
              <w:ind w:left="260"/>
              <w:spacing w:after="0"/>
              <w:rPr>
                <w:sz w:val="20"/>
                <w:szCs w:val="20"/>
                <w:color w:val="auto"/>
              </w:rPr>
            </w:pPr>
            <w:r>
              <w:rPr>
                <w:rFonts w:ascii="Arial" w:cs="Arial" w:eastAsia="Arial" w:hAnsi="Arial"/>
                <w:sz w:val="22"/>
                <w:szCs w:val="22"/>
                <w:b w:val="1"/>
                <w:bCs w:val="1"/>
                <w:color w:val="auto"/>
              </w:rPr>
              <w:t>Post-Retirement Medical Plan (Cont.)</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97"/>
        </w:trPr>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0"/>
              </w:rPr>
              <w:t>As of December 31,</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recognized in statement of financial position: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r>
      <w:tr>
        <w:trPr>
          <w:trHeight w:val="27"/>
        </w:trPr>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(1,689)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(1,936)</w:t>
            </w:r>
          </w:p>
        </w:tc>
      </w:tr>
      <w:tr>
        <w:trPr>
          <w:trHeight w:val="21"/>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Weighted average assumptions used: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increases</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Assumed health care cost trend rates: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Health care cost trend rate assumed for next year (pre 65/ post 65 Medicare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Advantage)</w:t>
            </w:r>
          </w:p>
        </w:tc>
        <w:tc>
          <w:tcPr>
            <w:tcW w:w="10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2"/>
              </w:rPr>
              <w:t>6.20%/(5.00)%</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6.90%/13.10%</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8.30%/11.10%</w:t>
            </w:r>
          </w:p>
        </w:tc>
      </w:tr>
      <w:tr>
        <w:trPr>
          <w:trHeight w:val="202"/>
        </w:trPr>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80" w:type="dxa"/>
            <w:vAlign w:val="bottom"/>
            <w:gridSpan w:val="2"/>
          </w:tcPr>
          <w:p>
            <w:pPr>
              <w:spacing w:after="0" w:line="201" w:lineRule="exact"/>
              <w:rPr>
                <w:sz w:val="20"/>
                <w:szCs w:val="20"/>
                <w:color w:val="auto"/>
              </w:rPr>
            </w:pPr>
            <w:r>
              <w:rPr>
                <w:rFonts w:ascii="Arial" w:cs="Arial" w:eastAsia="Arial" w:hAnsi="Arial"/>
                <w:sz w:val="18"/>
                <w:szCs w:val="18"/>
                <w:color w:val="auto"/>
                <w:w w:val="97"/>
              </w:rPr>
              <w:t>Health care cost trend rate assumed for next year (pre 65/ post 65 Non Medicare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Advantage)</w:t>
            </w:r>
          </w:p>
        </w:tc>
        <w:tc>
          <w:tcPr>
            <w:tcW w:w="100" w:type="dxa"/>
            <w:vAlign w:val="bottom"/>
          </w:tcPr>
          <w:p>
            <w:pPr>
              <w:spacing w:after="0"/>
              <w:rPr>
                <w:sz w:val="20"/>
                <w:szCs w:val="20"/>
                <w:color w:val="auto"/>
              </w:rPr>
            </w:pPr>
          </w:p>
        </w:tc>
        <w:tc>
          <w:tcPr>
            <w:tcW w:w="120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6.20%/6.10%</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6.90%/7.90%</w:t>
            </w: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8.30%/11.10%</w:t>
            </w:r>
          </w:p>
        </w:tc>
      </w:tr>
      <w:tr>
        <w:trPr>
          <w:trHeight w:val="216"/>
        </w:trPr>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Ultimate rate (pre 65/ post 65)</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1"/>
              </w:rPr>
              <w:t>4.50%/4.50%</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4.50%/4.50%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4.50%/4.50%</w:t>
            </w:r>
          </w:p>
        </w:tc>
      </w:tr>
      <w:tr>
        <w:trPr>
          <w:trHeight w:val="230"/>
        </w:trPr>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Year the ultimate rate is reached (pre 65/ post 65)</w:t>
            </w:r>
          </w:p>
        </w:tc>
        <w:tc>
          <w:tcPr>
            <w:tcW w:w="100" w:type="dxa"/>
            <w:vAlign w:val="bottom"/>
          </w:tcPr>
          <w:p>
            <w:pPr>
              <w:spacing w:after="0"/>
              <w:rPr>
                <w:sz w:val="20"/>
                <w:szCs w:val="20"/>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2029/2029</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2029/2029</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2027/2027</w:t>
            </w:r>
          </w:p>
        </w:tc>
      </w:tr>
    </w:tbl>
    <w:p>
      <w:pPr>
        <w:spacing w:after="0" w:line="248"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The following benefit payments are expected to be paid in each of the next five fiscal years and in the aggregate for the five fiscal years thereafter:</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884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Other</w:t>
            </w:r>
          </w:p>
        </w:tc>
      </w:tr>
      <w:tr>
        <w:trPr>
          <w:trHeight w:val="237"/>
        </w:trPr>
        <w:tc>
          <w:tcPr>
            <w:tcW w:w="8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Benefits</w:t>
            </w:r>
          </w:p>
        </w:tc>
      </w:tr>
      <w:tr>
        <w:trPr>
          <w:trHeight w:val="216"/>
        </w:trPr>
        <w:tc>
          <w:tcPr>
            <w:tcW w:w="8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2025-2029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r>
    </w:tbl>
    <w:p>
      <w:pPr>
        <w:spacing w:after="0" w:line="242"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Jazz Pension Plan</w:t>
      </w:r>
    </w:p>
    <w:p>
      <w:pPr>
        <w:spacing w:after="0" w:line="293" w:lineRule="exact"/>
        <w:rPr>
          <w:sz w:val="20"/>
          <w:szCs w:val="20"/>
          <w:color w:val="auto"/>
        </w:rPr>
      </w:pPr>
    </w:p>
    <w:p>
      <w:pPr>
        <w:jc w:val="both"/>
        <w:ind w:left="1880"/>
        <w:spacing w:after="0" w:line="263" w:lineRule="auto"/>
        <w:rPr>
          <w:sz w:val="20"/>
          <w:szCs w:val="20"/>
          <w:color w:val="auto"/>
        </w:rPr>
      </w:pPr>
      <w:r>
        <w:rPr>
          <w:rFonts w:ascii="Arial" w:cs="Arial" w:eastAsia="Arial" w:hAnsi="Arial"/>
          <w:sz w:val="22"/>
          <w:szCs w:val="22"/>
          <w:color w:val="auto"/>
        </w:rPr>
        <w:t>Jazz has a pension plan that provides for monthly pension payments to eligible employees upon retirement. The pension benefits are based on years of service and specified benefit amounts. Jazz uses a December 31 measurement date. Jazz’s funding policy is to make contributions that satisfy at least the minimum required contribution for IRS qualified plans.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13</w:t>
        <w:tab/>
        <w:t>-</w:t>
      </w:r>
      <w:r>
        <w:rPr>
          <w:sz w:val="20"/>
          <w:szCs w:val="20"/>
          <w:color w:val="auto"/>
        </w:rPr>
        <w:tab/>
      </w:r>
      <w:r>
        <w:rPr>
          <w:rFonts w:ascii="Arial" w:cs="Arial" w:eastAsia="Arial" w:hAnsi="Arial"/>
          <w:sz w:val="22"/>
          <w:szCs w:val="22"/>
          <w:b w:val="1"/>
          <w:bCs w:val="1"/>
          <w:color w:val="auto"/>
        </w:rPr>
        <w:t>EMPLOYEE RELATED LIABILITIES (Cont.)</w:t>
      </w:r>
    </w:p>
    <w:p>
      <w:pPr>
        <w:spacing w:after="0" w:line="283" w:lineRule="exact"/>
        <w:rPr>
          <w:sz w:val="20"/>
          <w:szCs w:val="20"/>
          <w:color w:val="auto"/>
        </w:rPr>
      </w:pPr>
    </w:p>
    <w:p>
      <w:pPr>
        <w:ind w:left="1880" w:hanging="575"/>
        <w:spacing w:after="0"/>
        <w:tabs>
          <w:tab w:leader="none" w:pos="18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Jazz Employee Benefit Plans (Cont.)</w:t>
      </w:r>
    </w:p>
    <w:p>
      <w:pPr>
        <w:spacing w:after="0" w:line="284"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Jazz Pension Plan (Cont.)</w:t>
      </w:r>
    </w:p>
    <w:p>
      <w:pPr>
        <w:spacing w:after="0" w:line="293" w:lineRule="exact"/>
        <w:rPr>
          <w:sz w:val="20"/>
          <w:szCs w:val="20"/>
          <w:color w:val="auto"/>
        </w:rPr>
      </w:pPr>
    </w:p>
    <w:p>
      <w:pPr>
        <w:ind w:left="1880" w:right="20"/>
        <w:spacing w:after="0" w:line="276" w:lineRule="auto"/>
        <w:rPr>
          <w:sz w:val="20"/>
          <w:szCs w:val="20"/>
          <w:color w:val="auto"/>
        </w:rPr>
      </w:pPr>
      <w:r>
        <w:rPr>
          <w:rFonts w:ascii="Arial" w:cs="Arial" w:eastAsia="Arial" w:hAnsi="Arial"/>
          <w:sz w:val="22"/>
          <w:szCs w:val="22"/>
          <w:color w:val="auto"/>
        </w:rPr>
        <w:t>The components of the change in benefit obligation, the change in plan assets and funded status for Jazz’s pension plan are as follows:</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6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December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2017</w:t>
            </w:r>
          </w:p>
        </w:tc>
        <w:tc>
          <w:tcPr>
            <w:tcW w:w="16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Interest cost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817</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749</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831</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Expected Administrative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Amortization of net loss (gain)</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r>
      <w:tr>
        <w:trPr>
          <w:trHeight w:val="257"/>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7640" w:type="dxa"/>
            <w:vAlign w:val="bottom"/>
            <w:gridSpan w:val="5"/>
          </w:tcPr>
          <w:p>
            <w:pPr>
              <w:spacing w:after="0"/>
              <w:rPr>
                <w:sz w:val="20"/>
                <w:szCs w:val="20"/>
                <w:color w:val="auto"/>
              </w:rPr>
            </w:pPr>
            <w:r>
              <w:rPr>
                <w:rFonts w:ascii="Arial" w:cs="Arial" w:eastAsia="Arial" w:hAnsi="Arial"/>
                <w:sz w:val="18"/>
                <w:szCs w:val="18"/>
                <w:color w:val="auto"/>
                <w:w w:val="97"/>
              </w:rPr>
              <w:t>Other changes in plan assets and benefits obligations recognized in other comprehensive income: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for the period</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loss (gain) for the period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Amortization of net gain (loss)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57"/>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w w:val="92"/>
              </w:rPr>
              <w:t>Total recognized in net periodic benefit cost and other comprehensive income (loss)</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(909)</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r>
      <w:tr>
        <w:trPr>
          <w:trHeight w:val="21"/>
        </w:trPr>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Discount rate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241"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65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89"/>
              </w:rPr>
              <w:t>Year ended December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1"/>
              </w:rPr>
              <w:t>Estimated amounts that will be amortized from accumulated other comprehensive income</w:t>
            </w:r>
          </w:p>
        </w:tc>
        <w:tc>
          <w:tcPr>
            <w:tcW w:w="2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 the next fiscal year ending :</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Prior service cost</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13</w:t>
        <w:tab/>
        <w:t>-</w:t>
      </w:r>
      <w:r>
        <w:rPr>
          <w:sz w:val="20"/>
          <w:szCs w:val="20"/>
          <w:color w:val="auto"/>
        </w:rPr>
        <w:tab/>
      </w:r>
      <w:r>
        <w:rPr>
          <w:rFonts w:ascii="Arial" w:cs="Arial" w:eastAsia="Arial" w:hAnsi="Arial"/>
          <w:sz w:val="22"/>
          <w:szCs w:val="22"/>
          <w:b w:val="1"/>
          <w:bCs w:val="1"/>
          <w:color w:val="auto"/>
        </w:rPr>
        <w:t>EMPLOYEE RELATED LIABILITIES (Cont.)</w:t>
      </w:r>
    </w:p>
    <w:p>
      <w:pPr>
        <w:spacing w:after="0" w:line="283" w:lineRule="exact"/>
        <w:rPr>
          <w:sz w:val="20"/>
          <w:szCs w:val="20"/>
          <w:color w:val="auto"/>
        </w:rPr>
      </w:pPr>
    </w:p>
    <w:p>
      <w:pPr>
        <w:ind w:left="1880" w:hanging="575"/>
        <w:spacing w:after="0"/>
        <w:tabs>
          <w:tab w:leader="none" w:pos="18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Jazz Employee Benefit Plans (Cont.)</w:t>
      </w:r>
    </w:p>
    <w:p>
      <w:pPr>
        <w:spacing w:after="0" w:line="284"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Jazz Pension Plan (Cont.)</w:t>
      </w:r>
    </w:p>
    <w:p>
      <w:pPr>
        <w:spacing w:after="0" w:line="293" w:lineRule="exact"/>
        <w:rPr>
          <w:sz w:val="20"/>
          <w:szCs w:val="20"/>
          <w:color w:val="auto"/>
        </w:rPr>
      </w:pPr>
    </w:p>
    <w:p>
      <w:pPr>
        <w:ind w:left="1880"/>
        <w:spacing w:after="0" w:line="276" w:lineRule="auto"/>
        <w:rPr>
          <w:sz w:val="20"/>
          <w:szCs w:val="20"/>
          <w:color w:val="auto"/>
        </w:rPr>
      </w:pPr>
      <w:r>
        <w:rPr>
          <w:rFonts w:ascii="Arial" w:cs="Arial" w:eastAsia="Arial" w:hAnsi="Arial"/>
          <w:sz w:val="22"/>
          <w:szCs w:val="22"/>
          <w:color w:val="auto"/>
        </w:rPr>
        <w:t>The components of the change in benefit obligation, change in plan assets and funded status for Jazz’s pension plan are as follows:</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6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December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Benefit obligation at beginning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18,979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20,629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19,672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provisions</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Actuarial loss (gain)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(1,792)</w:t>
            </w: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r>
      <w:tr>
        <w:trPr>
          <w:trHeight w:val="25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period</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18,979</w:t>
            </w:r>
          </w:p>
        </w:tc>
        <w:tc>
          <w:tcPr>
            <w:tcW w:w="18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20,629</w:t>
            </w:r>
          </w:p>
        </w:tc>
        <w:tc>
          <w:tcPr>
            <w:tcW w:w="100" w:type="dxa"/>
            <w:vAlign w:val="bottom"/>
            <w:shd w:val="clear" w:color="auto" w:fill="CCEEFF"/>
          </w:tcPr>
          <w:p>
            <w:pPr>
              <w:spacing w:after="0"/>
              <w:rPr>
                <w:sz w:val="22"/>
                <w:szCs w:val="22"/>
                <w:color w:val="auto"/>
              </w:rPr>
            </w:pPr>
          </w:p>
        </w:tc>
      </w:tr>
      <w:tr>
        <w:trPr>
          <w:trHeight w:val="210"/>
        </w:trPr>
        <w:tc>
          <w:tcPr>
            <w:tcW w:w="6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Change in plan assets: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22,669</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23,235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Expenses paid</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r>
      <w:tr>
        <w:trPr>
          <w:trHeight w:val="27"/>
        </w:trPr>
        <w:tc>
          <w:tcPr>
            <w:tcW w:w="65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Fair value of plan assets at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24,454</w:t>
            </w:r>
          </w:p>
        </w:tc>
        <w:tc>
          <w:tcPr>
            <w:tcW w:w="12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22,670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23,235</w:t>
            </w:r>
          </w:p>
        </w:tc>
      </w:tr>
      <w:tr>
        <w:trPr>
          <w:trHeight w:val="21"/>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Amounts recognized in statement of financial position: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22"/>
                <w:szCs w:val="22"/>
                <w:color w:val="auto"/>
              </w:rPr>
            </w:pPr>
          </w:p>
        </w:tc>
      </w:tr>
      <w:tr>
        <w:trPr>
          <w:trHeight w:val="210"/>
        </w:trPr>
        <w:tc>
          <w:tcPr>
            <w:tcW w:w="6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assumptions used:</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22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r>
    </w:tbl>
    <w:p>
      <w:pPr>
        <w:spacing w:after="0" w:line="248" w:lineRule="exact"/>
        <w:rPr>
          <w:sz w:val="20"/>
          <w:szCs w:val="20"/>
          <w:color w:val="auto"/>
        </w:rPr>
      </w:pPr>
    </w:p>
    <w:p>
      <w:pPr>
        <w:ind w:left="1880"/>
        <w:spacing w:after="0" w:line="276" w:lineRule="auto"/>
        <w:rPr>
          <w:sz w:val="20"/>
          <w:szCs w:val="20"/>
          <w:color w:val="auto"/>
        </w:rPr>
      </w:pPr>
      <w:r>
        <w:rPr>
          <w:rFonts w:ascii="Arial" w:cs="Arial" w:eastAsia="Arial" w:hAnsi="Arial"/>
          <w:sz w:val="22"/>
          <w:szCs w:val="22"/>
          <w:color w:val="auto"/>
        </w:rPr>
        <w:t>The following benefit payments are expected to be paid in each of the next five fiscal years and in the aggregate for the five fiscal years thereafter:</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Other</w:t>
            </w:r>
          </w:p>
        </w:tc>
      </w:tr>
      <w:tr>
        <w:trPr>
          <w:trHeight w:val="237"/>
        </w:trPr>
        <w:tc>
          <w:tcPr>
            <w:tcW w:w="4880" w:type="dxa"/>
            <w:vAlign w:val="bottom"/>
          </w:tcPr>
          <w:p>
            <w:pPr>
              <w:spacing w:after="0"/>
              <w:rPr>
                <w:sz w:val="20"/>
                <w:szCs w:val="20"/>
                <w:color w:val="auto"/>
              </w:rPr>
            </w:pPr>
            <w:r>
              <w:rPr>
                <w:rFonts w:ascii="Arial" w:cs="Arial" w:eastAsia="Arial" w:hAnsi="Arial"/>
                <w:sz w:val="18"/>
                <w:szCs w:val="18"/>
                <w:color w:val="auto"/>
              </w:rPr>
              <w:t>Fiscal Year</w:t>
            </w:r>
          </w:p>
        </w:tc>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Benefits</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2021</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2023</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2025-2029</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13</w:t>
        <w:tab/>
        <w:t>-</w:t>
      </w:r>
      <w:r>
        <w:rPr>
          <w:sz w:val="20"/>
          <w:szCs w:val="20"/>
          <w:color w:val="auto"/>
        </w:rPr>
        <w:tab/>
      </w:r>
      <w:r>
        <w:rPr>
          <w:rFonts w:ascii="Arial" w:cs="Arial" w:eastAsia="Arial" w:hAnsi="Arial"/>
          <w:sz w:val="22"/>
          <w:szCs w:val="22"/>
          <w:b w:val="1"/>
          <w:bCs w:val="1"/>
          <w:color w:val="auto"/>
        </w:rPr>
        <w:t>EMPLOYEE RELATED LIABILITIES (Cont.)</w:t>
      </w:r>
    </w:p>
    <w:p>
      <w:pPr>
        <w:spacing w:after="0" w:line="283" w:lineRule="exact"/>
        <w:rPr>
          <w:sz w:val="20"/>
          <w:szCs w:val="20"/>
          <w:color w:val="auto"/>
        </w:rPr>
      </w:pPr>
    </w:p>
    <w:p>
      <w:pPr>
        <w:ind w:left="1880" w:hanging="575"/>
        <w:spacing w:after="0"/>
        <w:tabs>
          <w:tab w:leader="none" w:pos="18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Jazz Employee Benefit Plans (Cont.)</w:t>
      </w:r>
    </w:p>
    <w:p>
      <w:pPr>
        <w:spacing w:after="0" w:line="284"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Jazz Pension Plan (Cont.)</w:t>
      </w:r>
    </w:p>
    <w:p>
      <w:pPr>
        <w:spacing w:after="0" w:line="293"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The plan’s assets measured at fair value on a recurring basis consisted of the following as of December 31, 2019:</w:t>
      </w:r>
    </w:p>
    <w:p>
      <w:pPr>
        <w:spacing w:after="0" w:line="222"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6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mutual funds</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Total plan assets at fair value</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24,454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
        </w:trPr>
        <w:tc>
          <w:tcPr>
            <w:tcW w:w="6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The plan’s assets measured at fair value on a recurring basis consisted of the following as of December 31, 2018:</w:t>
      </w:r>
    </w:p>
    <w:p>
      <w:pPr>
        <w:spacing w:after="0" w:line="222"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6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mutual funds</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Total plan assets at fair value</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
        </w:trPr>
        <w:tc>
          <w:tcPr>
            <w:tcW w:w="6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jc w:val="both"/>
        <w:ind w:left="1880" w:right="20"/>
        <w:spacing w:after="0" w:line="276" w:lineRule="auto"/>
        <w:rPr>
          <w:sz w:val="20"/>
          <w:szCs w:val="20"/>
          <w:color w:val="auto"/>
        </w:rPr>
      </w:pPr>
      <w:r>
        <w:rPr>
          <w:rFonts w:ascii="Arial" w:cs="Arial" w:eastAsia="Arial" w:hAnsi="Arial"/>
          <w:sz w:val="22"/>
          <w:szCs w:val="22"/>
          <w:color w:val="auto"/>
        </w:rPr>
        <w:t>Jazz’s pension plan weighted average asset allocations on December 31, 2019, by asset category are as follows:</w:t>
      </w:r>
    </w:p>
    <w:p>
      <w:pPr>
        <w:spacing w:after="0" w:line="222"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Target</w:t>
            </w:r>
          </w:p>
        </w:tc>
      </w:tr>
      <w:tr>
        <w:trPr>
          <w:trHeight w:val="216"/>
        </w:trPr>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allocation</w:t>
            </w:r>
          </w:p>
        </w:tc>
      </w:tr>
      <w:tr>
        <w:trPr>
          <w:trHeight w:val="237"/>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Category</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31, 2019</w:t>
            </w:r>
          </w:p>
        </w:tc>
        <w:tc>
          <w:tcPr>
            <w:tcW w:w="2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20"/>
                <w:szCs w:val="20"/>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Debt securities</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62" w:lineRule="exact"/>
        <w:rPr>
          <w:sz w:val="20"/>
          <w:szCs w:val="20"/>
          <w:color w:val="auto"/>
        </w:rPr>
      </w:pPr>
    </w:p>
    <w:p>
      <w:pPr>
        <w:jc w:val="both"/>
        <w:ind w:left="1880"/>
        <w:spacing w:after="0" w:line="306" w:lineRule="auto"/>
        <w:rPr>
          <w:sz w:val="20"/>
          <w:szCs w:val="20"/>
          <w:color w:val="auto"/>
        </w:rPr>
      </w:pPr>
      <w:r>
        <w:rPr>
          <w:rFonts w:ascii="Arial" w:cs="Arial" w:eastAsia="Arial" w:hAnsi="Arial"/>
          <w:sz w:val="19"/>
          <w:szCs w:val="19"/>
          <w:color w:val="auto"/>
        </w:rPr>
        <w:t>Jazz’s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80% debt, or fixed income securities, and 20% equity securities. Individual funds are evaluated periodically based on comparisons to benchmark indices and peer group funds and investment decisions are made by Jazz in accordance with the policy goals. Actual allocation to each asset category fluctuates and may not be within the target allocation specified above due to changes in market conditions.</w:t>
      </w:r>
    </w:p>
    <w:p>
      <w:pPr>
        <w:spacing w:after="0" w:line="211" w:lineRule="exact"/>
        <w:rPr>
          <w:sz w:val="20"/>
          <w:szCs w:val="20"/>
          <w:color w:val="auto"/>
        </w:rPr>
      </w:pPr>
    </w:p>
    <w:p>
      <w:pPr>
        <w:jc w:val="both"/>
        <w:ind w:left="1880"/>
        <w:spacing w:after="0" w:line="312" w:lineRule="auto"/>
        <w:rPr>
          <w:sz w:val="20"/>
          <w:szCs w:val="20"/>
          <w:color w:val="auto"/>
        </w:rPr>
      </w:pPr>
      <w:r>
        <w:rPr>
          <w:rFonts w:ascii="Arial" w:cs="Arial" w:eastAsia="Arial" w:hAnsi="Arial"/>
          <w:sz w:val="19"/>
          <w:szCs w:val="19"/>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14</w:t>
        <w:tab/>
        <w:t>-</w:t>
      </w:r>
      <w:r>
        <w:rPr>
          <w:sz w:val="20"/>
          <w:szCs w:val="20"/>
          <w:color w:val="auto"/>
        </w:rPr>
        <w:tab/>
      </w:r>
      <w:r>
        <w:rPr>
          <w:rFonts w:ascii="Arial" w:cs="Arial" w:eastAsia="Arial" w:hAnsi="Arial"/>
          <w:sz w:val="22"/>
          <w:szCs w:val="22"/>
          <w:b w:val="1"/>
          <w:bCs w:val="1"/>
          <w:color w:val="auto"/>
        </w:rPr>
        <w:t>COMMITMENTS AND CONTINGENCIES</w:t>
      </w:r>
    </w:p>
    <w:p>
      <w:pPr>
        <w:spacing w:after="0" w:line="283" w:lineRule="exact"/>
        <w:rPr>
          <w:sz w:val="20"/>
          <w:szCs w:val="20"/>
          <w:color w:val="auto"/>
        </w:rPr>
      </w:pPr>
    </w:p>
    <w:p>
      <w:pPr>
        <w:ind w:left="1880" w:hanging="575"/>
        <w:spacing w:after="0"/>
        <w:tabs>
          <w:tab w:leader="none" w:pos="18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Liens</w:t>
      </w:r>
    </w:p>
    <w:p>
      <w:pPr>
        <w:spacing w:after="0" w:line="279" w:lineRule="exact"/>
        <w:rPr>
          <w:rFonts w:ascii="Arial" w:cs="Arial" w:eastAsia="Arial" w:hAnsi="Arial"/>
          <w:sz w:val="18"/>
          <w:szCs w:val="18"/>
          <w:b w:val="1"/>
          <w:bCs w:val="1"/>
          <w:color w:val="auto"/>
        </w:rPr>
      </w:pPr>
    </w:p>
    <w:p>
      <w:pPr>
        <w:ind w:left="2340" w:hanging="495"/>
        <w:spacing w:after="0"/>
        <w:tabs>
          <w:tab w:leader="none" w:pos="234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Loans, Bonds and Capital Leases</w:t>
      </w:r>
    </w:p>
    <w:p>
      <w:pPr>
        <w:spacing w:after="0" w:line="290" w:lineRule="exact"/>
        <w:rPr>
          <w:sz w:val="20"/>
          <w:szCs w:val="20"/>
          <w:color w:val="auto"/>
        </w:rPr>
      </w:pPr>
    </w:p>
    <w:p>
      <w:pPr>
        <w:jc w:val="both"/>
        <w:ind w:left="2360"/>
        <w:spacing w:after="0" w:line="266" w:lineRule="auto"/>
        <w:rPr>
          <w:sz w:val="20"/>
          <w:szCs w:val="20"/>
          <w:color w:val="auto"/>
        </w:rPr>
      </w:pPr>
      <w:r>
        <w:rPr>
          <w:rFonts w:ascii="Arial" w:cs="Arial" w:eastAsia="Arial" w:hAnsi="Arial"/>
          <w:sz w:val="22"/>
          <w:szCs w:val="22"/>
          <w:color w:val="auto"/>
        </w:rPr>
        <w:t>For liens relating to Jazz Credit Line Agreement, see Note 11F. For liens under TPSCo 2018 JP Loan agreement, see Note 11C. For liens under the capital lease agreements, see Note11D. For liens under Bond G indenture, see Note 10B.</w:t>
      </w:r>
    </w:p>
    <w:p>
      <w:pPr>
        <w:spacing w:after="0" w:line="229" w:lineRule="exact"/>
        <w:rPr>
          <w:sz w:val="20"/>
          <w:szCs w:val="20"/>
          <w:color w:val="auto"/>
        </w:rPr>
      </w:pPr>
    </w:p>
    <w:p>
      <w:pPr>
        <w:ind w:left="2340" w:hanging="450"/>
        <w:spacing w:after="0"/>
        <w:tabs>
          <w:tab w:leader="none" w:pos="2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Approved Enterprise Program</w:t>
      </w:r>
    </w:p>
    <w:p>
      <w:pPr>
        <w:spacing w:after="0" w:line="290" w:lineRule="exact"/>
        <w:rPr>
          <w:sz w:val="20"/>
          <w:szCs w:val="20"/>
          <w:color w:val="auto"/>
        </w:rPr>
      </w:pPr>
    </w:p>
    <w:p>
      <w:pPr>
        <w:ind w:left="2360"/>
        <w:spacing w:after="0" w:line="276" w:lineRule="auto"/>
        <w:rPr>
          <w:sz w:val="20"/>
          <w:szCs w:val="20"/>
          <w:color w:val="auto"/>
        </w:rPr>
      </w:pPr>
      <w:r>
        <w:rPr>
          <w:rFonts w:ascii="Arial" w:cs="Arial" w:eastAsia="Arial" w:hAnsi="Arial"/>
          <w:sz w:val="22"/>
          <w:szCs w:val="22"/>
          <w:color w:val="auto"/>
        </w:rPr>
        <w:t>Floating liens are registered in favor of the State of Israel on substantially all of Tower’s assets under the Investment Center’s approved enterprise status program.</w:t>
      </w:r>
    </w:p>
    <w:p>
      <w:pPr>
        <w:spacing w:after="0" w:line="218" w:lineRule="exact"/>
        <w:rPr>
          <w:sz w:val="20"/>
          <w:szCs w:val="20"/>
          <w:color w:val="auto"/>
        </w:rPr>
      </w:pPr>
    </w:p>
    <w:p>
      <w:pPr>
        <w:ind w:left="1880" w:hanging="575"/>
        <w:spacing w:after="0"/>
        <w:tabs>
          <w:tab w:leader="none" w:pos="18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Renewed contract in relation to TPSCo</w:t>
      </w:r>
    </w:p>
    <w:p>
      <w:pPr>
        <w:spacing w:after="0" w:line="290" w:lineRule="exact"/>
        <w:rPr>
          <w:sz w:val="20"/>
          <w:szCs w:val="20"/>
          <w:color w:val="auto"/>
        </w:rPr>
      </w:pPr>
    </w:p>
    <w:p>
      <w:pPr>
        <w:jc w:val="both"/>
        <w:ind w:left="1880"/>
        <w:spacing w:after="0" w:line="312" w:lineRule="auto"/>
        <w:rPr>
          <w:sz w:val="20"/>
          <w:szCs w:val="20"/>
          <w:color w:val="auto"/>
        </w:rPr>
      </w:pPr>
      <w:r>
        <w:rPr>
          <w:rFonts w:ascii="Arial" w:cs="Arial" w:eastAsia="Arial" w:hAnsi="Arial"/>
          <w:sz w:val="19"/>
          <w:szCs w:val="19"/>
          <w:color w:val="auto"/>
        </w:rPr>
        <w:t>In March 2019, the Company, PSCS and TPSCo, as applicable, signed three-year agreements renewing their previously signed 2014-2019 agreements, to be in effect from April 2019 for an additional 3 year period. Under the renewed agreements, among others, PSCS will continue to utilize TPSCo’s three manufacturing facilities in Japan for its semiconductor business under a new pricing structure, which is resulting in lower annual and quarterly revenue commencing the second quarter of 2019, as compared to previous periods.</w:t>
      </w:r>
    </w:p>
    <w:p>
      <w:pPr>
        <w:spacing w:after="0" w:line="190" w:lineRule="exact"/>
        <w:rPr>
          <w:sz w:val="20"/>
          <w:szCs w:val="20"/>
          <w:color w:val="auto"/>
        </w:rPr>
      </w:pPr>
    </w:p>
    <w:p>
      <w:pPr>
        <w:ind w:left="1880" w:hanging="575"/>
        <w:spacing w:after="0"/>
        <w:tabs>
          <w:tab w:leader="none" w:pos="18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90" w:lineRule="exact"/>
        <w:rPr>
          <w:sz w:val="20"/>
          <w:szCs w:val="20"/>
          <w:color w:val="auto"/>
        </w:rPr>
      </w:pPr>
    </w:p>
    <w:p>
      <w:pPr>
        <w:jc w:val="both"/>
        <w:ind w:left="1880"/>
        <w:spacing w:after="0" w:line="284" w:lineRule="auto"/>
        <w:rPr>
          <w:sz w:val="20"/>
          <w:szCs w:val="20"/>
          <w:color w:val="auto"/>
        </w:rPr>
      </w:pPr>
      <w:r>
        <w:rPr>
          <w:rFonts w:ascii="Arial" w:cs="Arial" w:eastAsia="Arial" w:hAnsi="Arial"/>
          <w:sz w:val="21"/>
          <w:szCs w:val="21"/>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213" w:lineRule="exact"/>
        <w:rPr>
          <w:sz w:val="20"/>
          <w:szCs w:val="20"/>
          <w:color w:val="auto"/>
        </w:rPr>
      </w:pPr>
    </w:p>
    <w:p>
      <w:pPr>
        <w:ind w:left="1880" w:hanging="575"/>
        <w:spacing w:after="0"/>
        <w:tabs>
          <w:tab w:leader="none" w:pos="18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Lease Agreement</w:t>
      </w:r>
    </w:p>
    <w:p>
      <w:pPr>
        <w:spacing w:after="0" w:line="290" w:lineRule="exact"/>
        <w:rPr>
          <w:sz w:val="20"/>
          <w:szCs w:val="20"/>
          <w:color w:val="auto"/>
        </w:rPr>
      </w:pPr>
    </w:p>
    <w:p>
      <w:pPr>
        <w:jc w:val="both"/>
        <w:ind w:left="1880"/>
        <w:spacing w:after="0" w:line="305" w:lineRule="auto"/>
        <w:rPr>
          <w:sz w:val="20"/>
          <w:szCs w:val="20"/>
          <w:color w:val="auto"/>
        </w:rPr>
      </w:pPr>
      <w:r>
        <w:rPr>
          <w:rFonts w:ascii="Arial" w:cs="Arial" w:eastAsia="Arial" w:hAnsi="Arial"/>
          <w:sz w:val="19"/>
          <w:szCs w:val="19"/>
          <w:color w:val="auto"/>
        </w:rPr>
        <w:t>Jazz leases its fabrication facilities under operational lease contracts that may be extended until 2027, through the exercise of an option at Jazz’s sole discretion. In 2015, Jazz exercised its first option to extend the lease term from 2017 to 2022, while maintaining the option to extend the lease term at its sole discretion from 2022 to 2027. In the amendments to its leases, (i) Jazz secured various contractual safeguards designed to limit and mitigate any adverse impact of construction activities on its fabrication operations; and (ii) set forth certain obligations of Jazz and the landlord, including certain noise abatement actions at the fabrication facility. The landlord has made claims that Jazz’s noise abatement efforts are not adequate under the terms of the amended lease. Jazz does not agree and is disputing these claims.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14</w:t>
        <w:tab/>
        <w:t>-</w:t>
      </w:r>
      <w:r>
        <w:rPr>
          <w:sz w:val="20"/>
          <w:szCs w:val="20"/>
          <w:color w:val="auto"/>
        </w:rPr>
        <w:tab/>
      </w:r>
      <w:r>
        <w:rPr>
          <w:rFonts w:ascii="Arial" w:cs="Arial" w:eastAsia="Arial" w:hAnsi="Arial"/>
          <w:sz w:val="21"/>
          <w:szCs w:val="21"/>
          <w:b w:val="1"/>
          <w:bCs w:val="1"/>
          <w:color w:val="auto"/>
        </w:rPr>
        <w:t>COMMITMENTS AND CONTINGENCIES (Cont.)</w:t>
      </w:r>
    </w:p>
    <w:p>
      <w:pPr>
        <w:spacing w:after="0" w:line="287" w:lineRule="exact"/>
        <w:rPr>
          <w:sz w:val="20"/>
          <w:szCs w:val="20"/>
          <w:color w:val="auto"/>
        </w:rPr>
      </w:pPr>
    </w:p>
    <w:p>
      <w:pPr>
        <w:ind w:left="1940" w:hanging="635"/>
        <w:spacing w:after="0"/>
        <w:tabs>
          <w:tab w:leader="none" w:pos="194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Environmental Affairs</w:t>
      </w:r>
    </w:p>
    <w:p>
      <w:pPr>
        <w:spacing w:after="0" w:line="293" w:lineRule="exact"/>
        <w:rPr>
          <w:sz w:val="20"/>
          <w:szCs w:val="20"/>
          <w:color w:val="auto"/>
        </w:rPr>
      </w:pPr>
    </w:p>
    <w:p>
      <w:pPr>
        <w:jc w:val="both"/>
        <w:ind w:left="1880"/>
        <w:spacing w:after="0" w:line="309" w:lineRule="auto"/>
        <w:rPr>
          <w:sz w:val="20"/>
          <w:szCs w:val="20"/>
          <w:color w:val="auto"/>
        </w:rPr>
      </w:pPr>
      <w:r>
        <w:rPr>
          <w:rFonts w:ascii="Arial" w:cs="Arial" w:eastAsia="Arial" w:hAnsi="Arial"/>
          <w:sz w:val="19"/>
          <w:szCs w:val="19"/>
          <w:color w:val="auto"/>
        </w:rPr>
        <w:t>The Company’s operations are subject to a variety of laws and state and governmental regulations relating to the use, discharge and disposal of toxic or otherwise hazardous materials used in the production processes. Operating permits and licenses are required for the operation of the Company’s facilities and these permits and licenses are subject to revocation, modification and renewal. Government authorities have the power to enforce compliance with these regulations, permits and licenses. As of the approval date of the financial statements, the Company is not aware of any noncompliance with the terms of said permits and licenses.</w:t>
      </w:r>
    </w:p>
    <w:p>
      <w:pPr>
        <w:spacing w:after="0" w:line="197" w:lineRule="exact"/>
        <w:rPr>
          <w:sz w:val="20"/>
          <w:szCs w:val="20"/>
          <w:color w:val="auto"/>
        </w:rPr>
      </w:pPr>
    </w:p>
    <w:p>
      <w:pPr>
        <w:ind w:left="1900" w:hanging="595"/>
        <w:spacing w:after="0"/>
        <w:tabs>
          <w:tab w:leader="none" w:pos="190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An engagement in relation to a new fabrication facility planned to be built in China</w:t>
      </w:r>
    </w:p>
    <w:p>
      <w:pPr>
        <w:spacing w:after="0" w:line="293" w:lineRule="exact"/>
        <w:rPr>
          <w:sz w:val="20"/>
          <w:szCs w:val="20"/>
          <w:color w:val="auto"/>
        </w:rPr>
      </w:pPr>
    </w:p>
    <w:p>
      <w:pPr>
        <w:jc w:val="both"/>
        <w:ind w:left="1880"/>
        <w:spacing w:after="0" w:line="273" w:lineRule="auto"/>
        <w:rPr>
          <w:sz w:val="20"/>
          <w:szCs w:val="20"/>
          <w:color w:val="auto"/>
        </w:rPr>
      </w:pPr>
      <w:r>
        <w:rPr>
          <w:rFonts w:ascii="Arial" w:cs="Arial" w:eastAsia="Arial" w:hAnsi="Arial"/>
          <w:sz w:val="21"/>
          <w:szCs w:val="21"/>
          <w:color w:val="auto"/>
        </w:rPr>
        <w:t>In prior years, the Company, Nanjing Development Zone, Tacoma Technology Ltd. and Tacoma (Nanjing) Semiconductor Technology Co., Ltd. (collectively known as “Tacoma”), signed agreements regarding a new 8-inch fabrication facility planned to be established in Nanjing, China. According to the terms therein, it was agreed that the Company will provide technological expertise together with operational and integration consultation, at terms and milestones to be further agreed to by the parties and may invest in the project to be a minority stakeholder. To date, the Company received a total of $27,000 (net of taxes) for technological licenses, consultation and other services it provided, of which $18,000 (net of taxes) during 2017 and the reminder during 2019.</w:t>
      </w:r>
    </w:p>
    <w:p>
      <w:pPr>
        <w:spacing w:after="0" w:line="227" w:lineRule="exact"/>
        <w:rPr>
          <w:sz w:val="20"/>
          <w:szCs w:val="20"/>
          <w:color w:val="auto"/>
        </w:rPr>
      </w:pPr>
    </w:p>
    <w:p>
      <w:pPr>
        <w:ind w:left="1960" w:hanging="601"/>
        <w:spacing w:after="0"/>
        <w:tabs>
          <w:tab w:leader="none" w:pos="19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Other Agreements</w:t>
      </w:r>
    </w:p>
    <w:p>
      <w:pPr>
        <w:spacing w:after="0" w:line="293" w:lineRule="exact"/>
        <w:rPr>
          <w:sz w:val="20"/>
          <w:szCs w:val="20"/>
          <w:color w:val="auto"/>
        </w:rPr>
      </w:pPr>
    </w:p>
    <w:p>
      <w:pPr>
        <w:jc w:val="both"/>
        <w:ind w:left="1880"/>
        <w:spacing w:after="0" w:line="284" w:lineRule="auto"/>
        <w:rPr>
          <w:sz w:val="20"/>
          <w:szCs w:val="20"/>
          <w:color w:val="auto"/>
        </w:rPr>
      </w:pPr>
      <w:r>
        <w:rPr>
          <w:rFonts w:ascii="Arial" w:cs="Arial" w:eastAsia="Arial" w:hAnsi="Arial"/>
          <w:sz w:val="21"/>
          <w:szCs w:val="21"/>
          <w:color w:val="auto"/>
        </w:rPr>
        <w:t>The Company enters from time to time, in the ordinary course of business, into long-term agreements with various entities for the joint development of products and processes utilizing technologies owned separately by either the other entity or the Company, or owned jointly by both parties, as applicable.</w:t>
      </w:r>
    </w:p>
    <w:p>
      <w:pPr>
        <w:spacing w:after="0" w:line="21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15</w:t>
        <w:tab/>
        <w:t>-</w:t>
      </w:r>
      <w:r>
        <w:rPr>
          <w:sz w:val="20"/>
          <w:szCs w:val="20"/>
          <w:color w:val="auto"/>
        </w:rPr>
        <w:tab/>
      </w:r>
      <w:r>
        <w:rPr>
          <w:rFonts w:ascii="Arial" w:cs="Arial" w:eastAsia="Arial" w:hAnsi="Arial"/>
          <w:sz w:val="21"/>
          <w:szCs w:val="21"/>
          <w:b w:val="1"/>
          <w:bCs w:val="1"/>
          <w:color w:val="auto"/>
        </w:rPr>
        <w:t>SHAREHOLDERS’ EQUITY</w:t>
      </w:r>
    </w:p>
    <w:p>
      <w:pPr>
        <w:spacing w:after="0" w:line="283" w:lineRule="exact"/>
        <w:rPr>
          <w:sz w:val="20"/>
          <w:szCs w:val="20"/>
          <w:color w:val="auto"/>
        </w:rPr>
      </w:pPr>
    </w:p>
    <w:p>
      <w:pPr>
        <w:ind w:left="1880" w:hanging="575"/>
        <w:spacing w:after="0"/>
        <w:tabs>
          <w:tab w:leader="none" w:pos="18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Ordinary Shares</w:t>
      </w:r>
    </w:p>
    <w:p>
      <w:pPr>
        <w:spacing w:after="0" w:line="290" w:lineRule="exact"/>
        <w:rPr>
          <w:sz w:val="20"/>
          <w:szCs w:val="20"/>
          <w:color w:val="auto"/>
        </w:rPr>
      </w:pPr>
    </w:p>
    <w:p>
      <w:pPr>
        <w:jc w:val="both"/>
        <w:ind w:left="1880"/>
        <w:spacing w:after="0" w:line="276" w:lineRule="auto"/>
        <w:rPr>
          <w:sz w:val="20"/>
          <w:szCs w:val="20"/>
          <w:color w:val="auto"/>
        </w:rPr>
      </w:pPr>
      <w:r>
        <w:rPr>
          <w:rFonts w:ascii="Arial" w:cs="Arial" w:eastAsia="Arial" w:hAnsi="Arial"/>
          <w:sz w:val="21"/>
          <w:szCs w:val="21"/>
          <w:color w:val="auto"/>
        </w:rPr>
        <w:t>As of December 31, 2019, Tower had 150 million authorized ordinary shares, par value NIS 15.00 each, of which approximately 106.8 million were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15</w:t>
        <w:tab/>
        <w:t>-</w:t>
      </w:r>
      <w:r>
        <w:rPr>
          <w:sz w:val="20"/>
          <w:szCs w:val="20"/>
          <w:color w:val="auto"/>
        </w:rPr>
        <w:tab/>
      </w:r>
      <w:r>
        <w:rPr>
          <w:rFonts w:ascii="Arial" w:cs="Arial" w:eastAsia="Arial" w:hAnsi="Arial"/>
          <w:sz w:val="21"/>
          <w:szCs w:val="21"/>
          <w:b w:val="1"/>
          <w:bCs w:val="1"/>
          <w:color w:val="auto"/>
        </w:rPr>
        <w:t>SHAREHOLDERS’ EQUITY (Cont.)</w:t>
      </w:r>
    </w:p>
    <w:p>
      <w:pPr>
        <w:spacing w:after="0" w:line="283" w:lineRule="exact"/>
        <w:rPr>
          <w:sz w:val="20"/>
          <w:szCs w:val="20"/>
          <w:color w:val="auto"/>
        </w:rPr>
      </w:pPr>
    </w:p>
    <w:p>
      <w:pPr>
        <w:ind w:left="1880" w:hanging="575"/>
        <w:spacing w:after="0"/>
        <w:tabs>
          <w:tab w:leader="none" w:pos="18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79" w:lineRule="exact"/>
        <w:rPr>
          <w:rFonts w:ascii="Arial" w:cs="Arial" w:eastAsia="Arial" w:hAnsi="Arial"/>
          <w:sz w:val="18"/>
          <w:szCs w:val="18"/>
          <w:b w:val="1"/>
          <w:bCs w:val="1"/>
          <w:color w:val="auto"/>
        </w:rPr>
      </w:pPr>
    </w:p>
    <w:p>
      <w:pPr>
        <w:ind w:left="2340" w:hanging="495"/>
        <w:spacing w:after="0"/>
        <w:tabs>
          <w:tab w:leader="none" w:pos="2340"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90" w:lineRule="exact"/>
        <w:rPr>
          <w:sz w:val="20"/>
          <w:szCs w:val="20"/>
          <w:color w:val="auto"/>
        </w:rPr>
      </w:pPr>
    </w:p>
    <w:p>
      <w:pPr>
        <w:jc w:val="both"/>
        <w:ind w:left="2360"/>
        <w:spacing w:after="0" w:line="261" w:lineRule="auto"/>
        <w:rPr>
          <w:sz w:val="20"/>
          <w:szCs w:val="20"/>
          <w:color w:val="auto"/>
        </w:rPr>
      </w:pPr>
      <w:r>
        <w:rPr>
          <w:rFonts w:ascii="Arial" w:cs="Arial" w:eastAsia="Arial" w:hAnsi="Arial"/>
          <w:sz w:val="22"/>
          <w:szCs w:val="22"/>
          <w:color w:val="auto"/>
        </w:rPr>
        <w:t>The Company has granted to its employees and directors options and Restricted Stock Units (“RSUs”) to purchase ordinary shares under several share incentive plans adopted by the Company. The particular provisions of each plan and grant vary as to vesting period, exercise price, exercise period and other terms. Generally, (i) the exercise price of options will not be lower than the nominal value of the shares and will equal either</w:t>
      </w:r>
    </w:p>
    <w:p>
      <w:pPr>
        <w:spacing w:after="0" w:line="235" w:lineRule="exact"/>
        <w:rPr>
          <w:sz w:val="20"/>
          <w:szCs w:val="20"/>
          <w:color w:val="auto"/>
        </w:rPr>
      </w:pPr>
    </w:p>
    <w:p>
      <w:pPr>
        <w:ind w:left="2340" w:hanging="495"/>
        <w:spacing w:after="0"/>
        <w:tabs>
          <w:tab w:leader="none" w:pos="2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Tower’s 2013 Share Incentive Plan (the "2013 Plan")</w:t>
      </w:r>
    </w:p>
    <w:p>
      <w:pPr>
        <w:spacing w:after="0" w:line="290" w:lineRule="exact"/>
        <w:rPr>
          <w:sz w:val="20"/>
          <w:szCs w:val="20"/>
          <w:color w:val="auto"/>
        </w:rPr>
      </w:pPr>
    </w:p>
    <w:p>
      <w:pPr>
        <w:jc w:val="both"/>
        <w:ind w:left="2360"/>
        <w:spacing w:after="0" w:line="276" w:lineRule="auto"/>
        <w:rPr>
          <w:sz w:val="20"/>
          <w:szCs w:val="20"/>
          <w:color w:val="auto"/>
        </w:rPr>
      </w:pPr>
      <w:r>
        <w:rPr>
          <w:rFonts w:ascii="Arial" w:cs="Arial" w:eastAsia="Arial" w:hAnsi="Arial"/>
          <w:sz w:val="21"/>
          <w:szCs w:val="21"/>
          <w:color w:val="auto"/>
        </w:rPr>
        <w:t>the closing market price of the ordinary shares immediately prior to the date of grant, or in relation to grants made from September 2013, an average of the closing price during the thirty trading days immediately prior to the date of grant; (ii) vesting is over a one to four year period according to defined vesting schedules, and for performance RSUs include financial performance targets; and (iii) options are not exercisable beyond seven or ten years from the grant date, as applicable.</w:t>
      </w:r>
    </w:p>
    <w:p>
      <w:pPr>
        <w:spacing w:after="0" w:line="232" w:lineRule="exact"/>
        <w:rPr>
          <w:sz w:val="20"/>
          <w:szCs w:val="20"/>
          <w:color w:val="auto"/>
        </w:rPr>
      </w:pPr>
    </w:p>
    <w:p>
      <w:pPr>
        <w:jc w:val="both"/>
        <w:ind w:left="2360"/>
        <w:spacing w:after="0" w:line="263" w:lineRule="auto"/>
        <w:rPr>
          <w:sz w:val="20"/>
          <w:szCs w:val="20"/>
          <w:color w:val="auto"/>
        </w:rPr>
      </w:pPr>
      <w:r>
        <w:rPr>
          <w:rFonts w:ascii="Arial" w:cs="Arial" w:eastAsia="Arial" w:hAnsi="Arial"/>
          <w:sz w:val="22"/>
          <w:szCs w:val="22"/>
          <w:color w:val="auto"/>
        </w:rPr>
        <w:t>Except for those share incentive plans described below, as of December 31, 2019 and December 31, 2018, respectively, there were approximately 25 thousand and 26 thousand, respectively, options outstanding under the Company’s other share incentive plans (the "Old Plans”). No further options may be granted under the Old Plans.</w:t>
      </w:r>
    </w:p>
    <w:p>
      <w:pPr>
        <w:spacing w:after="0" w:line="242" w:lineRule="exact"/>
        <w:rPr>
          <w:sz w:val="20"/>
          <w:szCs w:val="20"/>
          <w:color w:val="auto"/>
        </w:rPr>
      </w:pPr>
    </w:p>
    <w:p>
      <w:pPr>
        <w:jc w:val="both"/>
        <w:ind w:left="2360"/>
        <w:spacing w:after="0" w:line="276" w:lineRule="auto"/>
        <w:rPr>
          <w:sz w:val="20"/>
          <w:szCs w:val="20"/>
          <w:color w:val="auto"/>
        </w:rPr>
      </w:pPr>
      <w:r>
        <w:rPr>
          <w:rFonts w:ascii="Arial" w:cs="Arial" w:eastAsia="Arial" w:hAnsi="Arial"/>
          <w:sz w:val="21"/>
          <w:szCs w:val="21"/>
          <w:color w:val="auto"/>
        </w:rPr>
        <w:t>In 2013, the Company adopted a share incentive plan for directors, officers and employees of the Company which in 2019 was extended to include also third party service providers (“2013 Plan”). Options granted under the 2013 Plan bear an exercise price, which equals an average of the closing price during the thirty trading days immediately prior to the date of grant, vest over up to a three-year period and are not exercisable beyond seven years from the grant date.</w:t>
      </w:r>
    </w:p>
    <w:p>
      <w:pPr>
        <w:spacing w:after="0" w:line="232" w:lineRule="exact"/>
        <w:rPr>
          <w:sz w:val="20"/>
          <w:szCs w:val="20"/>
          <w:color w:val="auto"/>
        </w:rPr>
      </w:pPr>
    </w:p>
    <w:p>
      <w:pPr>
        <w:jc w:val="both"/>
        <w:ind w:left="2360"/>
        <w:spacing w:after="0" w:line="260" w:lineRule="auto"/>
        <w:rPr>
          <w:sz w:val="20"/>
          <w:szCs w:val="20"/>
          <w:color w:val="auto"/>
        </w:rPr>
      </w:pPr>
      <w:r>
        <w:rPr>
          <w:rFonts w:ascii="Arial" w:cs="Arial" w:eastAsia="Arial" w:hAnsi="Arial"/>
          <w:sz w:val="22"/>
          <w:szCs w:val="22"/>
          <w:color w:val="auto"/>
        </w:rPr>
        <w:t>Under the 2013 Plan, the Company granted, in 2019 and 2018, a total of 1.16 million and 0.98 million, respectively, of RSUs, to its employees and directors (including the below described grants to the CEO and Chairman), with vesting over up to a three-year period. The Company measures compensation expenses of the RSUs based on the closing market price of the ordinary shares immediately prior to the date of grant and amortizes it over the applicable vesting period taking in consideration compliance with performance criteria, if any.</w:t>
      </w:r>
    </w:p>
    <w:p>
      <w:pPr>
        <w:spacing w:after="0" w:line="246" w:lineRule="exact"/>
        <w:rPr>
          <w:sz w:val="20"/>
          <w:szCs w:val="20"/>
          <w:color w:val="auto"/>
        </w:rPr>
      </w:pPr>
    </w:p>
    <w:p>
      <w:pPr>
        <w:jc w:val="both"/>
        <w:ind w:left="2360"/>
        <w:spacing w:after="0" w:line="309" w:lineRule="auto"/>
        <w:rPr>
          <w:sz w:val="20"/>
          <w:szCs w:val="20"/>
          <w:color w:val="auto"/>
        </w:rPr>
      </w:pPr>
      <w:r>
        <w:rPr>
          <w:rFonts w:ascii="Arial" w:cs="Arial" w:eastAsia="Arial" w:hAnsi="Arial"/>
          <w:sz w:val="19"/>
          <w:szCs w:val="19"/>
          <w:color w:val="auto"/>
        </w:rPr>
        <w:t>In June 2019, the Company's shareholders approved the grant of the following RSUs to the Company's CEO and members of the Board of Directors under the 2013 Plan: (i) 129 thousand time vested RSUs and 129 thousand performance based RSUs to the CEO, which RSUs will vest linearly over a three-year period, 33% at the end of each year of the three years following the grant date, for a compensation value of $3,900; (ii) 20 thousand time vested RSUs to the chairman of the Board of Directors (“the Chairman”) for a total compensation value of $300, to vest linearly over a three-year.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15</w:t>
        <w:tab/>
        <w:t>-</w:t>
      </w:r>
      <w:r>
        <w:rPr>
          <w:sz w:val="20"/>
          <w:szCs w:val="20"/>
          <w:color w:val="auto"/>
        </w:rPr>
        <w:tab/>
      </w:r>
      <w:r>
        <w:rPr>
          <w:rFonts w:ascii="Arial" w:cs="Arial" w:eastAsia="Arial" w:hAnsi="Arial"/>
          <w:sz w:val="21"/>
          <w:szCs w:val="21"/>
          <w:b w:val="1"/>
          <w:bCs w:val="1"/>
          <w:color w:val="auto"/>
        </w:rPr>
        <w:t>SHAREHOLDERS’ EQUITY (Cont.)</w:t>
      </w:r>
    </w:p>
    <w:p>
      <w:pPr>
        <w:spacing w:after="0" w:line="283" w:lineRule="exact"/>
        <w:rPr>
          <w:sz w:val="20"/>
          <w:szCs w:val="20"/>
          <w:color w:val="auto"/>
        </w:rPr>
      </w:pPr>
    </w:p>
    <w:p>
      <w:pPr>
        <w:ind w:left="1880" w:hanging="575"/>
        <w:spacing w:after="0"/>
        <w:tabs>
          <w:tab w:leader="none" w:pos="18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79" w:lineRule="exact"/>
        <w:rPr>
          <w:rFonts w:ascii="Arial" w:cs="Arial" w:eastAsia="Arial" w:hAnsi="Arial"/>
          <w:sz w:val="18"/>
          <w:szCs w:val="18"/>
          <w:b w:val="1"/>
          <w:bCs w:val="1"/>
          <w:color w:val="auto"/>
        </w:rPr>
      </w:pPr>
    </w:p>
    <w:p>
      <w:pPr>
        <w:ind w:left="2340" w:hanging="495"/>
        <w:spacing w:after="0"/>
        <w:tabs>
          <w:tab w:leader="none" w:pos="234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Tower’s 2013 Share Incentive Plan (the "2013 Plan") (Cont.)</w:t>
      </w:r>
    </w:p>
    <w:p>
      <w:pPr>
        <w:spacing w:after="0" w:line="290" w:lineRule="exact"/>
        <w:rPr>
          <w:sz w:val="20"/>
          <w:szCs w:val="20"/>
          <w:color w:val="auto"/>
        </w:rPr>
      </w:pPr>
    </w:p>
    <w:p>
      <w:pPr>
        <w:jc w:val="both"/>
        <w:ind w:left="2360"/>
        <w:spacing w:after="0" w:line="261" w:lineRule="auto"/>
        <w:rPr>
          <w:sz w:val="20"/>
          <w:szCs w:val="20"/>
          <w:color w:val="auto"/>
        </w:rPr>
      </w:pPr>
      <w:r>
        <w:rPr>
          <w:rFonts w:ascii="Arial" w:cs="Arial" w:eastAsia="Arial" w:hAnsi="Arial"/>
          <w:sz w:val="22"/>
          <w:szCs w:val="22"/>
          <w:color w:val="auto"/>
        </w:rPr>
        <w:t>period, 33% at the end of each year of the three years following the grant date; and (iii) 5 thousand time vested RSUs to each of the 8 members of the Board of Directors (other than to the Chairman and the CEO), for an aggregate compensation value of $600, vesting over a two-year period, with 50% vesting at the end of the first anniversary of the date of grant and 50% on the second anniversary of the date of grant.</w:t>
      </w:r>
    </w:p>
    <w:p>
      <w:pPr>
        <w:spacing w:after="0" w:line="245" w:lineRule="exact"/>
        <w:rPr>
          <w:sz w:val="20"/>
          <w:szCs w:val="20"/>
          <w:color w:val="auto"/>
        </w:rPr>
      </w:pPr>
    </w:p>
    <w:p>
      <w:pPr>
        <w:jc w:val="both"/>
        <w:ind w:left="2360"/>
        <w:spacing w:after="0" w:line="302" w:lineRule="auto"/>
        <w:rPr>
          <w:sz w:val="20"/>
          <w:szCs w:val="20"/>
          <w:color w:val="auto"/>
        </w:rPr>
      </w:pPr>
      <w:r>
        <w:rPr>
          <w:rFonts w:ascii="Arial" w:cs="Arial" w:eastAsia="Arial" w:hAnsi="Arial"/>
          <w:sz w:val="19"/>
          <w:szCs w:val="19"/>
          <w:color w:val="auto"/>
        </w:rPr>
        <w:t>In July 2018, the Company's shareholders approved the grant of the following RSUs to the Company's CEO and members of the Board of Directors under the 2013 Plan: (i) 107 thousand time vested RSUs and 72 thousand performance based RSUs to the CEO, which RSUs will vest linearly over a three-year period, 33% at the end of each year of the three years following the grant date, for a compensation value of $3,900; and, in addition, 50 thousand performance based RSUs vesting over three years, with 65% vesting at the first anniversary of the grant, an additional 25% at the second anniversary and the remaining portion at the third anniversary for an additional compensation value of $1,100; (ii) 14 thousand time vested RSUs to the Chairman for a total compensation value of $300, to vest linearly over a three-year period, 33% at the end of each year of the three years following the grant date; and (iii) 3 thousand time vested RSUs to each of the 8 members of the Board of Directors (other than to the Chairman and the CEO), for an aggregate compensation value of $600, vesting over a two-year period, with 50% vesting at the end of the first anniversary of the date of grant and 50% on the second anniversary of the date of grant.</w:t>
      </w:r>
    </w:p>
    <w:p>
      <w:pPr>
        <w:spacing w:after="0" w:line="200" w:lineRule="exact"/>
        <w:rPr>
          <w:sz w:val="20"/>
          <w:szCs w:val="20"/>
          <w:color w:val="auto"/>
        </w:rPr>
      </w:pPr>
    </w:p>
    <w:p>
      <w:pPr>
        <w:spacing w:after="0" w:line="282" w:lineRule="exact"/>
        <w:rPr>
          <w:sz w:val="20"/>
          <w:szCs w:val="20"/>
          <w:color w:val="auto"/>
        </w:rPr>
      </w:pPr>
    </w:p>
    <w:p>
      <w:pPr>
        <w:jc w:val="both"/>
        <w:ind w:left="2360"/>
        <w:spacing w:after="0" w:line="309" w:lineRule="auto"/>
        <w:rPr>
          <w:sz w:val="20"/>
          <w:szCs w:val="20"/>
          <w:color w:val="auto"/>
        </w:rPr>
      </w:pPr>
      <w:r>
        <w:rPr>
          <w:rFonts w:ascii="Arial" w:cs="Arial" w:eastAsia="Arial" w:hAnsi="Arial"/>
          <w:sz w:val="19"/>
          <w:szCs w:val="19"/>
          <w:color w:val="auto"/>
        </w:rPr>
        <w:t>In June 2017, the Company’s shareholders approved the following equity awards to the Company’s CEO, chairman of the Board and board directors under the 2013 Plan: (i) 85 thousand time vested RSUs and 97 thousand performance-based RSUs to the CEO, for a total compensation value of $4,500; (ii) 12 thousand time vested RSUs to the chairman of the board of directors for a total compensation value of $300; and (iii) 3 thousand time vested RSUs to each of the members of the board of directors (other than to the Chairman and the CEO), for a total compensation value of $600.</w:t>
      </w:r>
    </w:p>
    <w:p>
      <w:pPr>
        <w:spacing w:after="0" w:line="203" w:lineRule="exact"/>
        <w:rPr>
          <w:sz w:val="20"/>
          <w:szCs w:val="20"/>
          <w:color w:val="auto"/>
        </w:rPr>
      </w:pPr>
    </w:p>
    <w:p>
      <w:pPr>
        <w:jc w:val="both"/>
        <w:ind w:left="2360"/>
        <w:spacing w:after="0" w:line="261" w:lineRule="auto"/>
        <w:rPr>
          <w:sz w:val="20"/>
          <w:szCs w:val="20"/>
          <w:color w:val="auto"/>
        </w:rPr>
      </w:pPr>
      <w:r>
        <w:rPr>
          <w:rFonts w:ascii="Arial" w:cs="Arial" w:eastAsia="Arial" w:hAnsi="Arial"/>
          <w:sz w:val="22"/>
          <w:szCs w:val="22"/>
          <w:color w:val="auto"/>
        </w:rPr>
        <w:t>As of December 31, 2019, approximately 318 thousand options and approximately 2.0 million RSUs were outstanding under the 2013 Plan. As of December 31, 2018, approximately 483 thousand options and approximately 1.6 million RSUs were outstanding under the 2013 Plan. Further grants may be approved subject to compensation committee, board of directors and shareholders’ approval, as may be required by law.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15</w:t>
        <w:tab/>
        <w:t>-</w:t>
      </w:r>
      <w:r>
        <w:rPr>
          <w:sz w:val="20"/>
          <w:szCs w:val="20"/>
          <w:color w:val="auto"/>
        </w:rPr>
        <w:tab/>
      </w:r>
      <w:r>
        <w:rPr>
          <w:rFonts w:ascii="Arial" w:cs="Arial" w:eastAsia="Arial" w:hAnsi="Arial"/>
          <w:sz w:val="21"/>
          <w:szCs w:val="21"/>
          <w:b w:val="1"/>
          <w:bCs w:val="1"/>
          <w:color w:val="auto"/>
        </w:rPr>
        <w:t>SHAREHOLDERS’ EQUITY (Cont.)</w:t>
      </w:r>
    </w:p>
    <w:p>
      <w:pPr>
        <w:spacing w:after="0" w:line="283" w:lineRule="exact"/>
        <w:rPr>
          <w:sz w:val="20"/>
          <w:szCs w:val="20"/>
          <w:color w:val="auto"/>
        </w:rPr>
      </w:pPr>
    </w:p>
    <w:p>
      <w:pPr>
        <w:ind w:left="1880" w:hanging="575"/>
        <w:spacing w:after="0"/>
        <w:tabs>
          <w:tab w:leader="none" w:pos="18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79" w:lineRule="exact"/>
        <w:rPr>
          <w:rFonts w:ascii="Arial" w:cs="Arial" w:eastAsia="Arial" w:hAnsi="Arial"/>
          <w:sz w:val="18"/>
          <w:szCs w:val="18"/>
          <w:b w:val="1"/>
          <w:bCs w:val="1"/>
          <w:color w:val="auto"/>
        </w:rPr>
      </w:pPr>
    </w:p>
    <w:p>
      <w:pPr>
        <w:ind w:left="2340" w:hanging="450"/>
        <w:spacing w:after="0"/>
        <w:tabs>
          <w:tab w:leader="none" w:pos="234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the Status of all the Company’s Employees’ and Directors’ Share Incentive Plans</w:t>
      </w:r>
    </w:p>
    <w:p>
      <w:pPr>
        <w:spacing w:after="0" w:line="284"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i. Share Options awards: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Number</w:t>
            </w: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Number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of share</w:t>
            </w:r>
          </w:p>
        </w:tc>
        <w:tc>
          <w:tcPr>
            <w:tcW w:w="1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exercise</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of share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of share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w:t>
            </w:r>
          </w:p>
        </w:tc>
        <w:tc>
          <w:tcPr>
            <w:tcW w:w="1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options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options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beginning of year</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508,493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2,278,089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(163,375)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(1,611,489)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Terminated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9.90</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9.82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(77,292)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Outstanding as of end of year</w:t>
            </w:r>
          </w:p>
        </w:tc>
        <w:tc>
          <w:tcPr>
            <w:tcW w:w="1180" w:type="dxa"/>
            <w:vAlign w:val="bottom"/>
          </w:tcPr>
          <w:p>
            <w:pPr>
              <w:jc w:val="right"/>
              <w:spacing w:after="0"/>
              <w:rPr>
                <w:sz w:val="20"/>
                <w:szCs w:val="20"/>
                <w:color w:val="auto"/>
              </w:rPr>
            </w:pPr>
            <w:r>
              <w:rPr>
                <w:rFonts w:ascii="Arial" w:cs="Arial" w:eastAsia="Arial" w:hAnsi="Arial"/>
                <w:sz w:val="18"/>
                <w:szCs w:val="18"/>
                <w:color w:val="auto"/>
              </w:rPr>
              <w:t>343,451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508,493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9.58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580,185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as of end of year</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485,579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459,662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ii. RSU awards: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of RSU</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Fair Value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of RSU</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Fair Value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of RSU</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Fair Value</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beginning of year</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1,159,881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18.06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977,667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20.80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818,856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Converted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(602,423)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(553,241)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(260,899)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21.19</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22.11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(28,910)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end of year</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2,013,613</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1,599,296</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1,245,889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1" w:name="page52"/>
    <w:bookmarkEnd w:id="51"/>
    <w:p>
      <w:pPr>
        <w:jc w:val="center"/>
        <w:ind w:left="980"/>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ind w:left="98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ind w:left="980"/>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left="1040"/>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15</w:t>
        <w:tab/>
        <w:t>-</w:t>
      </w:r>
      <w:r>
        <w:rPr>
          <w:sz w:val="20"/>
          <w:szCs w:val="20"/>
          <w:color w:val="auto"/>
        </w:rPr>
        <w:tab/>
      </w:r>
      <w:r>
        <w:rPr>
          <w:rFonts w:ascii="Arial" w:cs="Arial" w:eastAsia="Arial" w:hAnsi="Arial"/>
          <w:sz w:val="21"/>
          <w:szCs w:val="21"/>
          <w:b w:val="1"/>
          <w:bCs w:val="1"/>
          <w:color w:val="auto"/>
        </w:rPr>
        <w:t>SHAREHOLDERS’ EQUITY (Cont.)</w:t>
      </w:r>
    </w:p>
    <w:p>
      <w:pPr>
        <w:spacing w:after="0" w:line="283" w:lineRule="exact"/>
        <w:rPr>
          <w:sz w:val="20"/>
          <w:szCs w:val="20"/>
          <w:color w:val="auto"/>
        </w:rPr>
      </w:pPr>
    </w:p>
    <w:p>
      <w:pPr>
        <w:ind w:left="1880" w:hanging="575"/>
        <w:spacing w:after="0"/>
        <w:tabs>
          <w:tab w:leader="none" w:pos="18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(Cont.)</w:t>
      </w:r>
    </w:p>
    <w:p>
      <w:pPr>
        <w:spacing w:after="0" w:line="279" w:lineRule="exact"/>
        <w:rPr>
          <w:rFonts w:ascii="Arial" w:cs="Arial" w:eastAsia="Arial" w:hAnsi="Arial"/>
          <w:sz w:val="18"/>
          <w:szCs w:val="18"/>
          <w:b w:val="1"/>
          <w:bCs w:val="1"/>
          <w:color w:val="auto"/>
        </w:rPr>
      </w:pPr>
    </w:p>
    <w:p>
      <w:pPr>
        <w:ind w:left="2340" w:hanging="450"/>
        <w:spacing w:after="0"/>
        <w:tabs>
          <w:tab w:leader="none" w:pos="2340"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Information about Employees’ Share Incentive Plans</w:t>
      </w:r>
    </w:p>
    <w:p>
      <w:pPr>
        <w:spacing w:after="0" w:line="290" w:lineRule="exact"/>
        <w:rPr>
          <w:sz w:val="20"/>
          <w:szCs w:val="20"/>
          <w:color w:val="auto"/>
        </w:rPr>
      </w:pPr>
    </w:p>
    <w:p>
      <w:pPr>
        <w:ind w:left="1800"/>
        <w:spacing w:after="0" w:line="276" w:lineRule="auto"/>
        <w:rPr>
          <w:sz w:val="20"/>
          <w:szCs w:val="20"/>
          <w:color w:val="auto"/>
        </w:rPr>
      </w:pPr>
      <w:r>
        <w:rPr>
          <w:rFonts w:ascii="Arial" w:cs="Arial" w:eastAsia="Arial" w:hAnsi="Arial"/>
          <w:sz w:val="22"/>
          <w:szCs w:val="22"/>
          <w:color w:val="auto"/>
        </w:rPr>
        <w:t>The following table summarizes information about employees’ share options outstanding as of December 31, 2019:</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ind w:left="1100"/>
              <w:spacing w:after="0"/>
              <w:rPr>
                <w:sz w:val="20"/>
                <w:szCs w:val="20"/>
                <w:color w:val="auto"/>
              </w:rPr>
            </w:pPr>
            <w:r>
              <w:rPr>
                <w:rFonts w:ascii="Arial" w:cs="Arial" w:eastAsia="Arial" w:hAnsi="Arial"/>
                <w:sz w:val="18"/>
                <w:szCs w:val="18"/>
                <w:color w:val="auto"/>
              </w:rPr>
              <w:t>Outstanding</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Exercisable</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Weighted average</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Range of</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remaining</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exercise</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Number</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contractual life</w:t>
            </w:r>
          </w:p>
        </w:tc>
        <w:tc>
          <w:tcPr>
            <w:tcW w:w="1660" w:type="dxa"/>
            <w:vAlign w:val="bottom"/>
            <w:gridSpan w:val="4"/>
          </w:tcPr>
          <w:p>
            <w:pPr>
              <w:jc w:val="right"/>
              <w:ind w:right="320"/>
              <w:spacing w:after="0"/>
              <w:rPr>
                <w:sz w:val="20"/>
                <w:szCs w:val="20"/>
                <w:color w:val="auto"/>
              </w:rPr>
            </w:pPr>
            <w:r>
              <w:rPr>
                <w:rFonts w:ascii="Arial" w:cs="Arial" w:eastAsia="Arial" w:hAnsi="Arial"/>
                <w:sz w:val="18"/>
                <w:szCs w:val="18"/>
                <w:color w:val="auto"/>
                <w:w w:val="90"/>
              </w:rPr>
              <w:t>Weighted average</w:t>
            </w:r>
          </w:p>
        </w:tc>
        <w:tc>
          <w:tcPr>
            <w:tcW w:w="1120" w:type="dxa"/>
            <w:vAlign w:val="bottom"/>
            <w:gridSpan w:val="4"/>
          </w:tcPr>
          <w:p>
            <w:pPr>
              <w:jc w:val="right"/>
              <w:ind w:right="65"/>
              <w:spacing w:after="0"/>
              <w:rPr>
                <w:sz w:val="20"/>
                <w:szCs w:val="20"/>
                <w:color w:val="auto"/>
              </w:rPr>
            </w:pPr>
            <w:r>
              <w:rPr>
                <w:rFonts w:ascii="Arial" w:cs="Arial" w:eastAsia="Arial" w:hAnsi="Arial"/>
                <w:sz w:val="18"/>
                <w:szCs w:val="18"/>
                <w:color w:val="auto"/>
              </w:rPr>
              <w:t>Number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6"/>
          </w:tcPr>
          <w:p>
            <w:pPr>
              <w:jc w:val="center"/>
              <w:ind w:right="140"/>
              <w:spacing w:after="0"/>
              <w:rPr>
                <w:sz w:val="20"/>
                <w:szCs w:val="20"/>
                <w:color w:val="auto"/>
              </w:rPr>
            </w:pPr>
            <w:r>
              <w:rPr>
                <w:rFonts w:ascii="Arial" w:cs="Arial" w:eastAsia="Arial" w:hAnsi="Arial"/>
                <w:sz w:val="18"/>
                <w:szCs w:val="18"/>
                <w:color w:val="auto"/>
                <w:w w:val="87"/>
              </w:rPr>
              <w:t>Weighted average</w:t>
            </w:r>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prices</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 years)</w:t>
            </w:r>
          </w:p>
        </w:tc>
        <w:tc>
          <w:tcPr>
            <w:tcW w:w="140" w:type="dxa"/>
            <w:vAlign w:val="bottom"/>
          </w:tcPr>
          <w:p>
            <w:pPr>
              <w:spacing w:after="0"/>
              <w:rPr>
                <w:sz w:val="20"/>
                <w:szCs w:val="20"/>
                <w:color w:val="auto"/>
              </w:rPr>
            </w:pP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w w:val="93"/>
              </w:rPr>
              <w:t>exercise price</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exercisable</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6"/>
          </w:tcPr>
          <w:p>
            <w:pPr>
              <w:jc w:val="center"/>
              <w:ind w:right="140"/>
              <w:spacing w:after="0"/>
              <w:rPr>
                <w:sz w:val="20"/>
                <w:szCs w:val="20"/>
                <w:color w:val="auto"/>
              </w:rPr>
            </w:pPr>
            <w:r>
              <w:rPr>
                <w:rFonts w:ascii="Arial" w:cs="Arial" w:eastAsia="Arial" w:hAnsi="Arial"/>
                <w:sz w:val="18"/>
                <w:szCs w:val="18"/>
                <w:color w:val="auto"/>
                <w:w w:val="90"/>
              </w:rPr>
              <w:t>exercise price</w:t>
            </w:r>
          </w:p>
        </w:tc>
      </w:tr>
      <w:tr>
        <w:trPr>
          <w:trHeight w:val="216"/>
        </w:trPr>
        <w:tc>
          <w:tcPr>
            <w:tcW w:w="240" w:type="dxa"/>
            <w:vAlign w:val="bottom"/>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4.42 - 17.25</w:t>
            </w:r>
          </w:p>
        </w:tc>
        <w:tc>
          <w:tcPr>
            <w:tcW w:w="26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343,451</w:t>
            </w:r>
          </w:p>
        </w:tc>
        <w:tc>
          <w:tcPr>
            <w:tcW w:w="28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343,451</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763"/>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Year ended December 31,</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5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The intrinsic value of options exercised</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26,031</w:t>
            </w:r>
          </w:p>
        </w:tc>
        <w:tc>
          <w:tcPr>
            <w:tcW w:w="100" w:type="dxa"/>
            <w:vAlign w:val="bottom"/>
            <w:shd w:val="clear" w:color="auto" w:fill="CCEEFF"/>
          </w:tcPr>
          <w:p>
            <w:pPr>
              <w:spacing w:after="0"/>
              <w:rPr>
                <w:sz w:val="18"/>
                <w:szCs w:val="18"/>
                <w:color w:val="auto"/>
              </w:rPr>
            </w:pPr>
          </w:p>
        </w:tc>
      </w:tr>
      <w:tr>
        <w:trPr>
          <w:trHeight w:val="230"/>
        </w:trPr>
        <w:tc>
          <w:tcPr>
            <w:tcW w:w="3540" w:type="dxa"/>
            <w:vAlign w:val="bottom"/>
            <w:gridSpan w:val="6"/>
          </w:tcPr>
          <w:p>
            <w:pPr>
              <w:spacing w:after="0"/>
              <w:rPr>
                <w:sz w:val="20"/>
                <w:szCs w:val="20"/>
                <w:color w:val="auto"/>
              </w:rPr>
            </w:pPr>
            <w:r>
              <w:rPr>
                <w:rFonts w:ascii="Arial" w:cs="Arial" w:eastAsia="Arial" w:hAnsi="Arial"/>
                <w:sz w:val="18"/>
                <w:szCs w:val="18"/>
                <w:color w:val="auto"/>
              </w:rPr>
              <w:t>The original fair value of options exercised</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665</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302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20"/>
                <w:szCs w:val="20"/>
                <w:color w:val="auto"/>
              </w:rPr>
            </w:pPr>
          </w:p>
        </w:tc>
      </w:tr>
      <w:tr>
        <w:trPr>
          <w:trHeight w:val="479"/>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Year ended December 31,</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5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The intrinsic value of converted RSUs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15,840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100" w:type="dxa"/>
            <w:vAlign w:val="bottom"/>
            <w:shd w:val="clear" w:color="auto" w:fill="CCEEFF"/>
          </w:tcPr>
          <w:p>
            <w:pPr>
              <w:spacing w:after="0"/>
              <w:rPr>
                <w:sz w:val="18"/>
                <w:szCs w:val="18"/>
                <w:color w:val="auto"/>
              </w:rPr>
            </w:pPr>
          </w:p>
        </w:tc>
      </w:tr>
      <w:tr>
        <w:trPr>
          <w:trHeight w:val="230"/>
        </w:trPr>
        <w:tc>
          <w:tcPr>
            <w:tcW w:w="3540" w:type="dxa"/>
            <w:vAlign w:val="bottom"/>
            <w:gridSpan w:val="6"/>
          </w:tcPr>
          <w:p>
            <w:pPr>
              <w:spacing w:after="0"/>
              <w:rPr>
                <w:sz w:val="20"/>
                <w:szCs w:val="20"/>
                <w:color w:val="auto"/>
              </w:rPr>
            </w:pPr>
            <w:r>
              <w:rPr>
                <w:rFonts w:ascii="Arial" w:cs="Arial" w:eastAsia="Arial" w:hAnsi="Arial"/>
                <w:sz w:val="18"/>
                <w:szCs w:val="18"/>
                <w:color w:val="auto"/>
              </w:rPr>
              <w:t>The original fair value of converted RSUs</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11,588</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10,761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0"/>
                <w:szCs w:val="20"/>
                <w:color w:val="auto"/>
              </w:rPr>
            </w:pPr>
          </w:p>
        </w:tc>
      </w:tr>
    </w:tbl>
    <w:p>
      <w:pPr>
        <w:spacing w:after="0" w:line="24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Stock-based compensation expenses were recognized in the Statement of Operations as follows:</w:t>
      </w:r>
    </w:p>
    <w:p>
      <w:pPr>
        <w:spacing w:after="0" w:line="281"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6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goods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2,533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8"/>
                <w:szCs w:val="18"/>
                <w:color w:val="auto"/>
              </w:rPr>
            </w:pPr>
          </w:p>
        </w:tc>
      </w:tr>
      <w:tr>
        <w:trPr>
          <w:trHeight w:val="223"/>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14,548</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12,661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11,649</w:t>
            </w:r>
          </w:p>
        </w:tc>
        <w:tc>
          <w:tcPr>
            <w:tcW w:w="100" w:type="dxa"/>
            <w:vAlign w:val="bottom"/>
          </w:tcPr>
          <w:p>
            <w:pPr>
              <w:spacing w:after="0"/>
              <w:rPr>
                <w:sz w:val="18"/>
                <w:szCs w:val="18"/>
                <w:color w:val="auto"/>
              </w:rPr>
            </w:pPr>
          </w:p>
        </w:tc>
      </w:tr>
      <w:tr>
        <w:trPr>
          <w:trHeight w:val="21"/>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15</w:t>
        <w:tab/>
        <w:t>-</w:t>
      </w:r>
      <w:r>
        <w:rPr>
          <w:sz w:val="20"/>
          <w:szCs w:val="20"/>
          <w:color w:val="auto"/>
        </w:rPr>
        <w:tab/>
      </w:r>
      <w:r>
        <w:rPr>
          <w:rFonts w:ascii="Arial" w:cs="Arial" w:eastAsia="Arial" w:hAnsi="Arial"/>
          <w:sz w:val="21"/>
          <w:szCs w:val="21"/>
          <w:b w:val="1"/>
          <w:bCs w:val="1"/>
          <w:color w:val="auto"/>
        </w:rPr>
        <w:t>SHAREHOLDERS’ EQUITY (Cont.)</w:t>
      </w:r>
    </w:p>
    <w:p>
      <w:pPr>
        <w:spacing w:after="0" w:line="283" w:lineRule="exact"/>
        <w:rPr>
          <w:sz w:val="20"/>
          <w:szCs w:val="20"/>
          <w:color w:val="auto"/>
        </w:rPr>
      </w:pPr>
    </w:p>
    <w:p>
      <w:pPr>
        <w:ind w:left="1880" w:hanging="575"/>
        <w:spacing w:after="0"/>
        <w:tabs>
          <w:tab w:leader="none" w:pos="18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Israeli Bank’s Capital Notes</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During the first quarter of 2019, approximately 1.2 million ordinary shares were issued following the conversion of the last remaining capital notes. As a result, as of December 31, 2019 no capital notes were outstanding.</w:t>
      </w:r>
    </w:p>
    <w:p>
      <w:pPr>
        <w:spacing w:after="0" w:line="229" w:lineRule="exact"/>
        <w:rPr>
          <w:sz w:val="20"/>
          <w:szCs w:val="20"/>
          <w:color w:val="auto"/>
        </w:rPr>
      </w:pPr>
    </w:p>
    <w:p>
      <w:pPr>
        <w:ind w:left="1880" w:hanging="575"/>
        <w:spacing w:after="0"/>
        <w:tabs>
          <w:tab w:leader="none" w:pos="18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Stock</w:t>
      </w:r>
    </w:p>
    <w:p>
      <w:pPr>
        <w:spacing w:after="0" w:line="290" w:lineRule="exact"/>
        <w:rPr>
          <w:sz w:val="20"/>
          <w:szCs w:val="20"/>
          <w:color w:val="auto"/>
        </w:rPr>
      </w:pPr>
    </w:p>
    <w:p>
      <w:pPr>
        <w:ind w:left="1880" w:right="20"/>
        <w:spacing w:after="0" w:line="301" w:lineRule="auto"/>
        <w:rPr>
          <w:sz w:val="20"/>
          <w:szCs w:val="20"/>
          <w:color w:val="auto"/>
        </w:rPr>
      </w:pPr>
      <w:r>
        <w:rPr>
          <w:rFonts w:ascii="Arial" w:cs="Arial" w:eastAsia="Arial" w:hAnsi="Arial"/>
          <w:sz w:val="21"/>
          <w:szCs w:val="21"/>
          <w:color w:val="auto"/>
        </w:rPr>
        <w:t>During 1999 and 1998, the Company funded the purchase by a trustee of an aggregate of approximately 87 thousand Tower’s ordinary shares. These shares are classified as treasury shares.</w:t>
      </w:r>
    </w:p>
    <w:p>
      <w:pPr>
        <w:spacing w:after="0" w:line="194" w:lineRule="exact"/>
        <w:rPr>
          <w:sz w:val="20"/>
          <w:szCs w:val="20"/>
          <w:color w:val="auto"/>
        </w:rPr>
      </w:pPr>
    </w:p>
    <w:p>
      <w:pPr>
        <w:ind w:left="1880" w:hanging="575"/>
        <w:spacing w:after="0"/>
        <w:tabs>
          <w:tab w:leader="none" w:pos="18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Dividend Restriction</w:t>
      </w:r>
    </w:p>
    <w:p>
      <w:pPr>
        <w:spacing w:after="0" w:line="290" w:lineRule="exact"/>
        <w:rPr>
          <w:sz w:val="20"/>
          <w:szCs w:val="20"/>
          <w:color w:val="auto"/>
        </w:rPr>
      </w:pPr>
    </w:p>
    <w:p>
      <w:pPr>
        <w:ind w:left="1880"/>
        <w:spacing w:after="0" w:line="276" w:lineRule="auto"/>
        <w:rPr>
          <w:sz w:val="20"/>
          <w:szCs w:val="20"/>
          <w:color w:val="auto"/>
        </w:rPr>
      </w:pPr>
      <w:r>
        <w:rPr>
          <w:rFonts w:ascii="Arial" w:cs="Arial" w:eastAsia="Arial" w:hAnsi="Arial"/>
          <w:sz w:val="22"/>
          <w:szCs w:val="22"/>
          <w:color w:val="auto"/>
        </w:rPr>
        <w:t>Tower is subject to limitations under Series G Debentures indenture, which enables distribution of dividends subject to satisfying certain financial ratios.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16</w:t>
        <w:tab/>
        <w:t>-</w:t>
      </w:r>
      <w:r>
        <w:rPr>
          <w:sz w:val="20"/>
          <w:szCs w:val="20"/>
          <w:color w:val="auto"/>
        </w:rPr>
        <w:tab/>
      </w:r>
      <w:r>
        <w:rPr>
          <w:rFonts w:ascii="Arial" w:cs="Arial" w:eastAsia="Arial" w:hAnsi="Arial"/>
          <w:sz w:val="21"/>
          <w:szCs w:val="21"/>
          <w:b w:val="1"/>
          <w:bCs w:val="1"/>
          <w:color w:val="auto"/>
        </w:rPr>
        <w:t>INFORMATION ON GEOGRAPHIC AREAS AND MAJOR CUSTOMERS</w:t>
      </w:r>
    </w:p>
    <w:p>
      <w:pPr>
        <w:spacing w:after="0" w:line="283" w:lineRule="exact"/>
        <w:rPr>
          <w:sz w:val="20"/>
          <w:szCs w:val="20"/>
          <w:color w:val="auto"/>
        </w:rPr>
      </w:pPr>
    </w:p>
    <w:p>
      <w:pPr>
        <w:ind w:left="1880" w:hanging="575"/>
        <w:spacing w:after="0"/>
        <w:tabs>
          <w:tab w:leader="none" w:pos="18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Revenues by Geographic Area - as Percentage of Total Revenue</w:t>
      </w:r>
    </w:p>
    <w:p>
      <w:pPr>
        <w:spacing w:after="0" w:line="28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Japan</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Europe</w:t>
            </w: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r>
      <w:tr>
        <w:trPr>
          <w:trHeight w:val="23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Represents revenues from individual countries of less than 10% each.</w:t>
      </w:r>
    </w:p>
    <w:p>
      <w:pPr>
        <w:spacing w:after="0" w:line="287"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The basis of attributing revenues from external customers to geographic area is based on the headquarter location of the customer issuing the purchase order; actual delivery may be shipped to another geographic area per customer request.</w:t>
      </w:r>
    </w:p>
    <w:p>
      <w:pPr>
        <w:spacing w:after="0" w:line="229" w:lineRule="exact"/>
        <w:rPr>
          <w:sz w:val="20"/>
          <w:szCs w:val="20"/>
          <w:color w:val="auto"/>
        </w:rPr>
      </w:pPr>
    </w:p>
    <w:p>
      <w:pPr>
        <w:ind w:left="1880" w:hanging="575"/>
        <w:spacing w:after="0"/>
        <w:tabs>
          <w:tab w:leader="none" w:pos="18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Long-Lived Assets by Geographic Area</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Substantially all of Tower’s long-lived assets are located in Israel, substantially all of Jazz’s and TJT’s long-lived assets are located in the United States and substantially all of TPSCo’s long-lived assets are located in Japan.</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7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w w:val="99"/>
              </w:rPr>
              <w:t>As of December 31,</w:t>
            </w:r>
          </w:p>
        </w:tc>
        <w:tc>
          <w:tcPr>
            <w:tcW w:w="100" w:type="dxa"/>
            <w:vAlign w:val="bottom"/>
          </w:tcPr>
          <w:p>
            <w:pPr>
              <w:spacing w:after="0"/>
              <w:rPr>
                <w:sz w:val="20"/>
                <w:szCs w:val="20"/>
                <w:color w:val="auto"/>
              </w:rPr>
            </w:pPr>
          </w:p>
        </w:tc>
      </w:tr>
      <w:tr>
        <w:trPr>
          <w:trHeight w:val="223"/>
        </w:trPr>
        <w:tc>
          <w:tcPr>
            <w:tcW w:w="7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215,419</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248,453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239,462</w:t>
            </w:r>
          </w:p>
        </w:tc>
        <w:tc>
          <w:tcPr>
            <w:tcW w:w="100" w:type="dxa"/>
            <w:vAlign w:val="bottom"/>
          </w:tcPr>
          <w:p>
            <w:pPr>
              <w:spacing w:after="0"/>
              <w:rPr>
                <w:sz w:val="18"/>
                <w:szCs w:val="18"/>
                <w:color w:val="auto"/>
              </w:rPr>
            </w:pPr>
          </w:p>
        </w:tc>
      </w:tr>
      <w:tr>
        <w:trPr>
          <w:trHeight w:val="223"/>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681,939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657,234</w:t>
            </w:r>
          </w:p>
        </w:tc>
        <w:tc>
          <w:tcPr>
            <w:tcW w:w="100" w:type="dxa"/>
            <w:vAlign w:val="bottom"/>
          </w:tcPr>
          <w:p>
            <w:pPr>
              <w:spacing w:after="0"/>
              <w:rPr>
                <w:sz w:val="18"/>
                <w:szCs w:val="18"/>
                <w:color w:val="auto"/>
              </w:rPr>
            </w:pPr>
          </w:p>
        </w:tc>
      </w:tr>
      <w:tr>
        <w:trPr>
          <w:trHeight w:val="21"/>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60" w:hanging="555"/>
        <w:spacing w:after="0"/>
        <w:tabs>
          <w:tab w:leader="none" w:pos="18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Net Accounts Receivable Balance</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As of December 31, 2019, no customer exceeded 10% of the net accounts receivable balance. As of December 31, 2018, two customers exceeded 10% of the net accounts receivable balance and represented 13% and 10% of such balance.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16</w:t>
        <w:tab/>
        <w:t>-</w:t>
      </w:r>
      <w:r>
        <w:rPr>
          <w:sz w:val="20"/>
          <w:szCs w:val="20"/>
          <w:color w:val="auto"/>
        </w:rPr>
        <w:tab/>
      </w:r>
      <w:r>
        <w:rPr>
          <w:rFonts w:ascii="Arial" w:cs="Arial" w:eastAsia="Arial" w:hAnsi="Arial"/>
          <w:sz w:val="21"/>
          <w:szCs w:val="21"/>
          <w:b w:val="1"/>
          <w:bCs w:val="1"/>
          <w:color w:val="auto"/>
        </w:rPr>
        <w:t>INFORMATION ON GEOGRAPHIC AREAS AND MAJOR CUSTOMERS (Cont.)</w:t>
      </w:r>
    </w:p>
    <w:p>
      <w:pPr>
        <w:spacing w:after="0" w:line="287" w:lineRule="exact"/>
        <w:rPr>
          <w:sz w:val="20"/>
          <w:szCs w:val="20"/>
          <w:color w:val="auto"/>
        </w:rPr>
      </w:pPr>
    </w:p>
    <w:p>
      <w:pPr>
        <w:ind w:left="2060" w:hanging="755"/>
        <w:spacing w:after="0"/>
        <w:tabs>
          <w:tab w:leader="none" w:pos="20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Major Customers - as Percentage of Total Revenue</w:t>
      </w:r>
    </w:p>
    <w:p>
      <w:pPr>
        <w:spacing w:after="0" w:line="287"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88"/>
              </w:rPr>
              <w:t>30%</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12</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customers *</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15</w:t>
            </w:r>
          </w:p>
        </w:tc>
      </w:tr>
    </w:tbl>
    <w:p>
      <w:pPr>
        <w:spacing w:after="0" w:line="256" w:lineRule="exact"/>
        <w:rPr>
          <w:sz w:val="20"/>
          <w:szCs w:val="20"/>
          <w:color w:val="auto"/>
        </w:rPr>
      </w:pPr>
    </w:p>
    <w:p>
      <w:pPr>
        <w:ind w:left="2160" w:right="20" w:hanging="288"/>
        <w:spacing w:after="0" w:line="342" w:lineRule="auto"/>
        <w:tabs>
          <w:tab w:leader="none" w:pos="21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aggregated revenue to four customers accounted between 5% and 9% of revenue during 2019, to two customers accounted for 7% and 9% of revenue during 2018, and to two customers accounted for 7% and 8% of revenue during 2017.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60" w:type="dxa"/>
            <w:vAlign w:val="bottom"/>
          </w:tcPr>
          <w:p>
            <w:pPr>
              <w:spacing w:after="0"/>
              <w:rPr>
                <w:sz w:val="20"/>
                <w:szCs w:val="20"/>
                <w:color w:val="auto"/>
              </w:rPr>
            </w:pPr>
            <w:r>
              <w:rPr>
                <w:rFonts w:ascii="Arial" w:cs="Arial" w:eastAsia="Arial" w:hAnsi="Arial"/>
                <w:sz w:val="22"/>
                <w:szCs w:val="22"/>
                <w:b w:val="1"/>
                <w:bCs w:val="1"/>
                <w:color w:val="auto"/>
              </w:rPr>
              <w:t>NOTE 17</w:t>
            </w:r>
          </w:p>
        </w:tc>
        <w:tc>
          <w:tcPr>
            <w:tcW w:w="560" w:type="dxa"/>
            <w:vAlign w:val="bottom"/>
          </w:tcPr>
          <w:p>
            <w:pPr>
              <w:jc w:val="right"/>
              <w:ind w:right="232"/>
              <w:spacing w:after="0"/>
              <w:rPr>
                <w:sz w:val="20"/>
                <w:szCs w:val="20"/>
                <w:color w:val="auto"/>
              </w:rPr>
            </w:pPr>
            <w:r>
              <w:rPr>
                <w:rFonts w:ascii="Arial" w:cs="Arial" w:eastAsia="Arial" w:hAnsi="Arial"/>
                <w:sz w:val="22"/>
                <w:szCs w:val="22"/>
                <w:b w:val="1"/>
                <w:bCs w:val="1"/>
                <w:color w:val="auto"/>
              </w:rPr>
              <w:t>-</w:t>
            </w:r>
          </w:p>
        </w:tc>
        <w:tc>
          <w:tcPr>
            <w:tcW w:w="6380" w:type="dxa"/>
            <w:vAlign w:val="bottom"/>
          </w:tcPr>
          <w:p>
            <w:pPr>
              <w:ind w:left="100"/>
              <w:spacing w:after="0"/>
              <w:rPr>
                <w:sz w:val="20"/>
                <w:szCs w:val="20"/>
                <w:color w:val="auto"/>
              </w:rPr>
            </w:pPr>
            <w:r>
              <w:rPr>
                <w:rFonts w:ascii="Arial" w:cs="Arial" w:eastAsia="Arial" w:hAnsi="Arial"/>
                <w:sz w:val="22"/>
                <w:szCs w:val="22"/>
                <w:b w:val="1"/>
                <w:bCs w:val="1"/>
                <w:color w:val="auto"/>
              </w:rPr>
              <w:t>FINANCING EXPENSE (INCOME), NET</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tcPr>
          <w:p>
            <w:pPr>
              <w:ind w:left="260"/>
              <w:spacing w:after="0"/>
              <w:rPr>
                <w:sz w:val="20"/>
                <w:szCs w:val="20"/>
                <w:color w:val="auto"/>
              </w:rPr>
            </w:pPr>
            <w:r>
              <w:rPr>
                <w:rFonts w:ascii="Arial" w:cs="Arial" w:eastAsia="Arial" w:hAnsi="Arial"/>
                <w:sz w:val="22"/>
                <w:szCs w:val="22"/>
                <w:color w:val="auto"/>
              </w:rPr>
              <w:t>Financing expense (income), net consists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7"/>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(12,949)</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(10,762)</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(4,783)</w:t>
            </w: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Jazz Notes amortization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Series G Debentures amortization, related rate differences and hedging results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3,589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Bank fees and others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3,673</w:t>
            </w:r>
          </w:p>
        </w:tc>
        <w:tc>
          <w:tcPr>
            <w:tcW w:w="2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r>
      <w:tr>
        <w:trPr>
          <w:trHeight w:val="257"/>
        </w:trPr>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30"/>
        </w:trPr>
        <w:tc>
          <w:tcPr>
            <w:tcW w:w="1060" w:type="dxa"/>
            <w:vAlign w:val="bottom"/>
          </w:tcPr>
          <w:p>
            <w:pPr>
              <w:spacing w:after="0"/>
              <w:rPr>
                <w:sz w:val="20"/>
                <w:szCs w:val="20"/>
                <w:color w:val="auto"/>
              </w:rPr>
            </w:pPr>
            <w:r>
              <w:rPr>
                <w:rFonts w:ascii="Arial" w:cs="Arial" w:eastAsia="Arial" w:hAnsi="Arial"/>
                <w:sz w:val="22"/>
                <w:szCs w:val="22"/>
                <w:b w:val="1"/>
                <w:bCs w:val="1"/>
                <w:color w:val="auto"/>
              </w:rPr>
              <w:t>NOTE 18</w:t>
            </w:r>
          </w:p>
        </w:tc>
        <w:tc>
          <w:tcPr>
            <w:tcW w:w="560" w:type="dxa"/>
            <w:vAlign w:val="bottom"/>
          </w:tcPr>
          <w:p>
            <w:pPr>
              <w:jc w:val="right"/>
              <w:ind w:right="232"/>
              <w:spacing w:after="0"/>
              <w:rPr>
                <w:sz w:val="20"/>
                <w:szCs w:val="20"/>
                <w:color w:val="auto"/>
              </w:rPr>
            </w:pPr>
            <w:r>
              <w:rPr>
                <w:rFonts w:ascii="Arial" w:cs="Arial" w:eastAsia="Arial" w:hAnsi="Arial"/>
                <w:sz w:val="22"/>
                <w:szCs w:val="22"/>
                <w:b w:val="1"/>
                <w:bCs w:val="1"/>
                <w:color w:val="auto"/>
              </w:rPr>
              <w:t>-</w:t>
            </w:r>
          </w:p>
        </w:tc>
        <w:tc>
          <w:tcPr>
            <w:tcW w:w="6380" w:type="dxa"/>
            <w:vAlign w:val="bottom"/>
          </w:tcPr>
          <w:p>
            <w:pPr>
              <w:ind w:left="100"/>
              <w:spacing w:after="0"/>
              <w:rPr>
                <w:sz w:val="20"/>
                <w:szCs w:val="20"/>
                <w:color w:val="auto"/>
              </w:rPr>
            </w:pPr>
            <w:r>
              <w:rPr>
                <w:rFonts w:ascii="Arial" w:cs="Arial" w:eastAsia="Arial" w:hAnsi="Arial"/>
                <w:sz w:val="22"/>
                <w:szCs w:val="22"/>
                <w:b w:val="1"/>
                <w:bCs w:val="1"/>
                <w:color w:val="auto"/>
              </w:rPr>
              <w:t>RELATED PARTIES BALANCES AND TRANSACTIONS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55" w:lineRule="exact"/>
        <w:rPr>
          <w:sz w:val="20"/>
          <w:szCs w:val="20"/>
          <w:color w:val="auto"/>
        </w:rPr>
      </w:pPr>
    </w:p>
    <w:p>
      <w:pPr>
        <w:ind w:left="1880" w:hanging="575"/>
        <w:spacing w:after="0"/>
        <w:tabs>
          <w:tab w:leader="none" w:pos="18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Balance:</w:t>
      </w:r>
    </w:p>
    <w:p>
      <w:pPr>
        <w:spacing w:after="0" w:line="279"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b w:val="1"/>
                <w:bCs w:val="1"/>
                <w:color w:val="auto"/>
                <w:w w:val="94"/>
              </w:rPr>
              <w:t>The nature of the relationship involved</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6"/>
          </w:tcPr>
          <w:p>
            <w:pPr>
              <w:jc w:val="right"/>
              <w:ind w:right="440"/>
              <w:spacing w:after="0"/>
              <w:rPr>
                <w:sz w:val="20"/>
                <w:szCs w:val="20"/>
                <w:color w:val="auto"/>
              </w:rPr>
            </w:pPr>
            <w:r>
              <w:rPr>
                <w:rFonts w:ascii="Arial" w:cs="Arial" w:eastAsia="Arial" w:hAnsi="Arial"/>
                <w:sz w:val="18"/>
                <w:szCs w:val="18"/>
                <w:color w:val="auto"/>
                <w:w w:val="99"/>
              </w:rPr>
              <w:t>As of December 31,</w:t>
            </w:r>
          </w:p>
        </w:tc>
      </w:tr>
      <w:tr>
        <w:trPr>
          <w:trHeight w:val="223"/>
        </w:trPr>
        <w:tc>
          <w:tcPr>
            <w:tcW w:w="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Equity investment in a limited partnership</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486"/>
        </w:trPr>
        <w:tc>
          <w:tcPr>
            <w:tcW w:w="320" w:type="dxa"/>
            <w:vAlign w:val="bottom"/>
          </w:tcPr>
          <w:p>
            <w:pPr>
              <w:spacing w:after="0"/>
              <w:rPr>
                <w:sz w:val="20"/>
                <w:szCs w:val="20"/>
                <w:color w:val="auto"/>
              </w:rPr>
            </w:pPr>
            <w:r>
              <w:rPr>
                <w:rFonts w:ascii="Arial" w:cs="Arial" w:eastAsia="Arial" w:hAnsi="Arial"/>
                <w:sz w:val="18"/>
                <w:szCs w:val="18"/>
                <w:b w:val="1"/>
                <w:bCs w:val="1"/>
                <w:color w:val="auto"/>
              </w:rPr>
              <w:t>B.</w:t>
            </w:r>
          </w:p>
        </w:tc>
        <w:tc>
          <w:tcPr>
            <w:tcW w:w="2880" w:type="dxa"/>
            <w:vAlign w:val="bottom"/>
          </w:tcPr>
          <w:p>
            <w:pPr>
              <w:ind w:left="260"/>
              <w:spacing w:after="0"/>
              <w:rPr>
                <w:sz w:val="20"/>
                <w:szCs w:val="20"/>
                <w:color w:val="auto"/>
              </w:rPr>
            </w:pPr>
            <w:r>
              <w:rPr>
                <w:rFonts w:ascii="Arial" w:cs="Arial" w:eastAsia="Arial" w:hAnsi="Arial"/>
                <w:sz w:val="18"/>
                <w:szCs w:val="18"/>
                <w:b w:val="1"/>
                <w:bCs w:val="1"/>
                <w:color w:val="auto"/>
              </w:rPr>
              <w:t>Transactions:</w:t>
            </w:r>
          </w:p>
        </w:tc>
        <w:tc>
          <w:tcPr>
            <w:tcW w:w="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 of the transactions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gridSpan w:val="8"/>
          </w:tcPr>
          <w:p>
            <w:pPr>
              <w:jc w:val="right"/>
              <w:spacing w:after="0"/>
              <w:rPr>
                <w:sz w:val="20"/>
                <w:szCs w:val="20"/>
                <w:color w:val="auto"/>
              </w:rPr>
            </w:pPr>
            <w:r>
              <w:rPr>
                <w:rFonts w:ascii="Arial" w:cs="Arial" w:eastAsia="Arial" w:hAnsi="Arial"/>
                <w:sz w:val="18"/>
                <w:szCs w:val="18"/>
                <w:color w:val="auto"/>
                <w:w w:val="88"/>
              </w:rPr>
              <w:t>Year ended December 31,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r>
      <w:tr>
        <w:trPr>
          <w:trHeight w:val="202"/>
        </w:trPr>
        <w:tc>
          <w:tcPr>
            <w:tcW w:w="320" w:type="dxa"/>
            <w:vAlign w:val="bottom"/>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34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Directors’ fees and reimbursement to</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8"/>
              </w:rPr>
              <w:t>General and Administrative expense</w:t>
            </w: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directors</w:t>
            </w:r>
          </w:p>
        </w:tc>
        <w:tc>
          <w:tcPr>
            <w:tcW w:w="8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783</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r>
      <w:tr>
        <w:trPr>
          <w:trHeight w:val="202"/>
        </w:trPr>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Non-controlling interest income (loss)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from a limited Partnership</w:t>
            </w:r>
          </w:p>
        </w:tc>
        <w:tc>
          <w:tcPr>
            <w:tcW w:w="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19</w:t>
        <w:tab/>
        <w:t>-</w:t>
      </w:r>
      <w:r>
        <w:rPr>
          <w:sz w:val="20"/>
          <w:szCs w:val="20"/>
          <w:color w:val="auto"/>
        </w:rPr>
        <w:tab/>
      </w:r>
      <w:r>
        <w:rPr>
          <w:rFonts w:ascii="Arial" w:cs="Arial" w:eastAsia="Arial" w:hAnsi="Arial"/>
          <w:sz w:val="21"/>
          <w:szCs w:val="21"/>
          <w:b w:val="1"/>
          <w:bCs w:val="1"/>
          <w:color w:val="auto"/>
        </w:rPr>
        <w:t>INCOME TAXES</w:t>
      </w:r>
    </w:p>
    <w:p>
      <w:pPr>
        <w:spacing w:after="0" w:line="283" w:lineRule="exact"/>
        <w:rPr>
          <w:sz w:val="20"/>
          <w:szCs w:val="20"/>
          <w:color w:val="auto"/>
        </w:rPr>
      </w:pPr>
    </w:p>
    <w:p>
      <w:pPr>
        <w:ind w:left="1880" w:hanging="575"/>
        <w:spacing w:after="0"/>
        <w:tabs>
          <w:tab w:leader="none" w:pos="18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Tower Approved Enterprise Status and Statutory Income Rates</w:t>
      </w:r>
    </w:p>
    <w:p>
      <w:pPr>
        <w:spacing w:after="0" w:line="290"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Substantially all of Tower’s existing facilities and other capital investments made through 2012 have been granted approved enterprise status, as provided by the Law for the Encouragement of Capital Investment (“Investments Law”).</w:t>
      </w:r>
    </w:p>
    <w:p>
      <w:pPr>
        <w:spacing w:after="0" w:line="239" w:lineRule="exact"/>
        <w:rPr>
          <w:sz w:val="20"/>
          <w:szCs w:val="20"/>
          <w:color w:val="auto"/>
        </w:rPr>
      </w:pPr>
    </w:p>
    <w:p>
      <w:pPr>
        <w:jc w:val="both"/>
        <w:ind w:left="1880"/>
        <w:spacing w:after="0" w:line="266" w:lineRule="auto"/>
        <w:rPr>
          <w:sz w:val="20"/>
          <w:szCs w:val="20"/>
          <w:color w:val="auto"/>
        </w:rPr>
      </w:pPr>
      <w:r>
        <w:rPr>
          <w:rFonts w:ascii="Arial" w:cs="Arial" w:eastAsia="Arial" w:hAnsi="Arial"/>
          <w:sz w:val="22"/>
          <w:szCs w:val="22"/>
          <w:color w:val="auto"/>
        </w:rPr>
        <w:t>Tower, as an industrial company located in Migdal Ha’emek, may elect the Preferred Enterprise regime to apply to it under the Investment Law. The election is irrevocable. Under the Preferred Enterprise Regime, Tower’s entire preferred income is subject to the tax rate of 7.5%.</w:t>
      </w:r>
    </w:p>
    <w:p>
      <w:pPr>
        <w:spacing w:after="0" w:line="239"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Income not eligible for Preferred Enterprise benefits is taxed at the regular corporate tax rate of 23% for 2019, 23% for 2018 and 24% for 2017.</w:t>
      </w:r>
    </w:p>
    <w:p>
      <w:pPr>
        <w:spacing w:after="0" w:line="228" w:lineRule="exact"/>
        <w:rPr>
          <w:sz w:val="20"/>
          <w:szCs w:val="20"/>
          <w:color w:val="auto"/>
        </w:rPr>
      </w:pPr>
    </w:p>
    <w:p>
      <w:pPr>
        <w:jc w:val="both"/>
        <w:ind w:left="1880"/>
        <w:spacing w:after="0" w:line="263" w:lineRule="auto"/>
        <w:rPr>
          <w:sz w:val="20"/>
          <w:szCs w:val="20"/>
          <w:color w:val="auto"/>
        </w:rPr>
      </w:pPr>
      <w:r>
        <w:rPr>
          <w:rFonts w:ascii="Arial" w:cs="Arial" w:eastAsia="Arial" w:hAnsi="Arial"/>
          <w:sz w:val="22"/>
          <w:szCs w:val="22"/>
          <w:color w:val="auto"/>
        </w:rPr>
        <w:t>The Company operates in a multinational tax environment and is subject to tax treaty arrangements and transfer pricing guidelines for intercompany transactions. The Company is basing its positions on studies that are customary, acceptable and are in compliance with international tax rules in the jurisdictions the Company operates in.</w:t>
      </w:r>
    </w:p>
    <w:p>
      <w:pPr>
        <w:spacing w:after="0" w:line="236" w:lineRule="exact"/>
        <w:rPr>
          <w:sz w:val="20"/>
          <w:szCs w:val="20"/>
          <w:color w:val="auto"/>
        </w:rPr>
      </w:pPr>
    </w:p>
    <w:tbl>
      <w:tblPr>
        <w:tblLayout w:type="fixed"/>
        <w:tblInd w:w="1300" w:type="dxa"/>
        <w:tblCellMar>
          <w:top w:w="0" w:type="dxa"/>
          <w:left w:w="0" w:type="dxa"/>
          <w:bottom w:w="0" w:type="dxa"/>
          <w:right w:w="0" w:type="dxa"/>
        </w:tblCellMar>
      </w:tblPr>
      <w:tr>
        <w:trPr>
          <w:trHeight w:val="281"/>
        </w:trPr>
        <w:tc>
          <w:tcPr>
            <w:tcW w:w="320" w:type="dxa"/>
            <w:vAlign w:val="bottom"/>
          </w:tcPr>
          <w:p>
            <w:pPr>
              <w:spacing w:after="0"/>
              <w:rPr>
                <w:sz w:val="20"/>
                <w:szCs w:val="20"/>
                <w:color w:val="auto"/>
              </w:rPr>
            </w:pPr>
            <w:r>
              <w:rPr>
                <w:rFonts w:ascii="Arial" w:cs="Arial" w:eastAsia="Arial" w:hAnsi="Arial"/>
                <w:sz w:val="22"/>
                <w:szCs w:val="22"/>
                <w:b w:val="1"/>
                <w:bCs w:val="1"/>
                <w:color w:val="auto"/>
              </w:rPr>
              <w:t>B.</w:t>
            </w:r>
          </w:p>
        </w:tc>
        <w:tc>
          <w:tcPr>
            <w:tcW w:w="6380" w:type="dxa"/>
            <w:vAlign w:val="bottom"/>
          </w:tcPr>
          <w:p>
            <w:pPr>
              <w:ind w:left="200"/>
              <w:spacing w:after="0"/>
              <w:rPr>
                <w:sz w:val="20"/>
                <w:szCs w:val="20"/>
                <w:color w:val="auto"/>
              </w:rPr>
            </w:pPr>
            <w:r>
              <w:rPr>
                <w:rFonts w:ascii="Arial" w:cs="Arial" w:eastAsia="Arial" w:hAnsi="Arial"/>
                <w:sz w:val="22"/>
                <w:szCs w:val="22"/>
                <w:b w:val="1"/>
                <w:bCs w:val="1"/>
                <w:color w:val="auto"/>
              </w:rPr>
              <w:t>Income Tax Provision</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320" w:type="dxa"/>
            <w:vAlign w:val="bottom"/>
          </w:tcPr>
          <w:p>
            <w:pPr>
              <w:spacing w:after="0"/>
              <w:rPr>
                <w:sz w:val="24"/>
                <w:szCs w:val="24"/>
                <w:color w:val="auto"/>
              </w:rPr>
            </w:pPr>
          </w:p>
        </w:tc>
        <w:tc>
          <w:tcPr>
            <w:tcW w:w="6380" w:type="dxa"/>
            <w:vAlign w:val="bottom"/>
          </w:tcPr>
          <w:p>
            <w:pPr>
              <w:ind w:left="160"/>
              <w:spacing w:after="0"/>
              <w:rPr>
                <w:sz w:val="20"/>
                <w:szCs w:val="20"/>
                <w:color w:val="auto"/>
              </w:rPr>
            </w:pPr>
            <w:r>
              <w:rPr>
                <w:rFonts w:ascii="Arial" w:cs="Arial" w:eastAsia="Arial" w:hAnsi="Arial"/>
                <w:sz w:val="22"/>
                <w:szCs w:val="22"/>
                <w:color w:val="auto"/>
              </w:rPr>
              <w:t>The Company’s income tax provision is as follows: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7"/>
        </w:trPr>
        <w:tc>
          <w:tcPr>
            <w:tcW w:w="3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Local</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2,164</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tax expense (benefit):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Local (see F below)</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(82,370)</w:t>
            </w:r>
          </w:p>
        </w:tc>
      </w:tr>
      <w:tr>
        <w:trPr>
          <w:trHeight w:val="223"/>
        </w:trPr>
        <w:tc>
          <w:tcPr>
            <w:tcW w:w="320" w:type="dxa"/>
            <w:vAlign w:val="bottom"/>
          </w:tcPr>
          <w:p>
            <w:pPr>
              <w:spacing w:after="0"/>
              <w:rPr>
                <w:sz w:val="19"/>
                <w:szCs w:val="19"/>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Foreign(*) (see E below)</w:t>
            </w: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(5,163)</w:t>
            </w: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(14,815)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(27,210)</w:t>
            </w:r>
          </w:p>
        </w:tc>
      </w:tr>
      <w:tr>
        <w:trPr>
          <w:trHeight w:val="257"/>
        </w:trPr>
        <w:tc>
          <w:tcPr>
            <w:tcW w:w="320" w:type="dxa"/>
            <w:vAlign w:val="bottom"/>
          </w:tcPr>
          <w:p>
            <w:pPr>
              <w:spacing w:after="0"/>
              <w:rPr>
                <w:sz w:val="22"/>
                <w:szCs w:val="22"/>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87"/>
        </w:trPr>
        <w:tc>
          <w:tcPr>
            <w:tcW w:w="3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Profit (loss) before taxes: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Domestic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103,432</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142,831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198,008</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Foreign (*)</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(12,411)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8"/>
                <w:szCs w:val="18"/>
                <w:color w:val="auto"/>
              </w:rPr>
            </w:pPr>
          </w:p>
        </w:tc>
      </w:tr>
      <w:tr>
        <w:trPr>
          <w:trHeight w:val="27"/>
        </w:trPr>
        <w:tc>
          <w:tcPr>
            <w:tcW w:w="320" w:type="dxa"/>
            <w:vAlign w:val="bottom"/>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profit before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91,021</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139,317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201,768</w:t>
            </w:r>
          </w:p>
        </w:tc>
        <w:tc>
          <w:tcPr>
            <w:tcW w:w="10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60" w:right="3200" w:hanging="3588"/>
        <w:spacing w:after="0" w:line="430" w:lineRule="auto"/>
        <w:tabs>
          <w:tab w:leader="none" w:pos="2182" w:val="left"/>
        </w:tabs>
        <w:numPr>
          <w:ilvl w:val="0"/>
          <w:numId w:val="81"/>
        </w:numPr>
        <w:rPr>
          <w:rFonts w:ascii="Arial" w:cs="Arial" w:eastAsia="Arial" w:hAnsi="Arial"/>
          <w:sz w:val="22"/>
          <w:szCs w:val="22"/>
          <w:color w:val="auto"/>
        </w:rPr>
      </w:pPr>
      <w:r>
        <w:rPr>
          <w:rFonts w:ascii="Arial" w:cs="Arial" w:eastAsia="Arial" w:hAnsi="Arial"/>
          <w:sz w:val="22"/>
          <w:szCs w:val="22"/>
          <w:color w:val="auto"/>
        </w:rPr>
        <w:t>Foreign are amounts related to Tower’s Japanese and US subsidiaries. 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19</w:t>
        <w:tab/>
        <w:t>-</w:t>
      </w:r>
      <w:r>
        <w:rPr>
          <w:sz w:val="20"/>
          <w:szCs w:val="20"/>
          <w:color w:val="auto"/>
        </w:rPr>
        <w:tab/>
      </w:r>
      <w:r>
        <w:rPr>
          <w:rFonts w:ascii="Arial" w:cs="Arial" w:eastAsia="Arial" w:hAnsi="Arial"/>
          <w:sz w:val="21"/>
          <w:szCs w:val="21"/>
          <w:b w:val="1"/>
          <w:bCs w:val="1"/>
          <w:color w:val="auto"/>
        </w:rPr>
        <w:t>INCOME TAXES (Cont.)</w:t>
      </w:r>
    </w:p>
    <w:p>
      <w:pPr>
        <w:spacing w:after="0" w:line="287" w:lineRule="exact"/>
        <w:rPr>
          <w:sz w:val="20"/>
          <w:szCs w:val="20"/>
          <w:color w:val="auto"/>
        </w:rPr>
      </w:pPr>
    </w:p>
    <w:p>
      <w:pPr>
        <w:ind w:left="1840" w:hanging="535"/>
        <w:spacing w:after="0"/>
        <w:tabs>
          <w:tab w:leader="none" w:pos="184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Components of Deferred Tax Asset/Liability</w:t>
      </w:r>
    </w:p>
    <w:p>
      <w:pPr>
        <w:spacing w:after="0" w:line="293" w:lineRule="exact"/>
        <w:rPr>
          <w:sz w:val="20"/>
          <w:szCs w:val="20"/>
          <w:color w:val="auto"/>
        </w:rPr>
      </w:pPr>
    </w:p>
    <w:p>
      <w:pPr>
        <w:ind w:left="1880" w:right="20"/>
        <w:spacing w:after="0" w:line="276" w:lineRule="auto"/>
        <w:rPr>
          <w:sz w:val="20"/>
          <w:szCs w:val="20"/>
          <w:color w:val="auto"/>
        </w:rPr>
      </w:pPr>
      <w:r>
        <w:rPr>
          <w:rFonts w:ascii="Arial" w:cs="Arial" w:eastAsia="Arial" w:hAnsi="Arial"/>
          <w:sz w:val="22"/>
          <w:szCs w:val="22"/>
          <w:color w:val="auto"/>
        </w:rPr>
        <w:t>The following is a summary of the components of the deferred tax assets and liabilities reflected in the balance sheets as of the respective dates (*)</w:t>
      </w:r>
    </w:p>
    <w:p>
      <w:pPr>
        <w:spacing w:after="0" w:line="222"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right"/>
              <w:ind w:right="420"/>
              <w:spacing w:after="0"/>
              <w:rPr>
                <w:sz w:val="20"/>
                <w:szCs w:val="20"/>
                <w:color w:val="auto"/>
              </w:rPr>
            </w:pPr>
            <w:r>
              <w:rPr>
                <w:rFonts w:ascii="Arial" w:cs="Arial" w:eastAsia="Arial" w:hAnsi="Arial"/>
                <w:sz w:val="18"/>
                <w:szCs w:val="18"/>
                <w:color w:val="auto"/>
              </w:rPr>
              <w:t>As of December 31,</w:t>
            </w:r>
          </w:p>
        </w:tc>
      </w:tr>
      <w:tr>
        <w:trPr>
          <w:trHeight w:val="223"/>
        </w:trPr>
        <w:tc>
          <w:tcPr>
            <w:tcW w:w="7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and liability - long-term:</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46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78,783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87,325</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Employees benefits and compensation</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15,276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12,292</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CEEFF"/>
          </w:tcPr>
          <w:p>
            <w:pPr>
              <w:spacing w:after="0"/>
              <w:rPr>
                <w:sz w:val="18"/>
                <w:szCs w:val="18"/>
                <w:color w:val="auto"/>
              </w:rPr>
            </w:pPr>
          </w:p>
        </w:tc>
      </w:tr>
      <w:tr>
        <w:trPr>
          <w:trHeight w:val="27"/>
        </w:trPr>
        <w:tc>
          <w:tcPr>
            <w:tcW w:w="7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107,287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112,884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see F below</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(5,834)</w:t>
            </w:r>
          </w:p>
        </w:tc>
      </w:tr>
      <w:tr>
        <w:trPr>
          <w:trHeight w:val="27"/>
        </w:trPr>
        <w:tc>
          <w:tcPr>
            <w:tcW w:w="7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100,021</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107,050</w:t>
            </w:r>
          </w:p>
        </w:tc>
        <w:tc>
          <w:tcPr>
            <w:tcW w:w="100" w:type="dxa"/>
            <w:vAlign w:val="bottom"/>
          </w:tcPr>
          <w:p>
            <w:pPr>
              <w:spacing w:after="0"/>
              <w:rPr>
                <w:sz w:val="18"/>
                <w:szCs w:val="18"/>
                <w:color w:val="auto"/>
              </w:rPr>
            </w:pPr>
          </w:p>
        </w:tc>
      </w:tr>
      <w:tr>
        <w:trPr>
          <w:trHeight w:val="21"/>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tax liabilities- long-term:</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(77,966)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(82,001)</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Gain on TPSCo acquisition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r>
      <w:tr>
        <w:trPr>
          <w:trHeight w:val="257"/>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(78,897)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37"/>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Presented in long term deferred tax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66,362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73,460</w:t>
            </w:r>
          </w:p>
        </w:tc>
      </w:tr>
      <w:tr>
        <w:trPr>
          <w:trHeight w:val="20"/>
        </w:trPr>
        <w:tc>
          <w:tcPr>
            <w:tcW w:w="7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8"/>
                <w:szCs w:val="18"/>
                <w:color w:val="auto"/>
              </w:rPr>
              <w:t>Presented in long term deferred tax liabilities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(45,238)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(50,401)</w:t>
            </w:r>
          </w:p>
        </w:tc>
      </w:tr>
      <w:tr>
        <w:trPr>
          <w:trHeight w:val="21"/>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ind w:left="1880" w:hanging="8"/>
        <w:spacing w:after="0" w:line="276" w:lineRule="auto"/>
        <w:tabs>
          <w:tab w:leader="none" w:pos="2186" w:val="left"/>
        </w:tabs>
        <w:numPr>
          <w:ilvl w:val="0"/>
          <w:numId w:val="83"/>
        </w:numPr>
        <w:rPr>
          <w:rFonts w:ascii="Arial" w:cs="Arial" w:eastAsia="Arial" w:hAnsi="Arial"/>
          <w:sz w:val="22"/>
          <w:szCs w:val="22"/>
          <w:color w:val="auto"/>
        </w:rPr>
      </w:pPr>
      <w:r>
        <w:rPr>
          <w:rFonts w:ascii="Arial" w:cs="Arial" w:eastAsia="Arial" w:hAnsi="Arial"/>
          <w:sz w:val="22"/>
          <w:szCs w:val="22"/>
          <w:color w:val="auto"/>
        </w:rPr>
        <w:t>Deferred tax assets and liabilities relating to Tower for the years 2019 and 2018 are computed based on the Israeli preferred enterprise tax rate of 7.5%.</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19</w:t>
        <w:tab/>
        <w:t>-</w:t>
      </w:r>
      <w:r>
        <w:rPr>
          <w:sz w:val="20"/>
          <w:szCs w:val="20"/>
          <w:color w:val="auto"/>
        </w:rPr>
        <w:tab/>
      </w:r>
      <w:r>
        <w:rPr>
          <w:rFonts w:ascii="Arial" w:cs="Arial" w:eastAsia="Arial" w:hAnsi="Arial"/>
          <w:sz w:val="21"/>
          <w:szCs w:val="21"/>
          <w:b w:val="1"/>
          <w:bCs w:val="1"/>
          <w:color w:val="auto"/>
        </w:rPr>
        <w:t>INCOME TAXES (Cont.)</w:t>
      </w:r>
    </w:p>
    <w:p>
      <w:pPr>
        <w:spacing w:after="0" w:line="283" w:lineRule="exact"/>
        <w:rPr>
          <w:sz w:val="20"/>
          <w:szCs w:val="20"/>
          <w:color w:val="auto"/>
        </w:rPr>
      </w:pPr>
    </w:p>
    <w:p>
      <w:pPr>
        <w:ind w:left="1880" w:hanging="575"/>
        <w:spacing w:after="0"/>
        <w:tabs>
          <w:tab w:leader="none" w:pos="18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Unrecognized Tax Benefit</w:t>
      </w:r>
    </w:p>
    <w:p>
      <w:pPr>
        <w:spacing w:after="0" w:line="290" w:lineRule="exact"/>
        <w:rPr>
          <w:sz w:val="20"/>
          <w:szCs w:val="20"/>
          <w:color w:val="auto"/>
        </w:rPr>
      </w:pPr>
    </w:p>
    <w:p>
      <w:pPr>
        <w:jc w:val="right"/>
        <w:ind w:right="1260"/>
        <w:spacing w:after="0"/>
        <w:rPr>
          <w:sz w:val="20"/>
          <w:szCs w:val="20"/>
          <w:color w:val="auto"/>
        </w:rPr>
      </w:pPr>
      <w:r>
        <w:rPr>
          <w:rFonts w:ascii="Arial" w:cs="Arial" w:eastAsia="Arial" w:hAnsi="Arial"/>
          <w:sz w:val="22"/>
          <w:szCs w:val="22"/>
          <w:color w:val="auto"/>
        </w:rPr>
        <w:t>A reconciliation of the beginning and ending amount of unrecognized tax benefits is as follows: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-121920</wp:posOffset>
            </wp:positionV>
            <wp:extent cx="622617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Additions for tax positions of current year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Reduction due to statute of limitation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-116205</wp:posOffset>
            </wp:positionV>
            <wp:extent cx="622617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December 31, 2019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-121920</wp:posOffset>
            </wp:positionV>
            <wp:extent cx="62261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Additions for tax positions of current year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Reduction due to statute of limitation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-116205</wp:posOffset>
            </wp:positionV>
            <wp:extent cx="622617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December 31,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-121920</wp:posOffset>
            </wp:positionV>
            <wp:extent cx="622617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Additions for tax positions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Reduction of prior years’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-130810</wp:posOffset>
            </wp:positionV>
            <wp:extent cx="622617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December 31, 2017</w:t>
      </w:r>
    </w:p>
    <w:p>
      <w:pPr>
        <w:spacing w:after="0" w:line="329" w:lineRule="exact"/>
        <w:rPr>
          <w:sz w:val="20"/>
          <w:szCs w:val="20"/>
          <w:color w:val="auto"/>
        </w:rPr>
      </w:pPr>
    </w:p>
    <w:p>
      <w:pPr>
        <w:ind w:left="1880" w:hanging="575"/>
        <w:spacing w:after="0"/>
        <w:tabs>
          <w:tab w:leader="none" w:pos="18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Income Tax Rates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Unrecognized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6040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 w:lineRule="exact"/>
        <w:rPr>
          <w:sz w:val="20"/>
          <w:szCs w:val="20"/>
          <w:color w:val="auto"/>
        </w:rPr>
      </w:pPr>
    </w:p>
    <w:p>
      <w:pPr>
        <w:ind w:left="560" w:hanging="554"/>
        <w:spacing w:after="0"/>
        <w:tabs>
          <w:tab w:leader="none" w:pos="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14,783</w:t>
      </w:r>
    </w:p>
    <w:p>
      <w:pPr>
        <w:spacing w:after="0" w:line="3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778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(448)</w:t>
      </w:r>
    </w:p>
    <w:p>
      <w:pPr>
        <w:spacing w:after="0" w:line="22" w:lineRule="exact"/>
        <w:rPr>
          <w:sz w:val="20"/>
          <w:szCs w:val="20"/>
          <w:color w:val="auto"/>
        </w:rPr>
      </w:pPr>
    </w:p>
    <w:p>
      <w:pPr>
        <w:ind w:left="560" w:hanging="554"/>
        <w:spacing w:after="0"/>
        <w:tabs>
          <w:tab w:leader="none" w:pos="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15,113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60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47625</wp:posOffset>
            </wp:positionV>
            <wp:extent cx="660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Unrecognized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6040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 w:lineRule="exact"/>
        <w:rPr>
          <w:sz w:val="20"/>
          <w:szCs w:val="20"/>
          <w:color w:val="auto"/>
        </w:rPr>
      </w:pPr>
    </w:p>
    <w:p>
      <w:pPr>
        <w:ind w:left="560" w:hanging="554"/>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15,286</w:t>
      </w:r>
    </w:p>
    <w:p>
      <w:pPr>
        <w:spacing w:after="0" w:line="3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716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(1,219)</w:t>
      </w:r>
    </w:p>
    <w:p>
      <w:pPr>
        <w:spacing w:after="0" w:line="22" w:lineRule="exact"/>
        <w:rPr>
          <w:sz w:val="20"/>
          <w:szCs w:val="20"/>
          <w:color w:val="auto"/>
        </w:rPr>
      </w:pPr>
    </w:p>
    <w:p>
      <w:pPr>
        <w:ind w:left="560" w:hanging="554"/>
        <w:spacing w:after="0"/>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14,783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60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47625</wp:posOffset>
            </wp:positionV>
            <wp:extent cx="6604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Unrecognized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6040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 w:lineRule="exact"/>
        <w:rPr>
          <w:sz w:val="20"/>
          <w:szCs w:val="20"/>
          <w:color w:val="auto"/>
        </w:rPr>
      </w:pPr>
    </w:p>
    <w:p>
      <w:pPr>
        <w:ind w:left="640" w:hanging="634"/>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8,969</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8,753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(2,436)</w:t>
      </w:r>
    </w:p>
    <w:p>
      <w:pPr>
        <w:spacing w:after="0" w:line="22" w:lineRule="exact"/>
        <w:rPr>
          <w:sz w:val="20"/>
          <w:szCs w:val="20"/>
          <w:color w:val="auto"/>
        </w:rPr>
      </w:pPr>
    </w:p>
    <w:p>
      <w:pPr>
        <w:ind w:left="560" w:hanging="554"/>
        <w:spacing w:after="0"/>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15,286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60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47625</wp:posOffset>
            </wp:positionV>
            <wp:extent cx="6604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747" w:lineRule="exact"/>
        <w:rPr>
          <w:sz w:val="20"/>
          <w:szCs w:val="20"/>
          <w:color w:val="auto"/>
        </w:rPr>
      </w:pPr>
    </w:p>
    <w:p>
      <w:pPr>
        <w:sectPr>
          <w:pgSz w:w="11900" w:h="16838" w:orient="portrait"/>
          <w:cols w:equalWidth="0" w:num="2">
            <w:col w:w="9560" w:space="720"/>
            <w:col w:w="1140"/>
          </w:cols>
          <w:pgMar w:left="240" w:top="126" w:right="239" w:bottom="1440" w:gutter="0" w:footer="0" w:header="0"/>
          <w:type w:val="continuous"/>
        </w:sectPr>
      </w:pPr>
    </w:p>
    <w:p>
      <w:pPr>
        <w:spacing w:after="0" w:line="90" w:lineRule="exact"/>
        <w:rPr>
          <w:sz w:val="20"/>
          <w:szCs w:val="20"/>
          <w:color w:val="auto"/>
        </w:rPr>
      </w:pPr>
    </w:p>
    <w:p>
      <w:pPr>
        <w:jc w:val="both"/>
        <w:ind w:left="1880"/>
        <w:spacing w:after="0" w:line="259" w:lineRule="auto"/>
        <w:rPr>
          <w:sz w:val="20"/>
          <w:szCs w:val="20"/>
          <w:color w:val="auto"/>
        </w:rPr>
      </w:pPr>
      <w:r>
        <w:rPr>
          <w:rFonts w:ascii="Arial" w:cs="Arial" w:eastAsia="Arial" w:hAnsi="Arial"/>
          <w:sz w:val="22"/>
          <w:szCs w:val="22"/>
          <w:color w:val="auto"/>
        </w:rPr>
        <w:t>In December 2017, the Tax Cut and Jobs Act (the “Act”) was signed into law, which enacts significant changes to U.S. federal corporate tax and related laws. Some of the provisions of the Act affecting corporations include, but are not limited to: (i) a reduction of the U.S. Federal corporate income tax rate from 35% to 21%; (ii) limiting the interest expense deduction; (iii) expensing of cost of acquired qualified property; (iv) elimination of the domestic production activities deduction; (v) elimination of Alternative Minimum Tax (“AMT”) and (vi) refund ability of AMT credits, which were generated prior to the Act, in 2018 and thereafter.</w:t>
      </w:r>
    </w:p>
    <w:p>
      <w:pPr>
        <w:spacing w:after="0" w:line="250" w:lineRule="exact"/>
        <w:rPr>
          <w:sz w:val="20"/>
          <w:szCs w:val="20"/>
          <w:color w:val="auto"/>
        </w:rPr>
      </w:pPr>
    </w:p>
    <w:p>
      <w:pPr>
        <w:jc w:val="both"/>
        <w:ind w:left="1880"/>
        <w:spacing w:after="0" w:line="276" w:lineRule="auto"/>
        <w:rPr>
          <w:sz w:val="20"/>
          <w:szCs w:val="20"/>
          <w:color w:val="auto"/>
        </w:rPr>
      </w:pPr>
      <w:r>
        <w:rPr>
          <w:rFonts w:ascii="Arial" w:cs="Arial" w:eastAsia="Arial" w:hAnsi="Arial"/>
          <w:sz w:val="22"/>
          <w:szCs w:val="22"/>
          <w:color w:val="auto"/>
        </w:rPr>
        <w:t>Tower US Holdings recorded in the twelve months ended December 31, 2017 a non-cash income tax benefit in the amount of approximately $13,000 for Act-related impacts.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19</w:t>
        <w:tab/>
        <w:t>-</w:t>
      </w:r>
      <w:r>
        <w:rPr>
          <w:sz w:val="20"/>
          <w:szCs w:val="20"/>
          <w:color w:val="auto"/>
        </w:rPr>
        <w:tab/>
      </w:r>
      <w:r>
        <w:rPr>
          <w:rFonts w:ascii="Arial" w:cs="Arial" w:eastAsia="Arial" w:hAnsi="Arial"/>
          <w:sz w:val="21"/>
          <w:szCs w:val="21"/>
          <w:b w:val="1"/>
          <w:bCs w:val="1"/>
          <w:color w:val="auto"/>
        </w:rPr>
        <w:t>INCOME TAXES (Cont.)</w:t>
      </w:r>
    </w:p>
    <w:p>
      <w:pPr>
        <w:spacing w:after="0" w:line="283" w:lineRule="exact"/>
        <w:rPr>
          <w:sz w:val="20"/>
          <w:szCs w:val="20"/>
          <w:color w:val="auto"/>
        </w:rPr>
      </w:pPr>
    </w:p>
    <w:p>
      <w:pPr>
        <w:ind w:left="1880" w:hanging="575"/>
        <w:spacing w:after="0"/>
        <w:tabs>
          <w:tab w:leader="none" w:pos="18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Income Tax Rates (Cont.)</w:t>
      </w:r>
    </w:p>
    <w:p>
      <w:pPr>
        <w:spacing w:after="0" w:line="290"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The reconciliation of the statutory tax rate to the effective tax rate is as follows:</w:t>
      </w:r>
    </w:p>
    <w:p>
      <w:pPr>
        <w:spacing w:after="0" w:line="281"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Tax expense computed at statutory rates, see (*) below</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48,433</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Effect of tax rate change on deferred tax liabilities, net (**)</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(16,078)</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6"/>
              </w:rPr>
              <w:t>Effect of different tax rates in different jurisdictions and Preferred Enterprise Benefit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(16,396)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(33,298)</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Change in Valuation allowance, see F below</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(962)</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(82,772)</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Tax benefits for which deferred taxes were not recorded, see F below</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(15,103)</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Permanent differences and other, net</w:t>
            </w: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(1,516)</w:t>
            </w:r>
          </w:p>
        </w:tc>
        <w:tc>
          <w:tcPr>
            <w:tcW w:w="2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(1,070)</w:t>
            </w:r>
          </w:p>
        </w:tc>
      </w:tr>
      <w:tr>
        <w:trPr>
          <w:trHeight w:val="257"/>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ind w:left="1880"/>
        <w:spacing w:after="0" w:line="258" w:lineRule="auto"/>
        <w:rPr>
          <w:sz w:val="20"/>
          <w:szCs w:val="20"/>
          <w:color w:val="auto"/>
        </w:rPr>
      </w:pPr>
      <w:r>
        <w:rPr>
          <w:rFonts w:ascii="Arial" w:cs="Arial" w:eastAsia="Arial" w:hAnsi="Arial"/>
          <w:sz w:val="22"/>
          <w:szCs w:val="22"/>
          <w:color w:val="auto"/>
        </w:rPr>
        <w:t>(*) The tax expense (benefit) was computed based on Tower’s regular corporate tax rate of 23% for 2019, 23% for 2018 and 24% for 2017.</w:t>
      </w:r>
    </w:p>
    <w:p>
      <w:pPr>
        <w:ind w:left="1880"/>
        <w:spacing w:after="0"/>
        <w:rPr>
          <w:sz w:val="20"/>
          <w:szCs w:val="20"/>
          <w:color w:val="auto"/>
        </w:rPr>
      </w:pPr>
      <w:r>
        <w:rPr>
          <w:rFonts w:ascii="Arial" w:cs="Arial" w:eastAsia="Arial" w:hAnsi="Arial"/>
          <w:sz w:val="22"/>
          <w:szCs w:val="22"/>
          <w:color w:val="auto"/>
        </w:rPr>
        <w:t>(**) Reduction in tax rates due to the U.S. Tax Reform and reduction in income tax rates in Japan.</w:t>
      </w:r>
    </w:p>
    <w:p>
      <w:pPr>
        <w:spacing w:after="0" w:line="272" w:lineRule="exact"/>
        <w:rPr>
          <w:sz w:val="20"/>
          <w:szCs w:val="20"/>
          <w:color w:val="auto"/>
        </w:rPr>
      </w:pPr>
    </w:p>
    <w:p>
      <w:pPr>
        <w:ind w:left="1880" w:hanging="575"/>
        <w:spacing w:after="0"/>
        <w:tabs>
          <w:tab w:leader="none" w:pos="18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Carryforward</w:t>
      </w:r>
    </w:p>
    <w:p>
      <w:pPr>
        <w:spacing w:after="0" w:line="290" w:lineRule="exact"/>
        <w:rPr>
          <w:sz w:val="20"/>
          <w:szCs w:val="20"/>
          <w:color w:val="auto"/>
        </w:rPr>
      </w:pPr>
    </w:p>
    <w:p>
      <w:pPr>
        <w:jc w:val="both"/>
        <w:ind w:left="1880"/>
        <w:spacing w:after="0" w:line="301" w:lineRule="auto"/>
        <w:rPr>
          <w:sz w:val="20"/>
          <w:szCs w:val="20"/>
          <w:color w:val="auto"/>
        </w:rPr>
      </w:pPr>
      <w:r>
        <w:rPr>
          <w:rFonts w:ascii="Arial" w:cs="Arial" w:eastAsia="Arial" w:hAnsi="Arial"/>
          <w:sz w:val="19"/>
          <w:szCs w:val="19"/>
          <w:color w:val="auto"/>
        </w:rPr>
        <w:t>As of December 31, 2019, Tower had net operating loss carryforward for tax purposes of approximately $1,000,000 which may be carried forward indefinitely. For the year ended December 31, 2016, Tower recorded a valuation allowance for deferred tax assets as it was unable to conclude that it is more-likely-than-not that such deferred tax assets would be realized. As of December 31, 2017, Tower concluded that realization of net deferred assets is more likely than not as required by ASC 740-10-30-5(e). Tower considered both positive and negative factors. Positive factors include the Israeli accumulated profit before tax for 2017 and recent years, projections for taxable income in Israel in the near term and the unlimited time for the utilization of the losses carryforward. The negative factors considered include Tower’s history of operating losses, the uncertainty in estimating the future generation of sufficient taxable income in Israel to utilize the loss carryforward in the amount noted above taking into account that it operates in the cyclical industry of semiconductors and other trends affecting Tower’s ability to sustain its current level of income. Weighing all the above, Tower concluded in 2017 that it is more likely than not that taxable income will be generated and released entirely the valuation allowance related to the Israeli accumulated losses.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(dollars in thousands, except per share data)</w:t>
      </w:r>
    </w:p>
    <w:p>
      <w:pPr>
        <w:spacing w:after="0" w:line="277" w:lineRule="exact"/>
        <w:rPr>
          <w:sz w:val="20"/>
          <w:szCs w:val="20"/>
          <w:color w:val="auto"/>
        </w:rPr>
      </w:pPr>
    </w:p>
    <w:p>
      <w:pPr>
        <w:spacing w:after="0"/>
        <w:tabs>
          <w:tab w:leader="none" w:pos="1200" w:val="left"/>
          <w:tab w:leader="none" w:pos="1700" w:val="left"/>
        </w:tabs>
        <w:rPr>
          <w:sz w:val="20"/>
          <w:szCs w:val="20"/>
          <w:color w:val="auto"/>
        </w:rPr>
      </w:pPr>
      <w:r>
        <w:rPr>
          <w:rFonts w:ascii="Arial" w:cs="Arial" w:eastAsia="Arial" w:hAnsi="Arial"/>
          <w:sz w:val="22"/>
          <w:szCs w:val="22"/>
          <w:b w:val="1"/>
          <w:bCs w:val="1"/>
          <w:color w:val="auto"/>
        </w:rPr>
        <w:t>NOTE 19</w:t>
        <w:tab/>
        <w:t>-</w:t>
      </w:r>
      <w:r>
        <w:rPr>
          <w:sz w:val="20"/>
          <w:szCs w:val="20"/>
          <w:color w:val="auto"/>
        </w:rPr>
        <w:tab/>
      </w:r>
      <w:r>
        <w:rPr>
          <w:rFonts w:ascii="Arial" w:cs="Arial" w:eastAsia="Arial" w:hAnsi="Arial"/>
          <w:sz w:val="21"/>
          <w:szCs w:val="21"/>
          <w:b w:val="1"/>
          <w:bCs w:val="1"/>
          <w:color w:val="auto"/>
        </w:rPr>
        <w:t>INCOME TAXES (Cont.)</w:t>
      </w:r>
    </w:p>
    <w:p>
      <w:pPr>
        <w:spacing w:after="0" w:line="283" w:lineRule="exact"/>
        <w:rPr>
          <w:sz w:val="20"/>
          <w:szCs w:val="20"/>
          <w:color w:val="auto"/>
        </w:rPr>
      </w:pPr>
    </w:p>
    <w:p>
      <w:pPr>
        <w:ind w:left="1880" w:hanging="575"/>
        <w:spacing w:after="0"/>
        <w:tabs>
          <w:tab w:leader="none" w:pos="18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Carryforward (Cont.)</w:t>
      </w:r>
    </w:p>
    <w:p>
      <w:pPr>
        <w:spacing w:after="0" w:line="290" w:lineRule="exact"/>
        <w:rPr>
          <w:sz w:val="20"/>
          <w:szCs w:val="20"/>
          <w:color w:val="auto"/>
        </w:rPr>
      </w:pPr>
    </w:p>
    <w:p>
      <w:pPr>
        <w:jc w:val="both"/>
        <w:ind w:left="1880"/>
        <w:spacing w:after="0" w:line="305" w:lineRule="auto"/>
        <w:rPr>
          <w:sz w:val="20"/>
          <w:szCs w:val="20"/>
          <w:color w:val="auto"/>
        </w:rPr>
      </w:pPr>
      <w:r>
        <w:rPr>
          <w:rFonts w:ascii="Arial" w:cs="Arial" w:eastAsia="Arial" w:hAnsi="Arial"/>
          <w:sz w:val="19"/>
          <w:szCs w:val="19"/>
          <w:color w:val="auto"/>
        </w:rPr>
        <w:t>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 Jazz has had two “change in ownership” events that limit the utilization of net operating loss carryforward. The first “change in ownership” event occurred in February 2007 upon Jazz Technologies’ acquisition of Jazz Semiconductor. The second “change in ownership” event occurred in September 2008, upon Tower’s acquisition of Jazz. Jazz concluded that the net operating loss limitation for the change in ownership which occurred in September 2008 will be an annual utilization of approximately $ 2,100 in its tax return.</w:t>
      </w:r>
    </w:p>
    <w:p>
      <w:pPr>
        <w:spacing w:after="0" w:line="210" w:lineRule="exact"/>
        <w:rPr>
          <w:sz w:val="20"/>
          <w:szCs w:val="20"/>
          <w:color w:val="auto"/>
        </w:rPr>
      </w:pPr>
    </w:p>
    <w:p>
      <w:pPr>
        <w:jc w:val="both"/>
        <w:ind w:left="1880"/>
        <w:spacing w:after="0" w:line="263" w:lineRule="auto"/>
        <w:rPr>
          <w:sz w:val="20"/>
          <w:szCs w:val="20"/>
          <w:color w:val="auto"/>
        </w:rPr>
      </w:pPr>
      <w:r>
        <w:rPr>
          <w:rFonts w:ascii="Arial" w:cs="Arial" w:eastAsia="Arial" w:hAnsi="Arial"/>
          <w:sz w:val="22"/>
          <w:szCs w:val="22"/>
          <w:color w:val="auto"/>
        </w:rPr>
        <w:t>As of December 31, 2019, Tower US Holdings had federal net operating loss carryforward of approximately $31,000, of which approximately $5,000 do not expire and is subject to taxable income limitation of 80% due to the Act, and the remaining federal tax loss carryforwards of $26,000 will begin to expire in 2022, unless previously utilized.</w:t>
      </w:r>
    </w:p>
    <w:p>
      <w:pPr>
        <w:spacing w:after="0" w:line="242" w:lineRule="exact"/>
        <w:rPr>
          <w:sz w:val="20"/>
          <w:szCs w:val="20"/>
          <w:color w:val="auto"/>
        </w:rPr>
      </w:pPr>
    </w:p>
    <w:p>
      <w:pPr>
        <w:jc w:val="both"/>
        <w:ind w:left="1880"/>
        <w:spacing w:after="0" w:line="358" w:lineRule="auto"/>
        <w:rPr>
          <w:sz w:val="20"/>
          <w:szCs w:val="20"/>
          <w:color w:val="auto"/>
        </w:rPr>
      </w:pPr>
      <w:r>
        <w:rPr>
          <w:rFonts w:ascii="Arial" w:cs="Arial" w:eastAsia="Arial" w:hAnsi="Arial"/>
          <w:sz w:val="19"/>
          <w:szCs w:val="19"/>
          <w:color w:val="auto"/>
        </w:rPr>
        <w:t>As of December 31, 2019, Tower US Holdings had California state net operating loss carryforward of approximately $11,000. The state tax loss carry forward begin to expire in 2028, unless previously utilized.</w:t>
      </w:r>
    </w:p>
    <w:p>
      <w:pPr>
        <w:spacing w:after="0" w:line="15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As of December 31, 2019 and 2018, TPSCo had no net operating loss carryforward.</w:t>
      </w:r>
    </w:p>
    <w:p>
      <w:pPr>
        <w:spacing w:after="0" w:line="277" w:lineRule="exact"/>
        <w:rPr>
          <w:sz w:val="20"/>
          <w:szCs w:val="20"/>
          <w:color w:val="auto"/>
        </w:rPr>
      </w:pPr>
    </w:p>
    <w:p>
      <w:pPr>
        <w:ind w:left="1880" w:hanging="575"/>
        <w:spacing w:after="0"/>
        <w:tabs>
          <w:tab w:leader="none" w:pos="18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Final Tax Assessments</w:t>
      </w:r>
    </w:p>
    <w:p>
      <w:pPr>
        <w:spacing w:after="0" w:line="290" w:lineRule="exact"/>
        <w:rPr>
          <w:sz w:val="20"/>
          <w:szCs w:val="20"/>
          <w:color w:val="auto"/>
        </w:rPr>
      </w:pPr>
    </w:p>
    <w:p>
      <w:pPr>
        <w:jc w:val="both"/>
        <w:ind w:left="1880" w:right="20"/>
        <w:spacing w:after="0" w:line="276" w:lineRule="auto"/>
        <w:rPr>
          <w:sz w:val="20"/>
          <w:szCs w:val="20"/>
          <w:color w:val="auto"/>
        </w:rPr>
      </w:pPr>
      <w:r>
        <w:rPr>
          <w:rFonts w:ascii="Arial" w:cs="Arial" w:eastAsia="Arial" w:hAnsi="Arial"/>
          <w:sz w:val="22"/>
          <w:szCs w:val="22"/>
          <w:color w:val="auto"/>
        </w:rPr>
        <w:t>Tower possesses final tax assessments through the year 1998. In addition, the tax assessments for the years 1999-2014 are deemed final.</w:t>
      </w:r>
    </w:p>
    <w:p>
      <w:pPr>
        <w:spacing w:after="0" w:line="228" w:lineRule="exact"/>
        <w:rPr>
          <w:sz w:val="20"/>
          <w:szCs w:val="20"/>
          <w:color w:val="auto"/>
        </w:rPr>
      </w:pPr>
    </w:p>
    <w:p>
      <w:pPr>
        <w:jc w:val="both"/>
        <w:ind w:left="1880"/>
        <w:spacing w:after="0" w:line="301" w:lineRule="auto"/>
        <w:rPr>
          <w:sz w:val="20"/>
          <w:szCs w:val="20"/>
          <w:color w:val="auto"/>
        </w:rPr>
      </w:pPr>
      <w:r>
        <w:rPr>
          <w:rFonts w:ascii="Arial" w:cs="Arial" w:eastAsia="Arial" w:hAnsi="Arial"/>
          <w:sz w:val="21"/>
          <w:szCs w:val="21"/>
          <w:color w:val="auto"/>
        </w:rPr>
        <w:t>Tower US Holdings is filing the consolidated tax return including Jazz and TJT. Tower US Holdings and its subsidiaries are subject to U.S. federal income tax as well as income tax in multiple states.</w:t>
      </w:r>
    </w:p>
    <w:p>
      <w:pPr>
        <w:spacing w:after="0" w:line="205" w:lineRule="exact"/>
        <w:rPr>
          <w:sz w:val="20"/>
          <w:szCs w:val="20"/>
          <w:color w:val="auto"/>
        </w:rPr>
      </w:pPr>
    </w:p>
    <w:p>
      <w:pPr>
        <w:jc w:val="both"/>
        <w:ind w:left="1880"/>
        <w:spacing w:after="0" w:line="317" w:lineRule="auto"/>
        <w:rPr>
          <w:sz w:val="20"/>
          <w:szCs w:val="20"/>
          <w:color w:val="auto"/>
        </w:rPr>
      </w:pPr>
      <w:r>
        <w:rPr>
          <w:rFonts w:ascii="Arial" w:cs="Arial" w:eastAsia="Arial" w:hAnsi="Arial"/>
          <w:sz w:val="19"/>
          <w:szCs w:val="19"/>
          <w:color w:val="auto"/>
        </w:rPr>
        <w:t>With few exceptions, Tower US Holdings is no longer subject to U.S. federal income tax examinations before 2016 and state and local income tax examinations before 2015.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TPSCo possesses final tax assessments through the year 2016.</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0" w:name="page61"/>
    <w:bookmarkEnd w:id="60"/>
    <w:p>
      <w:pPr>
        <w:ind w:left="10240"/>
        <w:spacing w:after="0"/>
        <w:rPr>
          <w:sz w:val="20"/>
          <w:szCs w:val="20"/>
          <w:color w:val="auto"/>
        </w:rPr>
      </w:pPr>
      <w:r>
        <w:rPr>
          <w:rFonts w:ascii="Arial" w:cs="Arial" w:eastAsia="Arial" w:hAnsi="Arial"/>
          <w:sz w:val="21"/>
          <w:szCs w:val="21"/>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99.2</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MANAGEMENT’S DISCUSSION AND ANALYSIS OF FINANCIAL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 AND RESULTS OF OPERATIONS</w:t>
      </w:r>
    </w:p>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i w:val="1"/>
          <w:iCs w:val="1"/>
          <w:color w:val="auto"/>
        </w:rPr>
        <w:t>The information contained in this section should be read in conjunction with our consolidated financial statements as of December 31, 2019 and 2018 and related notes for the years then ended. Our financial statements have been prepared in accordance with generally accepted accounting principles in the United States (“US GAAP”).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following table sets forth certain statement of operations data as a percentage of total revenues for the periods indicated:</w:t>
      </w:r>
    </w:p>
    <w:p>
      <w:pPr>
        <w:spacing w:after="0" w:line="213" w:lineRule="exact"/>
        <w:rPr>
          <w:sz w:val="20"/>
          <w:szCs w:val="20"/>
          <w:color w:val="auto"/>
        </w:rPr>
      </w:pPr>
    </w:p>
    <w:p>
      <w:pPr>
        <w:ind w:left="9060"/>
        <w:spacing w:after="0"/>
        <w:rPr>
          <w:sz w:val="20"/>
          <w:szCs w:val="20"/>
          <w:color w:val="auto"/>
        </w:rPr>
      </w:pPr>
      <w:r>
        <w:rPr>
          <w:rFonts w:ascii="Arial" w:cs="Arial" w:eastAsia="Arial" w:hAnsi="Arial"/>
          <w:sz w:val="17"/>
          <w:szCs w:val="17"/>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720" w:type="dxa"/>
            <w:vAlign w:val="bottom"/>
            <w:gridSpan w:val="2"/>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81.4</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18.6</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income (expense), net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Profit before income tax</w:t>
            </w: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Income tax expense, net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profit</w:t>
            </w: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Net loss attributable to the non-controlling interest</w:t>
            </w: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37"/>
        </w:trPr>
        <w:tc>
          <w:tcPr>
            <w:tcW w:w="20" w:type="dxa"/>
            <w:vAlign w:val="bottom"/>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profit attributable to the company</w:t>
            </w:r>
          </w:p>
        </w:tc>
        <w:tc>
          <w:tcPr>
            <w:tcW w:w="7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certain statement of operations data for the periods indicated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5"/>
          </w:tcPr>
          <w:p>
            <w:pPr>
              <w:jc w:val="right"/>
              <w:ind w:right="420"/>
              <w:spacing w:after="0"/>
              <w:rPr>
                <w:sz w:val="20"/>
                <w:szCs w:val="20"/>
                <w:color w:val="auto"/>
              </w:rPr>
            </w:pPr>
            <w:r>
              <w:rPr>
                <w:rFonts w:ascii="Arial" w:cs="Arial" w:eastAsia="Arial" w:hAnsi="Arial"/>
                <w:sz w:val="17"/>
                <w:szCs w:val="17"/>
                <w:b w:val="1"/>
                <w:bCs w:val="1"/>
                <w:color w:val="auto"/>
                <w:w w:val="94"/>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1,004,332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229,671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75,579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67,376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86,716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 net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Profit before income tax</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 expense, net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(2,948)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profit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88,073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the non-controlling interest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attributable to the company</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Year ended December 31, 2019 compared to year ended December 31, 2018</w:t>
      </w:r>
    </w:p>
    <w:p>
      <w:pPr>
        <w:spacing w:after="0" w:line="2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i w:val="1"/>
          <w:iCs w:val="1"/>
          <w:color w:val="auto"/>
        </w:rPr>
        <w:t xml:space="preserve">Revenues. </w:t>
      </w:r>
      <w:r>
        <w:rPr>
          <w:rFonts w:ascii="Arial" w:cs="Arial" w:eastAsia="Arial" w:hAnsi="Arial"/>
          <w:sz w:val="21"/>
          <w:szCs w:val="21"/>
          <w:color w:val="auto"/>
        </w:rPr>
        <w:t>Revenues for the year ended December 31, 2019 were $1,234.0 million, as compared to $1,304.0 million for the</w:t>
      </w:r>
      <w:r>
        <w:rPr>
          <w:rFonts w:ascii="Arial" w:cs="Arial" w:eastAsia="Arial" w:hAnsi="Arial"/>
          <w:sz w:val="21"/>
          <w:szCs w:val="21"/>
          <w:i w:val="1"/>
          <w:iCs w:val="1"/>
          <w:color w:val="auto"/>
        </w:rPr>
        <w:t xml:space="preserve"> </w:t>
      </w:r>
      <w:r>
        <w:rPr>
          <w:rFonts w:ascii="Arial" w:cs="Arial" w:eastAsia="Arial" w:hAnsi="Arial"/>
          <w:sz w:val="21"/>
          <w:szCs w:val="21"/>
          <w:color w:val="auto"/>
        </w:rPr>
        <w:t>year ended December 31, 2018. The $70.0 million revenue reduction is attributed mainly to a revenue reduction from Panasonic Semiconductor Solutions Co., Ltd (“PSCS”), primarily resulting from the three-year contracts with PSCS, signed in March 2019 between the Company, TPSCo and PSCS, renewing the previously signed 2014-2019 contracts. Under the renewed contracts, among others, PSCS continues to utilize TPSCo’s manufacturing facilities in Japan for its semiconductor business under a new pricing structure, which is resulting in lower prices charged to PSCS and hence lower annual and quarterly revenue commencing the second quarter of 2019, as compared to previous periods.</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Cost of Revenues</w:t>
      </w:r>
      <w:r>
        <w:rPr>
          <w:rFonts w:ascii="Arial" w:cs="Arial" w:eastAsia="Arial" w:hAnsi="Arial"/>
          <w:sz w:val="22"/>
          <w:szCs w:val="22"/>
          <w:color w:val="auto"/>
        </w:rPr>
        <w:t>. Cost of revenues for the year ended December 31, 2019 amounted to $1,004.3 million as compared to</w:t>
      </w:r>
      <w:r>
        <w:rPr>
          <w:rFonts w:ascii="Arial" w:cs="Arial" w:eastAsia="Arial" w:hAnsi="Arial"/>
          <w:sz w:val="22"/>
          <w:szCs w:val="22"/>
          <w:i w:val="1"/>
          <w:iCs w:val="1"/>
          <w:color w:val="auto"/>
        </w:rPr>
        <w:t xml:space="preserve"> </w:t>
      </w:r>
      <w:r>
        <w:rPr>
          <w:rFonts w:ascii="Arial" w:cs="Arial" w:eastAsia="Arial" w:hAnsi="Arial"/>
          <w:sz w:val="22"/>
          <w:szCs w:val="22"/>
          <w:color w:val="auto"/>
        </w:rPr>
        <w:t>$1,011.1 million for the year ended December 31, 2018. This decrease of only $6.8 million in manufacturing cost, as compared to the $70.0 million reduced revenues, is attributed mainly to the above referenced lower prices charged to PSCS, while a large portion of our cost of revenues is comprised of fixed cost.</w:t>
      </w:r>
    </w:p>
    <w:p>
      <w:pPr>
        <w:spacing w:after="0" w:line="242" w:lineRule="exact"/>
        <w:rPr>
          <w:sz w:val="20"/>
          <w:szCs w:val="20"/>
          <w:color w:val="auto"/>
        </w:rPr>
      </w:pPr>
    </w:p>
    <w:p>
      <w:pPr>
        <w:jc w:val="both"/>
        <w:ind w:firstLine="729"/>
        <w:spacing w:after="0" w:line="327" w:lineRule="auto"/>
        <w:rPr>
          <w:sz w:val="20"/>
          <w:szCs w:val="20"/>
          <w:color w:val="auto"/>
        </w:rPr>
      </w:pPr>
      <w:r>
        <w:rPr>
          <w:rFonts w:ascii="Arial" w:cs="Arial" w:eastAsia="Arial" w:hAnsi="Arial"/>
          <w:sz w:val="19"/>
          <w:szCs w:val="19"/>
          <w:i w:val="1"/>
          <w:iCs w:val="1"/>
          <w:color w:val="auto"/>
        </w:rPr>
        <w:t>Gross Profit</w:t>
      </w:r>
      <w:r>
        <w:rPr>
          <w:rFonts w:ascii="Arial" w:cs="Arial" w:eastAsia="Arial" w:hAnsi="Arial"/>
          <w:sz w:val="19"/>
          <w:szCs w:val="19"/>
          <w:color w:val="auto"/>
        </w:rPr>
        <w:t>. Gross profit for the year ended December 31, 2019 amounted to $229.7 million as compared to $292.9</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for the year ended December 31, 2018. The $63.2 million decrease in gross profit resulted mainly from the $70.0 million revenue reduction described above, while the decrease in cost of revenues was only $6.8 million, as described above.</w:t>
      </w:r>
    </w:p>
    <w:p>
      <w:pPr>
        <w:spacing w:after="0" w:line="187"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i w:val="1"/>
          <w:iCs w:val="1"/>
          <w:color w:val="auto"/>
        </w:rPr>
        <w:t>Research and Developmen</w:t>
      </w:r>
      <w:r>
        <w:rPr>
          <w:rFonts w:ascii="Arial" w:cs="Arial" w:eastAsia="Arial" w:hAnsi="Arial"/>
          <w:sz w:val="19"/>
          <w:szCs w:val="19"/>
          <w:color w:val="auto"/>
        </w:rPr>
        <w:t>t. Research and development expense for the year ended December 31, 2019, amounted to $75.6</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as compared to $73.1 million in the year ended December 31, 2018. The increase in research and development expense reflects our focus on enhancing our mid-term and long-term products’ funnel, technology capabilities and future design wins.</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i w:val="1"/>
          <w:iCs w:val="1"/>
          <w:color w:val="auto"/>
        </w:rPr>
        <w:t>Marketing, General and Administrative</w:t>
      </w:r>
      <w:r>
        <w:rPr>
          <w:rFonts w:ascii="Arial" w:cs="Arial" w:eastAsia="Arial" w:hAnsi="Arial"/>
          <w:sz w:val="22"/>
          <w:szCs w:val="22"/>
          <w:color w:val="auto"/>
        </w:rPr>
        <w:t>. Marketing, general and administrative expense for the year ended December 31,</w:t>
      </w:r>
      <w:r>
        <w:rPr>
          <w:rFonts w:ascii="Arial" w:cs="Arial" w:eastAsia="Arial" w:hAnsi="Arial"/>
          <w:sz w:val="22"/>
          <w:szCs w:val="22"/>
          <w:i w:val="1"/>
          <w:iCs w:val="1"/>
          <w:color w:val="auto"/>
        </w:rPr>
        <w:t xml:space="preserve"> </w:t>
      </w:r>
      <w:r>
        <w:rPr>
          <w:rFonts w:ascii="Arial" w:cs="Arial" w:eastAsia="Arial" w:hAnsi="Arial"/>
          <w:sz w:val="22"/>
          <w:szCs w:val="22"/>
          <w:color w:val="auto"/>
        </w:rPr>
        <w:t>2019 amounted to $67.4 million, an increase of $2.4 million as compared to $65.0 million recorded in the year ended December 31, 2018.</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i w:val="1"/>
          <w:iCs w:val="1"/>
          <w:color w:val="auto"/>
        </w:rPr>
        <w:t xml:space="preserve">Operating Profit. </w:t>
      </w:r>
      <w:r>
        <w:rPr>
          <w:rFonts w:ascii="Arial" w:cs="Arial" w:eastAsia="Arial" w:hAnsi="Arial"/>
          <w:sz w:val="22"/>
          <w:szCs w:val="22"/>
          <w:color w:val="auto"/>
        </w:rPr>
        <w:t>Operating profit for the year ended December 31, 2019 amounted to $86.7 million as compared to $154.9</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for the year ended December 31, 2018. The $68.2 million decrease in operating profit resulted mainly from the $63.3 million reduction in gross profit described above.</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i w:val="1"/>
          <w:iCs w:val="1"/>
          <w:color w:val="auto"/>
        </w:rPr>
        <w:t xml:space="preserve">Financing Income (Expense), Net. </w:t>
      </w:r>
      <w:r>
        <w:rPr>
          <w:rFonts w:ascii="Arial" w:cs="Arial" w:eastAsia="Arial" w:hAnsi="Arial"/>
          <w:sz w:val="21"/>
          <w:szCs w:val="21"/>
          <w:color w:val="auto"/>
        </w:rPr>
        <w:t>Financing income, net for the year ended December 31, 2019 amounted to $0.01 million</w:t>
      </w:r>
      <w:r>
        <w:rPr>
          <w:rFonts w:ascii="Arial" w:cs="Arial" w:eastAsia="Arial" w:hAnsi="Arial"/>
          <w:sz w:val="21"/>
          <w:szCs w:val="21"/>
          <w:i w:val="1"/>
          <w:iCs w:val="1"/>
          <w:color w:val="auto"/>
        </w:rPr>
        <w:t xml:space="preserve"> </w:t>
      </w:r>
      <w:r>
        <w:rPr>
          <w:rFonts w:ascii="Arial" w:cs="Arial" w:eastAsia="Arial" w:hAnsi="Arial"/>
          <w:sz w:val="21"/>
          <w:szCs w:val="21"/>
          <w:color w:val="auto"/>
        </w:rPr>
        <w:t>as compared to financing expense, net of $13.2 million for the year ended December 31, 2018. During the year ended December 31, 2019, interest income was higher resulting from a higher balance of interest-bearing bank deposits and investment in marketable securities and higher yields, profits and interest income with respect to such deposits and securities; and financing expense was lower than 2018 expense mainly due to the full conversion of Jazz Notes during 2018, as well as the early repayment in July 2018 of a $40 million loan that TJT, the Company’s fully owned US affiliate, borrowed in 2016 from JA Mitsui (US), in relation to the acquisition of the San Antonio fab from Maxim.</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Other Income (Expense), Net. </w:t>
      </w:r>
      <w:r>
        <w:rPr>
          <w:rFonts w:ascii="Arial" w:cs="Arial" w:eastAsia="Arial" w:hAnsi="Arial"/>
          <w:sz w:val="22"/>
          <w:szCs w:val="22"/>
          <w:color w:val="auto"/>
        </w:rPr>
        <w:t>Other income, net for the year ended December 31, 2019 amounted to $4.3 million as</w:t>
      </w:r>
      <w:r>
        <w:rPr>
          <w:rFonts w:ascii="Arial" w:cs="Arial" w:eastAsia="Arial" w:hAnsi="Arial"/>
          <w:sz w:val="22"/>
          <w:szCs w:val="22"/>
          <w:i w:val="1"/>
          <w:iCs w:val="1"/>
          <w:color w:val="auto"/>
        </w:rPr>
        <w:t xml:space="preserve"> </w:t>
      </w:r>
      <w:r>
        <w:rPr>
          <w:rFonts w:ascii="Arial" w:cs="Arial" w:eastAsia="Arial" w:hAnsi="Arial"/>
          <w:sz w:val="22"/>
          <w:szCs w:val="22"/>
          <w:color w:val="auto"/>
        </w:rPr>
        <w:t>compared to other expense, net of $2.4 million for the year ended December 31, 2018. The increase in other income, net is mainly due to the measurement of our investments in privately-held companies in accordance with ASC 321, as detailed in Notes 2I and 12E to the consolidated financial statements as of December 31, 2019.</w:t>
      </w:r>
    </w:p>
    <w:p>
      <w:pPr>
        <w:spacing w:after="0" w:line="2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i w:val="1"/>
          <w:iCs w:val="1"/>
          <w:color w:val="auto"/>
        </w:rPr>
        <w:t>Income Tax Expense, Net</w:t>
      </w:r>
      <w:r>
        <w:rPr>
          <w:rFonts w:ascii="Arial" w:cs="Arial" w:eastAsia="Arial" w:hAnsi="Arial"/>
          <w:sz w:val="22"/>
          <w:szCs w:val="22"/>
          <w:color w:val="auto"/>
        </w:rPr>
        <w:t>. Income tax expense, net for the year ended December 31, 2019 amounted to $2.9 million as</w:t>
      </w:r>
      <w:r>
        <w:rPr>
          <w:rFonts w:ascii="Arial" w:cs="Arial" w:eastAsia="Arial" w:hAnsi="Arial"/>
          <w:sz w:val="22"/>
          <w:szCs w:val="22"/>
          <w:i w:val="1"/>
          <w:iCs w:val="1"/>
          <w:color w:val="auto"/>
        </w:rPr>
        <w:t xml:space="preserve"> </w:t>
      </w:r>
      <w:r>
        <w:rPr>
          <w:rFonts w:ascii="Arial" w:cs="Arial" w:eastAsia="Arial" w:hAnsi="Arial"/>
          <w:sz w:val="22"/>
          <w:szCs w:val="22"/>
          <w:color w:val="auto"/>
        </w:rPr>
        <w:t>compared to $5.9 million in the year ended December 31, 2018. The decrease in income tax expense, net in the amount of $3.0 million mainly resulted from the $48.3 million lower profit before tax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62" w:name="page63"/>
    <w:bookmarkEnd w:id="62"/>
    <w:p>
      <w:pPr>
        <w:jc w:val="both"/>
        <w:ind w:firstLine="716"/>
        <w:spacing w:after="0" w:line="279" w:lineRule="auto"/>
        <w:rPr>
          <w:sz w:val="20"/>
          <w:szCs w:val="20"/>
          <w:color w:val="auto"/>
        </w:rPr>
      </w:pPr>
      <w:r>
        <w:rPr>
          <w:rFonts w:ascii="Arial" w:cs="Arial" w:eastAsia="Arial" w:hAnsi="Arial"/>
          <w:sz w:val="21"/>
          <w:szCs w:val="21"/>
          <w:i w:val="1"/>
          <w:iCs w:val="1"/>
          <w:color w:val="auto"/>
        </w:rPr>
        <w:t>Net Profit</w:t>
      </w:r>
      <w:r>
        <w:rPr>
          <w:rFonts w:ascii="Arial" w:cs="Arial" w:eastAsia="Arial" w:hAnsi="Arial"/>
          <w:sz w:val="21"/>
          <w:szCs w:val="21"/>
          <w:color w:val="auto"/>
        </w:rPr>
        <w:t>. Net profit for the year ended December 31, 2019 amounted to $90.0 million as compared to a net profit of</w:t>
      </w:r>
      <w:r>
        <w:rPr>
          <w:rFonts w:ascii="Arial" w:cs="Arial" w:eastAsia="Arial" w:hAnsi="Arial"/>
          <w:sz w:val="21"/>
          <w:szCs w:val="21"/>
          <w:i w:val="1"/>
          <w:iCs w:val="1"/>
          <w:color w:val="auto"/>
        </w:rPr>
        <w:t xml:space="preserve"> </w:t>
      </w:r>
      <w:r>
        <w:rPr>
          <w:rFonts w:ascii="Arial" w:cs="Arial" w:eastAsia="Arial" w:hAnsi="Arial"/>
          <w:sz w:val="21"/>
          <w:szCs w:val="21"/>
          <w:color w:val="auto"/>
        </w:rPr>
        <w:t>$135.6 million for the year ended December 31, 2018. The decrease in net profit in the amount of $45.6 million was mainly due to the decrease of $68.2 million in operating profit, offset by $13.2 million increase in financing income, net, increase of $6.7 million in other income, net and $3.0 million lower income tax expense, as explained above.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Currency Fluctuations</w:t>
      </w:r>
    </w:p>
    <w:p>
      <w:pPr>
        <w:spacing w:after="0" w:line="293" w:lineRule="exact"/>
        <w:rPr>
          <w:sz w:val="20"/>
          <w:szCs w:val="20"/>
          <w:color w:val="auto"/>
        </w:rPr>
      </w:pPr>
    </w:p>
    <w:p>
      <w:pPr>
        <w:jc w:val="both"/>
        <w:ind w:firstLine="707"/>
        <w:spacing w:after="0" w:line="312" w:lineRule="auto"/>
        <w:rPr>
          <w:sz w:val="20"/>
          <w:szCs w:val="20"/>
          <w:color w:val="auto"/>
        </w:rPr>
      </w:pPr>
      <w:r>
        <w:rPr>
          <w:rFonts w:ascii="Arial" w:cs="Arial" w:eastAsia="Arial" w:hAnsi="Arial"/>
          <w:sz w:val="19"/>
          <w:szCs w:val="19"/>
          <w:color w:val="auto"/>
        </w:rPr>
        <w:t>The Company currently operates in three different regions: Japan, the United States and Israel. The functional currency of our entities in the United States and Israel is the US dollar (“USD”). The functional currency of our subsidiary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20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USD cost of our operations in Israel is influenced by changes in the USD to NIS exchange rate, with respect to costs that are denominated in NIS. During the year ended December 31, 2019, the USD depreciated against the NIS by 7.8%, as compared to 8.1% appreciation during the year ended December 31, 2018.</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fluctuation of USD against the NIS can affect our results of operations as it relates to the entity in Israel. Appreciation of the NIS has the effect of increasing the cost, in USD terms, of some of the purchases and labor costs that are denominated in NIS, which may lead to erosion in the profit margins. The Company uses foreign currency cylinder transactions to hedge a portion of this currency exposure to be contained within a pre-defined fixed range. In addition, the Company executed swap-hedging transactions to hedge the exposure to the fluctuation of USD against the NIS to the extent it relates to non-convertible Series G debentures, which are denominated in NIS.</w:t>
      </w:r>
    </w:p>
    <w:p>
      <w:pPr>
        <w:spacing w:after="0" w:line="2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majority of TPSCo revenues are denominated in JPY and the majority of TPSCo expenses are in JPY, which limits the exposure to fluctuations of the USD / JPY exchange rate on TPSCo’s results of operations. In order to mitigate a portion of the net exposure to the USD / JPY exchange rate, the Company has engaged in cylinder hedging transactions to contain the currency’s fluctuation within a pre-defined fixed range.</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During the year ended December 31, 2019, the USD depreciated against the JPY by 1.2%, as compared to 2.4% depreciation during the year ended December 31, 2018. The net effect of USD depreciation against the JPY on TPSCo’s assets and liabilities denominated in JPY is presented in the Cumulative Translation Adjustment (“CTA”) as part of Other Comprehensive Income (“OCI”) in the balance sheet.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As of December 31, 2019, the Company had an aggregate amount of $355.6 million in cash and cash equivalents, as compared to $385.1 million as of December 31, 2018. The main cash activities during the year ended December 31, 2019 were: $291.3 million net cash provided by operating activities; $172.2 million invested in property and equipment, net of proceeds received from sales of equipment; $132.9 million invested in short-term deposits, marketable securities and other assets, net; and $19.4 million debt repaid.</w:t>
      </w:r>
    </w:p>
    <w:p>
      <w:pPr>
        <w:spacing w:after="0" w:line="2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Short-term and long-term debt presented on the balance sheet as of December 31, 2019, included bank loans, debentures, operating leases and capital leases amounted to $65.9 million and $245.8 million, respectively. As of December 31, 2019, the aggregate principal amount of debentures was $135.4 million and its carrying amount in the balance sheet was $132.3 million, of which $37.7 million was presented as short-term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99.3</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8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consent to the incorporation by reference in Registration Statements Nos. 333-85090, 333-171912 and 333-187858 on Form F-3, and Nos. 33-80947, 333-06482, 333-11720, 333-83204, 333-138837, 333-147071, 333-153710, 333-166428, 333-174276, 333-178167, and 333-204173 on Form S-8, of our report dated March 2, 2020, relating to the consolidated financial statements of Tower Semiconductor Ltd. for the year ended December 31, 2019, appearing in this Report on Form 6-K of Tower Semiconductor Ltd.</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Brightman Almagor Zohar &amp;Co.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Certified Public Accountants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 member of Deloitte Touche Tohmatsu Limited</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Tel Aviv, Israel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upperLetter"/>
      <w:start w:val="1"/>
    </w:lvl>
  </w:abstractNum>
  <w:abstractNum w:abstractNumId="2">
    <w:nsid w:val="684A481A"/>
    <w:multiLevelType w:val="hybridMultilevel"/>
    <w:lvl w:ilvl="0">
      <w:lvlJc w:val="left"/>
      <w:lvlText w:val="%1."/>
      <w:numFmt w:val="upperLetter"/>
      <w:start w:val="2"/>
    </w:lvl>
  </w:abstractNum>
  <w:abstractNum w:abstractNumId="3">
    <w:nsid w:val="579478FE"/>
    <w:multiLevelType w:val="hybridMultilevel"/>
    <w:lvl w:ilvl="0">
      <w:lvlJc w:val="left"/>
      <w:lvlText w:val="%1."/>
      <w:numFmt w:val="upperLetter"/>
      <w:start w:val="3"/>
    </w:lvl>
  </w:abstractNum>
  <w:abstractNum w:abstractNumId="4">
    <w:nsid w:val="749ABB43"/>
    <w:multiLevelType w:val="hybridMultilevel"/>
    <w:lvl w:ilvl="0">
      <w:lvlJc w:val="left"/>
      <w:lvlText w:val="%1."/>
      <w:numFmt w:val="upperLetter"/>
      <w:start w:val="4"/>
    </w:lvl>
  </w:abstractNum>
  <w:abstractNum w:abstractNumId="5">
    <w:nsid w:val="3DC240FB"/>
    <w:multiLevelType w:val="hybridMultilevel"/>
    <w:lvl w:ilvl="0">
      <w:lvlJc w:val="left"/>
      <w:lvlText w:val="%1."/>
      <w:numFmt w:val="upperLetter"/>
      <w:start w:val="5"/>
    </w:lvl>
  </w:abstractNum>
  <w:abstractNum w:abstractNumId="6">
    <w:nsid w:val="1BA026FA"/>
    <w:multiLevelType w:val="hybridMultilevel"/>
    <w:lvl w:ilvl="0">
      <w:lvlJc w:val="left"/>
      <w:lvlText w:val="%1."/>
      <w:numFmt w:val="upperLetter"/>
      <w:start w:val="5"/>
    </w:lvl>
  </w:abstractNum>
  <w:abstractNum w:abstractNumId="7">
    <w:nsid w:val="79A1DEAA"/>
    <w:multiLevelType w:val="hybridMultilevel"/>
    <w:lvl w:ilvl="0">
      <w:lvlJc w:val="left"/>
      <w:lvlText w:val="%1."/>
      <w:numFmt w:val="upperLetter"/>
      <w:start w:val="6"/>
    </w:lvl>
  </w:abstractNum>
  <w:abstractNum w:abstractNumId="8">
    <w:nsid w:val="75C6C33A"/>
    <w:multiLevelType w:val="hybridMultilevel"/>
    <w:lvl w:ilvl="0">
      <w:lvlJc w:val="left"/>
      <w:lvlText w:val="%1."/>
      <w:numFmt w:val="upperLetter"/>
      <w:start w:val="7"/>
    </w:lvl>
  </w:abstractNum>
  <w:abstractNum w:abstractNumId="9">
    <w:nsid w:val="12E685FB"/>
    <w:multiLevelType w:val="hybridMultilevel"/>
    <w:lvl w:ilvl="0">
      <w:lvlJc w:val="left"/>
      <w:lvlText w:val="%1."/>
      <w:numFmt w:val="upperLetter"/>
      <w:start w:val="8"/>
    </w:lvl>
  </w:abstractNum>
  <w:abstractNum w:abstractNumId="10">
    <w:nsid w:val="70C6A529"/>
    <w:multiLevelType w:val="hybridMultilevel"/>
    <w:lvl w:ilvl="0">
      <w:lvlJc w:val="left"/>
      <w:lvlText w:val="%1."/>
      <w:numFmt w:val="upperLetter"/>
      <w:start w:val="9"/>
    </w:lvl>
  </w:abstractNum>
  <w:abstractNum w:abstractNumId="11">
    <w:nsid w:val="520EEDD1"/>
    <w:multiLevelType w:val="hybridMultilevel"/>
    <w:lvl w:ilvl="0">
      <w:lvlJc w:val="left"/>
      <w:lvlText w:val="%1."/>
      <w:numFmt w:val="upperLetter"/>
      <w:start w:val="10"/>
    </w:lvl>
  </w:abstractNum>
  <w:abstractNum w:abstractNumId="12">
    <w:nsid w:val="374A3FE6"/>
    <w:multiLevelType w:val="hybridMultilevel"/>
    <w:lvl w:ilvl="0">
      <w:lvlJc w:val="left"/>
      <w:lvlText w:val="%1."/>
      <w:numFmt w:val="upperLetter"/>
      <w:start w:val="10"/>
    </w:lvl>
  </w:abstractNum>
  <w:abstractNum w:abstractNumId="13">
    <w:nsid w:val="4F4EF005"/>
    <w:multiLevelType w:val="hybridMultilevel"/>
    <w:lvl w:ilvl="0">
      <w:lvlJc w:val="left"/>
      <w:lvlText w:val="%1."/>
      <w:numFmt w:val="upperLetter"/>
      <w:start w:val="11"/>
    </w:lvl>
  </w:abstractNum>
  <w:abstractNum w:abstractNumId="14">
    <w:nsid w:val="23F9C13C"/>
    <w:multiLevelType w:val="hybridMultilevel"/>
    <w:lvl w:ilvl="0">
      <w:lvlJc w:val="left"/>
      <w:lvlText w:val="%1."/>
      <w:numFmt w:val="upperLetter"/>
      <w:start w:val="12"/>
    </w:lvl>
  </w:abstractNum>
  <w:abstractNum w:abstractNumId="15">
    <w:nsid w:val="649BB77C"/>
    <w:multiLevelType w:val="hybridMultilevel"/>
    <w:lvl w:ilvl="0">
      <w:lvlJc w:val="left"/>
      <w:lvlText w:val="%1."/>
      <w:numFmt w:val="upperLetter"/>
      <w:start w:val="12"/>
    </w:lvl>
  </w:abstractNum>
  <w:abstractNum w:abstractNumId="16">
    <w:nsid w:val="275AC794"/>
    <w:multiLevelType w:val="hybridMultilevel"/>
    <w:lvl w:ilvl="0">
      <w:lvlJc w:val="left"/>
      <w:lvlText w:val="%1."/>
      <w:numFmt w:val="upperLetter"/>
      <w:start w:val="13"/>
    </w:lvl>
  </w:abstractNum>
  <w:abstractNum w:abstractNumId="17">
    <w:nsid w:val="39386575"/>
    <w:multiLevelType w:val="hybridMultilevel"/>
    <w:lvl w:ilvl="0">
      <w:lvlJc w:val="left"/>
      <w:lvlText w:val="%1."/>
      <w:numFmt w:val="upperLetter"/>
      <w:start w:val="13"/>
    </w:lvl>
  </w:abstractNum>
  <w:abstractNum w:abstractNumId="18">
    <w:nsid w:val="1CF10FD8"/>
    <w:multiLevelType w:val="hybridMultilevel"/>
    <w:lvl w:ilvl="0">
      <w:lvlJc w:val="left"/>
      <w:lvlText w:val="%1."/>
      <w:numFmt w:val="upperLetter"/>
      <w:start w:val="14"/>
    </w:lvl>
  </w:abstractNum>
  <w:abstractNum w:abstractNumId="19">
    <w:nsid w:val="180115BE"/>
    <w:multiLevelType w:val="hybridMultilevel"/>
    <w:lvl w:ilvl="0">
      <w:lvlJc w:val="left"/>
      <w:lvlText w:val="%1."/>
      <w:numFmt w:val="upperLetter"/>
      <w:start w:val="14"/>
    </w:lvl>
  </w:abstractNum>
  <w:abstractNum w:abstractNumId="20">
    <w:nsid w:val="235BA861"/>
    <w:multiLevelType w:val="hybridMultilevel"/>
    <w:lvl w:ilvl="0">
      <w:lvlJc w:val="left"/>
      <w:lvlText w:val="%1."/>
      <w:numFmt w:val="upperLetter"/>
      <w:start w:val="15"/>
    </w:lvl>
  </w:abstractNum>
  <w:abstractNum w:abstractNumId="21">
    <w:nsid w:val="47398C89"/>
    <w:multiLevelType w:val="hybridMultilevel"/>
    <w:lvl w:ilvl="0">
      <w:lvlJc w:val="left"/>
      <w:lvlText w:val="%1."/>
      <w:numFmt w:val="upperLetter"/>
      <w:start w:val="16"/>
    </w:lvl>
  </w:abstractNum>
  <w:abstractNum w:abstractNumId="22">
    <w:nsid w:val="354FE9F9"/>
    <w:multiLevelType w:val="hybridMultilevel"/>
    <w:lvl w:ilvl="0">
      <w:lvlJc w:val="left"/>
      <w:lvlText w:val="%1."/>
      <w:numFmt w:val="upperLetter"/>
      <w:start w:val="16"/>
    </w:lvl>
  </w:abstractNum>
  <w:abstractNum w:abstractNumId="23">
    <w:nsid w:val="15B5AF5C"/>
    <w:multiLevelType w:val="hybridMultilevel"/>
    <w:lvl w:ilvl="0">
      <w:lvlJc w:val="left"/>
      <w:lvlText w:val="%1."/>
      <w:numFmt w:val="upperLetter"/>
      <w:start w:val="17"/>
    </w:lvl>
  </w:abstractNum>
  <w:abstractNum w:abstractNumId="24">
    <w:nsid w:val="741226BB"/>
    <w:multiLevelType w:val="hybridMultilevel"/>
    <w:lvl w:ilvl="0">
      <w:lvlJc w:val="left"/>
      <w:lvlText w:val="%1."/>
      <w:numFmt w:val="upperLetter"/>
      <w:start w:val="18"/>
    </w:lvl>
  </w:abstractNum>
  <w:abstractNum w:abstractNumId="25">
    <w:nsid w:val="D34B6A8"/>
    <w:multiLevelType w:val="hybridMultilevel"/>
    <w:lvl w:ilvl="0">
      <w:lvlJc w:val="left"/>
      <w:lvlText w:val="%1."/>
      <w:numFmt w:val="upperLetter"/>
      <w:start w:val="19"/>
    </w:lvl>
  </w:abstractNum>
  <w:abstractNum w:abstractNumId="26">
    <w:nsid w:val="10233C99"/>
    <w:multiLevelType w:val="hybridMultilevel"/>
    <w:lvl w:ilvl="0">
      <w:lvlJc w:val="left"/>
      <w:lvlText w:val="%1."/>
      <w:numFmt w:val="upperLetter"/>
      <w:start w:val="20"/>
    </w:lvl>
  </w:abstractNum>
  <w:abstractNum w:abstractNumId="27">
    <w:nsid w:val="3F6AB60F"/>
    <w:multiLevelType w:val="hybridMultilevel"/>
    <w:lvl w:ilvl="0">
      <w:lvlJc w:val="left"/>
      <w:lvlText w:val="%1."/>
      <w:numFmt w:val="upperLetter"/>
      <w:start w:val="21"/>
    </w:lvl>
  </w:abstractNum>
  <w:abstractNum w:abstractNumId="28">
    <w:nsid w:val="61574095"/>
    <w:multiLevelType w:val="hybridMultilevel"/>
    <w:lvl w:ilvl="0">
      <w:lvlJc w:val="left"/>
      <w:lvlText w:val="%1."/>
      <w:numFmt w:val="upperLetter"/>
      <w:start w:val="22"/>
    </w:lvl>
  </w:abstractNum>
  <w:abstractNum w:abstractNumId="29">
    <w:nsid w:val="7E0C57B1"/>
    <w:multiLevelType w:val="hybridMultilevel"/>
    <w:lvl w:ilvl="0">
      <w:lvlJc w:val="left"/>
      <w:lvlText w:val="%1."/>
      <w:numFmt w:val="upperLetter"/>
      <w:start w:val="23"/>
    </w:lvl>
  </w:abstractNum>
  <w:abstractNum w:abstractNumId="30">
    <w:nsid w:val="77AE35EB"/>
    <w:multiLevelType w:val="hybridMultilevel"/>
    <w:lvl w:ilvl="0">
      <w:lvlJc w:val="left"/>
      <w:lvlText w:val="%1."/>
      <w:numFmt w:val="upperLetter"/>
      <w:start w:val="23"/>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1."/>
      <w:numFmt w:val="upperLetter"/>
      <w:start w:val="1"/>
    </w:lvl>
  </w:abstractNum>
  <w:abstractNum w:abstractNumId="33">
    <w:nsid w:val="5FF87E05"/>
    <w:multiLevelType w:val="hybridMultilevel"/>
    <w:lvl w:ilvl="0">
      <w:lvlJc w:val="left"/>
      <w:lvlText w:val="%1."/>
      <w:numFmt w:val="upperLetter"/>
      <w:start w:val="2"/>
    </w:lvl>
  </w:abstractNum>
  <w:abstractNum w:abstractNumId="34">
    <w:nsid w:val="2F305DEF"/>
    <w:multiLevelType w:val="hybridMultilevel"/>
    <w:lvl w:ilvl="0">
      <w:lvlJc w:val="left"/>
      <w:lvlText w:val="%1."/>
      <w:numFmt w:val="upperLetter"/>
      <w:start w:val="2"/>
    </w:lvl>
  </w:abstractNum>
  <w:abstractNum w:abstractNumId="35">
    <w:nsid w:val="25A70BF7"/>
    <w:multiLevelType w:val="hybridMultilevel"/>
    <w:lvl w:ilvl="0">
      <w:lvlJc w:val="left"/>
      <w:lvlText w:val="%1."/>
      <w:numFmt w:val="upperLetter"/>
      <w:start w:val="3"/>
    </w:lvl>
  </w:abstractNum>
  <w:abstractNum w:abstractNumId="36">
    <w:nsid w:val="1DBABF00"/>
    <w:multiLevelType w:val="hybridMultilevel"/>
    <w:lvl w:ilvl="0">
      <w:lvlJc w:val="left"/>
      <w:lvlText w:val="%1."/>
      <w:numFmt w:val="upperLetter"/>
      <w:start w:val="3"/>
    </w:lvl>
  </w:abstractNum>
  <w:abstractNum w:abstractNumId="37">
    <w:nsid w:val="4AD084E9"/>
    <w:multiLevelType w:val="hybridMultilevel"/>
    <w:lvl w:ilvl="0">
      <w:lvlJc w:val="left"/>
      <w:lvlText w:val="%1."/>
      <w:numFmt w:val="upperLetter"/>
      <w:start w:val="4"/>
    </w:lvl>
  </w:abstractNum>
  <w:abstractNum w:abstractNumId="38">
    <w:nsid w:val="1F48EAA1"/>
    <w:multiLevelType w:val="hybridMultilevel"/>
    <w:lvl w:ilvl="0">
      <w:lvlJc w:val="left"/>
      <w:lvlText w:val="%1."/>
      <w:numFmt w:val="upperLetter"/>
      <w:start w:val="5"/>
    </w:lvl>
  </w:abstractNum>
  <w:abstractNum w:abstractNumId="39">
    <w:nsid w:val="1381823A"/>
    <w:multiLevelType w:val="hybridMultilevel"/>
    <w:lvl w:ilvl="0">
      <w:lvlJc w:val="left"/>
      <w:lvlText w:val="%1."/>
      <w:numFmt w:val="upperLetter"/>
      <w:start w:val="6"/>
    </w:lvl>
  </w:abstractNum>
  <w:abstractNum w:abstractNumId="40">
    <w:nsid w:val="5DB70AE5"/>
    <w:multiLevelType w:val="hybridMultilevel"/>
    <w:lvl w:ilvl="0">
      <w:lvlJc w:val="left"/>
      <w:lvlText w:val="%1."/>
      <w:numFmt w:val="upperLetter"/>
      <w:start w:val="1"/>
    </w:lvl>
  </w:abstractNum>
  <w:abstractNum w:abstractNumId="41">
    <w:nsid w:val="100F8FCA"/>
    <w:multiLevelType w:val="hybridMultilevel"/>
    <w:lvl w:ilvl="0">
      <w:lvlJc w:val="left"/>
      <w:lvlText w:val="%1."/>
      <w:numFmt w:val="upperLetter"/>
      <w:start w:val="1"/>
    </w:lvl>
  </w:abstractNum>
  <w:abstractNum w:abstractNumId="42">
    <w:nsid w:val="6590700B"/>
    <w:multiLevelType w:val="hybridMultilevel"/>
    <w:lvl w:ilvl="0">
      <w:lvlJc w:val="left"/>
      <w:lvlText w:val="%1."/>
      <w:numFmt w:val="upperLetter"/>
      <w:start w:val="2"/>
    </w:lvl>
  </w:abstractNum>
  <w:abstractNum w:abstractNumId="43">
    <w:nsid w:val="15014ACB"/>
    <w:multiLevelType w:val="hybridMultilevel"/>
    <w:lvl w:ilvl="0">
      <w:lvlJc w:val="left"/>
      <w:lvlText w:val="%1."/>
      <w:numFmt w:val="upperLetter"/>
      <w:start w:val="3"/>
    </w:lvl>
  </w:abstractNum>
  <w:abstractNum w:abstractNumId="44">
    <w:nsid w:val="5F5E7FD0"/>
    <w:multiLevelType w:val="hybridMultilevel"/>
    <w:lvl w:ilvl="0">
      <w:lvlJc w:val="left"/>
      <w:lvlText w:val="%1."/>
      <w:numFmt w:val="upperLetter"/>
      <w:start w:val="4"/>
    </w:lvl>
  </w:abstractNum>
  <w:abstractNum w:abstractNumId="45">
    <w:nsid w:val="98A3148"/>
    <w:multiLevelType w:val="hybridMultilevel"/>
    <w:lvl w:ilvl="0">
      <w:lvlJc w:val="left"/>
      <w:lvlText w:val="%1."/>
      <w:numFmt w:val="upperLetter"/>
      <w:start w:val="5"/>
    </w:lvl>
  </w:abstractNum>
  <w:abstractNum w:abstractNumId="46">
    <w:nsid w:val="799D0247"/>
    <w:multiLevelType w:val="hybridMultilevel"/>
    <w:lvl w:ilvl="0">
      <w:lvlJc w:val="left"/>
      <w:lvlText w:val="%1."/>
      <w:numFmt w:val="upperLetter"/>
      <w:start w:val="5"/>
    </w:lvl>
  </w:abstractNum>
  <w:abstractNum w:abstractNumId="47">
    <w:nsid w:val="6B94764"/>
    <w:multiLevelType w:val="hybridMultilevel"/>
    <w:lvl w:ilvl="0">
      <w:lvlJc w:val="left"/>
      <w:lvlText w:val="%1."/>
      <w:numFmt w:val="upperLetter"/>
      <w:start w:val="6"/>
    </w:lvl>
  </w:abstractNum>
  <w:abstractNum w:abstractNumId="48">
    <w:nsid w:val="42C296BD"/>
    <w:multiLevelType w:val="hybridMultilevel"/>
    <w:lvl w:ilvl="0">
      <w:lvlJc w:val="left"/>
      <w:lvlText w:val="%1."/>
      <w:numFmt w:val="upperLetter"/>
      <w:start w:val="6"/>
    </w:lvl>
  </w:abstractNum>
  <w:abstractNum w:abstractNumId="49">
    <w:nsid w:val="168E121F"/>
    <w:multiLevelType w:val="hybridMultilevel"/>
    <w:lvl w:ilvl="0">
      <w:lvlJc w:val="left"/>
      <w:lvlText w:val="%1."/>
      <w:numFmt w:val="upperLetter"/>
      <w:start w:val="6"/>
    </w:lvl>
  </w:abstractNum>
  <w:abstractNum w:abstractNumId="50">
    <w:nsid w:val="1EBA5D23"/>
    <w:multiLevelType w:val="hybridMultilevel"/>
    <w:lvl w:ilvl="0">
      <w:lvlJc w:val="left"/>
      <w:lvlText w:val="%1."/>
      <w:numFmt w:val="upperLetter"/>
      <w:start w:val="1"/>
    </w:lvl>
  </w:abstractNum>
  <w:abstractNum w:abstractNumId="51">
    <w:nsid w:val="661E3F1E"/>
    <w:multiLevelType w:val="hybridMultilevel"/>
    <w:lvl w:ilvl="0">
      <w:lvlJc w:val="left"/>
      <w:lvlText w:val="%1."/>
      <w:numFmt w:val="upperLetter"/>
      <w:start w:val="2"/>
    </w:lvl>
  </w:abstractNum>
  <w:abstractNum w:abstractNumId="52">
    <w:nsid w:val="5DC79EA8"/>
    <w:multiLevelType w:val="hybridMultilevel"/>
    <w:lvl w:ilvl="0">
      <w:lvlJc w:val="left"/>
      <w:lvlText w:val="%1."/>
      <w:numFmt w:val="upperLetter"/>
      <w:start w:val="2"/>
    </w:lvl>
  </w:abstractNum>
  <w:abstractNum w:abstractNumId="53">
    <w:nsid w:val="540A471C"/>
    <w:multiLevelType w:val="hybridMultilevel"/>
    <w:lvl w:ilvl="0">
      <w:lvlJc w:val="left"/>
      <w:lvlText w:val="%1."/>
      <w:numFmt w:val="upperLetter"/>
      <w:start w:val="2"/>
    </w:lvl>
  </w:abstractNum>
  <w:abstractNum w:abstractNumId="54">
    <w:nsid w:val="7BD3EE7B"/>
    <w:multiLevelType w:val="hybridMultilevel"/>
    <w:lvl w:ilvl="0">
      <w:lvlJc w:val="left"/>
      <w:lvlText w:val="%1."/>
      <w:numFmt w:val="upperLetter"/>
      <w:start w:val="2"/>
    </w:lvl>
  </w:abstractNum>
  <w:abstractNum w:abstractNumId="55">
    <w:nsid w:val="51D9C564"/>
    <w:multiLevelType w:val="hybridMultilevel"/>
    <w:lvl w:ilvl="0">
      <w:lvlJc w:val="left"/>
      <w:lvlText w:val="%1."/>
      <w:numFmt w:val="upperLetter"/>
      <w:start w:val="2"/>
    </w:lvl>
  </w:abstractNum>
  <w:abstractNum w:abstractNumId="56">
    <w:nsid w:val="613EFDC5"/>
    <w:multiLevelType w:val="hybridMultilevel"/>
    <w:lvl w:ilvl="0">
      <w:lvlJc w:val="left"/>
      <w:lvlText w:val="%1."/>
      <w:numFmt w:val="upperLetter"/>
      <w:start w:val="1"/>
    </w:lvl>
    <w:lvl w:ilvl="1">
      <w:lvlJc w:val="left"/>
      <w:lvlText w:val="(%2)"/>
      <w:numFmt w:val="decimal"/>
      <w:start w:val="1"/>
    </w:lvl>
  </w:abstractNum>
  <w:abstractNum w:abstractNumId="57">
    <w:nsid w:val="BF72B14"/>
    <w:multiLevelType w:val="hybridMultilevel"/>
    <w:lvl w:ilvl="0">
      <w:lvlJc w:val="left"/>
      <w:lvlText w:val="(%1)"/>
      <w:numFmt w:val="decimal"/>
      <w:start w:val="2"/>
    </w:lvl>
  </w:abstractNum>
  <w:abstractNum w:abstractNumId="58">
    <w:nsid w:val="11447B73"/>
    <w:multiLevelType w:val="hybridMultilevel"/>
    <w:lvl w:ilvl="0">
      <w:lvlJc w:val="left"/>
      <w:lvlText w:val="%1."/>
      <w:numFmt w:val="upperLetter"/>
      <w:start w:val="2"/>
    </w:lvl>
  </w:abstractNum>
  <w:abstractNum w:abstractNumId="59">
    <w:nsid w:val="42963E5A"/>
    <w:multiLevelType w:val="hybridMultilevel"/>
    <w:lvl w:ilvl="0">
      <w:lvlJc w:val="left"/>
      <w:lvlText w:val="%1."/>
      <w:numFmt w:val="upperLetter"/>
      <w:start w:val="3"/>
    </w:lvl>
  </w:abstractNum>
  <w:abstractNum w:abstractNumId="60">
    <w:nsid w:val="A0382C5"/>
    <w:multiLevelType w:val="hybridMultilevel"/>
    <w:lvl w:ilvl="0">
      <w:lvlJc w:val="left"/>
      <w:lvlText w:val="%1."/>
      <w:numFmt w:val="upperLetter"/>
      <w:start w:val="4"/>
    </w:lvl>
  </w:abstractNum>
  <w:abstractNum w:abstractNumId="61">
    <w:nsid w:val="8F2B15E"/>
    <w:multiLevelType w:val="hybridMultilevel"/>
    <w:lvl w:ilvl="0">
      <w:lvlJc w:val="left"/>
      <w:lvlText w:val="%1."/>
      <w:numFmt w:val="upperLetter"/>
      <w:start w:val="5"/>
    </w:lvl>
  </w:abstractNum>
  <w:abstractNum w:abstractNumId="62">
    <w:nsid w:val="1A32234B"/>
    <w:multiLevelType w:val="hybridMultilevel"/>
    <w:lvl w:ilvl="0">
      <w:lvlJc w:val="left"/>
      <w:lvlText w:val="%1."/>
      <w:numFmt w:val="upperLetter"/>
      <w:start w:val="6"/>
    </w:lvl>
  </w:abstractNum>
  <w:abstractNum w:abstractNumId="63">
    <w:nsid w:val="3B0FD379"/>
    <w:multiLevelType w:val="hybridMultilevel"/>
    <w:lvl w:ilvl="0">
      <w:lvlJc w:val="left"/>
      <w:lvlText w:val="%1."/>
      <w:numFmt w:val="upperLetter"/>
      <w:start w:val="7"/>
    </w:lvl>
  </w:abstractNum>
  <w:abstractNum w:abstractNumId="64">
    <w:nsid w:val="68EB2F63"/>
    <w:multiLevelType w:val="hybridMultilevel"/>
    <w:lvl w:ilvl="0">
      <w:lvlJc w:val="left"/>
      <w:lvlText w:val="%1."/>
      <w:numFmt w:val="upperLetter"/>
      <w:start w:val="1"/>
    </w:lvl>
  </w:abstractNum>
  <w:abstractNum w:abstractNumId="65">
    <w:nsid w:val="4962813B"/>
    <w:multiLevelType w:val="hybridMultilevel"/>
    <w:lvl w:ilvl="0">
      <w:lvlJc w:val="left"/>
      <w:lvlText w:val="%1."/>
      <w:numFmt w:val="upperLetter"/>
      <w:start w:val="2"/>
    </w:lvl>
    <w:lvl w:ilvl="1">
      <w:lvlJc w:val="left"/>
      <w:lvlText w:val="(%2)"/>
      <w:numFmt w:val="decimal"/>
      <w:start w:val="1"/>
    </w:lvl>
  </w:abstractNum>
  <w:abstractNum w:abstractNumId="66">
    <w:nsid w:val="60B6DF70"/>
    <w:multiLevelType w:val="hybridMultilevel"/>
    <w:lvl w:ilvl="0">
      <w:lvlJc w:val="left"/>
      <w:lvlText w:val="(%1)"/>
      <w:numFmt w:val="decimal"/>
      <w:start w:val="2"/>
    </w:lvl>
  </w:abstractNum>
  <w:abstractNum w:abstractNumId="67">
    <w:nsid w:val="6A5EE64"/>
    <w:multiLevelType w:val="hybridMultilevel"/>
    <w:lvl w:ilvl="0">
      <w:lvlJc w:val="left"/>
      <w:lvlText w:val="%1."/>
      <w:numFmt w:val="upperLetter"/>
      <w:start w:val="2"/>
    </w:lvl>
    <w:lvl w:ilvl="1">
      <w:lvlJc w:val="left"/>
      <w:lvlText w:val="(%2)"/>
      <w:numFmt w:val="decimal"/>
      <w:start w:val="2"/>
    </w:lvl>
  </w:abstractNum>
  <w:abstractNum w:abstractNumId="68">
    <w:nsid w:val="14330624"/>
    <w:multiLevelType w:val="hybridMultilevel"/>
    <w:lvl w:ilvl="0">
      <w:lvlJc w:val="left"/>
      <w:lvlText w:val="%1."/>
      <w:numFmt w:val="upperLetter"/>
      <w:start w:val="2"/>
    </w:lvl>
    <w:lvl w:ilvl="1">
      <w:lvlJc w:val="left"/>
      <w:lvlText w:val="(%2)"/>
      <w:numFmt w:val="decimal"/>
      <w:start w:val="3"/>
    </w:lvl>
  </w:abstractNum>
  <w:abstractNum w:abstractNumId="69">
    <w:nsid w:val="7FFFCA11"/>
    <w:multiLevelType w:val="hybridMultilevel"/>
    <w:lvl w:ilvl="0">
      <w:lvlJc w:val="left"/>
      <w:lvlText w:val="%1."/>
      <w:numFmt w:val="upperLetter"/>
      <w:start w:val="2"/>
    </w:lvl>
    <w:lvl w:ilvl="1">
      <w:lvlJc w:val="left"/>
      <w:lvlText w:val="(%2)"/>
      <w:numFmt w:val="decimal"/>
      <w:start w:val="4"/>
    </w:lvl>
  </w:abstractNum>
  <w:abstractNum w:abstractNumId="70">
    <w:nsid w:val="1A27709E"/>
    <w:multiLevelType w:val="hybridMultilevel"/>
    <w:lvl w:ilvl="0">
      <w:lvlJc w:val="left"/>
      <w:lvlText w:val="%1."/>
      <w:numFmt w:val="upperLetter"/>
      <w:start w:val="3"/>
    </w:lvl>
  </w:abstractNum>
  <w:abstractNum w:abstractNumId="71">
    <w:nsid w:val="71EA1109"/>
    <w:multiLevelType w:val="hybridMultilevel"/>
    <w:lvl w:ilvl="0">
      <w:lvlJc w:val="left"/>
      <w:lvlText w:val="%1."/>
      <w:numFmt w:val="upperLetter"/>
      <w:start w:val="4"/>
    </w:lvl>
  </w:abstractNum>
  <w:abstractNum w:abstractNumId="72">
    <w:nsid w:val="100F59DC"/>
    <w:multiLevelType w:val="hybridMultilevel"/>
    <w:lvl w:ilvl="0">
      <w:lvlJc w:val="left"/>
      <w:lvlText w:val="%1."/>
      <w:numFmt w:val="upperLetter"/>
      <w:start w:val="5"/>
    </w:lvl>
  </w:abstractNum>
  <w:abstractNum w:abstractNumId="73">
    <w:nsid w:val="7FB7E0AA"/>
    <w:multiLevelType w:val="hybridMultilevel"/>
    <w:lvl w:ilvl="0">
      <w:lvlJc w:val="left"/>
      <w:lvlText w:val="%1."/>
      <w:numFmt w:val="upperLetter"/>
      <w:start w:val="1"/>
    </w:lvl>
  </w:abstractNum>
  <w:abstractNum w:abstractNumId="74">
    <w:nsid w:val="6EB5BD4"/>
    <w:multiLevelType w:val="hybridMultilevel"/>
    <w:lvl w:ilvl="0">
      <w:lvlJc w:val="left"/>
      <w:lvlText w:val="%1."/>
      <w:numFmt w:val="upperLetter"/>
      <w:start w:val="2"/>
    </w:lvl>
  </w:abstractNum>
  <w:abstractNum w:abstractNumId="75">
    <w:nsid w:val="6F6DD9AC"/>
    <w:multiLevelType w:val="hybridMultilevel"/>
    <w:lvl w:ilvl="0">
      <w:lvlJc w:val="left"/>
      <w:lvlText w:val="%1."/>
      <w:numFmt w:val="upperLetter"/>
      <w:start w:val="3"/>
    </w:lvl>
  </w:abstractNum>
  <w:abstractNum w:abstractNumId="76">
    <w:nsid w:val="94211F2"/>
    <w:multiLevelType w:val="hybridMultilevel"/>
    <w:lvl w:ilvl="0">
      <w:lvlJc w:val="left"/>
      <w:lvlText w:val="%1."/>
      <w:numFmt w:val="upperLetter"/>
      <w:start w:val="4"/>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1."/>
      <w:numFmt w:val="upperLetter"/>
      <w:start w:val="1"/>
    </w:lvl>
  </w:abstractNum>
  <w:abstractNum w:abstractNumId="79">
    <w:nsid w:val="4C04A8AF"/>
    <w:multiLevelType w:val="hybridMultilevel"/>
    <w:lvl w:ilvl="0">
      <w:lvlJc w:val="left"/>
      <w:lvlText w:val="%1."/>
      <w:numFmt w:val="upperLetter"/>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1."/>
      <w:numFmt w:val="upperLetter"/>
      <w:start w:val="3"/>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1."/>
      <w:numFmt w:val="upperLetter"/>
      <w:start w:val="4"/>
    </w:lvl>
  </w:abstractNum>
  <w:abstractNum w:abstractNumId="84">
    <w:nsid w:val="68EBC550"/>
    <w:multiLevelType w:val="hybridMultilevel"/>
    <w:lvl w:ilvl="0">
      <w:lvlJc w:val="left"/>
      <w:lvlText w:val="%1."/>
      <w:numFmt w:val="upperLetter"/>
      <w:start w:val="5"/>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upperLetter"/>
      <w:start w:val="5"/>
    </w:lvl>
  </w:abstractNum>
  <w:abstractNum w:abstractNumId="92">
    <w:nsid w:val="60EF0119"/>
    <w:multiLevelType w:val="hybridMultilevel"/>
    <w:lvl w:ilvl="0">
      <w:lvlJc w:val="left"/>
      <w:lvlText w:val="%1."/>
      <w:numFmt w:val="upperLetter"/>
      <w:start w:val="6"/>
    </w:lvl>
  </w:abstractNum>
  <w:abstractNum w:abstractNumId="93">
    <w:nsid w:val="26F324BA"/>
    <w:multiLevelType w:val="hybridMultilevel"/>
    <w:lvl w:ilvl="0">
      <w:lvlJc w:val="left"/>
      <w:lvlText w:val="%1."/>
      <w:numFmt w:val="upperLetter"/>
      <w:start w:val="6"/>
    </w:lvl>
  </w:abstractNum>
  <w:abstractNum w:abstractNumId="94">
    <w:nsid w:val="7F01579B"/>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2020-03-02T15:06:09Z</dcterms:created>
  <dcterms:modified xsi:type="dcterms:W3CDTF">2020-03-02T15:06:09Z</dcterms:modified>
</cp:coreProperties>
</file>