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 xml:space="preserve">As filed with the Securities and Exchange Commission on March 26, 2007 </w:t>
      </w:r>
      <w:r>
        <w:rPr>
          <w:rFonts w:ascii="Times New Roman" w:cs="Times New Roman" w:eastAsia="Times New Roman" w:hAnsi="Times New Roman"/>
          <w:sz w:val="16"/>
          <w:szCs w:val="16"/>
          <w:color w:val="auto"/>
        </w:rPr>
        <w:t>Registration No. 333-140174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FORM F-3</w:t>
      </w:r>
    </w:p>
    <w:p>
      <w:pPr>
        <w:spacing w:after="0" w:line="2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UNDER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SECURITIES ACT OF 1933</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TOWER SEMICONDUCTOR LTD.</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60"/>
          </w:cols>
          <w:pgMar w:left="240" w:top="231" w:right="299" w:bottom="58" w:gutter="0" w:footer="0" w:header="0"/>
        </w:sectPr>
      </w:pPr>
    </w:p>
    <w:p>
      <w:pPr>
        <w:spacing w:after="0" w:line="20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2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80" w:space="720"/>
            <w:col w:w="4060"/>
          </w:cols>
          <w:pgMar w:left="240" w:top="231" w:right="299" w:bottom="58" w:gutter="0" w:footer="0" w:header="0"/>
          <w:type w:val="continuous"/>
        </w:sectPr>
      </w:pP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 Box 619</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Migdal Haemek, Israel, 23105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972-4-650-6611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Tower Semiconductor USA</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4300 Stevens Creek Blvd., Suite 175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Jose, California 95129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 408-551-6500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Facsimile: 408-551-6509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213" w:lineRule="exact"/>
        <w:rPr>
          <w:sz w:val="24"/>
          <w:szCs w:val="24"/>
          <w:color w:val="auto"/>
        </w:rPr>
      </w:pPr>
    </w:p>
    <w:tbl>
      <w:tblPr>
        <w:tblLayout w:type="fixed"/>
        <w:tblInd w:w="1780" w:type="dxa"/>
        <w:tblCellMar>
          <w:top w:w="0" w:type="dxa"/>
          <w:left w:w="0" w:type="dxa"/>
          <w:bottom w:w="0" w:type="dxa"/>
          <w:right w:w="0" w:type="dxa"/>
        </w:tblCellMar>
      </w:tblPr>
      <w:tr>
        <w:trPr>
          <w:trHeight w:val="214"/>
        </w:trPr>
        <w:tc>
          <w:tcPr>
            <w:tcW w:w="2480" w:type="dxa"/>
            <w:vAlign w:val="bottom"/>
          </w:tcPr>
          <w:p>
            <w:pPr>
              <w:spacing w:after="0"/>
              <w:rPr>
                <w:sz w:val="18"/>
                <w:szCs w:val="18"/>
                <w:color w:val="auto"/>
              </w:rPr>
            </w:pPr>
          </w:p>
        </w:tc>
        <w:tc>
          <w:tcPr>
            <w:tcW w:w="5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Copies of all Correspondence to:</w:t>
            </w:r>
          </w:p>
        </w:tc>
      </w:tr>
      <w:tr>
        <w:trPr>
          <w:trHeight w:val="216"/>
        </w:trPr>
        <w:tc>
          <w:tcPr>
            <w:tcW w:w="248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6"/>
              </w:rPr>
              <w:t>DAVID H. SCHAPIRO, ESQ</w:t>
            </w:r>
          </w:p>
        </w:tc>
        <w:tc>
          <w:tcPr>
            <w:tcW w:w="5380" w:type="dxa"/>
            <w:vAlign w:val="bottom"/>
          </w:tcPr>
          <w:p>
            <w:pPr>
              <w:jc w:val="center"/>
              <w:ind w:left="3152"/>
              <w:spacing w:after="0"/>
              <w:rPr>
                <w:sz w:val="20"/>
                <w:szCs w:val="20"/>
                <w:color w:val="auto"/>
              </w:rPr>
            </w:pPr>
            <w:r>
              <w:rPr>
                <w:rFonts w:ascii="Times New Roman" w:cs="Times New Roman" w:eastAsia="Times New Roman" w:hAnsi="Times New Roman"/>
                <w:sz w:val="18"/>
                <w:szCs w:val="18"/>
                <w:b w:val="1"/>
                <w:bCs w:val="1"/>
                <w:color w:val="auto"/>
                <w:w w:val="96"/>
              </w:rPr>
              <w:t>SHELDON KRAUSE, ESQ.</w:t>
            </w:r>
          </w:p>
        </w:tc>
      </w:tr>
      <w:tr>
        <w:trPr>
          <w:trHeight w:val="221"/>
        </w:trPr>
        <w:tc>
          <w:tcPr>
            <w:tcW w:w="248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8"/>
              </w:rPr>
              <w:t>ARI FRIED, ESQ</w:t>
            </w:r>
          </w:p>
        </w:tc>
        <w:tc>
          <w:tcPr>
            <w:tcW w:w="5380" w:type="dxa"/>
            <w:vAlign w:val="bottom"/>
          </w:tcPr>
          <w:p>
            <w:pPr>
              <w:jc w:val="center"/>
              <w:ind w:left="3152"/>
              <w:spacing w:after="0"/>
              <w:rPr>
                <w:sz w:val="20"/>
                <w:szCs w:val="20"/>
                <w:color w:val="auto"/>
              </w:rPr>
            </w:pPr>
            <w:r>
              <w:rPr>
                <w:rFonts w:ascii="Times New Roman" w:cs="Times New Roman" w:eastAsia="Times New Roman" w:hAnsi="Times New Roman"/>
                <w:sz w:val="18"/>
                <w:szCs w:val="18"/>
                <w:color w:val="auto"/>
                <w:w w:val="96"/>
              </w:rPr>
              <w:t>Eilenberg, Krause &amp; Paul LLP</w:t>
            </w:r>
          </w:p>
        </w:tc>
      </w:tr>
      <w:tr>
        <w:trPr>
          <w:trHeight w:val="253"/>
        </w:trPr>
        <w:tc>
          <w:tcPr>
            <w:tcW w:w="248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Yigal Arnon &amp; Co.</w:t>
            </w:r>
          </w:p>
        </w:tc>
        <w:tc>
          <w:tcPr>
            <w:tcW w:w="5380" w:type="dxa"/>
            <w:vAlign w:val="bottom"/>
          </w:tcPr>
          <w:p>
            <w:pPr>
              <w:jc w:val="center"/>
              <w:ind w:left="3152"/>
              <w:spacing w:after="0" w:line="253" w:lineRule="exact"/>
              <w:rPr>
                <w:sz w:val="20"/>
                <w:szCs w:val="20"/>
                <w:color w:val="auto"/>
              </w:rPr>
            </w:pPr>
            <w:r>
              <w:rPr>
                <w:rFonts w:ascii="Times New Roman" w:cs="Times New Roman" w:eastAsia="Times New Roman" w:hAnsi="Times New Roman"/>
                <w:sz w:val="18"/>
                <w:szCs w:val="18"/>
                <w:color w:val="auto"/>
                <w:w w:val="94"/>
              </w:rPr>
              <w:t>11 East 44</w:t>
            </w:r>
            <w:r>
              <w:rPr>
                <w:rFonts w:ascii="Times New Roman" w:cs="Times New Roman" w:eastAsia="Times New Roman" w:hAnsi="Times New Roman"/>
                <w:sz w:val="29"/>
                <w:szCs w:val="29"/>
                <w:color w:val="auto"/>
                <w:w w:val="94"/>
                <w:vertAlign w:val="superscript"/>
              </w:rPr>
              <w:t>th</w:t>
            </w:r>
            <w:r>
              <w:rPr>
                <w:rFonts w:ascii="Times New Roman" w:cs="Times New Roman" w:eastAsia="Times New Roman" w:hAnsi="Times New Roman"/>
                <w:sz w:val="18"/>
                <w:szCs w:val="18"/>
                <w:color w:val="auto"/>
                <w:w w:val="94"/>
              </w:rPr>
              <w:t xml:space="preserve"> Street</w:t>
            </w:r>
          </w:p>
        </w:tc>
      </w:tr>
      <w:tr>
        <w:trPr>
          <w:trHeight w:val="216"/>
        </w:trPr>
        <w:tc>
          <w:tcPr>
            <w:tcW w:w="248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8"/>
              </w:rPr>
              <w:t>1 Azrieli Center</w:t>
            </w:r>
          </w:p>
        </w:tc>
        <w:tc>
          <w:tcPr>
            <w:tcW w:w="5380" w:type="dxa"/>
            <w:vAlign w:val="bottom"/>
          </w:tcPr>
          <w:p>
            <w:pPr>
              <w:jc w:val="center"/>
              <w:ind w:left="3152"/>
              <w:spacing w:after="0"/>
              <w:rPr>
                <w:sz w:val="20"/>
                <w:szCs w:val="20"/>
                <w:color w:val="auto"/>
              </w:rPr>
            </w:pPr>
            <w:r>
              <w:rPr>
                <w:rFonts w:ascii="Times New Roman" w:cs="Times New Roman" w:eastAsia="Times New Roman" w:hAnsi="Times New Roman"/>
                <w:sz w:val="18"/>
                <w:szCs w:val="18"/>
                <w:color w:val="auto"/>
                <w:w w:val="96"/>
              </w:rPr>
              <w:t>New York, NY 10017</w:t>
            </w:r>
          </w:p>
        </w:tc>
      </w:tr>
      <w:tr>
        <w:trPr>
          <w:trHeight w:val="216"/>
        </w:trPr>
        <w:tc>
          <w:tcPr>
            <w:tcW w:w="248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5"/>
              </w:rPr>
              <w:t>Tel Aviv, 67021 Israel</w:t>
            </w:r>
          </w:p>
        </w:tc>
        <w:tc>
          <w:tcPr>
            <w:tcW w:w="5380" w:type="dxa"/>
            <w:vAlign w:val="bottom"/>
          </w:tcPr>
          <w:p>
            <w:pPr>
              <w:jc w:val="center"/>
              <w:ind w:left="3152"/>
              <w:spacing w:after="0"/>
              <w:rPr>
                <w:sz w:val="20"/>
                <w:szCs w:val="20"/>
                <w:color w:val="auto"/>
              </w:rPr>
            </w:pPr>
            <w:r>
              <w:rPr>
                <w:rFonts w:ascii="Times New Roman" w:cs="Times New Roman" w:eastAsia="Times New Roman" w:hAnsi="Times New Roman"/>
                <w:sz w:val="18"/>
                <w:szCs w:val="18"/>
                <w:color w:val="auto"/>
                <w:w w:val="95"/>
              </w:rPr>
              <w:t>Tel: 212-986-9700</w:t>
            </w:r>
          </w:p>
        </w:tc>
      </w:tr>
      <w:tr>
        <w:trPr>
          <w:trHeight w:val="228"/>
        </w:trPr>
        <w:tc>
          <w:tcPr>
            <w:tcW w:w="248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Tel: 972-3-608-7856</w:t>
            </w:r>
          </w:p>
        </w:tc>
        <w:tc>
          <w:tcPr>
            <w:tcW w:w="5380" w:type="dxa"/>
            <w:vAlign w:val="bottom"/>
          </w:tcPr>
          <w:p>
            <w:pPr>
              <w:spacing w:after="0"/>
              <w:rPr>
                <w:sz w:val="19"/>
                <w:szCs w:val="19"/>
                <w:color w:val="auto"/>
              </w:rPr>
            </w:pPr>
          </w:p>
        </w:tc>
      </w:tr>
    </w:tbl>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time to time after the effective date of this registration statement.</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Times New Roman" w:cs="Times New Roman" w:eastAsia="Times New Roman" w:hAnsi="Times New Roman"/>
          <w:sz w:val="21"/>
          <w:szCs w:val="21"/>
          <w:color w:val="auto"/>
        </w:rPr>
        <w:t>o</w:t>
      </w:r>
    </w:p>
    <w:p>
      <w:pPr>
        <w:spacing w:after="0" w:line="231" w:lineRule="exact"/>
        <w:rPr>
          <w:sz w:val="24"/>
          <w:szCs w:val="24"/>
          <w:color w:val="auto"/>
        </w:rPr>
      </w:pPr>
    </w:p>
    <w:p>
      <w:pPr>
        <w:ind w:right="300"/>
        <w:spacing w:after="0" w:line="276" w:lineRule="auto"/>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Times New Roman" w:cs="Times New Roman" w:eastAsia="Times New Roman" w:hAnsi="Times New Roman"/>
          <w:sz w:val="21"/>
          <w:szCs w:val="21"/>
          <w:color w:val="auto"/>
        </w:rPr>
        <w:t>x</w:t>
      </w:r>
    </w:p>
    <w:p>
      <w:pPr>
        <w:spacing w:after="0" w:line="160" w:lineRule="exact"/>
        <w:rPr>
          <w:sz w:val="24"/>
          <w:szCs w:val="24"/>
          <w:color w:val="auto"/>
        </w:r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Times New Roman" w:cs="Times New Roman" w:eastAsia="Times New Roman" w:hAnsi="Times New Roman"/>
          <w:sz w:val="21"/>
          <w:szCs w:val="21"/>
          <w:color w:val="auto"/>
        </w:rPr>
        <w:t>o</w:t>
      </w:r>
    </w:p>
    <w:p>
      <w:pPr>
        <w:spacing w:after="0" w:line="160" w:lineRule="exact"/>
        <w:rPr>
          <w:sz w:val="24"/>
          <w:szCs w:val="24"/>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 w:cs="Times New Roman" w:eastAsia="Times New Roman" w:hAnsi="Times New Roman"/>
          <w:sz w:val="21"/>
          <w:szCs w:val="21"/>
          <w:color w:val="auto"/>
        </w:rPr>
        <w:t>o</w:t>
      </w:r>
    </w:p>
    <w:p>
      <w:pPr>
        <w:spacing w:after="0" w:line="160" w:lineRule="exact"/>
        <w:rPr>
          <w:sz w:val="24"/>
          <w:szCs w:val="24"/>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 effective amendment thereto that shall become effective upon filing with the Commission pursuant to Rule 462(e) under the Securities Act, check the following box. </w:t>
      </w:r>
      <w:r>
        <w:rPr>
          <w:rFonts w:ascii="Times New Roman" w:cs="Times New Roman" w:eastAsia="Times New Roman" w:hAnsi="Times New Roman"/>
          <w:sz w:val="21"/>
          <w:szCs w:val="21"/>
          <w:color w:val="auto"/>
        </w:rPr>
        <w:t>o</w:t>
      </w:r>
    </w:p>
    <w:p>
      <w:pPr>
        <w:spacing w:after="0" w:line="160" w:lineRule="exact"/>
        <w:rPr>
          <w:sz w:val="24"/>
          <w:szCs w:val="24"/>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Times New Roman" w:cs="Times New Roman" w:eastAsia="Times New Roman" w:hAnsi="Times New Roman"/>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67"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7" w:lineRule="exact"/>
        <w:rPr>
          <w:sz w:val="24"/>
          <w:szCs w:val="24"/>
          <w:color w:val="auto"/>
        </w:rPr>
      </w:pPr>
    </w:p>
    <w:p>
      <w:pPr>
        <w:jc w:val="both"/>
        <w:ind w:right="160"/>
        <w:spacing w:after="0" w:line="264" w:lineRule="auto"/>
        <w:rPr>
          <w:sz w:val="20"/>
          <w:szCs w:val="20"/>
          <w:color w:val="auto"/>
        </w:rPr>
      </w:pPr>
      <w:r>
        <w:rPr>
          <w:rFonts w:ascii="Times New Roman" w:cs="Times New Roman" w:eastAsia="Times New Roman" w:hAnsi="Times New Roman"/>
          <w:sz w:val="18"/>
          <w:szCs w:val="18"/>
          <w:b w:val="1"/>
          <w:bCs w:val="1"/>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ectPr>
          <w:pgSz w:w="11900" w:h="16838" w:orient="portrait"/>
          <w:cols w:equalWidth="0" w:num="1">
            <w:col w:w="11360"/>
          </w:cols>
          <w:pgMar w:left="240" w:top="231" w:right="299" w:bottom="58" w:gutter="0" w:footer="0" w:header="0"/>
          <w:type w:val="continuous"/>
        </w:sectPr>
      </w:pPr>
    </w:p>
    <w:bookmarkStart w:id="1" w:name="page2"/>
    <w:bookmarkEnd w:id="1"/>
    <w:p>
      <w:pPr>
        <w:spacing w:after="0" w:line="14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SUBJECT TO COMPLETION</w:t>
      </w:r>
    </w:p>
    <w:p>
      <w:pPr>
        <w:spacing w:after="0" w:line="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DATED March __, 2007</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205105</wp:posOffset>
            </wp:positionV>
            <wp:extent cx="2058035" cy="67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80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117,763,158 Ordinary Shares</w:t>
      </w:r>
    </w:p>
    <w:p>
      <w:pPr>
        <w:spacing w:after="0" w:line="219" w:lineRule="exact"/>
        <w:rPr>
          <w:sz w:val="20"/>
          <w:szCs w:val="20"/>
          <w:color w:val="auto"/>
        </w:rPr>
      </w:pPr>
    </w:p>
    <w:p>
      <w:pPr>
        <w:jc w:val="both"/>
        <w:ind w:right="60" w:firstLine="348"/>
        <w:spacing w:after="0" w:line="262" w:lineRule="auto"/>
        <w:rPr>
          <w:sz w:val="20"/>
          <w:szCs w:val="20"/>
          <w:color w:val="auto"/>
        </w:rPr>
      </w:pPr>
      <w:r>
        <w:rPr>
          <w:rFonts w:ascii="Times New Roman" w:cs="Times New Roman" w:eastAsia="Times New Roman" w:hAnsi="Times New Roman"/>
          <w:sz w:val="18"/>
          <w:szCs w:val="18"/>
          <w:color w:val="auto"/>
        </w:rPr>
        <w:t>This prospectus relates to the resale, from time to time, by the selling securityholders named in this prospectus of up to 117,763,158 ordinary shares issuable upon conversion of equity equivalent convertible capital notes and the offering by the company of these ordinary shares to persons to whom the capital notes and ordinary shares may be sold or otherwise transferred by the selling securityholders.</w:t>
      </w:r>
    </w:p>
    <w:p>
      <w:pPr>
        <w:spacing w:after="0" w:line="186" w:lineRule="exact"/>
        <w:rPr>
          <w:sz w:val="20"/>
          <w:szCs w:val="20"/>
          <w:color w:val="auto"/>
        </w:rPr>
      </w:pPr>
    </w:p>
    <w:p>
      <w:pPr>
        <w:jc w:val="both"/>
        <w:ind w:right="40" w:firstLine="348"/>
        <w:spacing w:after="0" w:line="289" w:lineRule="auto"/>
        <w:rPr>
          <w:sz w:val="20"/>
          <w:szCs w:val="20"/>
          <w:color w:val="auto"/>
        </w:rPr>
      </w:pPr>
      <w:r>
        <w:rPr>
          <w:rFonts w:ascii="Times New Roman" w:cs="Times New Roman" w:eastAsia="Times New Roman" w:hAnsi="Times New Roman"/>
          <w:sz w:val="16"/>
          <w:szCs w:val="16"/>
          <w:color w:val="auto"/>
        </w:rPr>
        <w:t>The selling securityholders may sell all or any portion of these ordinary shares in one or more transactions through (i) Nasdaq, the Tel Aviv Stock Exchange, in the over-the-counter market, in privately negotiated transactions or otherwise; (ii) directly to purchasers or through agents, brokers, dealers or underwriters;</w:t>
      </w:r>
    </w:p>
    <w:p>
      <w:pPr>
        <w:spacing w:after="0" w:line="1" w:lineRule="exact"/>
        <w:rPr>
          <w:sz w:val="20"/>
          <w:szCs w:val="20"/>
          <w:color w:val="auto"/>
        </w:rPr>
      </w:pPr>
    </w:p>
    <w:p>
      <w:pPr>
        <w:ind w:right="140" w:firstLine="8"/>
        <w:spacing w:after="0" w:line="261" w:lineRule="auto"/>
        <w:tabs>
          <w:tab w:leader="none" w:pos="30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 at prices related to such prevailing market prices, or at negotiated prices; or (iv) or any other means described in the section entitled “Plan of Distribution.”</w:t>
      </w:r>
    </w:p>
    <w:p>
      <w:pPr>
        <w:spacing w:after="0" w:line="186" w:lineRule="exact"/>
        <w:rPr>
          <w:sz w:val="20"/>
          <w:szCs w:val="20"/>
          <w:color w:val="auto"/>
        </w:rPr>
      </w:pPr>
    </w:p>
    <w:p>
      <w:pPr>
        <w:jc w:val="both"/>
        <w:ind w:right="160" w:firstLine="395"/>
        <w:spacing w:after="0" w:line="262"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under the symbol “TSEM” and on the Tel Aviv Stock Exchange in Israel under the symbol “TSEM.” On March 23, 2007, the last reported sale price of our ordinary shares on the NASDAQ Global Market was $1.71 per share and on the Tel Aviv Stock Exchange was NIS 7.084 per share.</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The securities offered hereby involve a high degree of risk. See “Risk Factors” beginning on page 2.</w:t>
      </w:r>
    </w:p>
    <w:p>
      <w:pPr>
        <w:spacing w:after="0" w:line="225" w:lineRule="exact"/>
        <w:rPr>
          <w:sz w:val="20"/>
          <w:szCs w:val="20"/>
          <w:color w:val="auto"/>
        </w:rPr>
      </w:pPr>
    </w:p>
    <w:p>
      <w:pPr>
        <w:jc w:val="both"/>
        <w:ind w:right="5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is March __,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60" w:type="dxa"/>
            <w:vAlign w:val="bottom"/>
          </w:tcPr>
          <w:p>
            <w:pPr>
              <w:spacing w:after="0"/>
              <w:rPr>
                <w:sz w:val="20"/>
                <w:szCs w:val="20"/>
                <w:color w:val="auto"/>
              </w:rPr>
            </w:pPr>
          </w:p>
        </w:tc>
      </w:tr>
      <w:tr>
        <w:trPr>
          <w:trHeight w:val="434"/>
        </w:trPr>
        <w:tc>
          <w:tcPr>
            <w:tcW w:w="32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6"/>
              </w:rPr>
            </w:pPr>
            <w:hyperlink w:anchor="page2">
              <w:r>
                <w:rPr>
                  <w:rFonts w:ascii="Times New Roman" w:cs="Times New Roman" w:eastAsia="Times New Roman" w:hAnsi="Times New Roman"/>
                  <w:sz w:val="18"/>
                  <w:szCs w:val="18"/>
                  <w:color w:val="0000EE"/>
                  <w:w w:val="96"/>
                </w:rPr>
                <w:t>ABOUT TOWER SEMICONDUCTOR LTD.</w:t>
              </w:r>
            </w:hyperlink>
          </w:p>
        </w:tc>
        <w:tc>
          <w:tcPr>
            <w:tcW w:w="6640" w:type="dxa"/>
            <w:vAlign w:val="bottom"/>
            <w:gridSpan w:val="5"/>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12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4"/>
              </w:rPr>
            </w:pPr>
            <w:hyperlink w:anchor="page3">
              <w:r>
                <w:rPr>
                  <w:rFonts w:ascii="Times New Roman" w:cs="Times New Roman" w:eastAsia="Times New Roman" w:hAnsi="Times New Roman"/>
                  <w:sz w:val="18"/>
                  <w:szCs w:val="18"/>
                  <w:color w:val="0000EE"/>
                  <w:w w:val="94"/>
                </w:rPr>
                <w:t>RISK FACTORS</w:t>
              </w:r>
            </w:hyperlink>
          </w:p>
        </w:tc>
        <w:tc>
          <w:tcPr>
            <w:tcW w:w="8660" w:type="dxa"/>
            <w:vAlign w:val="bottom"/>
            <w:gridSpan w:val="13"/>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9880" w:type="dxa"/>
            <w:vAlign w:val="bottom"/>
            <w:gridSpan w:val="16"/>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SPECIAL NOTE ON FORWARD-LOOKING STATEMENTS</w:t>
              </w:r>
            </w:hyperlink>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14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5"/>
              </w:rPr>
            </w:pPr>
            <w:hyperlink w:anchor="page11">
              <w:r>
                <w:rPr>
                  <w:rFonts w:ascii="Times New Roman" w:cs="Times New Roman" w:eastAsia="Times New Roman" w:hAnsi="Times New Roman"/>
                  <w:sz w:val="18"/>
                  <w:szCs w:val="18"/>
                  <w:color w:val="0000EE"/>
                  <w:w w:val="95"/>
                </w:rPr>
                <w:t>CAPITALIZATION</w:t>
              </w:r>
            </w:hyperlink>
          </w:p>
        </w:tc>
        <w:tc>
          <w:tcPr>
            <w:tcW w:w="2980" w:type="dxa"/>
            <w:vAlign w:val="bottom"/>
            <w:tcBorders>
              <w:top w:val="single" w:sz="8" w:color="0000EE"/>
            </w:tcBorders>
            <w:gridSpan w:val="7"/>
          </w:tcPr>
          <w:p>
            <w:pPr>
              <w:spacing w:after="0"/>
              <w:rPr>
                <w:sz w:val="19"/>
                <w:szCs w:val="19"/>
                <w:color w:val="auto"/>
              </w:rPr>
            </w:pPr>
          </w:p>
        </w:tc>
        <w:tc>
          <w:tcPr>
            <w:tcW w:w="5460" w:type="dxa"/>
            <w:vAlign w:val="bottom"/>
            <w:gridSpan w:val="4"/>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15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USE OF PROCEEDS</w:t>
              </w:r>
            </w:hyperlink>
          </w:p>
        </w:tc>
        <w:tc>
          <w:tcPr>
            <w:tcW w:w="8320" w:type="dxa"/>
            <w:vAlign w:val="bottom"/>
            <w:gridSpan w:val="9"/>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9880" w:type="dxa"/>
            <w:vAlign w:val="bottom"/>
            <w:gridSpan w:val="16"/>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PLAN OF DISTRIBUTION</w:t>
              </w:r>
            </w:hyperlink>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3"/>
        </w:trPr>
        <w:tc>
          <w:tcPr>
            <w:tcW w:w="9880" w:type="dxa"/>
            <w:vAlign w:val="bottom"/>
            <w:gridSpan w:val="16"/>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SELLING SECURITYHOLDERS</w:t>
              </w:r>
            </w:hyperlink>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3"/>
        </w:trPr>
        <w:tc>
          <w:tcPr>
            <w:tcW w:w="9880" w:type="dxa"/>
            <w:vAlign w:val="bottom"/>
            <w:gridSpan w:val="16"/>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DESCRIPTION OF SHARE CAPITAL</w:t>
              </w:r>
            </w:hyperlink>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3"/>
        </w:trPr>
        <w:tc>
          <w:tcPr>
            <w:tcW w:w="49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6"/>
              </w:rPr>
            </w:pPr>
            <w:hyperlink w:anchor="page16">
              <w:r>
                <w:rPr>
                  <w:rFonts w:ascii="Times New Roman" w:cs="Times New Roman" w:eastAsia="Times New Roman" w:hAnsi="Times New Roman"/>
                  <w:sz w:val="18"/>
                  <w:szCs w:val="18"/>
                  <w:color w:val="0000EE"/>
                  <w:w w:val="96"/>
                </w:rPr>
                <w:t>FOREIGN EXCHANGE CONTROLS AND OTHER LIMITATIONS</w:t>
              </w:r>
            </w:hyperlink>
          </w:p>
        </w:tc>
        <w:tc>
          <w:tcPr>
            <w:tcW w:w="4940" w:type="dxa"/>
            <w:vAlign w:val="bottom"/>
            <w:gridSpan w:val="3"/>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8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2"/>
              </w:rPr>
            </w:pPr>
            <w:hyperlink w:anchor="page16">
              <w:r>
                <w:rPr>
                  <w:rFonts w:ascii="Times New Roman" w:cs="Times New Roman" w:eastAsia="Times New Roman" w:hAnsi="Times New Roman"/>
                  <w:sz w:val="18"/>
                  <w:szCs w:val="18"/>
                  <w:color w:val="0000EE"/>
                  <w:w w:val="92"/>
                </w:rPr>
                <w:t>TAXATION</w:t>
              </w:r>
            </w:hyperlink>
          </w:p>
        </w:tc>
        <w:tc>
          <w:tcPr>
            <w:tcW w:w="9000" w:type="dxa"/>
            <w:vAlign w:val="bottom"/>
            <w:gridSpan w:val="14"/>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15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6"/>
              </w:rPr>
            </w:pPr>
            <w:hyperlink w:anchor="page17">
              <w:r>
                <w:rPr>
                  <w:rFonts w:ascii="Times New Roman" w:cs="Times New Roman" w:eastAsia="Times New Roman" w:hAnsi="Times New Roman"/>
                  <w:sz w:val="18"/>
                  <w:szCs w:val="18"/>
                  <w:color w:val="0000EE"/>
                  <w:w w:val="96"/>
                </w:rPr>
                <w:t>DIVIDEND POLICY</w:t>
              </w:r>
            </w:hyperlink>
          </w:p>
        </w:tc>
        <w:tc>
          <w:tcPr>
            <w:tcW w:w="8340" w:type="dxa"/>
            <w:vAlign w:val="bottom"/>
            <w:gridSpan w:val="10"/>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9880" w:type="dxa"/>
            <w:vAlign w:val="bottom"/>
            <w:gridSpan w:val="16"/>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LEGAL MATTERS</w:t>
              </w:r>
            </w:hyperlink>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7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4"/>
              </w:rPr>
            </w:pPr>
            <w:hyperlink w:anchor="page17">
              <w:r>
                <w:rPr>
                  <w:rFonts w:ascii="Times New Roman" w:cs="Times New Roman" w:eastAsia="Times New Roman" w:hAnsi="Times New Roman"/>
                  <w:sz w:val="18"/>
                  <w:szCs w:val="18"/>
                  <w:color w:val="0000EE"/>
                  <w:w w:val="94"/>
                </w:rPr>
                <w:t>EXPERTS</w:t>
              </w:r>
            </w:hyperlink>
          </w:p>
        </w:tc>
        <w:tc>
          <w:tcPr>
            <w:tcW w:w="660" w:type="dxa"/>
            <w:vAlign w:val="bottom"/>
            <w:tcBorders>
              <w:top w:val="single" w:sz="8" w:color="0000EE"/>
            </w:tcBorders>
            <w:gridSpan w:val="3"/>
          </w:tcPr>
          <w:p>
            <w:pPr>
              <w:spacing w:after="0"/>
              <w:rPr>
                <w:sz w:val="19"/>
                <w:szCs w:val="19"/>
                <w:color w:val="auto"/>
              </w:rPr>
            </w:pPr>
          </w:p>
        </w:tc>
        <w:tc>
          <w:tcPr>
            <w:tcW w:w="8460" w:type="dxa"/>
            <w:vAlign w:val="bottom"/>
            <w:gridSpan w:val="12"/>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9880" w:type="dxa"/>
            <w:vAlign w:val="bottom"/>
            <w:gridSpan w:val="16"/>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ENFORCEABILITY OF CIVIL LIABILITIES AND AGENT FOR SERVICE OF PROCESS IN THE UNITED STATES</w:t>
              </w:r>
            </w:hyperlink>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858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WHERE YOU CAN FIND MORE INFORMATION; INCORPORATION OF INFORMATION BY REFERENCE</w:t>
              </w:r>
            </w:hyperlink>
          </w:p>
        </w:tc>
        <w:tc>
          <w:tcPr>
            <w:tcW w:w="1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TOWER SEMICONDUCTOR LTD.</w:t>
      </w:r>
    </w:p>
    <w:p>
      <w:pPr>
        <w:spacing w:after="0" w:line="308"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We are a pure-play independent wafer foundry dedicated to the manufacture of semiconductors,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9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company was founded in 1993, when we acquired National Semiconductor’s 150-mm wafer fabrication facility, or Fab 1, and commenced operations as an independent foundry with a production capacity of approximately 5,000 wafers per month. Since then, we have significantly modernized our Fab 1 facility and equipment, which has improved our process geometries to range from 1.0-micron to 0.35-micron and enhanced our process technologies to include CMOS image sensors, embedded flash and mixed-signal technologies. Depending on the process technology and product mix, as of February 28, 2007, Fab 1 is able to achieve capacity levels of approximately 16,000 wafers per month.</w:t>
      </w:r>
    </w:p>
    <w:p>
      <w:pPr>
        <w:spacing w:after="0" w:line="193" w:lineRule="exact"/>
        <w:rPr>
          <w:sz w:val="20"/>
          <w:szCs w:val="20"/>
          <w:color w:val="auto"/>
        </w:rPr>
      </w:pPr>
    </w:p>
    <w:p>
      <w:pPr>
        <w:ind w:right="40" w:firstLine="395"/>
        <w:spacing w:after="0" w:line="339" w:lineRule="auto"/>
        <w:rPr>
          <w:sz w:val="20"/>
          <w:szCs w:val="20"/>
          <w:color w:val="auto"/>
        </w:rPr>
      </w:pPr>
      <w:r>
        <w:rPr>
          <w:rFonts w:ascii="Times New Roman" w:cs="Times New Roman" w:eastAsia="Times New Roman" w:hAnsi="Times New Roman"/>
          <w:sz w:val="16"/>
          <w:szCs w:val="16"/>
          <w:color w:val="auto"/>
        </w:rPr>
        <w:t>In January 2001, we commenced construction of a new, state-of-the-art wafer fabrication facility, which we refer to as Fab 2, located in Migdal Haemek, Israel and adjacent to our first facility, Fab 1. In 2003, we completed the infrastructure of Fab 2 and commenced production wafer shipments from this Fab. Fab 2</w:t>
      </w:r>
    </w:p>
    <w:p>
      <w:pPr>
        <w:sectPr>
          <w:pgSz w:w="11900" w:h="16984" w:orient="portrait"/>
          <w:cols w:equalWidth="0" w:num="1">
            <w:col w:w="11400"/>
          </w:cols>
          <w:pgMar w:left="240" w:top="123" w:right="259" w:bottom="0" w:gutter="0" w:footer="0" w:header="0"/>
        </w:sectPr>
      </w:pPr>
    </w:p>
    <w:bookmarkStart w:id="2" w:name="page3"/>
    <w:bookmarkEnd w:id="2"/>
    <w:p>
      <w:pPr>
        <w:ind w:right="40"/>
        <w:spacing w:after="0" w:line="258" w:lineRule="auto"/>
        <w:rPr>
          <w:sz w:val="20"/>
          <w:szCs w:val="20"/>
          <w:color w:val="auto"/>
        </w:rPr>
      </w:pPr>
      <w:r>
        <w:rPr>
          <w:rFonts w:ascii="Times New Roman" w:cs="Times New Roman" w:eastAsia="Times New Roman" w:hAnsi="Times New Roman"/>
          <w:sz w:val="18"/>
          <w:szCs w:val="18"/>
          <w:color w:val="auto"/>
        </w:rPr>
        <w:t>is designed to operate in geometries of 0.18-micron and below, using advanced materials and advanced CMOS technology licensed from Freescale and Toshiba and other technologies that we developed and will develop independently or with development partners. Production capacity of Fab 2 as of February 28, 2007 was approximately 19,000 wafers per month. Depending on the process technology and product mix, when fully ramped-up we estimate that Fab 2 will be able to achieve capacity levels of up to approximately 40,000 wafers per month.</w:t>
      </w:r>
    </w:p>
    <w:p>
      <w:pPr>
        <w:spacing w:after="0" w:line="190"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93"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Our manufacturing facilities and executive offices are located in the Ramat Gavriel Industrial Park, Post Office Box 619, Migdal Haemek, 23105 Israel, and our telephone number is 972-4-650-6611.</w:t>
      </w:r>
    </w:p>
    <w:p>
      <w:pPr>
        <w:spacing w:after="0" w:line="174" w:lineRule="exact"/>
        <w:rPr>
          <w:sz w:val="20"/>
          <w:szCs w:val="20"/>
          <w:color w:val="auto"/>
        </w:rPr>
      </w:pPr>
    </w:p>
    <w:p>
      <w:pPr>
        <w:ind w:right="220" w:firstLine="341"/>
        <w:spacing w:after="0" w:line="275" w:lineRule="auto"/>
        <w:rPr>
          <w:sz w:val="20"/>
          <w:szCs w:val="20"/>
          <w:color w:val="auto"/>
        </w:rPr>
      </w:pPr>
      <w:r>
        <w:rPr>
          <w:rFonts w:ascii="Times New Roman" w:cs="Times New Roman" w:eastAsia="Times New Roman" w:hAnsi="Times New Roman"/>
          <w:sz w:val="18"/>
          <w:szCs w:val="18"/>
          <w:color w:val="auto"/>
        </w:rPr>
        <w:t xml:space="preserve">Additional information about us and our operations may be found at our web site: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 Information on our website is not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306"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securities.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Risks Affecting Our Business</w:t>
      </w:r>
    </w:p>
    <w:p>
      <w:pPr>
        <w:spacing w:after="0" w:line="225"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8"/>
          <w:szCs w:val="18"/>
          <w:b w:val="1"/>
          <w:bCs w:val="1"/>
          <w:color w:val="auto"/>
        </w:rPr>
        <w:t>If we do not have sufficient funds to fully equip Fab 2 and/or if we do not complete the equipment installation, technology transfer and ramp-up of production in Fab 2, our business will be materially adversely affected.</w:t>
      </w:r>
    </w:p>
    <w:p>
      <w:pPr>
        <w:spacing w:after="0" w:line="172" w:lineRule="exact"/>
        <w:rPr>
          <w:sz w:val="20"/>
          <w:szCs w:val="20"/>
          <w:color w:val="auto"/>
        </w:rPr>
      </w:pPr>
    </w:p>
    <w:p>
      <w:pPr>
        <w:ind w:firstLine="395"/>
        <w:spacing w:after="0" w:line="286" w:lineRule="auto"/>
        <w:rPr>
          <w:sz w:val="20"/>
          <w:szCs w:val="20"/>
          <w:color w:val="auto"/>
        </w:rPr>
      </w:pPr>
      <w:r>
        <w:rPr>
          <w:rFonts w:ascii="Times New Roman" w:cs="Times New Roman" w:eastAsia="Times New Roman" w:hAnsi="Times New Roman"/>
          <w:sz w:val="16"/>
          <w:szCs w:val="16"/>
          <w:color w:val="auto"/>
        </w:rPr>
        <w:t>Fab 2 production capacity as of February 28, 2007 was approximately 19,000 200-mm wafers per month. In March 2006, our board of directors approved a plan to ramp-up Fab 2 production capacity to approximately 24,000 wafers per month which we are currently implementing. Depending on the process technology and product mix, when fully ramped-up, we estimate that Fab 2 will be able to achieve capacity levels of approximately 40,000 wafers per month. Our determination as to the timing of the implementation of the ramp-up of Fab 2 and the increase in Fab 2‘s production levels to exceed 24,000 wafers per month is dependent on prevailing and forecasted market conditions and our ability to fund these increases. We have not commenced, and there can be no assurance when or if we will commence, the acquisition, installation, equipping and financing necessary in order for production at our Fab 2 facility to exceed 24,000 wafers per month. The ramp-up of Fab 2 is a substantial and complex project. If we cannot fund the ramp-up of Fab 2 or otherwise successfully complete the ramp-up of Fab 2, including the plan approved by our board of directors in March 2006, we may be unable to meet our customers’ production demands and as a result we may lose customers and may not attract new ones. In addition, if we do not execute the acquisition, installation and equipping necessary in order for production at our Fab 2 facility to exceed 24,000 wafers per month or otherwise cannot successfully complete the ramp-up of Fab 2, we will not fully utilize the substantial investment made in constructing Fab 2, which will adversely affect our financial results. In order to fully ramp-up Fab 2 from approximately 24,000 wafers per month, we currently estimate we would need to raise approximately up to $120 million. We will also need to continue to develop new process technologies in order to suit our customers’ needs. In addition,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If the Investment Center will not approve our request for a new expansion program, we would be required to seek alternative financing sources to complete the ramp-up of Fab 2, which may not be available. Our not completing investments in the amount of $1.25 billion by the end of 2005 may result in the Investment Center requiring us to repay all or a portion of the grants already received, and if we are unable to refund such grants, we may have to cease our operations.</w:t>
      </w:r>
    </w:p>
    <w:p>
      <w:pPr>
        <w:spacing w:after="0" w:line="189" w:lineRule="exact"/>
        <w:rPr>
          <w:sz w:val="20"/>
          <w:szCs w:val="20"/>
          <w:color w:val="auto"/>
        </w:rPr>
      </w:pPr>
    </w:p>
    <w:p>
      <w:pPr>
        <w:ind w:right="20" w:firstLine="395"/>
        <w:spacing w:after="0" w:line="285" w:lineRule="auto"/>
        <w:rPr>
          <w:sz w:val="20"/>
          <w:szCs w:val="20"/>
          <w:color w:val="auto"/>
        </w:rPr>
      </w:pPr>
      <w:r>
        <w:rPr>
          <w:rFonts w:ascii="Times New Roman" w:cs="Times New Roman" w:eastAsia="Times New Roman" w:hAnsi="Times New Roman"/>
          <w:sz w:val="16"/>
          <w:szCs w:val="16"/>
          <w:color w:val="auto"/>
        </w:rPr>
        <w:t>In connection with Fab 2, we received approval for grants and tax benefits from the Investment Center of the Israeli Ministry of Industry, Trade and Labor (Investment Center) under its Approved Enterprise Program. Under the terms of the approval, we were eligible to receive grants of 20% of up to $1.25 billion invested in Fab 2 plant and equipment, or an aggregate of up to $250 million. As of February 28, 2007, we received a cumulative amount of approximately $163 million in grants from the Investment Center in relation to Fab 2. Our eligibility to receive grants was with respect to investments in Fab 2 plant and equipment made by the end of 2005. Any failure by us to meet the conditions of our grants may result in the cancellation of all or a portion of our grants to be received and tax benefits and in the Investment Center requiring us to repay all or a portion of grants already received. We did not complete investments in the amount of $1.25 billion by the end of 2005, mainly since we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Under Israeli law, our not completing investments in an amount of $1.25 billion by the end of 2005 may permit the Investment Center to require us to repay all or a portion of grants already received. We have been holding discussions with the Investment Center to achieve satisfactory arrangements to approve a new expansion program to commence as of January 1, 2006. During the period from January 1, 2006 until December 31, 2006, we have invested approximately $150 million in Fab 2 plant and equipment. In 2005, at the Investment Center’s request, we submitted a revised business plan to the Investment Center for the period commencing January 1, 2006. Currently, we cannot estimate when we will receive a formal response to our request for a new expansion program to commence as of January 1, 2006 or if the Investment Center will approve our request. If the Investment Center will not approve our request for a new expansion program, we would be required to seek alternative financing sources to further ramp-up Fab 2 capacity from approximately 24,000 wafers per month, which may not be available. While there can be no assurance that we will obtain the Investment Center’s approval for the new expansion program, we believe that it is improbable that the Investment Center would demand that we repay all or a portion of grants already received due to our not completing investments in an amount of $1.25 billion by the end of 2005. If we would have to repay the Investment Center all or a portion of</w:t>
      </w:r>
    </w:p>
    <w:p>
      <w:pPr>
        <w:sectPr>
          <w:pgSz w:w="11900" w:h="16838" w:orient="portrait"/>
          <w:cols w:equalWidth="0" w:num="1">
            <w:col w:w="11420"/>
          </w:cols>
          <w:pgMar w:left="240" w:top="125" w:right="239" w:bottom="158" w:gutter="0" w:footer="0" w:header="0"/>
        </w:sectPr>
      </w:pPr>
    </w:p>
    <w:bookmarkStart w:id="3" w:name="page4"/>
    <w:bookmarkEnd w:id="3"/>
    <w:p>
      <w:pPr>
        <w:ind w:right="60"/>
        <w:spacing w:after="0" w:line="275" w:lineRule="auto"/>
        <w:rPr>
          <w:sz w:val="20"/>
          <w:szCs w:val="20"/>
          <w:color w:val="auto"/>
        </w:rPr>
      </w:pPr>
      <w:r>
        <w:rPr>
          <w:rFonts w:ascii="Times New Roman" w:cs="Times New Roman" w:eastAsia="Times New Roman" w:hAnsi="Times New Roman"/>
          <w:sz w:val="18"/>
          <w:szCs w:val="18"/>
          <w:color w:val="auto"/>
        </w:rPr>
        <w:t>grants already received, we would need to seek alternative financing sources to refund the grants we received and if we do not succeed in finding such alternative financing sources, we may have to cease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future operations do not increase or if we fail to raise additional funding, we may be unable to repay our debt on a timely basis.</w:t>
      </w:r>
    </w:p>
    <w:p>
      <w:pPr>
        <w:spacing w:after="0" w:line="227" w:lineRule="exact"/>
        <w:rPr>
          <w:sz w:val="20"/>
          <w:szCs w:val="20"/>
          <w:color w:val="auto"/>
        </w:rPr>
      </w:pPr>
    </w:p>
    <w:p>
      <w:pPr>
        <w:ind w:right="40" w:firstLine="395"/>
        <w:spacing w:after="0" w:line="253" w:lineRule="auto"/>
        <w:rPr>
          <w:sz w:val="20"/>
          <w:szCs w:val="20"/>
          <w:color w:val="auto"/>
        </w:rPr>
      </w:pPr>
      <w:r>
        <w:rPr>
          <w:rFonts w:ascii="Times New Roman" w:cs="Times New Roman" w:eastAsia="Times New Roman" w:hAnsi="Times New Roman"/>
          <w:sz w:val="18"/>
          <w:szCs w:val="18"/>
          <w:color w:val="auto"/>
        </w:rPr>
        <w:t>There is no assurance that our future operations will increase or that we will succeed in raising additional funding required for the completion of the ramp up of Fab 2 and the repayment of our short-term and long-term debt, which consists mainly of bank debt, trade accounts payable and convertible debentures. As a result, our ramp-up of Fab 2 may be delayed and we may be unable to repay on time or repay at all our short-term and long-term debt, which may significantly harm our financial results or cause us to cease our operations. In accordance with our amended facility agreement with our banks, we are required to repay principal in the amount of approximately $369 million in 12 quarterly installments between September 2009 and June 2012. In the event that we will not be in compliance with the repayment schedule set forth in our amended facility agreement and we are unsuccessful in negotiating a revised repayment schedule or our banks do not waive our non-compliance, pursuant to the terms of our amended facility agreement, our banks may require us to immediately repay all loans made by them to us, plus penalties, and they would be entitled to exercise the remedies available to them under our credit amended facility, including enforcement of their lien against all our assets. This would have a material adverse effect on our company. In addition, we cannot assure you we will be successful at negotiating price reductions and arrangements to slow down or postpone payments to our suppliers and service providers, or negotiating revised repayment schedules of our other debt, when we have liquidity problems.</w:t>
      </w:r>
    </w:p>
    <w:p>
      <w:pPr>
        <w:spacing w:after="0" w:line="19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b w:val="1"/>
          <w:bCs w:val="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72"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b w:val="1"/>
          <w:bCs w:val="1"/>
          <w:color w:val="auto"/>
        </w:rPr>
        <w:t>We have a history of operating losses and expect to operate at a loss for the foreseeable future; our facilities must operate at high utilization rates for us to reduce our losses.</w:t>
      </w:r>
    </w:p>
    <w:p>
      <w:pPr>
        <w:spacing w:after="0" w:line="172"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have operated at a loss for the last number of years. Because fixed costs represent a substantial portion of the operating costs of semiconductor manufacturing operations, we must operate our facilities at high utilization rates for us to reduce our losses.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 If we do not succeed in operating our facilities at high utilization rates, we expect to continue to operate at a loss for the foreseeable future, which may adversely affect our business and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fluctuate from quarter to quarter which makes it difficult to predict our future performance.</w:t>
      </w:r>
    </w:p>
    <w:p>
      <w:pPr>
        <w:spacing w:after="0" w:line="227"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Changes in the economic conditions of geographical regions where our customers and their markets are located;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Inventory and supply chain management of our customers;</w:t>
      </w:r>
    </w:p>
    <w:p>
      <w:pPr>
        <w:spacing w:after="0" w:line="252" w:lineRule="exact"/>
        <w:rPr>
          <w:sz w:val="20"/>
          <w:szCs w:val="20"/>
          <w:color w:val="auto"/>
        </w:rPr>
      </w:pPr>
    </w:p>
    <w:p>
      <w:pPr>
        <w:ind w:left="1160" w:right="400" w:hanging="567"/>
        <w:spacing w:after="0" w:line="275" w:lineRule="auto"/>
        <w:rPr>
          <w:sz w:val="20"/>
          <w:szCs w:val="20"/>
          <w:color w:val="auto"/>
        </w:rPr>
      </w:pPr>
      <w:r>
        <w:rPr>
          <w:rFonts w:ascii="Times New Roman" w:cs="Times New Roman" w:eastAsia="Times New Roman" w:hAnsi="Times New Roman"/>
          <w:sz w:val="18"/>
          <w:szCs w:val="18"/>
          <w:color w:val="auto"/>
        </w:rPr>
        <w:t>—The loss of a key customer, postponement of an order from a key customer, failure of a key customer to pay accounts receivables in a timely manner or the financial condition of our customers;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occurrence of accounts receivables write-offs;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rescheduling or cancellation of large orders or planned capital expenditures;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ability to satisfy our customers' demand for quality and timely production;</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timing and volume of orders relative to our available production capacity;</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ability to obtain raw materials and equipment on a timely and cost-effective basis;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Environmental events or industrial accidents such as fires or explosions;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ability to continue with existing and to enter into new partnerships and technology and supply alliances on mutually beneficial terms;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Actual capital expenditures exceeding planned capital expenditures;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Interest and currency rate fluctuations that may not be adequately hedged;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Technological changes and short product life cycles;</w:t>
      </w:r>
    </w:p>
    <w:p>
      <w:pPr>
        <w:sectPr>
          <w:pgSz w:w="11900" w:h="16838" w:orient="portrait"/>
          <w:cols w:equalWidth="0" w:num="1">
            <w:col w:w="11420"/>
          </w:cols>
          <w:pgMar w:left="240" w:top="125" w:right="239" w:bottom="0" w:gutter="0" w:footer="0" w:header="0"/>
        </w:sectPr>
      </w:pPr>
    </w:p>
    <w:bookmarkStart w:id="4" w:name="page5"/>
    <w:bookmarkEnd w:id="4"/>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Timing for designing and the qualification of new products; and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New accounting rules affecting our results.</w:t>
      </w:r>
    </w:p>
    <w:p>
      <w:pPr>
        <w:spacing w:after="0" w:line="200" w:lineRule="exact"/>
        <w:rPr>
          <w:sz w:val="20"/>
          <w:szCs w:val="20"/>
          <w:color w:val="auto"/>
        </w:rPr>
      </w:pPr>
    </w:p>
    <w:p>
      <w:pPr>
        <w:spacing w:after="0" w:line="268" w:lineRule="exact"/>
        <w:rPr>
          <w:sz w:val="20"/>
          <w:szCs w:val="20"/>
          <w:color w:val="auto"/>
        </w:rPr>
      </w:pPr>
    </w:p>
    <w:p>
      <w:pPr>
        <w:ind w:right="340" w:firstLine="395"/>
        <w:spacing w:after="0" w:line="262" w:lineRule="auto"/>
        <w:rPr>
          <w:sz w:val="20"/>
          <w:szCs w:val="20"/>
          <w:color w:val="auto"/>
        </w:rPr>
      </w:pPr>
      <w:r>
        <w:rPr>
          <w:rFonts w:ascii="Times New Roman" w:cs="Times New Roman" w:eastAsia="Times New Roman" w:hAnsi="Times New Roman"/>
          <w:sz w:val="18"/>
          <w:szCs w:val="18"/>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 including our operating results, financial condition and ability to maintain our operations.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18"/>
          <w:szCs w:val="18"/>
          <w:b w:val="1"/>
          <w:bCs w:val="1"/>
          <w:color w:val="auto"/>
        </w:rPr>
        <w:t>The lack of a significant backlog resulting from our customers not placing purchase orders far in advance makes it difficult for us to forecast our revenues in future periods.</w:t>
      </w:r>
    </w:p>
    <w:p>
      <w:pPr>
        <w:spacing w:after="0" w:line="172" w:lineRule="exact"/>
        <w:rPr>
          <w:sz w:val="20"/>
          <w:szCs w:val="20"/>
          <w:color w:val="auto"/>
        </w:rPr>
      </w:pPr>
    </w:p>
    <w:p>
      <w:pPr>
        <w:ind w:right="20" w:firstLine="395"/>
        <w:spacing w:after="0" w:line="254" w:lineRule="auto"/>
        <w:rPr>
          <w:sz w:val="20"/>
          <w:szCs w:val="20"/>
          <w:color w:val="auto"/>
        </w:rPr>
      </w:pPr>
      <w:r>
        <w:rPr>
          <w:rFonts w:ascii="Times New Roman" w:cs="Times New Roman" w:eastAsia="Times New Roman" w:hAnsi="Times New Roman"/>
          <w:sz w:val="18"/>
          <w:szCs w:val="18"/>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 If orders received from our customers differ from our expectations with respect to the product, volume, price or other items, our operating results, financial condition and ability to maintain our operations may be adversely affected.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sales cycles may be long and, as a result, orders received may not meet our expectations which may adversely affect our operating results.</w:t>
      </w:r>
    </w:p>
    <w:p>
      <w:pPr>
        <w:spacing w:after="0" w:line="227" w:lineRule="exact"/>
        <w:rPr>
          <w:sz w:val="20"/>
          <w:szCs w:val="20"/>
          <w:color w:val="auto"/>
        </w:rPr>
      </w:pPr>
    </w:p>
    <w:p>
      <w:pPr>
        <w:ind w:firstLine="395"/>
        <w:spacing w:after="0" w:line="296" w:lineRule="auto"/>
        <w:rPr>
          <w:sz w:val="20"/>
          <w:szCs w:val="20"/>
          <w:color w:val="auto"/>
        </w:rPr>
      </w:pPr>
      <w:r>
        <w:rPr>
          <w:rFonts w:ascii="Times New Roman" w:cs="Times New Roman" w:eastAsia="Times New Roman" w:hAnsi="Times New Roman"/>
          <w:sz w:val="16"/>
          <w:szCs w:val="16"/>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financial condition and ability to maintain our operations may be adversely affected.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for our foundry services is dependent on the demand in our customers’ end markets.</w:t>
      </w:r>
    </w:p>
    <w:p>
      <w:pPr>
        <w:spacing w:after="0" w:line="227"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attract additional customers, our business may be adversely affected.</w:t>
      </w:r>
    </w:p>
    <w:p>
      <w:pPr>
        <w:spacing w:after="0" w:line="227" w:lineRule="exact"/>
        <w:rPr>
          <w:sz w:val="20"/>
          <w:szCs w:val="20"/>
          <w:color w:val="auto"/>
        </w:rPr>
      </w:pPr>
    </w:p>
    <w:p>
      <w:pPr>
        <w:ind w:firstLine="395"/>
        <w:spacing w:after="0" w:line="254" w:lineRule="auto"/>
        <w:rPr>
          <w:sz w:val="20"/>
          <w:szCs w:val="20"/>
          <w:color w:val="auto"/>
        </w:rPr>
      </w:pPr>
      <w:r>
        <w:rPr>
          <w:rFonts w:ascii="Times New Roman" w:cs="Times New Roman" w:eastAsia="Times New Roman" w:hAnsi="Times New Roman"/>
          <w:sz w:val="18"/>
          <w:szCs w:val="18"/>
          <w:color w:val="auto"/>
        </w:rPr>
        <w:t>During the three months ended December 31, 2006, approximately 69% of our business was generated by six significant customers that contributed 25%, 11%, 9%, 8%, 8% and 8% of our revenues, respectively. We expect to continue to receive a significant portion of our revenue from a limited number of customers for the foreseeable future. Loss or cancellation of business from, or decreases in, the sales volume or sales prices to our significant customers, could seriously harm our financial results, revenues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in a timely manner, which could harm our financial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a relatively small number of products for a significant portion of our revenues.</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receive orders from our wafer partners we may have excess capacity.</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Furthermore, we have committed to reserve for SanDisk volume quantities of 0.13 micron wafers during 2007 and 2008 and have granted SanDisk a right of first refusal on a portion of our expected 0.13 micron manufacturing capacity in 2009.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maintain and develop our technology processes and services, we will lose customers and may not be able to attract new ones.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semiconductor market is characterized by rapid change, including the following:</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rapid technological developments;</w:t>
      </w:r>
    </w:p>
    <w:p>
      <w:pPr>
        <w:sectPr>
          <w:pgSz w:w="11900" w:h="16847" w:orient="portrait"/>
          <w:cols w:equalWidth="0" w:num="1">
            <w:col w:w="11420"/>
          </w:cols>
          <w:pgMar w:left="240" w:top="368" w:right="239" w:bottom="0" w:gutter="0" w:footer="0" w:header="0"/>
        </w:sectPr>
      </w:pPr>
    </w:p>
    <w:bookmarkStart w:id="5" w:name="page6"/>
    <w:bookmarkEnd w:id="5"/>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evolving industry standards;</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changes in customer and product end user requirements;</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frequent new product introductions and enhancements; and</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short product life cycles with declining prices as products mature.</w:t>
      </w:r>
    </w:p>
    <w:p>
      <w:pPr>
        <w:spacing w:after="0" w:line="200" w:lineRule="exact"/>
        <w:rPr>
          <w:sz w:val="20"/>
          <w:szCs w:val="20"/>
          <w:color w:val="auto"/>
        </w:rPr>
      </w:pPr>
    </w:p>
    <w:p>
      <w:pPr>
        <w:spacing w:after="0" w:line="268"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in a timely manner or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compete effectively, we will lose business to our competitors.</w:t>
      </w:r>
    </w:p>
    <w:p>
      <w:pPr>
        <w:spacing w:after="0" w:line="227" w:lineRule="exact"/>
        <w:rPr>
          <w:sz w:val="20"/>
          <w:szCs w:val="20"/>
          <w:color w:val="auto"/>
        </w:rPr>
      </w:pPr>
    </w:p>
    <w:p>
      <w:pPr>
        <w:ind w:right="120" w:firstLine="348"/>
        <w:spacing w:after="0" w:line="296" w:lineRule="auto"/>
        <w:rPr>
          <w:sz w:val="20"/>
          <w:szCs w:val="20"/>
          <w:color w:val="auto"/>
        </w:rPr>
      </w:pPr>
      <w:r>
        <w:rPr>
          <w:rFonts w:ascii="Times New Roman" w:cs="Times New Roman" w:eastAsia="Times New Roman" w:hAnsi="Times New Roman"/>
          <w:sz w:val="16"/>
          <w:szCs w:val="16"/>
          <w:color w:val="auto"/>
        </w:rPr>
        <w:t>The semiconductor foundry industry is highly competitive. We compete with more than ten independent dedicated foundries, the majority of which are located in Asia-Pacific, including foundries based in Taiwan, China, Korea and Malaysia, and with over twenty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If we do not compete effectively, our business and results of operations may be adversely affected. Many of our competitors may have one or more of the following competitive advantages over us: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more advanced technological capabilities;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 more diverse and established customer base;</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better operational performance in cycle time and yields.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large amount of debt which could have significant negative consequences.</w:t>
      </w:r>
    </w:p>
    <w:p>
      <w:pPr>
        <w:spacing w:after="0" w:line="227" w:lineRule="exact"/>
        <w:rPr>
          <w:sz w:val="20"/>
          <w:szCs w:val="20"/>
          <w:color w:val="auto"/>
        </w:rPr>
      </w:pPr>
    </w:p>
    <w:p>
      <w:pPr>
        <w:jc w:val="both"/>
        <w:ind w:right="380" w:firstLine="395"/>
        <w:spacing w:after="0" w:line="262" w:lineRule="auto"/>
        <w:rPr>
          <w:sz w:val="20"/>
          <w:szCs w:val="20"/>
          <w:color w:val="auto"/>
        </w:rPr>
      </w:pPr>
      <w:r>
        <w:rPr>
          <w:rFonts w:ascii="Times New Roman" w:cs="Times New Roman" w:eastAsia="Times New Roman" w:hAnsi="Times New Roman"/>
          <w:sz w:val="18"/>
          <w:szCs w:val="18"/>
          <w:color w:val="auto"/>
        </w:rPr>
        <w:t>We have a large amount of long-term debt, which could have significant negative consequences. As of February 28, 2007, we had approximately $369 million of bank debt and approximately $90 million of convertible debt. Our current and future indebtedness could have significant negative consequences, including:</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requiring the dedication of a substantial portion of our expected cash flow from operations to service our indebtedness;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increasing our vulnerability to general adverse economic and industry conditions;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placing us at a competitive disadvantage to less leveraged competitors and competitors that have better access to capital resources; and/or</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affecting our ability to make interest payments and other required debt service on our indebtedness.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satisfy the covenants set forth in our amended credit facility, our banks will be able to call our loans.</w:t>
      </w:r>
    </w:p>
    <w:p>
      <w:pPr>
        <w:spacing w:after="0" w:line="227"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Our credit facility, under which we are required to repay principal in the amount of approximately $369 million, requires that we comply with certain financial ratios and covenants. Should we fail to comply with our revised ratios and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Israeli banking laws may impose restrictions on the total debt that we may borrow from our banks.</w:t>
      </w:r>
    </w:p>
    <w:p>
      <w:pPr>
        <w:spacing w:after="0" w:line="227" w:lineRule="exact"/>
        <w:rPr>
          <w:sz w:val="20"/>
          <w:szCs w:val="20"/>
          <w:color w:val="auto"/>
        </w:rPr>
      </w:pPr>
    </w:p>
    <w:p>
      <w:pPr>
        <w:ind w:firstLine="351"/>
        <w:spacing w:after="0" w:line="301" w:lineRule="auto"/>
        <w:rPr>
          <w:sz w:val="20"/>
          <w:szCs w:val="20"/>
          <w:color w:val="auto"/>
        </w:rPr>
      </w:pPr>
      <w:r>
        <w:rPr>
          <w:rFonts w:ascii="Times New Roman" w:cs="Times New Roman" w:eastAsia="Times New Roman" w:hAnsi="Times New Roman"/>
          <w:sz w:val="16"/>
          <w:szCs w:val="16"/>
          <w:color w:val="auto"/>
        </w:rPr>
        <w:t>Pursuant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imposes limitations on amounts that banks may lend to borrowers or groups of borrowers. Should our banks exceed these limitations, they may limit our ability to borrow other money in the future and may require us to return some or all of our</w:t>
      </w:r>
    </w:p>
    <w:p>
      <w:pPr>
        <w:sectPr>
          <w:pgSz w:w="11900" w:h="16838" w:orient="portrait"/>
          <w:cols w:equalWidth="0" w:num="1">
            <w:col w:w="11340"/>
          </w:cols>
          <w:pgMar w:left="240" w:top="368" w:right="319" w:bottom="0" w:gutter="0" w:footer="0" w:header="0"/>
        </w:sectPr>
      </w:pPr>
    </w:p>
    <w:bookmarkStart w:id="6" w:name="page7"/>
    <w:bookmarkEnd w:id="6"/>
    <w:p>
      <w:pPr>
        <w:ind w:right="240"/>
        <w:spacing w:after="0" w:line="275" w:lineRule="auto"/>
        <w:rPr>
          <w:sz w:val="20"/>
          <w:szCs w:val="20"/>
          <w:color w:val="auto"/>
        </w:rPr>
      </w:pPr>
      <w:r>
        <w:rPr>
          <w:rFonts w:ascii="Times New Roman" w:cs="Times New Roman" w:eastAsia="Times New Roman" w:hAnsi="Times New Roman"/>
          <w:sz w:val="18"/>
          <w:szCs w:val="18"/>
          <w:color w:val="auto"/>
        </w:rPr>
        <w:t>outstanding borrowings (which were approximately $369 million), which may have a material adverse effect on our business, financial condition and results of operations.</w:t>
      </w:r>
    </w:p>
    <w:p>
      <w:pPr>
        <w:spacing w:after="0" w:line="172"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8"/>
          <w:szCs w:val="18"/>
          <w:b w:val="1"/>
          <w:bCs w:val="1"/>
          <w:color w:val="auto"/>
        </w:rPr>
        <w:t>If we experience difficulty in achieving acceptable device yields, product performance and delivery times as a result of manufacturing problems, our business will be adversely affected.</w:t>
      </w:r>
    </w:p>
    <w:p>
      <w:pPr>
        <w:spacing w:after="0" w:line="172" w:lineRule="exact"/>
        <w:rPr>
          <w:sz w:val="20"/>
          <w:szCs w:val="20"/>
          <w:color w:val="auto"/>
        </w:rPr>
      </w:pPr>
    </w:p>
    <w:p>
      <w:pPr>
        <w:ind w:right="20" w:firstLine="395"/>
        <w:spacing w:after="0" w:line="254" w:lineRule="auto"/>
        <w:rPr>
          <w:sz w:val="20"/>
          <w:szCs w:val="20"/>
          <w:color w:val="auto"/>
        </w:rPr>
      </w:pPr>
      <w:r>
        <w:rPr>
          <w:rFonts w:ascii="Times New Roman" w:cs="Times New Roman" w:eastAsia="Times New Roman" w:hAnsi="Times New Roman"/>
          <w:sz w:val="18"/>
          <w:szCs w:val="18"/>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operating results, financial condition and ability to maintain our operations.</w:t>
      </w:r>
    </w:p>
    <w:p>
      <w:pPr>
        <w:spacing w:after="0" w:line="193"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b w:val="1"/>
          <w:bCs w:val="1"/>
          <w:color w:val="auto"/>
        </w:rPr>
        <w:t>If we are unable to purchase equipment and raw materials, we may not be able to manufacture our products in a timely fashion, which may result in a loss of existing and potential new customers.</w:t>
      </w:r>
    </w:p>
    <w:p>
      <w:pPr>
        <w:spacing w:after="0" w:line="172"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exposure to currency exchange and interest rate fluctuations and inflation may increase our cost of operations.</w:t>
      </w:r>
    </w:p>
    <w:p>
      <w:pPr>
        <w:spacing w:after="0" w:line="227" w:lineRule="exact"/>
        <w:rPr>
          <w:sz w:val="20"/>
          <w:szCs w:val="20"/>
          <w:color w:val="auto"/>
        </w:rPr>
      </w:pPr>
    </w:p>
    <w:p>
      <w:pPr>
        <w:ind w:right="160" w:firstLine="341"/>
        <w:spacing w:after="0" w:line="262" w:lineRule="auto"/>
        <w:rPr>
          <w:sz w:val="20"/>
          <w:szCs w:val="20"/>
          <w:color w:val="auto"/>
        </w:rPr>
      </w:pPr>
      <w:r>
        <w:rPr>
          <w:rFonts w:ascii="Times New Roman" w:cs="Times New Roman" w:eastAsia="Times New Roman" w:hAnsi="Times New Roman"/>
          <w:sz w:val="18"/>
          <w:szCs w:val="18"/>
          <w:color w:val="auto"/>
        </w:rPr>
        <w:t>Almost all of our cash generated from operations and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86"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dollar amount of our operations, which is denominated in NIS, is influenced by the timing of any change in the rate of inflation in Israel and the extent to which such change is not offset by the change in valuation of the NIS in relation to the U.S. dollar. Outstanding principal and interest on some of our convertible debentures is linked to the Israeli consumer price index (CPI) and therefore, our dollar costs will increase if inflation in Israel exceeds the devaluation of the NIS against the U.S. dollar, or if the timing of such devaluation lags behind inflation in Israel.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320" w:firstLine="351"/>
        <w:spacing w:after="0" w:line="262" w:lineRule="auto"/>
        <w:rPr>
          <w:sz w:val="20"/>
          <w:szCs w:val="20"/>
          <w:color w:val="auto"/>
        </w:rPr>
      </w:pPr>
      <w:r>
        <w:rPr>
          <w:rFonts w:ascii="Times New Roman" w:cs="Times New Roman" w:eastAsia="Times New Roman" w:hAnsi="Times New Roman"/>
          <w:sz w:val="18"/>
          <w:szCs w:val="18"/>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agreement.</w:t>
      </w:r>
    </w:p>
    <w:p>
      <w:pPr>
        <w:spacing w:after="0" w:line="186"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and inflation, which may increase the cost of our operating and financing activities.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intellectual property rights of third parties and failure to maintain or acquire licenses could harm our business.</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depend on third party intellectual property in order for us to provide foundry and design services to our clients. If problems or delays arise with respect to the timely development, quality and provision of such intellectual property to us, the design and production of our customers’ products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the intellectual property rights of third parties or to defend our intellectual property rights could harm our business.</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Our ability to compete successfully depends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w:t>
      </w:r>
    </w:p>
    <w:p>
      <w:pPr>
        <w:spacing w:after="0" w:line="193" w:lineRule="exact"/>
        <w:rPr>
          <w:sz w:val="20"/>
          <w:szCs w:val="20"/>
          <w:color w:val="auto"/>
        </w:rPr>
      </w:pPr>
    </w:p>
    <w:p>
      <w:pPr>
        <w:ind w:right="740" w:firstLine="351"/>
        <w:spacing w:after="0" w:line="275" w:lineRule="auto"/>
        <w:rPr>
          <w:sz w:val="20"/>
          <w:szCs w:val="20"/>
          <w:color w:val="auto"/>
        </w:rPr>
      </w:pPr>
      <w:r>
        <w:rPr>
          <w:rFonts w:ascii="Times New Roman" w:cs="Times New Roman" w:eastAsia="Times New Roman" w:hAnsi="Times New Roman"/>
          <w:sz w:val="18"/>
          <w:szCs w:val="18"/>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negotiating cross-license agreements;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seeking to acquire licenses to the allegedly infringed patents, which may not be available on commercially reasonable terms, if at all;</w:t>
      </w:r>
    </w:p>
    <w:p>
      <w:pPr>
        <w:spacing w:after="0" w:line="252" w:lineRule="exact"/>
        <w:rPr>
          <w:sz w:val="20"/>
          <w:szCs w:val="20"/>
          <w:color w:val="auto"/>
        </w:rPr>
      </w:pPr>
    </w:p>
    <w:p>
      <w:pPr>
        <w:ind w:left="1160" w:right="20" w:hanging="567"/>
        <w:spacing w:after="0" w:line="275" w:lineRule="auto"/>
        <w:rPr>
          <w:sz w:val="20"/>
          <w:szCs w:val="20"/>
          <w:color w:val="auto"/>
        </w:rPr>
      </w:pPr>
      <w:r>
        <w:rPr>
          <w:rFonts w:ascii="Times New Roman" w:cs="Times New Roman" w:eastAsia="Times New Roman" w:hAnsi="Times New Roman"/>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fighting the matter in court and paying substantial monetary damages in the event we lose; or</w:t>
      </w:r>
    </w:p>
    <w:p>
      <w:pPr>
        <w:sectPr>
          <w:pgSz w:w="11900" w:h="16838" w:orient="portrait"/>
          <w:cols w:equalWidth="0" w:num="1">
            <w:col w:w="11420"/>
          </w:cols>
          <w:pgMar w:left="240" w:top="125" w:right="239" w:bottom="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seeking to develop non-infringing technologies, which may not be feasible.</w:t>
      </w:r>
    </w:p>
    <w:p>
      <w:pPr>
        <w:spacing w:after="0" w:line="200" w:lineRule="exact"/>
        <w:rPr>
          <w:sz w:val="20"/>
          <w:szCs w:val="20"/>
          <w:color w:val="auto"/>
        </w:rPr>
      </w:pPr>
    </w:p>
    <w:p>
      <w:pPr>
        <w:spacing w:after="0" w:line="268" w:lineRule="exact"/>
        <w:rPr>
          <w:sz w:val="20"/>
          <w:szCs w:val="20"/>
          <w:color w:val="auto"/>
        </w:rPr>
      </w:pPr>
    </w:p>
    <w:p>
      <w:pPr>
        <w:ind w:firstLine="341"/>
        <w:spacing w:after="0" w:line="256" w:lineRule="auto"/>
        <w:rPr>
          <w:sz w:val="20"/>
          <w:szCs w:val="20"/>
          <w:color w:val="auto"/>
        </w:rPr>
      </w:pPr>
      <w:r>
        <w:rPr>
          <w:rFonts w:ascii="Times New Roman" w:cs="Times New Roman" w:eastAsia="Times New Roman" w:hAnsi="Times New Roman"/>
          <w:sz w:val="18"/>
          <w:szCs w:val="18"/>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or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395"/>
        <w:spacing w:after="0" w:line="254" w:lineRule="auto"/>
        <w:rPr>
          <w:sz w:val="20"/>
          <w:szCs w:val="20"/>
          <w:color w:val="auto"/>
        </w:rPr>
      </w:pPr>
      <w:r>
        <w:rPr>
          <w:rFonts w:ascii="Times New Roman" w:cs="Times New Roman" w:eastAsia="Times New Roman" w:hAnsi="Times New Roman"/>
          <w:sz w:val="18"/>
          <w:szCs w:val="18"/>
          <w:color w:val="auto"/>
        </w:rPr>
        <w:t>As of December 31, 2006, we held 60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seriously harmed by failure to comply with environmental regulations.</w:t>
      </w:r>
    </w:p>
    <w:p>
      <w:pPr>
        <w:spacing w:after="0" w:line="227" w:lineRule="exact"/>
        <w:rPr>
          <w:sz w:val="20"/>
          <w:szCs w:val="20"/>
          <w:color w:val="auto"/>
        </w:rPr>
      </w:pPr>
    </w:p>
    <w:p>
      <w:pPr>
        <w:ind w:right="60" w:firstLine="351"/>
        <w:spacing w:after="0" w:line="310" w:lineRule="auto"/>
        <w:rPr>
          <w:sz w:val="20"/>
          <w:szCs w:val="20"/>
          <w:color w:val="auto"/>
        </w:rPr>
      </w:pPr>
      <w:r>
        <w:rPr>
          <w:rFonts w:ascii="Times New Roman" w:cs="Times New Roman" w:eastAsia="Times New Roman" w:hAnsi="Times New Roman"/>
          <w:sz w:val="16"/>
          <w:szCs w:val="16"/>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the risk of loss due to fire because the materials we use in our manufacturing processes are highly flammable.</w:t>
      </w:r>
    </w:p>
    <w:p>
      <w:pPr>
        <w:spacing w:after="0" w:line="227" w:lineRule="exact"/>
        <w:rPr>
          <w:sz w:val="20"/>
          <w:szCs w:val="20"/>
          <w:color w:val="auto"/>
        </w:rPr>
      </w:pPr>
    </w:p>
    <w:p>
      <w:pPr>
        <w:ind w:right="180" w:firstLine="348"/>
        <w:spacing w:after="0" w:line="258" w:lineRule="auto"/>
        <w:rPr>
          <w:sz w:val="20"/>
          <w:szCs w:val="20"/>
          <w:color w:val="auto"/>
        </w:rPr>
      </w:pPr>
      <w:r>
        <w:rPr>
          <w:rFonts w:ascii="Times New Roman" w:cs="Times New Roman" w:eastAsia="Times New Roman" w:hAnsi="Times New Roman"/>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product returns could harm our business.</w:t>
      </w:r>
    </w:p>
    <w:p>
      <w:pPr>
        <w:spacing w:after="0" w:line="308" w:lineRule="exact"/>
        <w:rPr>
          <w:sz w:val="20"/>
          <w:szCs w:val="20"/>
          <w:color w:val="auto"/>
        </w:rPr>
      </w:pPr>
    </w:p>
    <w:p>
      <w:pPr>
        <w:ind w:right="780" w:firstLine="351"/>
        <w:spacing w:after="0" w:line="275" w:lineRule="auto"/>
        <w:rPr>
          <w:sz w:val="20"/>
          <w:szCs w:val="20"/>
          <w:color w:val="auto"/>
        </w:rPr>
      </w:pPr>
      <w:r>
        <w:rPr>
          <w:rFonts w:ascii="Times New Roman" w:cs="Times New Roman" w:eastAsia="Times New Roman" w:hAnsi="Times New Roman"/>
          <w:sz w:val="18"/>
          <w:szCs w:val="18"/>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required to repay grants to the Investment Center that we received in connection with Fab 1.</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related to our international operations.</w:t>
      </w:r>
    </w:p>
    <w:p>
      <w:pPr>
        <w:spacing w:after="0" w:line="308" w:lineRule="exact"/>
        <w:rPr>
          <w:sz w:val="20"/>
          <w:szCs w:val="20"/>
          <w:color w:val="auto"/>
        </w:rPr>
      </w:pPr>
    </w:p>
    <w:p>
      <w:pPr>
        <w:ind w:right="600" w:firstLine="348"/>
        <w:spacing w:after="0" w:line="275" w:lineRule="auto"/>
        <w:rPr>
          <w:sz w:val="20"/>
          <w:szCs w:val="20"/>
          <w:color w:val="auto"/>
        </w:rPr>
      </w:pPr>
      <w:r>
        <w:rPr>
          <w:rFonts w:ascii="Times New Roman" w:cs="Times New Roman" w:eastAsia="Times New Roman" w:hAnsi="Times New Roman"/>
          <w:sz w:val="18"/>
          <w:szCs w:val="18"/>
          <w:color w:val="auto"/>
        </w:rPr>
        <w:t>We have made substantial sales to customers located in Asia-Pacific and in Europe. Because of our international operations, we are vulnerable to the following risks:</w:t>
      </w:r>
    </w:p>
    <w:p>
      <w:pPr>
        <w:spacing w:after="0" w:line="174" w:lineRule="exact"/>
        <w:rPr>
          <w:sz w:val="20"/>
          <w:szCs w:val="20"/>
          <w:color w:val="auto"/>
        </w:rPr>
      </w:pPr>
    </w:p>
    <w:p>
      <w:pPr>
        <w:ind w:left="1160" w:right="480" w:hanging="567"/>
        <w:spacing w:after="0" w:line="275" w:lineRule="auto"/>
        <w:rPr>
          <w:sz w:val="20"/>
          <w:szCs w:val="20"/>
          <w:color w:val="auto"/>
        </w:rPr>
      </w:pPr>
      <w:r>
        <w:rPr>
          <w:rFonts w:ascii="Times New Roman" w:cs="Times New Roman" w:eastAsia="Times New Roman" w:hAnsi="Times New Roman"/>
          <w:sz w:val="18"/>
          <w:szCs w:val="18"/>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need to comply with foreign government regulation;</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general geopolitical risks such as political and economic instability, potential hostilities and changes in diplomatic and trade relationships;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natural disasters affecting the countries in which we conduct our business;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reduced sales to our customers or interruption in our manufacturing processes in Asia Pacific that may arise from regional issues in Asia;</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imposition of regulatory requirements, tariffs, import and export restrictions and other barriers and restrictions;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adverse tax rules and regulations;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weak protection of our intellectual property rights; and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delays in product shipments due to local customs restrictions.</w:t>
      </w:r>
    </w:p>
    <w:p>
      <w:pPr>
        <w:sectPr>
          <w:pgSz w:w="11900" w:h="16838" w:orient="portrait"/>
          <w:cols w:equalWidth="0" w:num="1">
            <w:col w:w="11400"/>
          </w:cols>
          <w:pgMar w:left="240" w:top="125" w:right="25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Our business could suffer if we are unable to retain and recruit qualified personnel.</w:t>
      </w:r>
    </w:p>
    <w:p>
      <w:pPr>
        <w:spacing w:after="0" w:line="227"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8"/>
          <w:szCs w:val="18"/>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 including granting large packages of options to purchase our ordinary shares.</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may be volatile in the future.</w:t>
      </w:r>
    </w:p>
    <w:p>
      <w:pPr>
        <w:spacing w:after="0" w:line="308"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90" w:lineRule="exact"/>
        <w:rPr>
          <w:sz w:val="20"/>
          <w:szCs w:val="20"/>
          <w:color w:val="auto"/>
        </w:rPr>
      </w:pPr>
    </w:p>
    <w:p>
      <w:pPr>
        <w:ind w:right="360" w:firstLine="351"/>
        <w:spacing w:after="0" w:line="275" w:lineRule="auto"/>
        <w:rPr>
          <w:sz w:val="20"/>
          <w:szCs w:val="20"/>
          <w:color w:val="auto"/>
        </w:rPr>
      </w:pPr>
      <w:r>
        <w:rPr>
          <w:rFonts w:ascii="Times New Roman" w:cs="Times New Roman" w:eastAsia="Times New Roman" w:hAnsi="Times New Roman"/>
          <w:sz w:val="18"/>
          <w:szCs w:val="18"/>
          <w:color w:val="auto"/>
        </w:rPr>
        <w:t>In addition, it is possible that in some future periods our operating results may be below the expectations of public market analysts and investors. In this event, the price of our securities may under perform or fall.</w:t>
      </w:r>
    </w:p>
    <w:p>
      <w:pPr>
        <w:spacing w:after="0" w:line="172"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Issuance of additional shares pursuant to our Fab 2 financing plans and arrangements and the terms of outstanding securities which are exercisable or convertible into shares may dilute the interest of our shareholders. We may also issue in the future additional shares and/or securities which are exercisable or convertible into shares.</w:t>
      </w:r>
    </w:p>
    <w:p>
      <w:pPr>
        <w:spacing w:after="0" w:line="183"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color w:val="auto"/>
        </w:rPr>
        <w:t>As of March 15, 2007 we have approximately 120.9 million ordinary shares outstanding and have outstanding securities convertible or exercisable into approximately 242.5 million ordinary shares. In December 2003, we issued to our banks and to one of our shareholders warrants exercisable into 896,596 and 58,906 ordinary shares, respectively, with an exercise price of $6.17. In addition, we issued warrants to our banks exercisable into an aggregate of approximately 8.2 million ordinary shares with an exercise price of $1.21. As of January 31, 2007, up to approximately 63 million additional ordinary shares may be issued upon the conversion of our 2002 outstanding convertible debentures, 2005 outstanding convertible debentures, 2006 outstanding convertible debentures and upon exercise of warrants held by some of our major shareholders and others. Additionally, in September 2006, we issued equity equivalent capital notes to our banks and to Israel Corp., which are convertible into 51,973,684 and 65,789,474 of our ordinary shares, respectively (which shares are covered by this prospectus) and in March 2007, we issued warrants to purchase 9,402,559 ordinary shares at an exercise price of $2.04 per share and warrants to purchase 18,805,197 ordinary shares at an exercise price of $1.70 per share, in a private placement.</w:t>
      </w:r>
    </w:p>
    <w:p>
      <w:pPr>
        <w:spacing w:after="0" w:line="197" w:lineRule="exact"/>
        <w:rPr>
          <w:sz w:val="20"/>
          <w:szCs w:val="20"/>
          <w:color w:val="auto"/>
        </w:rPr>
      </w:pPr>
    </w:p>
    <w:p>
      <w:pPr>
        <w:ind w:right="40" w:firstLine="395"/>
        <w:spacing w:after="0" w:line="253" w:lineRule="auto"/>
        <w:rPr>
          <w:sz w:val="20"/>
          <w:szCs w:val="20"/>
          <w:color w:val="auto"/>
        </w:rPr>
      </w:pPr>
      <w:r>
        <w:rPr>
          <w:rFonts w:ascii="Times New Roman" w:cs="Times New Roman" w:eastAsia="Times New Roman" w:hAnsi="Times New Roman"/>
          <w:sz w:val="18"/>
          <w:szCs w:val="18"/>
          <w:color w:val="auto"/>
        </w:rPr>
        <w:t>In addition, as of March 15, 2007, we had outstanding employee and directors options to purchase up to approximately 29.2 million shares at a weighted average exercise price of $1.86. 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for purchase orders placed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last day of the relevant quarter. As of March 31, 2007, we had issued approximately 4.8 million of our ordinary shares to SanDisk Corporation and approximately 2.6 million ordinary shares to Alliance Semiconductor upon conversion of approximately $12 million of wafer credits. We expect that approximately up to $4.7 million credits may be further converted into our ordinary shares. Following the reduction of the interest rate applicable to the quarterly actual interest payments on our outstanding loans to our banks following the closing of the September 2006 amendment to our facility agreement, we have agreed to issue shares or convertible securities to our banks in January 2011.</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Our audit committee and board of directors and shareholders approved the grant of options to our CEO, such that during the 24 month period ending in May 2008, the CEO will hold options to purchase shares that represent 4% of our shares on a fully diluted basis. The options will vest in equal amounts over 4 years commencing from May 2006. Our board of directors further approved the allocation of additional options to be made to our employees if the total number of employee options, including the options to our CEO, during a 24 month period ending in May 2008 will represent less than 8% of the our shares on a fully diluted basis.</w:t>
      </w:r>
    </w:p>
    <w:p>
      <w:pPr>
        <w:spacing w:after="0" w:line="193" w:lineRule="exact"/>
        <w:rPr>
          <w:sz w:val="20"/>
          <w:szCs w:val="20"/>
          <w:color w:val="auto"/>
        </w:rPr>
      </w:pPr>
    </w:p>
    <w:p>
      <w:pPr>
        <w:ind w:right="120" w:firstLine="395"/>
        <w:spacing w:after="0" w:line="291" w:lineRule="auto"/>
        <w:rPr>
          <w:sz w:val="20"/>
          <w:szCs w:val="20"/>
          <w:color w:val="auto"/>
        </w:rPr>
      </w:pPr>
      <w:r>
        <w:rPr>
          <w:rFonts w:ascii="Times New Roman" w:cs="Times New Roman" w:eastAsia="Times New Roman" w:hAnsi="Times New Roman"/>
          <w:sz w:val="16"/>
          <w:szCs w:val="16"/>
          <w:color w:val="auto"/>
        </w:rPr>
        <w:t>If we obtain Investment Center approval for an expansion plan (see Risk Factors – “If the Investment Center will not approve our request for a new expansion program, we would be required to seek alternative financing sources to complete the ramp-up of Fab 2, which may not be available…”), we will still need to raise considerable additional funds from other sources to finance the ramp-up of Fab 2 to exceed capacity of 24,000 wafers per month, should we decide to further increase Fab 2‘s capacity, for which we currently estimate we would need to raise approximately up to $120 million to fully ramp-up Fab 2. We regularly engage in discussions with potential investors in order to attract them to make investments in our company. However, no understandings have been reached with respect to the amount of any investment or the terms of any investment and there can be no assurance that any investment will be made. These investments may be for shares or for securities convertible into shares, which would materially dilute the holdings of our current shareholders.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sales of large amounts of our shares eligible for future sale may lower the price of our ordinary shares.</w:t>
      </w:r>
    </w:p>
    <w:p>
      <w:pPr>
        <w:spacing w:after="0" w:line="227" w:lineRule="exact"/>
        <w:rPr>
          <w:sz w:val="20"/>
          <w:szCs w:val="20"/>
          <w:color w:val="auto"/>
        </w:rPr>
      </w:pPr>
    </w:p>
    <w:p>
      <w:pPr>
        <w:ind w:firstLine="395"/>
        <w:spacing w:after="0" w:line="290" w:lineRule="auto"/>
        <w:rPr>
          <w:sz w:val="20"/>
          <w:szCs w:val="20"/>
          <w:color w:val="auto"/>
        </w:rPr>
      </w:pPr>
      <w:r>
        <w:rPr>
          <w:rFonts w:ascii="Times New Roman" w:cs="Times New Roman" w:eastAsia="Times New Roman" w:hAnsi="Times New Roman"/>
          <w:sz w:val="16"/>
          <w:szCs w:val="16"/>
          <w:color w:val="auto"/>
        </w:rPr>
        <w:t>Of our approximately 120.9 million outstanding ordinary shares as of March 15, 2007, approximately 57.7 million are freely tradable and held by non-affiliates under U.S. securities laws. In addition, certain of our affiliates (Israel Corp., SanDisk Corporation, Alliance Semiconductor, and Macronix International) hold approximately 44.3 million of our shares, of which approximately 3.3 million are registered for resale and are therefore freely tradable under U.S. securities laws and approximately 37.7 million are currently eligible for sale subject to the time, volume and manner of sale limitations of Rule 144 promulgated under the U.S. Securities Act of 1933, as amended. An additional approximately 64,000 shares held by Alliance Semiconductor and approximately 3.3 million shares held by SanDisk Corporation, will become eligible for sale subject to the volume and manner of sale limitations of Rule 144 during 2007. Shares held by these affiliates are subject to the share transfer restrictions set forth in the shareholders agreement to which they are a party and which remain in effect through January 2008. As of March 15, 2007, up to approximately 26.7 million additional shares issuable upon the conversion of our 2005 convertible debentures are held by non-</w:t>
      </w:r>
    </w:p>
    <w:p>
      <w:pPr>
        <w:sectPr>
          <w:pgSz w:w="11900" w:h="16838" w:orient="portrait"/>
          <w:cols w:equalWidth="0" w:num="1">
            <w:col w:w="11400"/>
          </w:cols>
          <w:pgMar w:left="240" w:top="582" w:right="259" w:bottom="0" w:gutter="0" w:footer="0" w:header="0"/>
        </w:sectPr>
      </w:pPr>
    </w:p>
    <w:bookmarkStart w:id="9" w:name="page10"/>
    <w:bookmarkEnd w:id="9"/>
    <w:p>
      <w:pPr>
        <w:spacing w:after="0" w:line="41"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6"/>
          <w:szCs w:val="16"/>
          <w:color w:val="auto"/>
        </w:rPr>
        <w:t>affiliates or are registered for resale and are therefore freely tradable under U.S. securities laws. In addition, approximately 9.2 million shares issuable upon the exercise of warrants we granted to our banks are registered for resale and are therefore freely tradable under U.S. securities laws. The additional up to: (i) approximately 30 million shares issuable upon the conversion and/or exercise of the securities sold in our June 2006 public offering in Israel, and (ii) approximately 5 million shares issuable upon exercise of warrants sold in private placements completed in November 2006 would be freely tradeable in normal trading transactions in the United States. Furthermore, the additional up to approximately 117 million shares issuable upon the conversion of equity equivalent convertible capital notes issued to our banks and Israel Corp. (which shares are covered by this prospectus), would be freely tradeable under U.S. securities laws. We have also agreed to file a registration statement covering the resale of up to approximately 18.8 million shares issued pursuant to an exemption from the registration requirements of the Securities Act of 1933 in our March 2007 private placement, as well as the resale of approximately 28.2 million shares issuable upon exercise of warrants issued in such transaction.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b w:val="1"/>
          <w:bCs w:val="1"/>
          <w:color w:val="auto"/>
        </w:rPr>
        <w:t>Our principal shareholders collectively own a controlling interest in us and will be able to exercise their voting rights in ways which may be adverse to the interests of our other shareholders.</w:t>
      </w:r>
    </w:p>
    <w:p>
      <w:pPr>
        <w:spacing w:after="0" w:line="172" w:lineRule="exact"/>
        <w:rPr>
          <w:sz w:val="20"/>
          <w:szCs w:val="20"/>
          <w:color w:val="auto"/>
        </w:rPr>
      </w:pPr>
    </w:p>
    <w:p>
      <w:pPr>
        <w:ind w:right="80" w:firstLine="395"/>
        <w:spacing w:after="0" w:line="254" w:lineRule="auto"/>
        <w:rPr>
          <w:sz w:val="20"/>
          <w:szCs w:val="20"/>
          <w:color w:val="auto"/>
        </w:rPr>
      </w:pPr>
      <w:r>
        <w:rPr>
          <w:rFonts w:ascii="Times New Roman" w:cs="Times New Roman" w:eastAsia="Times New Roman" w:hAnsi="Times New Roman"/>
          <w:sz w:val="18"/>
          <w:szCs w:val="18"/>
          <w:color w:val="auto"/>
        </w:rPr>
        <w:t>As of March 15, 2007, our major wafer partners and Israel Corp. collectively owned approximately 37%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19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b w:val="1"/>
          <w:bCs w:val="1"/>
          <w:color w:val="auto"/>
        </w:rPr>
        <w:t>The payment of the redemption amount on account of our outstanding debentures is subordinated to our indebtedness to our banks and obligations to secured creditors.</w:t>
      </w:r>
    </w:p>
    <w:p>
      <w:pPr>
        <w:spacing w:after="0" w:line="172" w:lineRule="exact"/>
        <w:rPr>
          <w:sz w:val="20"/>
          <w:szCs w:val="20"/>
          <w:color w:val="auto"/>
        </w:rPr>
      </w:pPr>
    </w:p>
    <w:p>
      <w:pPr>
        <w:ind w:right="20" w:firstLine="395"/>
        <w:spacing w:after="0" w:line="253" w:lineRule="auto"/>
        <w:rPr>
          <w:sz w:val="20"/>
          <w:szCs w:val="20"/>
          <w:color w:val="auto"/>
        </w:rPr>
      </w:pPr>
      <w:r>
        <w:rPr>
          <w:rFonts w:ascii="Times New Roman" w:cs="Times New Roman" w:eastAsia="Times New Roman" w:hAnsi="Times New Roman"/>
          <w:sz w:val="18"/>
          <w:szCs w:val="18"/>
          <w:color w:val="auto"/>
        </w:rPr>
        <w:t>The payment of the redemption amount on account of our outstanding debentures is subordinated to the prior payment of all amounts payable by us to Bank Hapoalim B.M and Bank Leumi Le-Israel Ltd. under our credit facility agreement with them, to any obligations to the Investment Center of the Israeli Ministry of Industry, Trade and Labor related to approximately $163 million in grants received as of February 28, 2007 under the Investment Center’s “Approved Enterprise” program in relation to Fab 2, to a first ranking charge in favor of Siliconix Technology C.V., on approximately $20 million of equipment purchased in connection with the performance of our obligations under our agreement with Siliconix and to a first ranking charge in favor of SanDisk Corporation, on approximately $10 million of equipment purchased in connection with the performance of our obligations under our agreement with SanDisk Corporation. As a result, upon any distribution to our creditors in liquidation or reorganization or similar proceedings, these secured creditors will be entitled to be paid in full before any payment may be made with respect to our outstanding debentures. In any of these circumstances, we may not have sufficient assets remaining to pay amounts due on any or all of our debentures then outstanding. In addition, we are not permitted under the terms of our facility agreement to make a payment on account of the debentures if on the date of such payment an “Event of Default” exists under our facility agreement.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additional indebtedness.</w:t>
      </w:r>
    </w:p>
    <w:p>
      <w:pPr>
        <w:spacing w:after="0" w:line="308" w:lineRule="exact"/>
        <w:rPr>
          <w:sz w:val="20"/>
          <w:szCs w:val="20"/>
          <w:color w:val="auto"/>
        </w:rPr>
      </w:pPr>
    </w:p>
    <w:p>
      <w:pPr>
        <w:ind w:right="840" w:firstLine="341"/>
        <w:spacing w:after="0" w:line="275" w:lineRule="auto"/>
        <w:rPr>
          <w:sz w:val="20"/>
          <w:szCs w:val="20"/>
          <w:color w:val="auto"/>
        </w:rPr>
      </w:pPr>
      <w:r>
        <w:rPr>
          <w:rFonts w:ascii="Times New Roman" w:cs="Times New Roman" w:eastAsia="Times New Roman" w:hAnsi="Times New Roman"/>
          <w:sz w:val="18"/>
          <w:szCs w:val="18"/>
          <w:color w:val="auto"/>
        </w:rPr>
        <w:t>Although we are limited by the covenants in the facility agreement, we could enter into certain transactions that would increase the amount of our outstanding indebtedness. If new indebtedness is added to our current indebtedness levels, the related risks that we now face could intensify.</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Risks Related to Our Operations in Israel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Instability in Israel may harm our business.</w:t>
      </w:r>
    </w:p>
    <w:p>
      <w:pPr>
        <w:spacing w:after="0" w:line="308" w:lineRule="exact"/>
        <w:rPr>
          <w:sz w:val="20"/>
          <w:szCs w:val="20"/>
          <w:color w:val="auto"/>
        </w:rPr>
      </w:pPr>
    </w:p>
    <w:p>
      <w:pPr>
        <w:ind w:right="580" w:firstLine="341"/>
        <w:spacing w:after="0" w:line="275" w:lineRule="auto"/>
        <w:rPr>
          <w:sz w:val="20"/>
          <w:szCs w:val="20"/>
          <w:color w:val="auto"/>
        </w:rPr>
      </w:pPr>
      <w:r>
        <w:rPr>
          <w:rFonts w:ascii="Times New Roman" w:cs="Times New Roman" w:eastAsia="Times New Roman" w:hAnsi="Times New Roman"/>
          <w:sz w:val="18"/>
          <w:szCs w:val="18"/>
          <w:color w:val="auto"/>
        </w:rPr>
        <w:t>All of our manufacturing facilities and our corporate and some of our sales offices are located in Israel. Accordingly, political, economic and military conditions in Israel may directly affect our business.</w:t>
      </w:r>
    </w:p>
    <w:p>
      <w:pPr>
        <w:spacing w:after="0" w:line="174"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and is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not adversely impact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may be negatively affected by the obligations of our personnel to perform military service.</w:t>
      </w:r>
    </w:p>
    <w:p>
      <w:pPr>
        <w:spacing w:after="0" w:line="227" w:lineRule="exact"/>
        <w:rPr>
          <w:sz w:val="20"/>
          <w:szCs w:val="20"/>
          <w:color w:val="auto"/>
        </w:rPr>
      </w:pPr>
    </w:p>
    <w:p>
      <w:pPr>
        <w:jc w:val="both"/>
        <w:ind w:right="120" w:firstLine="351"/>
        <w:spacing w:after="0" w:line="256" w:lineRule="auto"/>
        <w:rPr>
          <w:sz w:val="20"/>
          <w:szCs w:val="20"/>
          <w:color w:val="auto"/>
        </w:rPr>
      </w:pPr>
      <w:r>
        <w:rPr>
          <w:rFonts w:ascii="Times New Roman" w:cs="Times New Roman" w:eastAsia="Times New Roman" w:hAnsi="Times New Roman"/>
          <w:sz w:val="18"/>
          <w:szCs w:val="18"/>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ectPr>
          <w:pgSz w:w="11900" w:h="16880" w:orient="portrait"/>
          <w:cols w:equalWidth="0" w:num="1">
            <w:col w:w="11420"/>
          </w:cols>
          <w:pgMar w:left="240" w:top="125" w:right="239" w:bottom="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Our operations may be affected by negative economic conditions in Israel.</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In recent years, Israel has experienced periods of recession in economic activity, resulting in low growth rates and growing unemployment. Our operations could be adversely affected if the economic conditions in Israel deteriorate. In addition, Israel has experienced several general strikes and other work stoppages, affecting banks, government offices, airports and ports. These strikes have had an adverse effect on the Israeli economy and on businesses,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exemption allowing us to operate our manufacturing facilities seven days a week is not renewed, our business will be adversely affected.</w:t>
      </w:r>
    </w:p>
    <w:p>
      <w:pPr>
        <w:spacing w:after="0" w:line="227"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operate our manufacturing facilities seven days a week pursuant to an exemption from the law that requires businesses in Israel to be closed from sundown on Friday through sundown on Saturday. This exemption expires by its terms on December 31, 2007.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88"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b w:val="1"/>
          <w:bCs w:val="1"/>
          <w:color w:val="auto"/>
        </w:rPr>
        <w:t>If we are considered to be a passive foreign investment company, either presently or in the future, U.S. Holders will be subject to adverse U.S. tax consequences.</w:t>
      </w:r>
    </w:p>
    <w:p>
      <w:pPr>
        <w:spacing w:after="0" w:line="172" w:lineRule="exact"/>
        <w:rPr>
          <w:sz w:val="20"/>
          <w:szCs w:val="20"/>
          <w:color w:val="auto"/>
        </w:rPr>
      </w:pPr>
    </w:p>
    <w:p>
      <w:pPr>
        <w:ind w:right="60" w:firstLine="348"/>
        <w:spacing w:after="0" w:line="252" w:lineRule="auto"/>
        <w:rPr>
          <w:sz w:val="20"/>
          <w:szCs w:val="20"/>
          <w:color w:val="auto"/>
        </w:rPr>
      </w:pPr>
      <w:r>
        <w:rPr>
          <w:rFonts w:ascii="Times New Roman" w:cs="Times New Roman" w:eastAsia="Times New Roman" w:hAnsi="Times New Roman"/>
          <w:sz w:val="18"/>
          <w:szCs w:val="18"/>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 may be difficult to enforce a U.S. judgment against us, our officers and directors and some of the experts named in this prospectus or to assert U.S.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law claims in Israel.</w:t>
      </w:r>
    </w:p>
    <w:p>
      <w:pPr>
        <w:spacing w:after="0" w:line="213"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ON FORWARD-LOOKING STATEMENTS</w:t>
      </w:r>
    </w:p>
    <w:p>
      <w:pPr>
        <w:spacing w:after="0" w:line="308" w:lineRule="exact"/>
        <w:rPr>
          <w:sz w:val="20"/>
          <w:szCs w:val="20"/>
          <w:color w:val="auto"/>
        </w:rPr>
      </w:pPr>
    </w:p>
    <w:p>
      <w:pPr>
        <w:ind w:right="180" w:firstLine="348"/>
        <w:spacing w:after="0" w:line="254" w:lineRule="auto"/>
        <w:rPr>
          <w:sz w:val="20"/>
          <w:szCs w:val="20"/>
          <w:color w:val="auto"/>
        </w:rPr>
      </w:pPr>
      <w:r>
        <w:rPr>
          <w:rFonts w:ascii="Times New Roman" w:cs="Times New Roman" w:eastAsia="Times New Roman" w:hAnsi="Times New Roman"/>
          <w:sz w:val="18"/>
          <w:szCs w:val="18"/>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195" w:lineRule="exact"/>
        <w:rPr>
          <w:sz w:val="20"/>
          <w:szCs w:val="20"/>
          <w:color w:val="auto"/>
        </w:rPr>
      </w:pPr>
    </w:p>
    <w:p>
      <w:pPr>
        <w:ind w:right="320" w:firstLine="345"/>
        <w:spacing w:after="0" w:line="310" w:lineRule="auto"/>
        <w:rPr>
          <w:sz w:val="20"/>
          <w:szCs w:val="20"/>
          <w:color w:val="auto"/>
        </w:rPr>
      </w:pPr>
      <w:r>
        <w:rPr>
          <w:rFonts w:ascii="Times New Roman" w:cs="Times New Roman" w:eastAsia="Times New Roman" w:hAnsi="Times New Roman"/>
          <w:sz w:val="16"/>
          <w:szCs w:val="16"/>
          <w:color w:val="auto"/>
        </w:rPr>
        <w:t>You should not unduly rely on forward-looking statements contained or incorporated by reference in this prospectus. Various factors discussed in this prospectus, including, but not limited to, all the risks discussed in “Risk Factors,” and in our other SEC filings may cause actual results or outcomes to differ materially from those expressed in forward-looking statements. You should read and interpret any forward-looking statements together with these documents.</w:t>
      </w:r>
    </w:p>
    <w:p>
      <w:pPr>
        <w:spacing w:after="0" w:line="151" w:lineRule="exact"/>
        <w:rPr>
          <w:sz w:val="20"/>
          <w:szCs w:val="20"/>
          <w:color w:val="auto"/>
        </w:rPr>
      </w:pPr>
    </w:p>
    <w:p>
      <w:pPr>
        <w:ind w:right="400" w:firstLine="341"/>
        <w:spacing w:after="0" w:line="275"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308" w:lineRule="exact"/>
        <w:rPr>
          <w:sz w:val="20"/>
          <w:szCs w:val="20"/>
          <w:color w:val="auto"/>
        </w:rPr>
      </w:pPr>
    </w:p>
    <w:p>
      <w:pPr>
        <w:ind w:right="80" w:firstLine="395"/>
        <w:spacing w:after="0" w:line="262" w:lineRule="auto"/>
        <w:rPr>
          <w:sz w:val="20"/>
          <w:szCs w:val="20"/>
          <w:color w:val="auto"/>
        </w:rPr>
      </w:pPr>
      <w:r>
        <w:rPr>
          <w:rFonts w:ascii="Times New Roman" w:cs="Times New Roman" w:eastAsia="Times New Roman" w:hAnsi="Times New Roman"/>
          <w:sz w:val="18"/>
          <w:szCs w:val="18"/>
          <w:color w:val="auto"/>
        </w:rPr>
        <w:t>The following table sets forth our long-term debt, convertible debentures and capitalization as of December 31, 2006 on an actual basis. This table does not give pro forma effect to the conversion of the equity equivalent convertible capital notes. This financial data is derived from our audited consolidated financial statements as of December 31, 2006.</w:t>
      </w:r>
    </w:p>
    <w:p>
      <w:pPr>
        <w:sectPr>
          <w:pgSz w:w="11900" w:h="16838" w:orient="portrait"/>
          <w:cols w:equalWidth="0" w:num="1">
            <w:col w:w="11400"/>
          </w:cols>
          <w:pgMar w:left="240" w:top="123" w:right="259" w:bottom="0" w:gutter="0" w:footer="0" w:header="0"/>
        </w:sectPr>
      </w:pPr>
    </w:p>
    <w:p>
      <w:pPr>
        <w:spacing w:after="0" w:line="184"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2"/>
          <w:szCs w:val="12"/>
          <w:b w:val="1"/>
          <w:bCs w:val="1"/>
          <w:color w:val="auto"/>
        </w:rPr>
        <w:t>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85725</wp:posOffset>
            </wp:positionV>
            <wp:extent cx="9607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ectPr>
          <w:pgSz w:w="11900" w:h="16838" w:orient="portrait"/>
          <w:cols w:equalWidth="0" w:num="1">
            <w:col w:w="11400"/>
          </w:cols>
          <w:pgMar w:left="240" w:top="123" w:right="259" w:bottom="0" w:gutter="0" w:footer="0" w:header="0"/>
          <w:type w:val="continuous"/>
        </w:sectPr>
      </w:pPr>
    </w:p>
    <w:bookmarkStart w:id="11" w:name="page12"/>
    <w:bookmarkEnd w:id="11"/>
    <w:tbl>
      <w:tblPr>
        <w:tblLayout w:type="fixed"/>
        <w:tblInd w:w="580" w:type="dxa"/>
        <w:tblCellMar>
          <w:top w:w="0" w:type="dxa"/>
          <w:left w:w="0" w:type="dxa"/>
          <w:bottom w:w="0" w:type="dxa"/>
          <w:right w:w="0" w:type="dxa"/>
        </w:tblCellMar>
      </w:tblPr>
      <w:tr>
        <w:trPr>
          <w:trHeight w:val="178"/>
        </w:trPr>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(US dollars in thousands)</w:t>
            </w:r>
          </w:p>
        </w:tc>
        <w:tc>
          <w:tcPr>
            <w:tcW w:w="0" w:type="dxa"/>
            <w:vAlign w:val="bottom"/>
          </w:tcPr>
          <w:p>
            <w:pPr>
              <w:spacing w:after="0"/>
              <w:rPr>
                <w:sz w:val="1"/>
                <w:szCs w:val="1"/>
                <w:color w:val="auto"/>
              </w:rPr>
            </w:pPr>
          </w:p>
        </w:tc>
      </w:tr>
      <w:tr>
        <w:trPr>
          <w:trHeight w:val="136"/>
        </w:trPr>
        <w:tc>
          <w:tcPr>
            <w:tcW w:w="540" w:type="dxa"/>
            <w:vAlign w:val="bottom"/>
            <w:vMerge w:val="restart"/>
          </w:tcPr>
          <w:p>
            <w:pPr>
              <w:spacing w:after="0"/>
              <w:rPr>
                <w:sz w:val="11"/>
                <w:szCs w:val="11"/>
                <w:color w:val="auto"/>
              </w:rPr>
            </w:pPr>
          </w:p>
        </w:tc>
        <w:tc>
          <w:tcPr>
            <w:tcW w:w="11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4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convertibles debentures</w:t>
            </w:r>
          </w:p>
        </w:tc>
        <w:tc>
          <w:tcPr>
            <w:tcW w:w="254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356,947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55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Convertible debentures excluding current</w:t>
            </w:r>
          </w:p>
        </w:tc>
        <w:tc>
          <w:tcPr>
            <w:tcW w:w="2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5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2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62,175</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55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Long-term liability in respect of customer</w:t>
            </w:r>
          </w:p>
        </w:tc>
        <w:tc>
          <w:tcPr>
            <w:tcW w:w="2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5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advances</w:t>
            </w:r>
          </w:p>
        </w:tc>
        <w:tc>
          <w:tcPr>
            <w:tcW w:w="2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 (deficit):</w:t>
            </w:r>
          </w:p>
        </w:tc>
        <w:tc>
          <w:tcPr>
            <w:tcW w:w="2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55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Ordinary Shares, NIS 1.00 par value per share;</w:t>
            </w:r>
          </w:p>
        </w:tc>
        <w:tc>
          <w:tcPr>
            <w:tcW w:w="2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800,000,000 authorized shares, 102,052,767</w:t>
            </w: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issued shares* and 100,752,767 outstanding</w:t>
            </w: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5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2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564,580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notes</w:t>
            </w: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55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Equity component of convertible debentures and</w:t>
            </w:r>
          </w:p>
        </w:tc>
        <w:tc>
          <w:tcPr>
            <w:tcW w:w="2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55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cumulative stock based compensation</w:t>
            </w:r>
          </w:p>
        </w:tc>
        <w:tc>
          <w:tcPr>
            <w:tcW w:w="2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23,576</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(646,682)</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1,300,000 shares</w:t>
            </w:r>
          </w:p>
        </w:tc>
        <w:tc>
          <w:tcPr>
            <w:tcW w:w="2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(9,072)</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54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699,718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3"/>
        </w:trPr>
        <w:tc>
          <w:tcPr>
            <w:tcW w:w="5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580" w:hanging="572"/>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1,300,000 treasury shares.</w:t>
      </w:r>
    </w:p>
    <w:p>
      <w:pPr>
        <w:spacing w:after="0" w:line="200" w:lineRule="exact"/>
        <w:rPr>
          <w:sz w:val="20"/>
          <w:szCs w:val="20"/>
          <w:color w:val="auto"/>
        </w:rPr>
      </w:pP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set forth on an actual basis in the foregoing table excludes the following securities as of March 15, 2007:</w:t>
      </w:r>
    </w:p>
    <w:p>
      <w:pPr>
        <w:spacing w:after="0" w:line="225" w:lineRule="exact"/>
        <w:rPr>
          <w:sz w:val="20"/>
          <w:szCs w:val="20"/>
          <w:color w:val="auto"/>
        </w:rPr>
      </w:pPr>
    </w:p>
    <w:p>
      <w:pPr>
        <w:ind w:left="1160" w:hanging="571"/>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20,112,543 shares that we issued since December 31, 2006;</w:t>
      </w:r>
    </w:p>
    <w:p>
      <w:pPr>
        <w:spacing w:after="0" w:line="252" w:lineRule="exact"/>
        <w:rPr>
          <w:rFonts w:ascii="Times New Roman" w:cs="Times New Roman" w:eastAsia="Times New Roman" w:hAnsi="Times New Roman"/>
          <w:sz w:val="18"/>
          <w:szCs w:val="18"/>
          <w:color w:val="auto"/>
        </w:rPr>
      </w:pPr>
    </w:p>
    <w:p>
      <w:pPr>
        <w:ind w:left="1160" w:right="160" w:hanging="571"/>
        <w:spacing w:after="0" w:line="275" w:lineRule="auto"/>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14.4 million ordinary shares issuable upon exercise of options granted to employees and directors at a weighted average exercise price of $2.15;</w:t>
      </w:r>
    </w:p>
    <w:p>
      <w:pPr>
        <w:spacing w:after="0" w:line="200" w:lineRule="exact"/>
        <w:rPr>
          <w:rFonts w:ascii="Times New Roman" w:cs="Times New Roman" w:eastAsia="Times New Roman" w:hAnsi="Times New Roman"/>
          <w:sz w:val="18"/>
          <w:szCs w:val="18"/>
          <w:color w:val="auto"/>
        </w:rPr>
      </w:pPr>
    </w:p>
    <w:p>
      <w:pPr>
        <w:ind w:left="1160" w:right="180" w:hanging="571"/>
        <w:spacing w:after="0" w:line="275" w:lineRule="auto"/>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14,782,483 ordinary shares issuable upon the exercise of options granted to our Chief Executive Officer at a weighted average exercise price of $1.54;</w:t>
      </w:r>
    </w:p>
    <w:p>
      <w:pPr>
        <w:spacing w:after="0" w:line="200" w:lineRule="exact"/>
        <w:rPr>
          <w:rFonts w:ascii="Times New Roman" w:cs="Times New Roman" w:eastAsia="Times New Roman" w:hAnsi="Times New Roman"/>
          <w:sz w:val="18"/>
          <w:szCs w:val="18"/>
          <w:color w:val="auto"/>
        </w:rPr>
      </w:pPr>
    </w:p>
    <w:p>
      <w:pPr>
        <w:ind w:left="1160" w:right="40" w:hanging="571"/>
        <w:spacing w:after="0" w:line="275" w:lineRule="auto"/>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1,348,527 ordinary shares issuable upon conversion of unsecured, subordinated convertible debentures, net, that we issued in January 2002, which are convertible through December 31, 2008;</w:t>
      </w:r>
    </w:p>
    <w:p>
      <w:pPr>
        <w:spacing w:after="0" w:line="200" w:lineRule="exact"/>
        <w:rPr>
          <w:rFonts w:ascii="Times New Roman" w:cs="Times New Roman" w:eastAsia="Times New Roman" w:hAnsi="Times New Roman"/>
          <w:sz w:val="18"/>
          <w:szCs w:val="18"/>
          <w:color w:val="auto"/>
        </w:rPr>
      </w:pPr>
    </w:p>
    <w:p>
      <w:pPr>
        <w:ind w:left="1160" w:right="80" w:hanging="571"/>
        <w:spacing w:after="0" w:line="275" w:lineRule="auto"/>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896,596 ordinary shares issuable upon the exercise of warrants issued to our banks in connection with our credit facility with an exercise price of $6.17 per share exercisable until September 2011;</w:t>
      </w:r>
    </w:p>
    <w:p>
      <w:pPr>
        <w:spacing w:after="0" w:line="200" w:lineRule="exact"/>
        <w:rPr>
          <w:rFonts w:ascii="Times New Roman" w:cs="Times New Roman" w:eastAsia="Times New Roman" w:hAnsi="Times New Roman"/>
          <w:sz w:val="18"/>
          <w:szCs w:val="18"/>
          <w:color w:val="auto"/>
        </w:rPr>
      </w:pPr>
    </w:p>
    <w:p>
      <w:pPr>
        <w:ind w:left="1160" w:hanging="571"/>
        <w:spacing w:after="0" w:line="275" w:lineRule="auto"/>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58,906 ordinary shares issuable upon exercise of warrants issued to Israel Corp. in connection with the November 2003 amendment to our facility agreement with an exercise price of $6.17 per share and exercisable until December 2008;</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260" w:hanging="571"/>
        <w:spacing w:after="0" w:line="275" w:lineRule="auto"/>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8,264,464 ordinary shares issuable upon exercise of the warrants we issued to our banks with an exercise price of $1.21 in connection with the July 2005 amendment to our facility agreement exercisable until September 2011;</w:t>
      </w:r>
    </w:p>
    <w:p>
      <w:pPr>
        <w:spacing w:after="0" w:line="200" w:lineRule="exact"/>
        <w:rPr>
          <w:rFonts w:ascii="Times New Roman" w:cs="Times New Roman" w:eastAsia="Times New Roman" w:hAnsi="Times New Roman"/>
          <w:sz w:val="18"/>
          <w:szCs w:val="18"/>
          <w:color w:val="auto"/>
        </w:rPr>
      </w:pPr>
    </w:p>
    <w:p>
      <w:pPr>
        <w:ind w:left="1160" w:right="560" w:hanging="571"/>
        <w:spacing w:after="0" w:line="275" w:lineRule="auto"/>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26,678,718 ordinary shares issuable upon conversion of our debentures convertible until December 2011, pursuant to the prospectus dated December 15, 2005;</w:t>
      </w:r>
    </w:p>
    <w:p>
      <w:pPr>
        <w:spacing w:after="0" w:line="200" w:lineRule="exact"/>
        <w:rPr>
          <w:rFonts w:ascii="Times New Roman" w:cs="Times New Roman" w:eastAsia="Times New Roman" w:hAnsi="Times New Roman"/>
          <w:sz w:val="18"/>
          <w:szCs w:val="18"/>
          <w:color w:val="auto"/>
        </w:rPr>
      </w:pPr>
    </w:p>
    <w:p>
      <w:pPr>
        <w:ind w:left="1160" w:right="160" w:hanging="571"/>
        <w:spacing w:after="0" w:line="275" w:lineRule="auto"/>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117,763,158 ordinary shares (which shares are covered by this prospectus) issuable upon conversion of the equity equivalent convertible capital notes we issued to our banks and to Israel Corp., in September 2006;</w:t>
      </w:r>
    </w:p>
    <w:p>
      <w:pPr>
        <w:spacing w:after="0" w:line="200" w:lineRule="exact"/>
        <w:rPr>
          <w:rFonts w:ascii="Times New Roman" w:cs="Times New Roman" w:eastAsia="Times New Roman" w:hAnsi="Times New Roman"/>
          <w:sz w:val="18"/>
          <w:szCs w:val="18"/>
          <w:color w:val="auto"/>
        </w:rPr>
      </w:pPr>
    </w:p>
    <w:p>
      <w:pPr>
        <w:ind w:left="1160" w:right="220" w:hanging="571"/>
        <w:spacing w:after="0" w:line="275" w:lineRule="auto"/>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5,481,000 ordinary shares issuable upon exercise of the warrants issued in our June 2006 public offering in Israel with an exercise price of NIS 7.40 and which expire in June 2009;</w:t>
      </w:r>
    </w:p>
    <w:p>
      <w:pPr>
        <w:spacing w:after="0" w:line="200"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5,227,500 ordinary shares issuable upon exercise of the warrants sold in our private placements completed in November 2006;</w:t>
      </w:r>
    </w:p>
    <w:p>
      <w:pPr>
        <w:spacing w:after="0" w:line="252" w:lineRule="exact"/>
        <w:rPr>
          <w:rFonts w:ascii="Times New Roman" w:cs="Times New Roman" w:eastAsia="Times New Roman" w:hAnsi="Times New Roman"/>
          <w:sz w:val="18"/>
          <w:szCs w:val="18"/>
          <w:color w:val="auto"/>
        </w:rPr>
      </w:pPr>
    </w:p>
    <w:p>
      <w:pPr>
        <w:ind w:left="1160" w:right="260" w:hanging="571"/>
        <w:spacing w:after="0" w:line="275" w:lineRule="auto"/>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24,232,464 ordinary shares issuable upon conversion of our debentures convertible until December 13, 2011, issued pursuant to our June 2006 public offering in Israel; and</w:t>
      </w:r>
    </w:p>
    <w:p>
      <w:pPr>
        <w:spacing w:after="0" w:line="200"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28,207,796 ordinary shares issuable upon exercise of the warrants issued in our March 2007 private placement.</w:t>
      </w:r>
    </w:p>
    <w:p>
      <w:pPr>
        <w:spacing w:after="0" w:line="200" w:lineRule="exact"/>
        <w:rPr>
          <w:sz w:val="20"/>
          <w:szCs w:val="20"/>
          <w:color w:val="auto"/>
        </w:rPr>
      </w:pPr>
    </w:p>
    <w:p>
      <w:pPr>
        <w:spacing w:after="0" w:line="268" w:lineRule="exact"/>
        <w:rPr>
          <w:sz w:val="20"/>
          <w:szCs w:val="20"/>
          <w:color w:val="auto"/>
        </w:rPr>
      </w:pPr>
    </w:p>
    <w:p>
      <w:pPr>
        <w:ind w:right="20" w:firstLine="395"/>
        <w:spacing w:after="0" w:line="301" w:lineRule="auto"/>
        <w:rPr>
          <w:sz w:val="20"/>
          <w:szCs w:val="20"/>
          <w:color w:val="auto"/>
        </w:rPr>
      </w:pPr>
      <w:r>
        <w:rPr>
          <w:rFonts w:ascii="Times New Roman" w:cs="Times New Roman" w:eastAsia="Times New Roman" w:hAnsi="Times New Roman"/>
          <w:sz w:val="16"/>
          <w:szCs w:val="16"/>
          <w:color w:val="auto"/>
        </w:rPr>
        <w:t>This information does not take into account the following potential dilutive issuances of securities pursuant to our credit facility agreement, agreements with our major wafer partners and with Israel Corp. and option arrangements with our chief executive officer which cannot be calculated as of the date of this prospectus since the number of shares issuable will depend upon future transactions in which we may engage and/or the market price of our shares and/or other conditions: (i) ordinary shares issuable upon conversion of up to approximately $4.7 million in wafer prepayment credits (as of January 31, 2007) which we have</w:t>
      </w:r>
    </w:p>
    <w:p>
      <w:pPr>
        <w:sectPr>
          <w:pgSz w:w="11900" w:h="16838" w:orient="portrait"/>
          <w:cols w:equalWidth="0" w:num="1">
            <w:col w:w="11420"/>
          </w:cols>
          <w:pgMar w:left="240" w:top="123" w:right="239" w:bottom="0" w:gutter="0" w:footer="0" w:header="0"/>
        </w:sectPr>
      </w:pPr>
    </w:p>
    <w:bookmarkStart w:id="12" w:name="page13"/>
    <w:bookmarkEnd w:id="12"/>
    <w:p>
      <w:pPr>
        <w:ind w:right="40"/>
        <w:spacing w:after="0" w:line="258" w:lineRule="auto"/>
        <w:rPr>
          <w:sz w:val="20"/>
          <w:szCs w:val="20"/>
          <w:color w:val="auto"/>
        </w:rPr>
      </w:pPr>
      <w:r>
        <w:rPr>
          <w:rFonts w:ascii="Times New Roman" w:cs="Times New Roman" w:eastAsia="Times New Roman" w:hAnsi="Times New Roman"/>
          <w:sz w:val="18"/>
          <w:szCs w:val="18"/>
          <w:color w:val="auto"/>
        </w:rPr>
        <w:t>issued to our major wafer partners; (ii) ordinary shares issuable upon conversion of securities we may be required to issue in connection with a rights offering and outside investor provisions agreed to in the November 2003 amendment to our facility agreement; (iii) ordinary shares issuable to our banks in January 2011 as a result of the reduction of the interest rate applicable to the quarterly actual interest payments on our outstanding loans and (iv) anti-dilution options that may be granted to our Chief Executive Officer.</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308"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We will not receive any of the proceeds from the sale, by the selling security holders, of the ordinary shares issuable upon conversion of the capital notes. We will not receive any proceeds from the conversion of the capital notes by the selling securityholders.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agreed to bear all expenses relating to the registration of the securities registered pursuant to this prospectus.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308"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This prospectus relates to the offer and sale of ordinary shares by the selling securityholders named herein. As used herein, “selling securityholder” includes donees, pledgees, transferees or other successors-in-interest selling securities received after the date of this prospectus from the named selling securityholders as a gift, pledge, partnership distribution or other non-sale related transfer. We will bear all costs, expenses and fees in connection with the registration of the securities offered by this prospectus, other than brokerage commissions and similar selling expenses, if any, attributable to the sale of securities offered hereby which will be borne by the selling securityholders. Sales of the securities offered hereby may be effected by the selling securityholders from time to time in one or more types of transactions (which may include block transactions) on Nasdaq and/or on the Tel Aviv Stock Exchange at prevailing market prices, in the over-the-counter market, in negotiated transactions, through put or call options transactions relating to the shares offered hereby, through short sales of the shares offered hereby, or a combination of such methods of sale, at market prices prevailing at the time of sale, or at negotiated prices. Such transactions may or may not involve brokers or dealers. The selling securityholders have advised us that they have not entered into any agreements, understandings or arrangements with any underwriters or broker-dealers regarding the sale of their securities, nor is there an underwriter or coordinating broker acting in connection with the proposed sale of the securities offered hereby by the selling securityholders.</w:t>
      </w:r>
    </w:p>
    <w:p>
      <w:pPr>
        <w:spacing w:after="0" w:line="193"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selling securityholders may enter into hedging transactions with broker-dealers or other financial institutions. In connection with such transactions, broker-dealers or other financial institutions may engage in short sales of the securities offered hereby or of securities convertible into or exchangeable for such securities in the course of hedging positions they assume with the selling securityholders. The selling securityholders may also enter into options or other transactions with broker-dealers or other financial institutions which require the delivery to such broker-dealers or other financial institutions of the securities offered by this prospectus, which securities such broker-dealer or other financial institution may resell pursuant to this prospectus (as amended or supplemented to reflect such transaction).</w:t>
      </w:r>
    </w:p>
    <w:p>
      <w:pPr>
        <w:spacing w:after="0" w:line="193"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selling securityholders may effect these transactions by selling the securities offered hereby directly to purchasers or to or through broker-dealers, which may act as agents or principals. Such broker-dealers may receive compensation in the form of discounts, concessions or commissions from the selling securityholders and/or the purchasers of the securities offered hereby for whom such broker-dealers may act as agents or to whom they sell as principal, or both (which compensation as to a particular broker-dealer might be in excess of customary commissions).</w:t>
      </w:r>
    </w:p>
    <w:p>
      <w:pPr>
        <w:spacing w:after="0" w:line="190"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The selling securityholders and any broker-dealers that act in connection with the sale of the securities offered hereby might be deemed to be “underwriters” within the meaning of Section 2(11) of the Securities Act, and any commissions received by such broker-dealers and any profit on the resale of the securities offered hereby sold by them while acting as principals might be deemed to be underwriting discounts or commissions under the Securities Act. The selling securityholders may agree to indemnify any agent, dealer or broker-dealer that participates in transactions involving sales of the securities offered hereby against certain liabilities, including liabilities arising under the Securities Act and/or the Israeli Securities Law.</w:t>
      </w:r>
    </w:p>
    <w:p>
      <w:pPr>
        <w:spacing w:after="0" w:line="193" w:lineRule="exact"/>
        <w:rPr>
          <w:sz w:val="20"/>
          <w:szCs w:val="20"/>
          <w:color w:val="auto"/>
        </w:rPr>
      </w:pPr>
    </w:p>
    <w:p>
      <w:pPr>
        <w:ind w:right="780" w:firstLine="351"/>
        <w:spacing w:after="0" w:line="262" w:lineRule="auto"/>
        <w:rPr>
          <w:sz w:val="20"/>
          <w:szCs w:val="20"/>
          <w:color w:val="auto"/>
        </w:rPr>
      </w:pPr>
      <w:r>
        <w:rPr>
          <w:rFonts w:ascii="Times New Roman" w:cs="Times New Roman" w:eastAsia="Times New Roman" w:hAnsi="Times New Roman"/>
          <w:sz w:val="18"/>
          <w:szCs w:val="18"/>
          <w:color w:val="auto"/>
        </w:rPr>
        <w:t>Because the selling securityholders may be deemed to be “underwriters” within the meaning of Section 2(11) of the Securities Act, the selling securityholders will be subject to the prospectus delivery requirements of the Securities Act. We have informed the selling securityholders that the anti-manipulative provisions of Regulation M promulgated under the Exchange Act may apply to their sales in the market.</w:t>
      </w:r>
    </w:p>
    <w:p>
      <w:pPr>
        <w:spacing w:after="0" w:line="186" w:lineRule="exact"/>
        <w:rPr>
          <w:sz w:val="20"/>
          <w:szCs w:val="20"/>
          <w:color w:val="auto"/>
        </w:rPr>
      </w:pPr>
    </w:p>
    <w:p>
      <w:pPr>
        <w:jc w:val="both"/>
        <w:ind w:right="200" w:firstLine="351"/>
        <w:spacing w:after="0" w:line="262" w:lineRule="auto"/>
        <w:rPr>
          <w:sz w:val="20"/>
          <w:szCs w:val="20"/>
          <w:color w:val="auto"/>
        </w:rPr>
      </w:pPr>
      <w:r>
        <w:rPr>
          <w:rFonts w:ascii="Times New Roman" w:cs="Times New Roman" w:eastAsia="Times New Roman" w:hAnsi="Times New Roman"/>
          <w:sz w:val="18"/>
          <w:szCs w:val="18"/>
          <w:color w:val="auto"/>
        </w:rPr>
        <w:t>Subject to the limitations on the transfer of their shares (see “Selling Securityholders” below), the selling securityholders also may resell all or a portion of the securities offered hereby in open market transactions in reliance upon Rule 144 under the Securities Act, provided they meet the criteria and conform to the requirements of Rule 144.</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Upon our being notified by any of the selling securityholders that any material arrangement has been entered into with a broker-dealer for the sale of shares offered hereby through a block trade, special offering, exchange distribution or secondary distribution or a purchase by a broker or dealer, a supplement to this prospectus will be filed, if required, pursuant to Rule 424(b) under the Securities Act, disclosing:</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name of the selling securityholder and of the participating broker-dealer(s);</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number and type of securities involved;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initial price at which such securities were sold;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commissions paid or discounts or concessions allowed to such broker-dealer(s), where applicable;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that such broker-dealer(s) did not conduct any investigation to verify the information set out or incorporated by reference in this prospectus; and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other facts material to the transaction.</w:t>
      </w:r>
    </w:p>
    <w:p>
      <w:pPr>
        <w:spacing w:after="0" w:line="200" w:lineRule="exact"/>
        <w:rPr>
          <w:sz w:val="20"/>
          <w:szCs w:val="20"/>
          <w:color w:val="auto"/>
        </w:rPr>
      </w:pPr>
    </w:p>
    <w:p>
      <w:pPr>
        <w:spacing w:after="0" w:line="256"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To the extent required, we will use our best efforts to file one or more supplements to this prospectus to describe any material information with respect to the plan of distribution not previously disclosed in this prospectus or any material change to such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the Offering</w:t>
      </w:r>
    </w:p>
    <w:p>
      <w:pPr>
        <w:sectPr>
          <w:pgSz w:w="11900" w:h="16838" w:orient="portrait"/>
          <w:cols w:equalWidth="0" w:num="1">
            <w:col w:w="11420"/>
          </w:cols>
          <w:pgMar w:left="240" w:top="125" w:right="239" w:bottom="0" w:gutter="0" w:footer="0" w:header="0"/>
        </w:sectPr>
      </w:pPr>
    </w:p>
    <w:bookmarkStart w:id="13" w:name="page14"/>
    <w:bookmarkEnd w:id="13"/>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incurred, or expect to incur, the following estimated expenses in connection with the sale of the securities covered by this prospectus: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96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94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and other information.</w:t>
      </w:r>
    </w:p>
    <w:p>
      <w:pPr>
        <w:spacing w:after="0" w:line="2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securities covered by this prospectus were issued to the selling securityholders pursuant to the following transactions.</w:t>
      </w:r>
    </w:p>
    <w:p>
      <w:pPr>
        <w:spacing w:after="0" w:line="225" w:lineRule="exact"/>
        <w:rPr>
          <w:sz w:val="20"/>
          <w:szCs w:val="20"/>
          <w:color w:val="auto"/>
        </w:rPr>
      </w:pPr>
    </w:p>
    <w:p>
      <w:pPr>
        <w:ind w:right="20" w:firstLine="395"/>
        <w:spacing w:after="0" w:line="254" w:lineRule="auto"/>
        <w:rPr>
          <w:sz w:val="20"/>
          <w:szCs w:val="20"/>
          <w:color w:val="auto"/>
        </w:rPr>
      </w:pPr>
      <w:r>
        <w:rPr>
          <w:rFonts w:ascii="Times New Roman" w:cs="Times New Roman" w:eastAsia="Times New Roman" w:hAnsi="Times New Roman"/>
          <w:sz w:val="18"/>
          <w:szCs w:val="18"/>
          <w:color w:val="auto"/>
        </w:rPr>
        <w:t>As part of the financing efforts for the ramp-up plan of Fab 2, in May 2006, we signed a Memorandum of Understanding, or MOU, with Bank Hapoalim and Bank Leumi Le-Israel, two of the three selling securityholders, for the refinancing of the then approximately $527 million of long-term debt under our facility agreement. Among the principal terms contemplated by the MOU was the conversion of an aggregate of $158 million of the debt to the banks ($79 million to each of the banks) into equity at a price per share of $3.04, which is equal to twice the average closing price of our ordinary shares during the 10 consecutive trading days prior to signing the MOU. The terms of the MOU contemplated that the definitive agreement with respect thereto would include a closing condition that Israel Corp., the third selling securityholder, would invest $100 million in our equity at a price per share equal to the average closing price of our ordinary shares during the 10 consecutive trading days prior to the signing of the MOU.</w:t>
      </w:r>
    </w:p>
    <w:p>
      <w:pPr>
        <w:spacing w:after="0" w:line="195"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In August 2006, following the approval of our Audit Committee and Board of Directors, we entered into a definitive amendment with the banks, which provided for the conversion of the $158 million of debt into equity equivalent capital notes, which are convertible into an aggregate of 51,973,684 ordinary shares as contemplated by the MOU. In addition, in August 2006, following the approval of the our Audit Committee and Board of Directors, we entered into a Securities Purchase Agreement with Israel Corp. which provided for the investment by Israel Corp. of $100 million and the issuance to Israel Corp. of equity equivalent capital notes, which are convertible at a conversion price of $1.52 per share, into an aggregate of 65,789,474 shares.</w:t>
      </w:r>
    </w:p>
    <w:p>
      <w:pPr>
        <w:spacing w:after="0" w:line="193"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Following the satisfaction of the closing conditions thereto, including the receipt of shareholder approval, on September 28, 2006, we and Israel Corp. closed the Securities Purchase Agreement and we and the Banks closed the definitive amendment to the Facility Agreement and (i) $158 million of long-term debt was converted by our banks into equity equivalent convertible capital notes, convertible into 51,973,684 ordinary shares; and (ii) $100 million was invested by Israel Corp. in consideration for an equity equivalent convertible capital note, convertible into 65,789,474 ordinary shares. Israel Corp. and our lender banks may use this prospectus to resell, in the aggregate, up to 117,763,158 ordinary shares issuable upon conversion of capital notes.</w:t>
      </w:r>
    </w:p>
    <w:p>
      <w:pPr>
        <w:spacing w:after="0" w:line="193" w:lineRule="exact"/>
        <w:rPr>
          <w:sz w:val="20"/>
          <w:szCs w:val="20"/>
          <w:color w:val="auto"/>
        </w:rPr>
      </w:pPr>
    </w:p>
    <w:p>
      <w:pPr>
        <w:ind w:right="200" w:firstLine="395"/>
        <w:spacing w:after="0" w:line="255" w:lineRule="auto"/>
        <w:rPr>
          <w:sz w:val="20"/>
          <w:szCs w:val="20"/>
          <w:color w:val="auto"/>
        </w:rPr>
      </w:pPr>
      <w:r>
        <w:rPr>
          <w:rFonts w:ascii="Times New Roman" w:cs="Times New Roman" w:eastAsia="Times New Roman" w:hAnsi="Times New Roman"/>
          <w:sz w:val="18"/>
          <w:szCs w:val="18"/>
          <w:color w:val="auto"/>
        </w:rPr>
        <w:t xml:space="preserve">The equity equivalent capital notes are instruments of equity and not debt. Under the terms thereof: (i) the face amounts do not bear interest nor are they linked to any index; (ii) the face amounts are only payable by us out of distributions made upon the winding-up, liquidation or dissolution of our Company on a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and pro rata basis with the holders of our ordinary shares; and (iii) we have no right to prepay or redeem the equity equivalent capital notes.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the holder may at any time, convert the face amount of the equity equivalent capital notes, in whole or in part, without payment of any additional consideration, into ordinary shares at the conversion price of $1.52 per share. The equity equivalent capital notes have no maturity date and the right to convert into shares does not expire.</w:t>
      </w:r>
    </w:p>
    <w:p>
      <w:pPr>
        <w:spacing w:after="0" w:line="193" w:lineRule="exact"/>
        <w:rPr>
          <w:sz w:val="20"/>
          <w:szCs w:val="20"/>
          <w:color w:val="auto"/>
        </w:rPr>
      </w:pPr>
    </w:p>
    <w:p>
      <w:pPr>
        <w:ind w:right="220" w:firstLine="395"/>
        <w:spacing w:after="0" w:line="296" w:lineRule="auto"/>
        <w:rPr>
          <w:sz w:val="20"/>
          <w:szCs w:val="20"/>
          <w:color w:val="auto"/>
        </w:rPr>
      </w:pPr>
      <w:r>
        <w:rPr>
          <w:rFonts w:ascii="Times New Roman" w:cs="Times New Roman" w:eastAsia="Times New Roman" w:hAnsi="Times New Roman"/>
          <w:sz w:val="16"/>
          <w:szCs w:val="16"/>
          <w:color w:val="auto"/>
        </w:rPr>
        <w:t>Information concerning the material relationships between us and the selling securityholders can be found in our reports incorporated herein by reference into this prospectus, particularly Item 4. “Information on the Company – A. History and Development of the Company – Recent Developments”, Item 5. “Operating and Financial Review and Prospects – B. Liquidity and Capital Resources – Fab 2 Agreements” and Item 7. “Major Shareholders and Related Party Transactions — Major Shareholders” of our annual report on Form 20-F for the year ended December 31, 2005, filed on July 13, 2006, and in notes 11A(4), 11A(6), 12B(5)(a), 12C, 12G and 12I to the 2006 financial statements attached as Exhibit 99.2 to our report on Form 6-K filed on February 8, 2007.</w:t>
      </w:r>
    </w:p>
    <w:p>
      <w:pPr>
        <w:spacing w:after="0" w:line="162" w:lineRule="exact"/>
        <w:rPr>
          <w:sz w:val="20"/>
          <w:szCs w:val="20"/>
          <w:color w:val="auto"/>
        </w:rPr>
      </w:pPr>
    </w:p>
    <w:p>
      <w:pPr>
        <w:ind w:right="260" w:firstLine="351"/>
        <w:spacing w:after="0" w:line="262" w:lineRule="auto"/>
        <w:rPr>
          <w:sz w:val="20"/>
          <w:szCs w:val="20"/>
          <w:color w:val="auto"/>
        </w:rPr>
      </w:pPr>
      <w:r>
        <w:rPr>
          <w:rFonts w:ascii="Times New Roman" w:cs="Times New Roman" w:eastAsia="Times New Roman" w:hAnsi="Times New Roman"/>
          <w:sz w:val="18"/>
          <w:szCs w:val="18"/>
          <w:color w:val="auto"/>
        </w:rPr>
        <w:t>Nothing in this Registration Statement shall be construed as an admission that any selling securityholder is the beneficial owner of any of our securities, other than the securities held directly by such party, nor that any selling securityholder or other persons or entities constitute a “group”, for purposes of Section 13(d) of the Exchange Act and the rules promulgated thereunder.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following table assumes that each selling securityholder will sell all of the securities owned by it and covered by this prospectus. Information included in the table is based upon information provided by the selling securityholders. Our registration of these securities does not necessarily mean that the selling securityholders will sell any or all of the securities.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Except as otherwise noted below none of the selling securityholders are broker-dealers or affiliates of broker-dealers.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1412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1412240"/>
                    </a:xfrm>
                    <a:prstGeom prst="rect">
                      <a:avLst/>
                    </a:prstGeom>
                    <a:noFill/>
                  </pic:spPr>
                </pic:pic>
              </a:graphicData>
            </a:graphic>
          </wp:anchor>
        </w:drawing>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gridSpan w:val="5"/>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6"/>
              </w:rPr>
              <w:t>Securities Beneficially</w:t>
            </w:r>
          </w:p>
        </w:tc>
        <w:tc>
          <w:tcPr>
            <w:tcW w:w="360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7"/>
              </w:rPr>
              <w:t>Securities Beneficially Owned</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5"/>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7"/>
              </w:rPr>
              <w:t>Owned Prior to Offering /</w:t>
            </w:r>
          </w:p>
        </w:tc>
        <w:tc>
          <w:tcPr>
            <w:tcW w:w="3600" w:type="dxa"/>
            <w:vAlign w:val="bottom"/>
            <w:gridSpan w:val="3"/>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7"/>
              </w:rPr>
              <w:t>Upon Completion of Offering /</w:t>
            </w:r>
          </w:p>
        </w:tc>
        <w:tc>
          <w:tcPr>
            <w:tcW w:w="0" w:type="dxa"/>
            <w:vAlign w:val="bottom"/>
          </w:tcPr>
          <w:p>
            <w:pPr>
              <w:spacing w:after="0"/>
              <w:rPr>
                <w:sz w:val="1"/>
                <w:szCs w:val="1"/>
                <w:color w:val="auto"/>
              </w:rPr>
            </w:pPr>
          </w:p>
        </w:tc>
      </w:tr>
      <w:tr>
        <w:trPr>
          <w:trHeight w:val="162"/>
        </w:trPr>
        <w:tc>
          <w:tcPr>
            <w:tcW w:w="25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Names and Addresses</w:t>
            </w:r>
          </w:p>
        </w:tc>
        <w:tc>
          <w:tcPr>
            <w:tcW w:w="500" w:type="dxa"/>
            <w:vAlign w:val="bottom"/>
          </w:tcPr>
          <w:p>
            <w:pPr>
              <w:spacing w:after="0"/>
              <w:rPr>
                <w:sz w:val="14"/>
                <w:szCs w:val="14"/>
                <w:color w:val="auto"/>
              </w:rPr>
            </w:pPr>
          </w:p>
        </w:tc>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Securities Being Offered</w:t>
            </w:r>
          </w:p>
        </w:tc>
        <w:tc>
          <w:tcPr>
            <w:tcW w:w="74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Percentage of Class</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1</w:t>
            </w:r>
          </w:p>
        </w:tc>
        <w:tc>
          <w:tcPr>
            <w:tcW w:w="440" w:type="dxa"/>
            <w:vAlign w:val="bottom"/>
            <w:vMerge w:val="restart"/>
          </w:tcPr>
          <w:p>
            <w:pPr>
              <w:spacing w:after="0"/>
              <w:rPr>
                <w:sz w:val="14"/>
                <w:szCs w:val="14"/>
                <w:color w:val="auto"/>
              </w:rPr>
            </w:pPr>
          </w:p>
        </w:tc>
        <w:tc>
          <w:tcPr>
            <w:tcW w:w="3600" w:type="dxa"/>
            <w:vAlign w:val="bottom"/>
            <w:gridSpan w:val="3"/>
            <w:vMerge w:val="restart"/>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7"/>
              </w:rPr>
              <w:t>Percentage of Class</w:t>
            </w:r>
          </w:p>
        </w:tc>
        <w:tc>
          <w:tcPr>
            <w:tcW w:w="0" w:type="dxa"/>
            <w:vAlign w:val="bottom"/>
          </w:tcPr>
          <w:p>
            <w:pPr>
              <w:spacing w:after="0"/>
              <w:rPr>
                <w:sz w:val="1"/>
                <w:szCs w:val="1"/>
                <w:color w:val="auto"/>
              </w:rPr>
            </w:pPr>
          </w:p>
        </w:tc>
      </w:tr>
      <w:tr>
        <w:trPr>
          <w:trHeight w:val="48"/>
        </w:trPr>
        <w:tc>
          <w:tcPr>
            <w:tcW w:w="258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36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600" w:type="dxa"/>
            <w:vAlign w:val="bottom"/>
            <w:tcBorders>
              <w:bottom w:val="single" w:sz="8" w:color="2C2C2C"/>
            </w:tcBorders>
          </w:tcPr>
          <w:p>
            <w:pPr>
              <w:spacing w:after="0"/>
              <w:rPr>
                <w:sz w:val="5"/>
                <w:szCs w:val="5"/>
                <w:color w:val="auto"/>
              </w:rPr>
            </w:pPr>
          </w:p>
        </w:tc>
        <w:tc>
          <w:tcPr>
            <w:tcW w:w="1640" w:type="dxa"/>
            <w:vAlign w:val="bottom"/>
            <w:tcBorders>
              <w:top w:val="single" w:sz="8" w:color="auto"/>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20" w:type="dxa"/>
            <w:vAlign w:val="bottom"/>
            <w:tcBorders>
              <w:top w:val="single" w:sz="8" w:color="auto"/>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20" w:type="dxa"/>
            <w:vAlign w:val="bottom"/>
            <w:tcBorders>
              <w:top w:val="single" w:sz="8" w:color="auto"/>
              <w:bottom w:val="single" w:sz="8" w:color="2C2C2C"/>
            </w:tcBorders>
          </w:tcPr>
          <w:p>
            <w:pPr>
              <w:spacing w:after="0"/>
              <w:rPr>
                <w:sz w:val="5"/>
                <w:szCs w:val="5"/>
                <w:color w:val="auto"/>
              </w:rPr>
            </w:pPr>
          </w:p>
        </w:tc>
        <w:tc>
          <w:tcPr>
            <w:tcW w:w="1280" w:type="dxa"/>
            <w:vAlign w:val="bottom"/>
            <w:tcBorders>
              <w:top w:val="single" w:sz="8" w:color="auto"/>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460" w:type="dxa"/>
            <w:vAlign w:val="bottom"/>
            <w:tcBorders>
              <w:top w:val="single" w:sz="8" w:color="auto"/>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580" w:type="dxa"/>
            <w:vAlign w:val="bottom"/>
            <w:gridSpan w:val="3"/>
          </w:tcPr>
          <w:p>
            <w:pPr>
              <w:ind w:left="60"/>
              <w:spacing w:after="0" w:line="283" w:lineRule="exact"/>
              <w:rPr>
                <w:sz w:val="20"/>
                <w:szCs w:val="20"/>
                <w:color w:val="auto"/>
              </w:rPr>
            </w:pPr>
            <w:r>
              <w:rPr>
                <w:rFonts w:ascii="Times New Roman" w:cs="Times New Roman" w:eastAsia="Times New Roman" w:hAnsi="Times New Roman"/>
                <w:sz w:val="18"/>
                <w:szCs w:val="18"/>
                <w:color w:val="auto"/>
              </w:rPr>
              <w:t xml:space="preserve">Israel Corporation Ltd. </w:t>
            </w:r>
            <w:r>
              <w:rPr>
                <w:rFonts w:ascii="Times New Roman" w:cs="Times New Roman" w:eastAsia="Times New Roman" w:hAnsi="Times New Roman"/>
                <w:sz w:val="29"/>
                <w:szCs w:val="29"/>
                <w:color w:val="auto"/>
                <w:vertAlign w:val="superscript"/>
              </w:rPr>
              <w:t>6,8</w:t>
            </w:r>
          </w:p>
        </w:tc>
        <w:tc>
          <w:tcPr>
            <w:tcW w:w="2460" w:type="dxa"/>
            <w:vAlign w:val="bottom"/>
            <w:gridSpan w:val="3"/>
          </w:tcPr>
          <w:p>
            <w:pPr>
              <w:ind w:left="320"/>
              <w:spacing w:after="0" w:line="283" w:lineRule="exact"/>
              <w:rPr>
                <w:sz w:val="20"/>
                <w:szCs w:val="20"/>
                <w:color w:val="auto"/>
              </w:rPr>
            </w:pPr>
            <w:r>
              <w:rPr>
                <w:rFonts w:ascii="Times New Roman" w:cs="Times New Roman" w:eastAsia="Times New Roman" w:hAnsi="Times New Roman"/>
                <w:sz w:val="18"/>
                <w:szCs w:val="18"/>
                <w:color w:val="auto"/>
              </w:rPr>
              <w:t xml:space="preserve">65,789,474 Shares </w:t>
            </w:r>
            <w:r>
              <w:rPr>
                <w:rFonts w:ascii="Times New Roman" w:cs="Times New Roman" w:eastAsia="Times New Roman" w:hAnsi="Times New Roman"/>
                <w:sz w:val="29"/>
                <w:szCs w:val="29"/>
                <w:color w:val="auto"/>
                <w:vertAlign w:val="superscript"/>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98,290,707</w:t>
            </w:r>
          </w:p>
        </w:tc>
        <w:tc>
          <w:tcPr>
            <w:tcW w:w="1780" w:type="dxa"/>
            <w:vAlign w:val="bottom"/>
            <w:gridSpan w:val="3"/>
          </w:tcPr>
          <w:p>
            <w:pPr>
              <w:ind w:left="20"/>
              <w:spacing w:after="0" w:line="283" w:lineRule="exact"/>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 47.97%</w:t>
            </w:r>
          </w:p>
        </w:tc>
        <w:tc>
          <w:tcPr>
            <w:tcW w:w="3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32,501,233 Shares / 23.36%</w:t>
            </w:r>
          </w:p>
        </w:tc>
        <w:tc>
          <w:tcPr>
            <w:tcW w:w="0" w:type="dxa"/>
            <w:vAlign w:val="bottom"/>
          </w:tcPr>
          <w:p>
            <w:pPr>
              <w:spacing w:after="0"/>
              <w:rPr>
                <w:sz w:val="1"/>
                <w:szCs w:val="1"/>
                <w:color w:val="auto"/>
              </w:rPr>
            </w:pPr>
          </w:p>
        </w:tc>
      </w:tr>
      <w:tr>
        <w:trPr>
          <w:trHeight w:val="216"/>
        </w:trPr>
        <w:tc>
          <w:tcPr>
            <w:tcW w:w="2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23 Arania Street</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Millenium Tower</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Tel-Aviv, Israel 61204</w:t>
            </w:r>
          </w:p>
        </w:tc>
        <w:tc>
          <w:tcPr>
            <w:tcW w:w="5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6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Bank Hapoalim </w:t>
            </w:r>
            <w:r>
              <w:rPr>
                <w:rFonts w:ascii="Times New Roman" w:cs="Times New Roman" w:eastAsia="Times New Roman" w:hAnsi="Times New Roman"/>
                <w:sz w:val="29"/>
                <w:szCs w:val="29"/>
                <w:color w:val="auto"/>
                <w:vertAlign w:val="superscript"/>
              </w:rPr>
              <w:t>7, 8</w:t>
            </w:r>
          </w:p>
        </w:tc>
        <w:tc>
          <w:tcPr>
            <w:tcW w:w="2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xml:space="preserve">25,986,842 Shares </w:t>
            </w:r>
            <w:r>
              <w:rPr>
                <w:rFonts w:ascii="Times New Roman" w:cs="Times New Roman" w:eastAsia="Times New Roman" w:hAnsi="Times New Roman"/>
                <w:sz w:val="29"/>
                <w:szCs w:val="29"/>
                <w:color w:val="auto"/>
                <w:vertAlign w:val="superscript"/>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30,567,372</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20.19%</w:t>
            </w:r>
          </w:p>
        </w:tc>
        <w:tc>
          <w:tcPr>
            <w:tcW w:w="36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4,580,530 Shares /3.65 %</w:t>
            </w:r>
          </w:p>
        </w:tc>
        <w:tc>
          <w:tcPr>
            <w:tcW w:w="0" w:type="dxa"/>
            <w:vAlign w:val="bottom"/>
          </w:tcPr>
          <w:p>
            <w:pPr>
              <w:spacing w:after="0"/>
              <w:rPr>
                <w:sz w:val="1"/>
                <w:szCs w:val="1"/>
                <w:color w:val="auto"/>
              </w:rPr>
            </w:pPr>
          </w:p>
        </w:tc>
      </w:tr>
    </w:tbl>
    <w:p>
      <w:pPr>
        <w:sectPr>
          <w:pgSz w:w="11900" w:h="16948" w:orient="portrait"/>
          <w:cols w:equalWidth="0" w:num="1">
            <w:col w:w="11420"/>
          </w:cols>
          <w:pgMar w:left="240" w:top="125" w:right="239" w:bottom="0" w:gutter="0" w:footer="0" w:header="0"/>
        </w:sectPr>
      </w:pPr>
    </w:p>
    <w:bookmarkStart w:id="14" w:name="page15"/>
    <w:bookmarkEnd w:id="14"/>
    <w:p>
      <w:pPr>
        <w:spacing w:after="0" w:line="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Zion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72020" cy="9734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973455"/>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45 Rothschild Boulevard</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Tel-Aviv, Israel</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Bank Leumi </w:t>
            </w:r>
            <w:r>
              <w:rPr>
                <w:rFonts w:ascii="Times New Roman" w:cs="Times New Roman" w:eastAsia="Times New Roman" w:hAnsi="Times New Roman"/>
                <w:sz w:val="29"/>
                <w:szCs w:val="29"/>
                <w:color w:val="auto"/>
                <w:vertAlign w:val="superscript"/>
              </w:rPr>
              <w:t>7, 8</w:t>
            </w:r>
          </w:p>
        </w:tc>
        <w:tc>
          <w:tcPr>
            <w:tcW w:w="2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xml:space="preserve">25,986,842 Shares </w:t>
            </w:r>
            <w:r>
              <w:rPr>
                <w:rFonts w:ascii="Times New Roman" w:cs="Times New Roman" w:eastAsia="Times New Roman" w:hAnsi="Times New Roman"/>
                <w:sz w:val="29"/>
                <w:szCs w:val="29"/>
                <w:color w:val="auto"/>
                <w:vertAlign w:val="superscript"/>
              </w:rPr>
              <w:t>2</w:t>
            </w:r>
          </w:p>
        </w:tc>
        <w:tc>
          <w:tcPr>
            <w:tcW w:w="2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30,567,372 Shares </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20.19%</w:t>
            </w:r>
          </w:p>
        </w:tc>
        <w:tc>
          <w:tcPr>
            <w:tcW w:w="3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4,580,530 Shares / 3.65%</w:t>
            </w:r>
          </w:p>
        </w:tc>
      </w:tr>
      <w:tr>
        <w:trPr>
          <w:trHeight w:val="216"/>
        </w:trPr>
        <w:tc>
          <w:tcPr>
            <w:tcW w:w="2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34 Yehuda Halevi Street</w:t>
            </w:r>
          </w:p>
        </w:tc>
        <w:tc>
          <w:tcPr>
            <w:tcW w:w="24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28"/>
        </w:trPr>
        <w:tc>
          <w:tcPr>
            <w:tcW w:w="2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Tel-Aviv, Israel</w:t>
            </w:r>
          </w:p>
        </w:tc>
        <w:tc>
          <w:tcPr>
            <w:tcW w:w="24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50"/>
        </w:trPr>
        <w:tc>
          <w:tcPr>
            <w:tcW w:w="1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3760" w:type="dxa"/>
            <w:vAlign w:val="bottom"/>
            <w:tcBorders>
              <w:bottom w:val="single" w:sz="8" w:color="2C2C2C"/>
            </w:tcBorders>
          </w:tcPr>
          <w:p>
            <w:pPr>
              <w:spacing w:after="0"/>
              <w:rPr>
                <w:sz w:val="4"/>
                <w:szCs w:val="4"/>
                <w:color w:val="auto"/>
              </w:rPr>
            </w:pPr>
          </w:p>
        </w:tc>
      </w:tr>
      <w:tr>
        <w:trPr>
          <w:trHeight w:val="351"/>
        </w:trPr>
        <w:tc>
          <w:tcPr>
            <w:tcW w:w="1760" w:type="dxa"/>
            <w:vAlign w:val="bottom"/>
            <w:tcBorders>
              <w:bottom w:val="single" w:sz="8" w:color="808080"/>
            </w:tcBorders>
          </w:tcPr>
          <w:p>
            <w:pPr>
              <w:spacing w:after="0"/>
              <w:rPr>
                <w:sz w:val="24"/>
                <w:szCs w:val="24"/>
                <w:color w:val="auto"/>
              </w:rPr>
            </w:pPr>
          </w:p>
        </w:tc>
        <w:tc>
          <w:tcPr>
            <w:tcW w:w="6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60" w:type="dxa"/>
            <w:vAlign w:val="bottom"/>
          </w:tcPr>
          <w:p>
            <w:pPr>
              <w:spacing w:after="0"/>
              <w:rPr>
                <w:sz w:val="24"/>
                <w:szCs w:val="24"/>
                <w:color w:val="auto"/>
              </w:rPr>
            </w:pPr>
          </w:p>
        </w:tc>
      </w:tr>
    </w:tbl>
    <w:p>
      <w:pPr>
        <w:spacing w:after="0" w:line="232" w:lineRule="exact"/>
        <w:rPr>
          <w:sz w:val="20"/>
          <w:szCs w:val="20"/>
          <w:color w:val="auto"/>
        </w:rPr>
      </w:pPr>
    </w:p>
    <w:p>
      <w:pPr>
        <w:ind w:left="1160" w:hanging="571"/>
        <w:spacing w:after="0"/>
        <w:tabs>
          <w:tab w:leader="none" w:pos="1160" w:val="left"/>
        </w:tabs>
        <w:numPr>
          <w:ilvl w:val="0"/>
          <w:numId w:val="1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Beneficial ownership is calculated as of March 15, 2007 in accordance with General Instruction F. to Form 20-F and is based on 120,865,310</w:t>
      </w:r>
    </w:p>
    <w:p>
      <w:pPr>
        <w:spacing w:after="0" w:line="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ordinary shares outstanding.</w:t>
      </w:r>
    </w:p>
    <w:p>
      <w:pPr>
        <w:ind w:left="1160" w:hanging="571"/>
        <w:spacing w:after="0" w:line="181" w:lineRule="auto"/>
        <w:tabs>
          <w:tab w:leader="none" w:pos="116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Aggregate number of shares issuable upon conversion of equity equivalent convertible capital notes.</w:t>
      </w:r>
    </w:p>
    <w:p>
      <w:pPr>
        <w:ind w:left="1160" w:hanging="571"/>
        <w:spacing w:after="0" w:line="180" w:lineRule="auto"/>
        <w:tabs>
          <w:tab w:leader="none" w:pos="116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58,906 ordinary shares issuable upon exercise of warrants and 18,181,823 ordinary shares issuable upon conversion of debentures.</w:t>
      </w:r>
    </w:p>
    <w:p>
      <w:pPr>
        <w:spacing w:after="0" w:line="8" w:lineRule="exact"/>
        <w:rPr>
          <w:sz w:val="20"/>
          <w:szCs w:val="20"/>
          <w:color w:val="auto"/>
        </w:rPr>
      </w:pPr>
    </w:p>
    <w:p>
      <w:pPr>
        <w:ind w:left="1160" w:right="620" w:hanging="571"/>
        <w:spacing w:after="0" w:line="188" w:lineRule="auto"/>
        <w:tabs>
          <w:tab w:leader="none" w:pos="116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4,132,232 ordinary shares issuable upon exercise of selling securityholder’s warrants and 448,298 ordinary shares issuable upon exercise of warrants issued to Tarshish Hahzakot Vehashkaot Hapoalim Ltd., a subsidiary of selling securityholder.</w:t>
      </w:r>
    </w:p>
    <w:p>
      <w:pPr>
        <w:ind w:left="1160" w:hanging="571"/>
        <w:spacing w:after="0" w:line="182" w:lineRule="auto"/>
        <w:tabs>
          <w:tab w:leader="none" w:pos="116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4,580,530 ordinary shares issuable upon exercise of selling securityholder’s warrants.</w:t>
      </w:r>
    </w:p>
    <w:p>
      <w:pPr>
        <w:ind w:left="1160" w:hanging="571"/>
        <w:spacing w:after="0" w:line="180" w:lineRule="auto"/>
        <w:tabs>
          <w:tab w:leader="none" w:pos="116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Under a shareholders agreement described below, SanDisk Corporation, Israel Corporation, Alliance Semiconductor Ltd. and Macronix</w:t>
      </w:r>
    </w:p>
    <w:p>
      <w:pPr>
        <w:spacing w:after="0" w:line="204" w:lineRule="exact"/>
        <w:rPr>
          <w:sz w:val="20"/>
          <w:szCs w:val="20"/>
          <w:color w:val="auto"/>
        </w:rPr>
      </w:pPr>
    </w:p>
    <w:p>
      <w:pPr>
        <w:ind w:left="1160" w:right="120" w:hanging="571"/>
        <w:spacing w:after="0" w:line="206" w:lineRule="auto"/>
        <w:tabs>
          <w:tab w:leader="none" w:pos="1160"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selling securityholder is an affiliate of a broker-dealer. This selling securityholder has represented to us that it (i) purchased the securities in the ordinary course of business and (ii) did not have an agreement or understanding, directly or indirectly, with any person to distribute the</w:t>
      </w:r>
    </w:p>
    <w:p>
      <w:pPr>
        <w:ind w:left="1160"/>
        <w:spacing w:after="0"/>
        <w:rPr>
          <w:sz w:val="20"/>
          <w:szCs w:val="20"/>
          <w:color w:val="auto"/>
        </w:rPr>
      </w:pPr>
      <w:r>
        <w:rPr>
          <w:rFonts w:ascii="Times New Roman" w:cs="Times New Roman" w:eastAsia="Times New Roman" w:hAnsi="Times New Roman"/>
          <w:sz w:val="18"/>
          <w:szCs w:val="18"/>
          <w:color w:val="auto"/>
        </w:rPr>
        <w:t>securities at the time it purchased the securities.</w:t>
      </w:r>
    </w:p>
    <w:p>
      <w:pPr>
        <w:ind w:left="1160" w:hanging="571"/>
        <w:spacing w:after="0" w:line="180" w:lineRule="auto"/>
        <w:tabs>
          <w:tab w:leader="none" w:pos="1160" w:val="left"/>
        </w:tabs>
        <w:numPr>
          <w:ilvl w:val="0"/>
          <w:numId w:val="2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This selling securityholder is a public company registered with the Israel Securities Authority.</w:t>
      </w:r>
    </w:p>
    <w:p>
      <w:pPr>
        <w:spacing w:after="0" w:line="200" w:lineRule="exact"/>
        <w:rPr>
          <w:sz w:val="20"/>
          <w:szCs w:val="20"/>
          <w:color w:val="auto"/>
        </w:rPr>
      </w:pPr>
    </w:p>
    <w:p>
      <w:pPr>
        <w:spacing w:after="0" w:line="248"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Pursuant to a shareholders agreement dated January 18, 2001, among Israel Corp., Alliance Semiconductor, SanDisk and Macronix, such parties have agreed, among other things, to vote or cause to be voted all their respective shares for the election to the Board of Directors of nominees designated by each party, nominees recommended by the Board, the election of a designee of Israel Corp. to serve as Chairman of the Board, unless agreed to otherwise, and against the election of any other persons to the Board of Directors. In addition, subject to certain exceptions, each shareholder agreed to restrictions on the transfer of its shares, including certain rights of first refusal, and through January 2008, to maintain minimum shareholdings.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308" w:lineRule="exact"/>
        <w:rPr>
          <w:sz w:val="20"/>
          <w:szCs w:val="20"/>
          <w:color w:val="auto"/>
        </w:rPr>
      </w:pPr>
    </w:p>
    <w:p>
      <w:pPr>
        <w:jc w:val="both"/>
        <w:ind w:right="200" w:firstLine="351"/>
        <w:spacing w:after="0" w:line="262" w:lineRule="auto"/>
        <w:rPr>
          <w:sz w:val="20"/>
          <w:szCs w:val="20"/>
          <w:color w:val="auto"/>
        </w:rPr>
      </w:pPr>
      <w:r>
        <w:rPr>
          <w:rFonts w:ascii="Times New Roman" w:cs="Times New Roman" w:eastAsia="Times New Roman" w:hAnsi="Times New Roman"/>
          <w:sz w:val="18"/>
          <w:szCs w:val="18"/>
          <w:color w:val="auto"/>
        </w:rPr>
        <w:t>Our authorized share capital consists of 800 million ordinary shares, par value NIS 1.00 per share. Under our articles of association, the ordinary shares do not have preemptive rights. We may from time to time, by approval of a majority of our shareholders, increase our authorized share capital. All ordinary shares are registered shares, rather than bearer shares.</w:t>
      </w:r>
    </w:p>
    <w:p>
      <w:pPr>
        <w:spacing w:after="0" w:line="186"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93" w:lineRule="exact"/>
        <w:rPr>
          <w:sz w:val="20"/>
          <w:szCs w:val="20"/>
          <w:color w:val="auto"/>
        </w:rPr>
      </w:pPr>
    </w:p>
    <w:p>
      <w:pPr>
        <w:jc w:val="both"/>
        <w:ind w:right="80" w:firstLine="351"/>
        <w:spacing w:after="0" w:line="287" w:lineRule="auto"/>
        <w:rPr>
          <w:sz w:val="20"/>
          <w:szCs w:val="20"/>
          <w:color w:val="auto"/>
        </w:rPr>
      </w:pPr>
      <w:r>
        <w:rPr>
          <w:rFonts w:ascii="Times New Roman" w:cs="Times New Roman" w:eastAsia="Times New Roman" w:hAnsi="Times New Roman"/>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186" w:lineRule="exact"/>
        <w:rPr>
          <w:sz w:val="20"/>
          <w:szCs w:val="20"/>
          <w:color w:val="auto"/>
        </w:rPr>
      </w:pPr>
    </w:p>
    <w:p>
      <w:pPr>
        <w:ind w:right="20" w:firstLine="351"/>
        <w:spacing w:after="0" w:line="310" w:lineRule="auto"/>
        <w:rPr>
          <w:sz w:val="20"/>
          <w:szCs w:val="20"/>
          <w:color w:val="auto"/>
        </w:rPr>
      </w:pPr>
      <w:r>
        <w:rPr>
          <w:rFonts w:ascii="Times New Roman" w:cs="Times New Roman" w:eastAsia="Times New Roman" w:hAnsi="Times New Roman"/>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51"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 a meeting convened upon advance notice of no less than twenty one days) of shareholders present in person or by proxy and holding shares conferring, in the aggregate, at least a majority of the votes actually cast on such resolutions.</w:t>
      </w:r>
    </w:p>
    <w:p>
      <w:pPr>
        <w:spacing w:after="0" w:line="190"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registration number at the Israeli Registrar of Companies is 52-004199-7.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objective stated in our articles of association is to engage in any lawful activity.</w:t>
      </w:r>
    </w:p>
    <w:p>
      <w:pPr>
        <w:spacing w:after="0" w:line="225" w:lineRule="exact"/>
        <w:rPr>
          <w:sz w:val="20"/>
          <w:szCs w:val="20"/>
          <w:color w:val="auto"/>
        </w:rPr>
      </w:pPr>
    </w:p>
    <w:p>
      <w:pPr>
        <w:ind w:right="80" w:firstLine="351"/>
        <w:spacing w:after="0" w:line="310" w:lineRule="auto"/>
        <w:rPr>
          <w:sz w:val="20"/>
          <w:szCs w:val="20"/>
          <w:color w:val="auto"/>
        </w:rPr>
      </w:pPr>
      <w:r>
        <w:rPr>
          <w:rFonts w:ascii="Times New Roman" w:cs="Times New Roman" w:eastAsia="Times New Roman" w:hAnsi="Times New Roman"/>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w:t>
      </w:r>
    </w:p>
    <w:p>
      <w:pPr>
        <w:sectPr>
          <w:pgSz w:w="11900" w:h="16934" w:orient="portrait"/>
          <w:cols w:equalWidth="0" w:num="1">
            <w:col w:w="11420"/>
          </w:cols>
          <w:pgMar w:left="240" w:top="125" w:right="239" w:bottom="0" w:gutter="0" w:footer="0" w:header="0"/>
        </w:sectPr>
      </w:pPr>
    </w:p>
    <w:bookmarkStart w:id="15" w:name="page16"/>
    <w:bookmarkEnd w:id="15"/>
    <w:p>
      <w:pPr>
        <w:spacing w:after="0" w:line="7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95"/>
        <w:spacing w:after="0" w:line="275" w:lineRule="auto"/>
        <w:rPr>
          <w:sz w:val="20"/>
          <w:szCs w:val="20"/>
          <w:color w:val="auto"/>
        </w:rPr>
      </w:pPr>
      <w:r>
        <w:rPr>
          <w:rFonts w:ascii="Times New Roman" w:cs="Times New Roman" w:eastAsia="Times New Roman" w:hAnsi="Times New Roman"/>
          <w:sz w:val="18"/>
          <w:szCs w:val="18"/>
          <w:color w:val="auto"/>
        </w:rPr>
        <w:t>As of March 15, 2007, 120,865,310 of our ordinary shares were outstanding. The above numbers of outstanding ordinary shares do not include 1.3 million treasury shares held by us through a trustee.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transfer agent and registrar for our ordinary shares is American Stock Transfer &amp; Trust Company, 59 Maiden Lane, New York, New York 10007.</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FOREIGN EXCHANGE CONTROLS AND OTHER LIMITATIONS</w:t>
      </w:r>
    </w:p>
    <w:p>
      <w:pPr>
        <w:spacing w:after="0" w:line="308"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future impact on the value of the NIS compared to the dollar and the corresponding effect on our financial position and results of operations.</w:t>
      </w:r>
    </w:p>
    <w:p>
      <w:pPr>
        <w:spacing w:after="0" w:line="197"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308"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below discussion does not purport to be an official interpretation of the tax law provisions mentioned therein or to be a comprehensive description of all tax law provisions which might apply to our securities or to reflect the views of the relevant tax authorities, and it is not meant to replace professional advice in these matters. The below discussion is based on current, applicable tax law, which may be changed by future legislation or reforms. Non-residents should obtain professional tax advice with respect to the tax consequences under the laws of their countries of residence of holding or selling our securities.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Israeli Capital Gains Tax</w:t>
      </w:r>
    </w:p>
    <w:p>
      <w:pPr>
        <w:spacing w:after="0" w:line="225" w:lineRule="exact"/>
        <w:rPr>
          <w:sz w:val="20"/>
          <w:szCs w:val="20"/>
          <w:color w:val="auto"/>
        </w:rPr>
      </w:pPr>
    </w:p>
    <w:p>
      <w:pPr>
        <w:ind w:right="240" w:firstLine="351"/>
        <w:spacing w:after="0" w:line="258" w:lineRule="auto"/>
        <w:rPr>
          <w:sz w:val="20"/>
          <w:szCs w:val="20"/>
          <w:color w:val="auto"/>
        </w:rPr>
      </w:pPr>
      <w:r>
        <w:rPr>
          <w:rFonts w:ascii="Times New Roman" w:cs="Times New Roman" w:eastAsia="Times New Roman" w:hAnsi="Times New Roman"/>
          <w:sz w:val="18"/>
          <w:szCs w:val="18"/>
          <w:color w:val="auto"/>
        </w:rPr>
        <w:t>Until the end of the year 2002 and provided we maintained our status as an “Industrial Corporation”, capital gains from the sale of our securities were generally exempt from Israeli Capital Gains Tax. This exemption did not apply to a shareholder whose taxable income was determined pursuant to the Israeli Income Tax Law (Inflationary Adjustments) 1985, or to a person whose gains from selling or otherwise disposing of our securities were deemed to be business income.</w:t>
      </w:r>
    </w:p>
    <w:p>
      <w:pPr>
        <w:spacing w:after="0" w:line="190"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On January 1, 2006 an amendment to the Israeli tax regime became effective (the “2006 Tax Reform”). The 2006 Tax Reform significantly changed the tax rates applicable to income derived from shares.</w:t>
      </w:r>
    </w:p>
    <w:p>
      <w:pPr>
        <w:spacing w:after="0" w:line="174" w:lineRule="exact"/>
        <w:rPr>
          <w:sz w:val="20"/>
          <w:szCs w:val="20"/>
          <w:color w:val="auto"/>
        </w:rPr>
      </w:pPr>
    </w:p>
    <w:p>
      <w:pPr>
        <w:ind w:firstLine="341"/>
        <w:spacing w:after="0" w:line="310" w:lineRule="auto"/>
        <w:rPr>
          <w:sz w:val="20"/>
          <w:szCs w:val="20"/>
          <w:color w:val="auto"/>
        </w:rPr>
      </w:pPr>
      <w:r>
        <w:rPr>
          <w:rFonts w:ascii="Times New Roman" w:cs="Times New Roman" w:eastAsia="Times New Roman" w:hAnsi="Times New Roman"/>
          <w:sz w:val="16"/>
          <w:szCs w:val="16"/>
          <w:color w:val="auto"/>
        </w:rPr>
        <w:t>According to the 2006 Tax Reform, an individual is subject to a 20% tax rate on real capital gains derived from the sale of shares, as long as the individual is not a “substantial shareholder” (generally a shareholder with 10% or more of the right to profits, right to nominate a director or voting rights) in the company issuing the shares. The rate on the gains from publicly traded shares applicable to gains that were realized between January 1, 2003 and January 1, 2006 was 15%.</w:t>
      </w:r>
    </w:p>
    <w:p>
      <w:pPr>
        <w:spacing w:after="0" w:line="151" w:lineRule="exact"/>
        <w:rPr>
          <w:sz w:val="20"/>
          <w:szCs w:val="20"/>
          <w:color w:val="auto"/>
        </w:rPr>
      </w:pPr>
    </w:p>
    <w:p>
      <w:pPr>
        <w:ind w:right="180" w:firstLine="341"/>
        <w:spacing w:after="0" w:line="258" w:lineRule="auto"/>
        <w:rPr>
          <w:sz w:val="20"/>
          <w:szCs w:val="20"/>
          <w:color w:val="auto"/>
        </w:rPr>
      </w:pPr>
      <w:r>
        <w:rPr>
          <w:rFonts w:ascii="Times New Roman" w:cs="Times New Roman" w:eastAsia="Times New Roman" w:hAnsi="Times New Roman"/>
          <w:sz w:val="18"/>
          <w:szCs w:val="18"/>
          <w:color w:val="auto"/>
        </w:rPr>
        <w:t>A substantial shareholder will be subject to tax at a rate of 25% in respect of real capital gains derived from the sale of shares issued by the company in which he or she is a substantial shareholder. The determination of whether the individual is a substantial shareholder will be made on the date that the securities are sold. In addition, the individual will be deemed to be a substantial shareholder if at any time during the 12 months preceding this date he or she had been a substantial shareholder.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Corporations will be subject to corporate tax rates in respect of total income, including capital gains, with the corporate tax rate reduced gradually from 34% in 2005 to 25% in 2010. However, between 2006 and 2009, corporations whose taxable income was not determined, immediately before the 2006 Tax Reform was published, pursuant to part B of the Israeli Income Tax Law (Inflationary Adjustments), 1985 or pursuant to the Income Tax Regulations (Rules on Bookkeeping by Foreign Invested Companies and Certain Partnership and Determination of their Chargeable Income), 1984 will generally be taxed at a rate of 25% on their capital gains from the sale of their securities.</w:t>
      </w:r>
    </w:p>
    <w:p>
      <w:pPr>
        <w:spacing w:after="0" w:line="193"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93"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In some instances where our shareholders may be liable to Israeli tax on the sale of their ordinary shares, the payment of the consideration may be subject to the withholding of Israeli tax at the source.</w:t>
      </w:r>
    </w:p>
    <w:p>
      <w:pPr>
        <w:spacing w:after="0" w:line="174" w:lineRule="exact"/>
        <w:rPr>
          <w:sz w:val="20"/>
          <w:szCs w:val="20"/>
          <w:color w:val="auto"/>
        </w:rPr>
      </w:pPr>
    </w:p>
    <w:p>
      <w:pPr>
        <w:ind w:right="280" w:firstLine="351"/>
        <w:spacing w:after="0" w:line="296" w:lineRule="auto"/>
        <w:rPr>
          <w:sz w:val="20"/>
          <w:szCs w:val="20"/>
          <w:color w:val="auto"/>
        </w:rPr>
      </w:pPr>
      <w:r>
        <w:rPr>
          <w:rFonts w:ascii="Times New Roman" w:cs="Times New Roman" w:eastAsia="Times New Roman" w:hAnsi="Times New Roman"/>
          <w:sz w:val="16"/>
          <w:szCs w:val="16"/>
          <w:color w:val="auto"/>
        </w:rPr>
        <w:t>Pursuant to the treaty between the Governments of the United States and Israel with respect to taxes on income, or the U.S.-Israel tax treaty, the sale, exchange or disposition of our ordinary shares by a person who qualifies as a resident of the United States under the treaty and who is entitled to claim the benefits afforded to him by the treaty, will generally not be subject to Israeli capital gains tax. This exemption shall not apply to a person who held, directly or indirectly, shares representing 10% or more of the voting power in our company during any part of the 12-month period preceding the sale, exchange or disposition, subject to certain conditions. A sale, exchange or disposition of our shares by a U.S. resident qualified under the treaty, who held, directly or</w:t>
      </w:r>
    </w:p>
    <w:p>
      <w:pPr>
        <w:sectPr>
          <w:pgSz w:w="11900" w:h="16910" w:orient="portrait"/>
          <w:cols w:equalWidth="0" w:num="1">
            <w:col w:w="11400"/>
          </w:cols>
          <w:pgMar w:left="240" w:top="125" w:right="259" w:bottom="0" w:gutter="0" w:footer="0" w:header="0"/>
        </w:sectPr>
      </w:pPr>
    </w:p>
    <w:bookmarkStart w:id="16" w:name="page17"/>
    <w:bookmarkEnd w:id="16"/>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indirectly, shares representing 10% or more of the voting power in our company at any time during the preceding 12-month period would be subject to Israeli tax, to the extent applicable; however, under the treaty, this U.S. resident would be permitted to claim a credit for these taxes against the U.S. income tax with respect to the sale, exchange or disposition, subject to the limitations in U.S. laws applicable to foreign tax credits.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 Israeli Tax on Interest Income and on Original Issuance Discount</w:t>
      </w:r>
    </w:p>
    <w:p>
      <w:pPr>
        <w:spacing w:after="0" w:line="225" w:lineRule="exact"/>
        <w:rPr>
          <w:sz w:val="20"/>
          <w:szCs w:val="20"/>
          <w:color w:val="auto"/>
        </w:rPr>
      </w:pPr>
    </w:p>
    <w:p>
      <w:pPr>
        <w:ind w:right="80" w:firstLine="351"/>
        <w:spacing w:after="0" w:line="253" w:lineRule="auto"/>
        <w:rPr>
          <w:sz w:val="20"/>
          <w:szCs w:val="20"/>
          <w:color w:val="auto"/>
        </w:rPr>
      </w:pPr>
      <w:r>
        <w:rPr>
          <w:rFonts w:ascii="Times New Roman" w:cs="Times New Roman" w:eastAsia="Times New Roman" w:hAnsi="Times New Roman"/>
          <w:sz w:val="18"/>
          <w:szCs w:val="18"/>
          <w:color w:val="auto"/>
        </w:rPr>
        <w:t>Interest and Original Issuance Discount (OID) on our convertible debentures will, in general, be subject to Israeli tax of up to 20% if received by an individual. This reduced rate of tax will not apply if the interest and OID are business income in the hands of the recipient, if the interest is recorded or should be recorded in the individual’s accounting books, if the recipient is a substantial shareholder of our company, if financing expenses related to the purchase of the debentures were deducted by the individual in the calculation of the individual’s Israeli taxable income, or if the individual is an employee, supplier, or service provider of the company and the tax authorities have not been persuaded that the payment of interest was not affected by the relationship between the parties. In such cases the regular rate of tax on Interest and OID of up to 49% will apply to the individual. Interest and OID paid to corporations will be subject to corporate tax at the regular rates of 31% in 2006, 29% in 2007, 27% in 2008, 26% in 2009 and 25% in 2010 and thereafter. As a result of the provisions related to tax withholding, as explained below, foreign resident individuals and corporations will be subject to tax of 25% or less, according to the relevant treaty relating to their domicile country.</w:t>
      </w:r>
    </w:p>
    <w:p>
      <w:pPr>
        <w:spacing w:after="0" w:line="197"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color w:val="auto"/>
        </w:rPr>
        <w:t>Under regulations promulgated as part of the 2006 Tax Reform, withholding tax at source from debenture interest and OID paid to resident individuals will, in general, be at a rate of 20%. However, if the individual receiving the interest and OID is a substantial shareholder, an employee, supplier or service provider of the company, tax will be withheld at the marginal rates applicable to individuals. Corporations will be subject to withholding tax at the applicable rate of corporate tax as set out above. Withholding tax at source from debenture interest and OID paid to non-resident individuals or corporations will be at a rate of 25% or less, according to the relevant treaty relating to their domicile country. In any event, under the US-Israel Tax Treaty, the maximum Israeli tax withheld on interest and OID paid on our convertible debentures due 2006 to a US treaty resident (other than a US bank, savings institution or company) is 17.5%.</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 Israeli Tax on Dividend Income</w:t>
      </w:r>
    </w:p>
    <w:p>
      <w:pPr>
        <w:spacing w:after="0" w:line="225" w:lineRule="exact"/>
        <w:rPr>
          <w:sz w:val="20"/>
          <w:szCs w:val="20"/>
          <w:color w:val="auto"/>
        </w:rPr>
      </w:pPr>
    </w:p>
    <w:p>
      <w:pPr>
        <w:jc w:val="both"/>
        <w:ind w:right="160" w:firstLine="351"/>
        <w:spacing w:after="0" w:line="258" w:lineRule="auto"/>
        <w:rPr>
          <w:sz w:val="20"/>
          <w:szCs w:val="20"/>
          <w:color w:val="auto"/>
        </w:rPr>
      </w:pPr>
      <w:r>
        <w:rPr>
          <w:rFonts w:ascii="Times New Roman" w:cs="Times New Roman" w:eastAsia="Times New Roman" w:hAnsi="Times New Roman"/>
          <w:sz w:val="18"/>
          <w:szCs w:val="18"/>
          <w:color w:val="auto"/>
        </w:rPr>
        <w:t>On distributions of dividends other than bonus shares, or stock dividends, to Israeli individuals and foreign resident individuals and corporations we would be required to withhold income tax at the rate of 20%. If the income out of which the dividend is being paid is attributable to an Approved Enterprise under the Law for the Encouragement of Capital Investments, 1959, the rate is 15%. A different rate may be provided for in a treaty between Israel and the shareholder’s country of residence.</w:t>
      </w:r>
    </w:p>
    <w:p>
      <w:pPr>
        <w:spacing w:after="0" w:line="190" w:lineRule="exact"/>
        <w:rPr>
          <w:sz w:val="20"/>
          <w:szCs w:val="20"/>
          <w:color w:val="auto"/>
        </w:rPr>
      </w:pPr>
    </w:p>
    <w:p>
      <w:pPr>
        <w:ind w:right="80" w:firstLine="351"/>
        <w:spacing w:after="0" w:line="310" w:lineRule="auto"/>
        <w:rPr>
          <w:sz w:val="20"/>
          <w:szCs w:val="20"/>
          <w:color w:val="auto"/>
        </w:rPr>
      </w:pPr>
      <w:r>
        <w:rPr>
          <w:rFonts w:ascii="Times New Roman" w:cs="Times New Roman" w:eastAsia="Times New Roman" w:hAnsi="Times New Roman"/>
          <w:sz w:val="16"/>
          <w:szCs w:val="16"/>
          <w:color w:val="auto"/>
        </w:rPr>
        <w:t>Under the US-Israel Tax Treaty, Israeli withholding tax on dividends paid to a US treaty resident may not, in general, exceed 25%, or 15% in the case of dividends paid out of the profits of an Approved Enterprise. Where the recipient is a US corporation owning 10% or more of the voting stock of the paying corporation and the dividend is not paid from the profits of an Approved Enterprise, the Israeli tax withheld may not exceed 12.5%, subject to certain conditions.</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 PFIC Rules</w:t>
      </w:r>
    </w:p>
    <w:p>
      <w:pPr>
        <w:spacing w:after="0" w:line="225" w:lineRule="exact"/>
        <w:rPr>
          <w:sz w:val="20"/>
          <w:szCs w:val="20"/>
          <w:color w:val="auto"/>
        </w:rPr>
      </w:pPr>
    </w:p>
    <w:p>
      <w:pPr>
        <w:jc w:val="both"/>
        <w:ind w:right="60" w:firstLine="341"/>
        <w:spacing w:after="0" w:line="262" w:lineRule="auto"/>
        <w:rPr>
          <w:sz w:val="20"/>
          <w:szCs w:val="20"/>
          <w:color w:val="auto"/>
        </w:rPr>
      </w:pPr>
      <w:r>
        <w:rPr>
          <w:rFonts w:ascii="Times New Roman" w:cs="Times New Roman" w:eastAsia="Times New Roman" w:hAnsi="Times New Roman"/>
          <w:sz w:val="18"/>
          <w:szCs w:val="18"/>
          <w:color w:val="auto"/>
        </w:rPr>
        <w:t>A non-U.S. corporation will be classified as a passive foreign investment company, or a PFIC, for U.S. federal income tax purposes if either (i) 75% or more of its gross income for the taxable year is passive income, or (ii) on a quarterly average for the taxable year by value (or, if it is not a publicly traded corporation and so elects, by adjusted basis), 50% or more of its gross assets produce or are held for the production of passive income.</w:t>
      </w:r>
    </w:p>
    <w:p>
      <w:pPr>
        <w:spacing w:after="0" w:line="186" w:lineRule="exact"/>
        <w:rPr>
          <w:sz w:val="20"/>
          <w:szCs w:val="20"/>
          <w:color w:val="auto"/>
        </w:rPr>
      </w:pPr>
    </w:p>
    <w:p>
      <w:pPr>
        <w:ind w:right="120" w:firstLine="348"/>
        <w:spacing w:after="0" w:line="254" w:lineRule="auto"/>
        <w:rPr>
          <w:sz w:val="20"/>
          <w:szCs w:val="20"/>
          <w:color w:val="auto"/>
        </w:rPr>
      </w:pPr>
      <w:r>
        <w:rPr>
          <w:rFonts w:ascii="Times New Roman" w:cs="Times New Roman" w:eastAsia="Times New Roman" w:hAnsi="Times New Roman"/>
          <w:sz w:val="18"/>
          <w:szCs w:val="18"/>
          <w:color w:val="auto"/>
        </w:rPr>
        <w:t>We do not believe that we satisfied either of the tests for PFIC status in 2006 or in any prior year. However, there can be no assurance that we will not be a PFIC in 2007 or a later year. If, for example, the “passive income” earned by us exceeds 75% or more of our “gross income”, we will be a PFIC under the “income test”. Passive income for PFIC purposes includes, among other things, gross interest, dividends, royalties, rent and annuities. For manufacturing businesses, gross income for PFIC purposes should be determined by reducing total sales by the cost of goods sold. Although not free from doubt, if our cost of goods sold exceeds our total sales by an amount greater than our passive income, such that we are treated as if we had no gross income for PFIC purposes, we believe that we would not be a PFIC as a result of the income test. However, the tests for determining PFIC status are applied annually and it is difficult to make accurate predictions of future income and assets, which are relevant to the determination of PFIC status.</w:t>
      </w:r>
    </w:p>
    <w:p>
      <w:pPr>
        <w:spacing w:after="0" w:line="195"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If we were to be a PFIC at any time during a U.S. holder’s holding period, such U.S. holder would be required to either: (i) pay an interest charge together with tax calculated at maximum ordinary income tax rates on “excess distributions,” which is defined to include gain on a sale or other disposition of ordinary shares, or (ii) so long as the ordinary shares are “regularly traded” on a qualifying exchange, elect to recognize as ordinary income each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election). For this purpose, the Nasdaq Global Market is a qualifying exchange. U.S. holders are strongly urged to consult their own tax advisers regarding the possible application and consequences of the PFIC rules.</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Since 1998, we have not declared or paid cash dividends on any of our shares and we have no current intention of paying any cash dividends in the future.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facility agreement that we entered into with our banks, as amended, prohibits the payment of dividends.</w:t>
      </w:r>
    </w:p>
    <w:p>
      <w:pPr>
        <w:spacing w:after="0" w:line="213"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The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308" w:lineRule="exact"/>
        <w:rPr>
          <w:sz w:val="20"/>
          <w:szCs w:val="20"/>
          <w:color w:val="auto"/>
        </w:rPr>
      </w:pPr>
    </w:p>
    <w:p>
      <w:pPr>
        <w:ind w:right="520" w:firstLine="348"/>
        <w:spacing w:after="0" w:line="339" w:lineRule="auto"/>
        <w:rPr>
          <w:sz w:val="20"/>
          <w:szCs w:val="20"/>
          <w:color w:val="auto"/>
        </w:rPr>
      </w:pPr>
      <w:r>
        <w:rPr>
          <w:rFonts w:ascii="Times New Roman" w:cs="Times New Roman" w:eastAsia="Times New Roman" w:hAnsi="Times New Roman"/>
          <w:sz w:val="16"/>
          <w:szCs w:val="16"/>
          <w:color w:val="auto"/>
        </w:rPr>
        <w:t>The validity of the securities offered in this prospectus will be passed upon for us by Yigal Arnon &amp; Co., our Israeli counsel. In addition, certain other matters in connection with this offering with respect to United States law will be passed upon for us by Eilenberg Krause &amp; Paul LLP, our U.S. counsel.</w:t>
      </w:r>
    </w:p>
    <w:p>
      <w:pPr>
        <w:sectPr>
          <w:pgSz w:w="11900" w:h="16838" w:orient="portrait"/>
          <w:cols w:equalWidth="0" w:num="1">
            <w:col w:w="11400"/>
          </w:cols>
          <w:pgMar w:left="240" w:top="125" w:right="259" w:bottom="73" w:gutter="0" w:footer="0" w:header="0"/>
        </w:sectPr>
      </w:pP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25" w:right="259" w:bottom="73"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95" w:lineRule="exact"/>
        <w:rPr>
          <w:sz w:val="20"/>
          <w:szCs w:val="20"/>
          <w:color w:val="auto"/>
        </w:rPr>
      </w:pPr>
    </w:p>
    <w:p>
      <w:pPr>
        <w:ind w:right="80" w:firstLine="395"/>
        <w:spacing w:after="0" w:line="255" w:lineRule="auto"/>
        <w:rPr>
          <w:sz w:val="20"/>
          <w:szCs w:val="20"/>
          <w:color w:val="auto"/>
        </w:rPr>
      </w:pPr>
      <w:r>
        <w:rPr>
          <w:rFonts w:ascii="Times New Roman" w:cs="Times New Roman" w:eastAsia="Times New Roman" w:hAnsi="Times New Roman"/>
          <w:sz w:val="18"/>
          <w:szCs w:val="18"/>
          <w:color w:val="auto"/>
        </w:rPr>
        <w:t>The audited consolidated financial statements incorporated in this prospectus by reference from the company’s Annual Report on Form 20-F for the year ended December 31, 2005 and the company’s report on Form 6-K filed on February 8, 2007, have been audited by Brightman Almagor &amp; Co., a member firm of Deloitte Touche Tohmatsu, an independent registered public accounting firm, as stated in their reports, which are incorporated herein by reference (which reports express an unqualified opinion and include an explanatory paragraph about the differences between accounting principles generally accepted in Israel and in the United States of America), and have been so incorporated in reliance upon the reports of such firm given upon their authority as experts in accounting and auditing.</w:t>
      </w:r>
    </w:p>
    <w:p>
      <w:pPr>
        <w:spacing w:after="0" w:line="2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 AND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AGENT FOR SERVICE OF PROCESS IN THE UNITED STATES</w:t>
      </w:r>
    </w:p>
    <w:p>
      <w:pPr>
        <w:spacing w:after="0" w:line="280" w:lineRule="exact"/>
        <w:rPr>
          <w:sz w:val="20"/>
          <w:szCs w:val="20"/>
          <w:color w:val="auto"/>
        </w:rPr>
      </w:pPr>
    </w:p>
    <w:p>
      <w:pPr>
        <w:ind w:right="220" w:firstLine="348"/>
        <w:spacing w:after="0" w:line="258" w:lineRule="auto"/>
        <w:rPr>
          <w:sz w:val="20"/>
          <w:szCs w:val="20"/>
          <w:color w:val="auto"/>
        </w:rPr>
      </w:pPr>
      <w:r>
        <w:rPr>
          <w:rFonts w:ascii="Times New Roman" w:cs="Times New Roman" w:eastAsia="Times New Roman" w:hAnsi="Times New Roman"/>
          <w:sz w:val="18"/>
          <w:szCs w:val="18"/>
          <w:color w:val="auto"/>
        </w:rPr>
        <w:t>We are incorporated in Israel, most of our executive officers and directors and the Israeli experts named herein are nonresidents of the United States, and a substantial portion of our assets and of such persons’ are located outside the United States. For further information regarding enforceability of civil liabilities against us and other persons, see “Risk Factors – It may be difficult to enforce a U.S. judgment against us, our officers and directors and some of the experts named in this prospectus or to assert U.S. securities law claims in Israel.”</w:t>
      </w: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BY REFERENCE</w:t>
      </w:r>
    </w:p>
    <w:p>
      <w:pPr>
        <w:spacing w:after="0" w:line="280" w:lineRule="exact"/>
        <w:rPr>
          <w:sz w:val="20"/>
          <w:szCs w:val="20"/>
          <w:color w:val="auto"/>
        </w:rPr>
      </w:pPr>
    </w:p>
    <w:p>
      <w:pPr>
        <w:ind w:firstLine="348"/>
        <w:spacing w:after="0" w:line="290" w:lineRule="auto"/>
        <w:rPr>
          <w:sz w:val="20"/>
          <w:szCs w:val="20"/>
          <w:color w:val="auto"/>
        </w:rPr>
      </w:pPr>
      <w:r>
        <w:rPr>
          <w:rFonts w:ascii="Times New Roman" w:cs="Times New Roman" w:eastAsia="Times New Roman" w:hAnsi="Times New Roman"/>
          <w:sz w:val="16"/>
          <w:szCs w:val="16"/>
          <w:color w:val="auto"/>
        </w:rPr>
        <w:t>We have filed a registration statement on Form F-3 with the Securities and Exchange Commission in connection with this offering. In addition, we file reports with, and furnish information to, the Securities and Exchange Commission. You may read and copy the registration statement and any other documents we have filed at the Securities and Exchange Commission, including any exhibits and schedules, at the Securities and Exchange Commission’s public reference room at 100 F Street N.E., Washington, D.C. 20549. You may call the Securities and Exchange Commission at 1-800-SEC-0330 for further information on this public reference room. As a foreign private issuer, all documents which were filed after November 4, 2002 on the Securities and Exchange Commission’s EDGAR system are available for retrieval on the Securities and Exchange Commission’s website at www.sec.gov. These Securities and Exchange Commission filings are also available to the public on the Israel Securities Authority’s Magna website at www.magna.isa.gov.il and from commercial document retrieval services. We also generally make available on our own web site (www.towersemi.com) our quarterly and year-end financial statements as well as other information.</w:t>
      </w:r>
    </w:p>
    <w:p>
      <w:pPr>
        <w:spacing w:after="0" w:line="166"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86"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We incorporate by reference the documents listed below and amendments to them. These documents and their amendments were previously filed with the Securities and Exchange Commission.</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This prospectus will be deemed to incorporate by reference the following documents previously filed by us with the Securities and Exchange Commission:</w:t>
      </w:r>
    </w:p>
    <w:p>
      <w:pPr>
        <w:spacing w:after="0" w:line="248" w:lineRule="exact"/>
        <w:rPr>
          <w:sz w:val="20"/>
          <w:szCs w:val="20"/>
          <w:color w:val="auto"/>
        </w:rPr>
      </w:pPr>
    </w:p>
    <w:p>
      <w:pPr>
        <w:ind w:left="1720" w:right="20" w:hanging="567"/>
        <w:spacing w:after="0" w:line="275" w:lineRule="auto"/>
        <w:rPr>
          <w:sz w:val="20"/>
          <w:szCs w:val="20"/>
          <w:color w:val="auto"/>
        </w:rPr>
      </w:pPr>
      <w:r>
        <w:rPr>
          <w:rFonts w:ascii="Times New Roman" w:cs="Times New Roman" w:eastAsia="Times New Roman" w:hAnsi="Times New Roman"/>
          <w:sz w:val="18"/>
          <w:szCs w:val="18"/>
          <w:color w:val="auto"/>
        </w:rPr>
        <w:t>—Annual report on Form 20-F for the year ended December 31, 2005, filed on July 13, 2006, to the extent the information in that report has not been updated or superseded by this prospectus;</w:t>
      </w:r>
    </w:p>
    <w:p>
      <w:pPr>
        <w:spacing w:after="0" w:line="2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July 2006 No. 2 (filed on July 24,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July 2006 No. 3 (filed on July 26, 2006).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August 2006 (filed on August 2,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August 2006 No. 1 (filed on August 9,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August 2006 No. 3 (filed on August 24,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August 2006 No. 4 (filed on August 28,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September 2006 No. 2 (filed on September 12,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September 2006 No. 3 (filed on September 13,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September 2006 No. 4 (filed on September 18,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September 2006 No. 5 (filed on September 25,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September 2006 No. 6 (filed on September 26,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September 2006 No. 7 (filed on September 28,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October 2006 No. 1 (filed on October 18, 2006).</w:t>
      </w:r>
    </w:p>
    <w:p>
      <w:pPr>
        <w:sectPr>
          <w:pgSz w:w="11900" w:h="16838" w:orient="portrait"/>
          <w:cols w:equalWidth="0" w:num="1">
            <w:col w:w="11420"/>
          </w:cols>
          <w:pgMar w:left="240" w:top="123" w:right="239" w:bottom="0" w:gutter="0" w:footer="0" w:header="0"/>
        </w:sectPr>
      </w:pPr>
    </w:p>
    <w:bookmarkStart w:id="18" w:name="page19"/>
    <w:bookmarkEnd w:id="18"/>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1 (filed on November 1,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2 (filed on November 1,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3 (filed on November 2,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4 (filed on November 6,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5 (filed on November 7,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6 (filed on November 7,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8 (filed on November 24,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December 2006 No. 2 (filed on December 21,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December 2006 No. 3 (filed on December 21,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December 2006 No. 4 (filed on December 28,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January 2007 No. 2 (filed on January 23, 2007).</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February 2007 No. 2 (filed on February 8, 2007).</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February 2007 No. 3 (filed on February 12, 2007).</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March 2007 No. 1 (filed on March 15, 2007).</w:t>
      </w:r>
    </w:p>
    <w:p>
      <w:pPr>
        <w:spacing w:after="0" w:line="252" w:lineRule="exact"/>
        <w:rPr>
          <w:sz w:val="20"/>
          <w:szCs w:val="20"/>
          <w:color w:val="auto"/>
        </w:rPr>
      </w:pPr>
    </w:p>
    <w:p>
      <w:pPr>
        <w:ind w:left="1720" w:right="240" w:hanging="567"/>
        <w:spacing w:after="0" w:line="275" w:lineRule="auto"/>
        <w:rPr>
          <w:sz w:val="20"/>
          <w:szCs w:val="20"/>
          <w:color w:val="auto"/>
        </w:rPr>
      </w:pPr>
      <w:r>
        <w:rPr>
          <w:rFonts w:ascii="Times New Roman" w:cs="Times New Roman" w:eastAsia="Times New Roman" w:hAnsi="Times New Roman"/>
          <w:sz w:val="18"/>
          <w:szCs w:val="18"/>
          <w:color w:val="auto"/>
        </w:rPr>
        <w:t>—any report on Form 6-K, or parts thereof, meeting the requirements of Form F-3 filed after the date of the initial registration statement and prior to its effectiveness, which states that it, or any part thereof, is being incorporated by reference herein.</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48"/>
        <w:spacing w:after="0" w:line="296" w:lineRule="auto"/>
        <w:rPr>
          <w:sz w:val="20"/>
          <w:szCs w:val="20"/>
          <w:color w:val="auto"/>
        </w:rPr>
      </w:pPr>
      <w:r>
        <w:rPr>
          <w:rFonts w:ascii="Times New Roman" w:cs="Times New Roman" w:eastAsia="Times New Roman" w:hAnsi="Times New Roman"/>
          <w:sz w:val="16"/>
          <w:szCs w:val="16"/>
          <w:color w:val="auto"/>
        </w:rPr>
        <w:t>This prospectus shall also be deemed to incorporate by reference all subsequent annual reports filed on Form 20-F, Form 40-F or Form 10-K, and all subsequent filings on Forms 10-Q and 8-K filed by the registrant pursuant to the Exchange Act, prior to the termination of the offering made by this prospectus. We may incorporate by reference into this prospectus, any Form 6-K meeting the requirements of Form F-3 which is submitted to the Securities and Exchange Commission after the date of the filing of the registration statement being filed in connection with this offering and before the date of termination of this offering. Any such Form 6-K which we intend to so incorporate shall state in such form that it is being incorporated by reference into this prospectus.</w:t>
      </w:r>
    </w:p>
    <w:p>
      <w:pPr>
        <w:spacing w:after="0" w:line="162"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 xml:space="preserve">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 972-4-650-6611. Copies of these filings may also be accessed at our website,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 Click on “Investor Relations” and then “Filings.”</w:t>
      </w:r>
    </w:p>
    <w:p>
      <w:pPr>
        <w:spacing w:after="0" w:line="186" w:lineRule="exact"/>
        <w:rPr>
          <w:sz w:val="20"/>
          <w:szCs w:val="20"/>
          <w:color w:val="auto"/>
        </w:rPr>
      </w:pPr>
    </w:p>
    <w:p>
      <w:pPr>
        <w:ind w:right="340" w:firstLine="341"/>
        <w:spacing w:after="0" w:line="275" w:lineRule="auto"/>
        <w:rPr>
          <w:sz w:val="20"/>
          <w:szCs w:val="20"/>
          <w:color w:val="auto"/>
        </w:rPr>
      </w:pPr>
      <w:r>
        <w:rPr>
          <w:rFonts w:ascii="Times New Roman" w:cs="Times New Roman" w:eastAsia="Times New Roman" w:hAnsi="Times New Roman"/>
          <w:sz w:val="18"/>
          <w:szCs w:val="18"/>
          <w:color w:val="auto"/>
        </w:rPr>
        <w:t xml:space="preserve">A copy of this prospectus, our memorandum of association and our articles of association, are available for inspection at our offices at Hamada Avenue, Ramat Gavriel Industrial Park, Migdal Haemek, Israel and on the Israel Securities Authority’s Magna website, </w:t>
      </w:r>
      <w:r>
        <w:rPr>
          <w:rFonts w:ascii="Times New Roman" w:cs="Times New Roman" w:eastAsia="Times New Roman" w:hAnsi="Times New Roman"/>
          <w:sz w:val="18"/>
          <w:szCs w:val="18"/>
          <w:u w:val="single" w:color="auto"/>
          <w:color w:val="auto"/>
        </w:rPr>
        <w:t>www.magna.isa.gov.il</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180" w:firstLine="341"/>
        <w:spacing w:after="0" w:line="275"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297815</wp:posOffset>
            </wp:positionV>
            <wp:extent cx="2058035" cy="677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580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117,763,158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148590</wp:posOffset>
            </wp:positionV>
            <wp:extent cx="11061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193675</wp:posOffset>
            </wp:positionV>
            <wp:extent cx="11061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We have not authorized anyone to provide you with different information. We are not making any offer to sell or buy any of the securities in any state where the offer or sale is not permitted. You should not assume that the information in this prospectus is accurate as of any date other than the date that appears below.</w:t>
      </w:r>
    </w:p>
    <w:p>
      <w:pPr>
        <w:sectPr>
          <w:pgSz w:w="11900" w:h="16838" w:orient="portrait"/>
          <w:cols w:equalWidth="0" w:num="1">
            <w:col w:w="11360"/>
          </w:cols>
          <w:pgMar w:left="240" w:top="125" w:right="299"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March __, 2007</w:t>
      </w:r>
    </w:p>
    <w:p>
      <w:pPr>
        <w:sectPr>
          <w:pgSz w:w="11900" w:h="16838" w:orient="portrait"/>
          <w:cols w:equalWidth="0" w:num="1">
            <w:col w:w="11360"/>
          </w:cols>
          <w:pgMar w:left="240" w:top="125" w:right="299" w:bottom="0" w:gutter="0" w:footer="0" w:header="0"/>
          <w:type w:val="continuous"/>
        </w:sectPr>
      </w:pPr>
    </w:p>
    <w:bookmarkStart w:id="19" w:name="page20"/>
    <w:bookmarkEnd w:id="19"/>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9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INDEMNIFICATION OF DIRECTORS AND OFFICERS</w:t>
      </w: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Israeli Companies Law-1999, or the Companies Law, provides that a company may include in its articles of association provisions allowing it to:</w:t>
      </w:r>
    </w:p>
    <w:p>
      <w:pPr>
        <w:spacing w:after="0" w:line="225" w:lineRule="exact"/>
        <w:rPr>
          <w:sz w:val="20"/>
          <w:szCs w:val="20"/>
          <w:color w:val="auto"/>
        </w:rPr>
      </w:pPr>
    </w:p>
    <w:p>
      <w:pPr>
        <w:jc w:val="both"/>
        <w:ind w:left="580" w:right="80" w:hanging="572"/>
        <w:spacing w:after="0" w:line="26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213" w:lineRule="exact"/>
        <w:rPr>
          <w:rFonts w:ascii="Times New Roman" w:cs="Times New Roman" w:eastAsia="Times New Roman" w:hAnsi="Times New Roman"/>
          <w:sz w:val="18"/>
          <w:szCs w:val="18"/>
          <w:color w:val="auto"/>
        </w:rPr>
      </w:pPr>
    </w:p>
    <w:p>
      <w:pPr>
        <w:ind w:left="580" w:right="100" w:hanging="572"/>
        <w:spacing w:after="0" w:line="275"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00"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of his duty of care to the company or any other person;</w:t>
      </w:r>
    </w:p>
    <w:p>
      <w:pPr>
        <w:spacing w:after="0" w:line="252" w:lineRule="exact"/>
        <w:rPr>
          <w:rFonts w:ascii="Times New Roman" w:cs="Times New Roman" w:eastAsia="Times New Roman" w:hAnsi="Times New Roman"/>
          <w:sz w:val="18"/>
          <w:szCs w:val="18"/>
          <w:color w:val="auto"/>
        </w:rPr>
      </w:pPr>
    </w:p>
    <w:p>
      <w:pPr>
        <w:ind w:left="1160" w:right="140" w:hanging="571"/>
        <w:spacing w:after="0" w:line="275" w:lineRule="auto"/>
        <w:tabs>
          <w:tab w:leader="none" w:pos="1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200"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liabilities or obligations which may be imposed upon him in favor of other persons.</w:t>
      </w:r>
    </w:p>
    <w:p>
      <w:pPr>
        <w:spacing w:after="0" w:line="252"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an office holder of the company for:</w:t>
      </w:r>
    </w:p>
    <w:p>
      <w:pPr>
        <w:spacing w:after="0" w:line="252" w:lineRule="exact"/>
        <w:rPr>
          <w:rFonts w:ascii="Times New Roman" w:cs="Times New Roman" w:eastAsia="Times New Roman" w:hAnsi="Times New Roman"/>
          <w:sz w:val="18"/>
          <w:szCs w:val="18"/>
          <w:color w:val="auto"/>
        </w:rPr>
      </w:pPr>
    </w:p>
    <w:p>
      <w:pPr>
        <w:ind w:left="1160" w:right="60" w:hanging="571"/>
        <w:spacing w:after="0" w:line="262" w:lineRule="auto"/>
        <w:tabs>
          <w:tab w:leader="none" w:pos="1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liabilities or obligations imposed upon, or actually incurred by, such officer holder in favor of other persons pursuant to a court judgment, including a compromise judgment or an arbitrator’s decision approved by a court, by reason of acts or omissions of such officer holder in his or her capacity as an office holder of the company;</w:t>
      </w:r>
    </w:p>
    <w:p>
      <w:pPr>
        <w:spacing w:after="0" w:line="213" w:lineRule="exact"/>
        <w:rPr>
          <w:rFonts w:ascii="Times New Roman" w:cs="Times New Roman" w:eastAsia="Times New Roman" w:hAnsi="Times New Roman"/>
          <w:sz w:val="18"/>
          <w:szCs w:val="18"/>
          <w:color w:val="auto"/>
        </w:rPr>
      </w:pPr>
    </w:p>
    <w:p>
      <w:pPr>
        <w:ind w:left="1160" w:hanging="571"/>
        <w:spacing w:after="0" w:line="258" w:lineRule="auto"/>
        <w:tabs>
          <w:tab w:leader="none" w:pos="1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a criminal action from which he or she was acquitted, or in connection with a criminal action which does not require criminal intent in which he was convicted, in each case by reason of acts or omissions of such officer holder in his or her capacity as an office holder; and</w:t>
      </w:r>
    </w:p>
    <w:p>
      <w:pPr>
        <w:spacing w:after="0" w:line="217" w:lineRule="exact"/>
        <w:rPr>
          <w:rFonts w:ascii="Times New Roman" w:cs="Times New Roman" w:eastAsia="Times New Roman" w:hAnsi="Times New Roman"/>
          <w:sz w:val="18"/>
          <w:szCs w:val="18"/>
          <w:color w:val="auto"/>
        </w:rPr>
      </w:pPr>
    </w:p>
    <w:p>
      <w:pPr>
        <w:ind w:left="1160" w:right="20" w:hanging="571"/>
        <w:spacing w:after="0" w:line="255" w:lineRule="auto"/>
        <w:tabs>
          <w:tab w:leader="none" w:pos="1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 in each case by reason of acts of such officer holder in his or her capacity as an office holder of the company.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74" w:lineRule="exact"/>
        <w:rPr>
          <w:sz w:val="20"/>
          <w:szCs w:val="20"/>
          <w:color w:val="auto"/>
        </w:rPr>
      </w:pPr>
    </w:p>
    <w:p>
      <w:pPr>
        <w:ind w:left="1160" w:right="220" w:hanging="571"/>
        <w:spacing w:after="0" w:line="310" w:lineRule="auto"/>
        <w:tabs>
          <w:tab w:leader="none" w:pos="11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78" w:lineRule="exact"/>
        <w:rPr>
          <w:rFonts w:ascii="Times New Roman" w:cs="Times New Roman" w:eastAsia="Times New Roman" w:hAnsi="Times New Roman"/>
          <w:sz w:val="16"/>
          <w:szCs w:val="16"/>
          <w:color w:val="auto"/>
        </w:rPr>
      </w:pPr>
    </w:p>
    <w:p>
      <w:pPr>
        <w:ind w:left="1160" w:hanging="571"/>
        <w:spacing w:after="0"/>
        <w:tabs>
          <w:tab w:leader="none" w:pos="1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sub-sections 3(b) and 3(c) above.</w:t>
      </w:r>
    </w:p>
    <w:p>
      <w:pPr>
        <w:spacing w:after="0" w:line="200" w:lineRule="exact"/>
        <w:rPr>
          <w:sz w:val="20"/>
          <w:szCs w:val="20"/>
          <w:color w:val="auto"/>
        </w:rPr>
      </w:pPr>
    </w:p>
    <w:p>
      <w:pPr>
        <w:spacing w:after="0" w:line="268"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92" w:lineRule="exact"/>
        <w:rPr>
          <w:sz w:val="20"/>
          <w:szCs w:val="20"/>
          <w:color w:val="auto"/>
        </w:rPr>
      </w:pPr>
    </w:p>
    <w:p>
      <w:pPr>
        <w:ind w:left="1160" w:hanging="571"/>
        <w:spacing w:after="0"/>
        <w:tabs>
          <w:tab w:leader="none" w:pos="1160"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breach of his fiduciary duty, except to the extent described above;</w:t>
      </w:r>
    </w:p>
    <w:p>
      <w:pPr>
        <w:spacing w:after="0" w:line="230" w:lineRule="exact"/>
        <w:rPr>
          <w:rFonts w:ascii="Times New Roman" w:cs="Times New Roman" w:eastAsia="Times New Roman" w:hAnsi="Times New Roman"/>
          <w:sz w:val="27"/>
          <w:szCs w:val="27"/>
          <w:color w:val="auto"/>
          <w:vertAlign w:val="superscript"/>
        </w:rPr>
      </w:pPr>
    </w:p>
    <w:p>
      <w:pPr>
        <w:ind w:left="1160" w:right="780" w:hanging="571"/>
        <w:spacing w:after="0" w:line="206" w:lineRule="auto"/>
        <w:tabs>
          <w:tab w:leader="none" w:pos="1160"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breach of his duty of care, if such breach was done intentionally, recklessly or with disregard of the circumstances of the breach or its consequences;</w:t>
      </w:r>
    </w:p>
    <w:p>
      <w:pPr>
        <w:spacing w:after="0" w:line="149" w:lineRule="exact"/>
        <w:rPr>
          <w:rFonts w:ascii="Times New Roman" w:cs="Times New Roman" w:eastAsia="Times New Roman" w:hAnsi="Times New Roman"/>
          <w:sz w:val="27"/>
          <w:szCs w:val="27"/>
          <w:color w:val="auto"/>
          <w:vertAlign w:val="superscript"/>
        </w:rPr>
      </w:pPr>
    </w:p>
    <w:p>
      <w:pPr>
        <w:ind w:left="1160" w:hanging="571"/>
        <w:spacing w:after="0"/>
        <w:tabs>
          <w:tab w:leader="none" w:pos="1160"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an act or omission done with the intent to unlawfully realize personal gain; or</w:t>
      </w:r>
    </w:p>
    <w:p>
      <w:pPr>
        <w:spacing w:after="0" w:line="148" w:lineRule="exact"/>
        <w:rPr>
          <w:rFonts w:ascii="Times New Roman" w:cs="Times New Roman" w:eastAsia="Times New Roman" w:hAnsi="Times New Roman"/>
          <w:sz w:val="27"/>
          <w:szCs w:val="27"/>
          <w:color w:val="auto"/>
          <w:vertAlign w:val="superscript"/>
        </w:rPr>
      </w:pPr>
    </w:p>
    <w:p>
      <w:pPr>
        <w:ind w:left="1160" w:hanging="571"/>
        <w:spacing w:after="0"/>
        <w:tabs>
          <w:tab w:leader="none" w:pos="1160"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fine or monetary settlement imposed upon him.</w:t>
      </w:r>
    </w:p>
    <w:p>
      <w:pPr>
        <w:spacing w:after="0" w:line="200" w:lineRule="exact"/>
        <w:rPr>
          <w:sz w:val="20"/>
          <w:szCs w:val="20"/>
          <w:color w:val="auto"/>
        </w:rPr>
      </w:pPr>
    </w:p>
    <w:p>
      <w:pPr>
        <w:spacing w:after="0" w:line="247" w:lineRule="exact"/>
        <w:rPr>
          <w:sz w:val="20"/>
          <w:szCs w:val="20"/>
          <w:color w:val="auto"/>
        </w:rPr>
      </w:pPr>
    </w:p>
    <w:p>
      <w:pPr>
        <w:ind w:right="440" w:firstLine="351"/>
        <w:spacing w:after="0" w:line="339" w:lineRule="auto"/>
        <w:rPr>
          <w:sz w:val="20"/>
          <w:szCs w:val="20"/>
          <w:color w:val="auto"/>
        </w:rPr>
      </w:pPr>
      <w:r>
        <w:rPr>
          <w:rFonts w:ascii="Times New Roman" w:cs="Times New Roman" w:eastAsia="Times New Roman" w:hAnsi="Times New Roman"/>
          <w:sz w:val="16"/>
          <w:szCs w:val="16"/>
          <w:color w:val="auto"/>
        </w:rPr>
        <w:t>Under the Companies Law, the term “office holder” may include a director, managing director, general manager, chief executive officer, executive vice president, vice president, other managers directly subordinate to the managing director and any other person fulfilling or assuming any such position or</w:t>
      </w:r>
    </w:p>
    <w:p>
      <w:pPr>
        <w:sectPr>
          <w:pgSz w:w="11900" w:h="16863" w:orient="portrait"/>
          <w:cols w:equalWidth="0" w:num="1">
            <w:col w:w="11420"/>
          </w:cols>
          <w:pgMar w:left="240" w:top="125" w:right="239" w:bottom="0" w:gutter="0" w:footer="0" w:header="0"/>
        </w:sectPr>
      </w:pPr>
    </w:p>
    <w:bookmarkStart w:id="20" w:name="page21"/>
    <w:bookmarkEnd w:id="20"/>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responsibility without regard to such person’s title.</w:t>
      </w:r>
    </w:p>
    <w:p>
      <w:pPr>
        <w:spacing w:after="0" w:line="225"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The grant of an exemption, an undertaking to indemnify or indemnification of, and procurement of insurance coverage for, an office holder of a company requires, pursuant to the Companies Law, the approval of our audit committee and board of directors, and, in certain circumstances, including if the office holder is a director, the approval of our shareholders.</w:t>
      </w:r>
    </w:p>
    <w:p>
      <w:pPr>
        <w:spacing w:after="0" w:line="186" w:lineRule="exact"/>
        <w:rPr>
          <w:sz w:val="20"/>
          <w:szCs w:val="20"/>
          <w:color w:val="auto"/>
        </w:rPr>
      </w:pPr>
    </w:p>
    <w:p>
      <w:pPr>
        <w:ind w:right="600" w:firstLine="348"/>
        <w:spacing w:after="0" w:line="275" w:lineRule="auto"/>
        <w:rPr>
          <w:sz w:val="20"/>
          <w:szCs w:val="20"/>
          <w:color w:val="auto"/>
        </w:rPr>
      </w:pPr>
      <w:r>
        <w:rPr>
          <w:rFonts w:ascii="Times New Roman" w:cs="Times New Roman" w:eastAsia="Times New Roman" w:hAnsi="Times New Roman"/>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40" w:type="dxa"/>
            <w:vAlign w:val="bottom"/>
            <w:gridSpan w:val="2"/>
          </w:tcPr>
          <w:p>
            <w:pPr>
              <w:ind w:left="4300"/>
              <w:spacing w:after="0"/>
              <w:rPr>
                <w:sz w:val="20"/>
                <w:szCs w:val="20"/>
                <w:color w:val="auto"/>
              </w:rPr>
            </w:pPr>
            <w:r>
              <w:rPr>
                <w:rFonts w:ascii="Times New Roman" w:cs="Times New Roman" w:eastAsia="Times New Roman" w:hAnsi="Times New Roman"/>
                <w:sz w:val="18"/>
                <w:szCs w:val="18"/>
                <w:color w:val="auto"/>
              </w:rPr>
              <w:t>2</w:t>
            </w:r>
          </w:p>
        </w:tc>
      </w:tr>
      <w:tr>
        <w:trPr>
          <w:trHeight w:val="174"/>
        </w:trPr>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160" w:type="dxa"/>
            <w:vAlign w:val="bottom"/>
          </w:tcPr>
          <w:p>
            <w:pPr>
              <w:spacing w:after="0"/>
              <w:rPr>
                <w:sz w:val="15"/>
                <w:szCs w:val="15"/>
                <w:color w:val="auto"/>
              </w:rPr>
            </w:pPr>
          </w:p>
        </w:tc>
      </w:tr>
      <w:tr>
        <w:trPr>
          <w:trHeight w:val="61"/>
        </w:trPr>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8160" w:type="dxa"/>
            <w:vAlign w:val="bottom"/>
            <w:shd w:val="clear" w:color="auto" w:fill="808080"/>
          </w:tcPr>
          <w:p>
            <w:pPr>
              <w:spacing w:after="0"/>
              <w:rPr>
                <w:sz w:val="5"/>
                <w:szCs w:val="5"/>
                <w:color w:val="auto"/>
              </w:rPr>
            </w:pPr>
          </w:p>
        </w:tc>
      </w:tr>
      <w:tr>
        <w:trPr>
          <w:trHeight w:val="319"/>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743"/>
        </w:trPr>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16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99"/>
        </w:trPr>
        <w:tc>
          <w:tcPr>
            <w:tcW w:w="36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80" w:type="dxa"/>
            <w:vAlign w:val="bottom"/>
          </w:tcPr>
          <w:p>
            <w:pPr>
              <w:spacing w:after="0"/>
              <w:rPr>
                <w:sz w:val="24"/>
                <w:szCs w:val="24"/>
                <w:color w:val="auto"/>
              </w:rPr>
            </w:pPr>
          </w:p>
        </w:tc>
        <w:tc>
          <w:tcPr>
            <w:tcW w:w="8160" w:type="dxa"/>
            <w:vAlign w:val="bottom"/>
          </w:tcPr>
          <w:p>
            <w:pPr>
              <w:spacing w:after="0"/>
              <w:rPr>
                <w:sz w:val="24"/>
                <w:szCs w:val="24"/>
                <w:color w:val="auto"/>
              </w:rPr>
            </w:pPr>
          </w:p>
        </w:tc>
      </w:tr>
      <w:tr>
        <w:trPr>
          <w:trHeight w:val="192"/>
        </w:trPr>
        <w:tc>
          <w:tcPr>
            <w:tcW w:w="360" w:type="dxa"/>
            <w:vAlign w:val="bottom"/>
          </w:tcPr>
          <w:p>
            <w:pPr>
              <w:spacing w:after="0"/>
              <w:rPr>
                <w:sz w:val="16"/>
                <w:szCs w:val="16"/>
                <w:color w:val="auto"/>
              </w:rPr>
            </w:pPr>
          </w:p>
        </w:tc>
        <w:tc>
          <w:tcPr>
            <w:tcW w:w="102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Numbers</w:t>
            </w:r>
          </w:p>
        </w:tc>
        <w:tc>
          <w:tcPr>
            <w:tcW w:w="100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0"/>
        </w:trPr>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465"/>
        </w:trPr>
        <w:tc>
          <w:tcPr>
            <w:tcW w:w="360" w:type="dxa"/>
            <w:vAlign w:val="bottom"/>
          </w:tcPr>
          <w:p>
            <w:pPr>
              <w:spacing w:after="0"/>
              <w:rPr>
                <w:sz w:val="24"/>
                <w:szCs w:val="24"/>
                <w:color w:val="auto"/>
              </w:rPr>
            </w:pPr>
          </w:p>
        </w:tc>
        <w:tc>
          <w:tcPr>
            <w:tcW w:w="68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7"/>
              </w:rPr>
              <w:t>3.1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Articles of Association of the Registrant, approved by shareholders on November 14, 2000, as amended (incorporated by reference to like</w:t>
            </w:r>
          </w:p>
        </w:tc>
      </w:tr>
      <w:tr>
        <w:trPr>
          <w:trHeight w:val="216"/>
        </w:trPr>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number exhibit filed with the Registrant’s Registration Statement on Form F-1, File No. 333-0126909). Pursuant to approvals by shareholders,</w:t>
            </w:r>
          </w:p>
        </w:tc>
      </w:tr>
      <w:tr>
        <w:trPr>
          <w:trHeight w:val="228"/>
        </w:trPr>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Registrant’s Articles of Association provide for an authorized share capital of NIS 800,000,000 divided into 800,000,000 shares.</w:t>
            </w:r>
          </w:p>
        </w:tc>
      </w:tr>
      <w:tr>
        <w:trPr>
          <w:trHeight w:val="459"/>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Yigal Arnon &amp; Co.*</w:t>
            </w:r>
          </w:p>
        </w:tc>
      </w:tr>
      <w:tr>
        <w:trPr>
          <w:trHeight w:val="459"/>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Yigal Arnon &amp; Co. (contained in their opinion constituting Exhibit 5.1)*</w:t>
            </w:r>
          </w:p>
        </w:tc>
      </w:tr>
      <w:tr>
        <w:trPr>
          <w:trHeight w:val="459"/>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23.2</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Brightman Almagor &amp; Co.</w:t>
            </w:r>
          </w:p>
        </w:tc>
      </w:tr>
      <w:tr>
        <w:trPr>
          <w:trHeight w:val="459"/>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24.1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80" w:hanging="572"/>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UNDERTAKINGS</w:t>
      </w:r>
    </w:p>
    <w:p>
      <w:pPr>
        <w:spacing w:after="0" w:line="200" w:lineRule="exact"/>
        <w:rPr>
          <w:sz w:val="20"/>
          <w:szCs w:val="20"/>
          <w:color w:val="auto"/>
        </w:rPr>
      </w:pPr>
    </w:p>
    <w:p>
      <w:pPr>
        <w:spacing w:after="0" w:line="270" w:lineRule="exact"/>
        <w:rPr>
          <w:sz w:val="20"/>
          <w:szCs w:val="20"/>
          <w:color w:val="auto"/>
        </w:rPr>
      </w:pPr>
    </w:p>
    <w:p>
      <w:pPr>
        <w:ind w:left="720" w:hanging="536"/>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740" w:hanging="556"/>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280" w:hanging="516"/>
        <w:spacing w:after="0"/>
        <w:tabs>
          <w:tab w:leader="none" w:pos="12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52" w:lineRule="exact"/>
        <w:rPr>
          <w:rFonts w:ascii="Times New Roman" w:cs="Times New Roman" w:eastAsia="Times New Roman" w:hAnsi="Times New Roman"/>
          <w:sz w:val="18"/>
          <w:szCs w:val="18"/>
          <w:color w:val="auto"/>
        </w:rPr>
      </w:pPr>
    </w:p>
    <w:p>
      <w:pPr>
        <w:ind w:left="580" w:right="60" w:firstLine="184"/>
        <w:spacing w:after="0" w:line="293" w:lineRule="auto"/>
        <w:tabs>
          <w:tab w:leader="none" w:pos="1318"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1" w:lineRule="exact"/>
        <w:rPr>
          <w:rFonts w:ascii="Times New Roman" w:cs="Times New Roman" w:eastAsia="Times New Roman" w:hAnsi="Times New Roman"/>
          <w:sz w:val="16"/>
          <w:szCs w:val="16"/>
          <w:color w:val="auto"/>
        </w:rPr>
      </w:pPr>
    </w:p>
    <w:p>
      <w:pPr>
        <w:ind w:left="580" w:right="420" w:firstLine="184"/>
        <w:spacing w:after="0" w:line="275" w:lineRule="auto"/>
        <w:tabs>
          <w:tab w:leader="none" w:pos="136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0" w:lineRule="exact"/>
        <w:rPr>
          <w:sz w:val="20"/>
          <w:szCs w:val="20"/>
          <w:color w:val="auto"/>
        </w:rPr>
      </w:pPr>
    </w:p>
    <w:p>
      <w:pPr>
        <w:spacing w:after="0" w:line="2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provided, however, that paragraphs (a)(1)(i), (a)(1)(ii) and (a)(1)(iii)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190" w:lineRule="exact"/>
        <w:rPr>
          <w:sz w:val="20"/>
          <w:szCs w:val="20"/>
          <w:color w:val="auto"/>
        </w:rPr>
      </w:pPr>
    </w:p>
    <w:p>
      <w:pPr>
        <w:jc w:val="both"/>
        <w:ind w:right="240" w:firstLine="184"/>
        <w:spacing w:after="0" w:line="262" w:lineRule="auto"/>
        <w:tabs>
          <w:tab w:leader="none" w:pos="73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86" w:lineRule="exact"/>
        <w:rPr>
          <w:rFonts w:ascii="Times New Roman" w:cs="Times New Roman" w:eastAsia="Times New Roman" w:hAnsi="Times New Roman"/>
          <w:sz w:val="18"/>
          <w:szCs w:val="18"/>
          <w:color w:val="auto"/>
        </w:rPr>
      </w:pPr>
    </w:p>
    <w:p>
      <w:pPr>
        <w:ind w:right="200" w:firstLine="184"/>
        <w:spacing w:after="0" w:line="275" w:lineRule="auto"/>
        <w:tabs>
          <w:tab w:leader="none" w:pos="73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73" w:lineRule="exact"/>
        <w:rPr>
          <w:rFonts w:ascii="Times New Roman" w:cs="Times New Roman" w:eastAsia="Times New Roman" w:hAnsi="Times New Roman"/>
          <w:sz w:val="18"/>
          <w:szCs w:val="18"/>
          <w:color w:val="auto"/>
        </w:rPr>
      </w:pPr>
    </w:p>
    <w:p>
      <w:pPr>
        <w:ind w:right="160" w:firstLine="184"/>
        <w:spacing w:after="0" w:line="301" w:lineRule="auto"/>
        <w:tabs>
          <w:tab w:leader="none" w:pos="73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w:t>
      </w:r>
    </w:p>
    <w:p>
      <w:pPr>
        <w:sectPr>
          <w:pgSz w:w="11900" w:h="16888" w:orient="portrait"/>
          <w:cols w:equalWidth="0" w:num="1">
            <w:col w:w="11420"/>
          </w:cols>
          <w:pgMar w:left="240" w:top="125" w:right="239" w:bottom="0" w:gutter="0" w:footer="0" w:header="0"/>
        </w:sectPr>
      </w:pPr>
    </w:p>
    <w:bookmarkStart w:id="21" w:name="page22"/>
    <w:bookmarkEnd w:id="21"/>
    <w:p>
      <w:pPr>
        <w:spacing w:after="0" w:line="258" w:lineRule="auto"/>
        <w:rPr>
          <w:sz w:val="20"/>
          <w:szCs w:val="20"/>
          <w:color w:val="auto"/>
        </w:rPr>
      </w:pPr>
      <w:r>
        <w:rPr>
          <w:rFonts w:ascii="Times New Roman" w:cs="Times New Roman" w:eastAsia="Times New Roman" w:hAnsi="Times New Roman"/>
          <w:sz w:val="18"/>
          <w:szCs w:val="18"/>
          <w:color w:val="auto"/>
        </w:rPr>
        <w:t>statements. Notwithstanding the foregoing, with respect to Registration Statements on Form F-3, a post-effective amendment need not be filed to include financial statements and information required by Section 10(a)(3) of the Act or rule 3-19 of Regulation S-X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90" w:lineRule="exact"/>
        <w:rPr>
          <w:sz w:val="20"/>
          <w:szCs w:val="20"/>
          <w:color w:val="auto"/>
        </w:rPr>
      </w:pPr>
    </w:p>
    <w:p>
      <w:pPr>
        <w:ind w:left="5680" w:right="3960" w:hanging="5496"/>
        <w:spacing w:after="0" w:line="525" w:lineRule="auto"/>
        <w:tabs>
          <w:tab w:leader="none" w:pos="74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4</w:t>
      </w:r>
    </w:p>
    <w:p>
      <w:pPr>
        <w:spacing w:after="0" w:line="80"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 (230.430B of this chapter):</w:t>
      </w:r>
    </w:p>
    <w:p>
      <w:pPr>
        <w:spacing w:after="0" w:line="252" w:lineRule="exact"/>
        <w:rPr>
          <w:rFonts w:ascii="Times New Roman" w:cs="Times New Roman" w:eastAsia="Times New Roman" w:hAnsi="Times New Roman"/>
          <w:sz w:val="18"/>
          <w:szCs w:val="18"/>
          <w:color w:val="auto"/>
        </w:rPr>
      </w:pPr>
    </w:p>
    <w:p>
      <w:pPr>
        <w:ind w:left="1720" w:right="220" w:hanging="564"/>
        <w:spacing w:after="0" w:line="275" w:lineRule="auto"/>
        <w:tabs>
          <w:tab w:leader="none" w:pos="172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00" w:lineRule="exact"/>
        <w:rPr>
          <w:rFonts w:ascii="Times New Roman" w:cs="Times New Roman" w:eastAsia="Times New Roman" w:hAnsi="Times New Roman"/>
          <w:sz w:val="18"/>
          <w:szCs w:val="18"/>
          <w:color w:val="auto"/>
        </w:rPr>
      </w:pPr>
    </w:p>
    <w:p>
      <w:pPr>
        <w:ind w:left="1720" w:hanging="564"/>
        <w:spacing w:after="0" w:line="252" w:lineRule="auto"/>
        <w:tabs>
          <w:tab w:leader="none" w:pos="172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228" w:lineRule="exact"/>
        <w:rPr>
          <w:rFonts w:ascii="Times New Roman" w:cs="Times New Roman" w:eastAsia="Times New Roman" w:hAnsi="Times New Roman"/>
          <w:sz w:val="18"/>
          <w:szCs w:val="18"/>
          <w:color w:val="auto"/>
        </w:rPr>
      </w:pPr>
    </w:p>
    <w:p>
      <w:pPr>
        <w:ind w:left="1160" w:right="200" w:hanging="571"/>
        <w:spacing w:after="0" w:line="291" w:lineRule="auto"/>
        <w:tabs>
          <w:tab w:leader="none" w:pos="116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rFonts w:ascii="Times New Roman" w:cs="Times New Roman" w:eastAsia="Times New Roman" w:hAnsi="Times New Roman"/>
          <w:sz w:val="16"/>
          <w:szCs w:val="16"/>
          <w:color w:val="auto"/>
        </w:rPr>
      </w:pPr>
    </w:p>
    <w:p>
      <w:pPr>
        <w:spacing w:after="0" w:line="210" w:lineRule="exact"/>
        <w:rPr>
          <w:rFonts w:ascii="Times New Roman" w:cs="Times New Roman" w:eastAsia="Times New Roman" w:hAnsi="Times New Roman"/>
          <w:sz w:val="16"/>
          <w:szCs w:val="16"/>
          <w:color w:val="auto"/>
        </w:rPr>
      </w:pPr>
    </w:p>
    <w:p>
      <w:pPr>
        <w:ind w:right="320" w:firstLine="184"/>
        <w:spacing w:after="0" w:line="301" w:lineRule="auto"/>
        <w:tabs>
          <w:tab w:leader="none" w:pos="73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-4454525</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tabs>
          <w:tab w:leader="none" w:pos="11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52" w:lineRule="exact"/>
        <w:rPr>
          <w:rFonts w:ascii="Times New Roman" w:cs="Times New Roman" w:eastAsia="Times New Roman" w:hAnsi="Times New Roman"/>
          <w:sz w:val="18"/>
          <w:szCs w:val="18"/>
          <w:color w:val="auto"/>
        </w:rPr>
      </w:pPr>
    </w:p>
    <w:p>
      <w:pPr>
        <w:ind w:left="1160" w:right="840" w:hanging="571"/>
        <w:spacing w:after="0" w:line="275" w:lineRule="auto"/>
        <w:tabs>
          <w:tab w:leader="none" w:pos="11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200" w:lineRule="exact"/>
        <w:rPr>
          <w:rFonts w:ascii="Times New Roman" w:cs="Times New Roman" w:eastAsia="Times New Roman" w:hAnsi="Times New Roman"/>
          <w:sz w:val="18"/>
          <w:szCs w:val="18"/>
          <w:color w:val="auto"/>
        </w:rPr>
      </w:pPr>
    </w:p>
    <w:p>
      <w:pPr>
        <w:ind w:left="1160" w:right="280" w:hanging="571"/>
        <w:spacing w:after="0" w:line="275" w:lineRule="auto"/>
        <w:tabs>
          <w:tab w:leader="none" w:pos="11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00"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right="140" w:firstLine="184"/>
        <w:spacing w:after="0" w:line="256" w:lineRule="auto"/>
        <w:tabs>
          <w:tab w:leader="none" w:pos="73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reports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92" w:lineRule="exact"/>
        <w:rPr>
          <w:rFonts w:ascii="Times New Roman" w:cs="Times New Roman" w:eastAsia="Times New Roman" w:hAnsi="Times New Roman"/>
          <w:sz w:val="18"/>
          <w:szCs w:val="18"/>
          <w:color w:val="auto"/>
        </w:rPr>
      </w:pPr>
    </w:p>
    <w:p>
      <w:pPr>
        <w:ind w:right="140" w:firstLine="184"/>
        <w:spacing w:after="0" w:line="291" w:lineRule="auto"/>
        <w:tabs>
          <w:tab w:leader="none" w:pos="72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84"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ectPr>
          <w:pgSz w:w="11900" w:h="16838" w:orient="portrait"/>
          <w:cols w:equalWidth="0" w:num="1">
            <w:col w:w="11420"/>
          </w:cols>
          <w:pgMar w:left="240" w:top="125" w:right="239" w:bottom="84" w:gutter="0" w:footer="0" w:header="0"/>
          <w:type w:val="continuous"/>
        </w:sectPr>
      </w:pPr>
    </w:p>
    <w:bookmarkStart w:id="22" w:name="page23"/>
    <w:bookmarkEnd w:id="22"/>
    <w:p>
      <w:pPr>
        <w:ind w:right="540" w:firstLine="395"/>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Amendment No.1 to the Registration Statement on Form F-3 to be signed on its behalf by the undersigned, thereunto duly authorized, in the City of Migdal Haemek, Israel, on March 26, 2007.</w:t>
      </w:r>
    </w:p>
    <w:p>
      <w:pPr>
        <w:spacing w:after="0" w:line="18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00" w:lineRule="exact"/>
        <w:rPr>
          <w:sz w:val="20"/>
          <w:szCs w:val="20"/>
          <w:color w:val="auto"/>
        </w:rPr>
      </w:pPr>
    </w:p>
    <w:p>
      <w:pPr>
        <w:spacing w:after="0" w:line="2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Russell C. Ellwanger</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Director and Chief Executive Officer</w:t>
      </w:r>
    </w:p>
    <w:p>
      <w:pPr>
        <w:spacing w:after="0" w:line="200" w:lineRule="exact"/>
        <w:rPr>
          <w:sz w:val="20"/>
          <w:szCs w:val="20"/>
          <w:color w:val="auto"/>
        </w:rPr>
      </w:pPr>
    </w:p>
    <w:p>
      <w:pPr>
        <w:spacing w:after="0" w:line="256"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Signature</w:t>
            </w:r>
          </w:p>
        </w:tc>
        <w:tc>
          <w:tcPr>
            <w:tcW w:w="304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26,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Dov Moran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Russell C. Ellwanger</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26,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C. Ellwanger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of Finance and Acting Chief</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26,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Oren Shirazi</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26,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Udi Hillman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88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740" w:type="dxa"/>
            <w:vAlign w:val="bottom"/>
            <w:shd w:val="clear" w:color="auto" w:fill="808080"/>
          </w:tcPr>
          <w:p>
            <w:pPr>
              <w:spacing w:after="0"/>
              <w:rPr>
                <w:sz w:val="5"/>
                <w:szCs w:val="5"/>
                <w:color w:val="auto"/>
              </w:rPr>
            </w:pPr>
          </w:p>
        </w:tc>
        <w:tc>
          <w:tcPr>
            <w:tcW w:w="30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5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26,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Yossi Rosen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 2007</w:t>
            </w:r>
          </w:p>
        </w:tc>
        <w:tc>
          <w:tcPr>
            <w:tcW w:w="0" w:type="dxa"/>
            <w:vAlign w:val="bottom"/>
          </w:tcPr>
          <w:p>
            <w:pPr>
              <w:spacing w:after="0"/>
              <w:rPr>
                <w:sz w:val="1"/>
                <w:szCs w:val="1"/>
                <w:color w:val="auto"/>
              </w:rPr>
            </w:pPr>
          </w:p>
        </w:tc>
      </w:tr>
      <w:tr>
        <w:trPr>
          <w:trHeight w:val="204"/>
        </w:trPr>
        <w:tc>
          <w:tcPr>
            <w:tcW w:w="37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Eli Harari</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26,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Miin Wu</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26,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Melvin Keating</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26,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Kalman Kaufman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26,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Hans Rohrer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Miri Katz</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7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Tower Semiconductor USA, Inc.</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Russell C. Ellwanger</w:t>
            </w:r>
          </w:p>
        </w:tc>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26,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C. Ellwanger</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*By: /s/ Russell C. Ellwanger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Russell C. Ellwanger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 in Fact)</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40" w:type="dxa"/>
            <w:vAlign w:val="bottom"/>
            <w:gridSpan w:val="2"/>
          </w:tcPr>
          <w:p>
            <w:pPr>
              <w:ind w:left="4300"/>
              <w:spacing w:after="0"/>
              <w:rPr>
                <w:sz w:val="20"/>
                <w:szCs w:val="20"/>
                <w:color w:val="auto"/>
              </w:rPr>
            </w:pPr>
            <w:r>
              <w:rPr>
                <w:rFonts w:ascii="Times New Roman" w:cs="Times New Roman" w:eastAsia="Times New Roman" w:hAnsi="Times New Roman"/>
                <w:sz w:val="18"/>
                <w:szCs w:val="18"/>
                <w:color w:val="auto"/>
              </w:rPr>
              <w:t>8</w:t>
            </w:r>
          </w:p>
        </w:tc>
      </w:tr>
      <w:tr>
        <w:trPr>
          <w:trHeight w:val="174"/>
        </w:trPr>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160" w:type="dxa"/>
            <w:vAlign w:val="bottom"/>
          </w:tcPr>
          <w:p>
            <w:pPr>
              <w:spacing w:after="0"/>
              <w:rPr>
                <w:sz w:val="15"/>
                <w:szCs w:val="15"/>
                <w:color w:val="auto"/>
              </w:rPr>
            </w:pPr>
          </w:p>
        </w:tc>
      </w:tr>
      <w:tr>
        <w:trPr>
          <w:trHeight w:val="61"/>
        </w:trPr>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8160" w:type="dxa"/>
            <w:vAlign w:val="bottom"/>
            <w:shd w:val="clear" w:color="auto" w:fill="808080"/>
          </w:tcPr>
          <w:p>
            <w:pPr>
              <w:spacing w:after="0"/>
              <w:rPr>
                <w:sz w:val="5"/>
                <w:szCs w:val="5"/>
                <w:color w:val="auto"/>
              </w:rPr>
            </w:pPr>
          </w:p>
        </w:tc>
      </w:tr>
      <w:tr>
        <w:trPr>
          <w:trHeight w:val="305"/>
        </w:trPr>
        <w:tc>
          <w:tcPr>
            <w:tcW w:w="36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80" w:type="dxa"/>
            <w:vAlign w:val="bottom"/>
          </w:tcPr>
          <w:p>
            <w:pPr>
              <w:spacing w:after="0"/>
              <w:rPr>
                <w:sz w:val="24"/>
                <w:szCs w:val="24"/>
                <w:color w:val="auto"/>
              </w:rPr>
            </w:pPr>
          </w:p>
        </w:tc>
        <w:tc>
          <w:tcPr>
            <w:tcW w:w="8160" w:type="dxa"/>
            <w:vAlign w:val="bottom"/>
          </w:tcPr>
          <w:p>
            <w:pPr>
              <w:spacing w:after="0"/>
              <w:rPr>
                <w:sz w:val="24"/>
                <w:szCs w:val="24"/>
                <w:color w:val="auto"/>
              </w:rPr>
            </w:pPr>
          </w:p>
        </w:tc>
      </w:tr>
      <w:tr>
        <w:trPr>
          <w:trHeight w:val="192"/>
        </w:trPr>
        <w:tc>
          <w:tcPr>
            <w:tcW w:w="360" w:type="dxa"/>
            <w:vAlign w:val="bottom"/>
          </w:tcPr>
          <w:p>
            <w:pPr>
              <w:spacing w:after="0"/>
              <w:rPr>
                <w:sz w:val="16"/>
                <w:szCs w:val="16"/>
                <w:color w:val="auto"/>
              </w:rPr>
            </w:pPr>
          </w:p>
        </w:tc>
        <w:tc>
          <w:tcPr>
            <w:tcW w:w="102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Numbers</w:t>
            </w:r>
          </w:p>
        </w:tc>
        <w:tc>
          <w:tcPr>
            <w:tcW w:w="100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0"/>
        </w:trPr>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465"/>
        </w:trPr>
        <w:tc>
          <w:tcPr>
            <w:tcW w:w="360" w:type="dxa"/>
            <w:vAlign w:val="bottom"/>
          </w:tcPr>
          <w:p>
            <w:pPr>
              <w:spacing w:after="0"/>
              <w:rPr>
                <w:sz w:val="24"/>
                <w:szCs w:val="24"/>
                <w:color w:val="auto"/>
              </w:rPr>
            </w:pPr>
          </w:p>
        </w:tc>
        <w:tc>
          <w:tcPr>
            <w:tcW w:w="68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7"/>
              </w:rPr>
              <w:t>3.1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Articles of Association of the Registrant, approved by shareholders on November 14, 2000, as amended (incorporated by reference to like</w:t>
            </w:r>
          </w:p>
        </w:tc>
      </w:tr>
      <w:tr>
        <w:trPr>
          <w:trHeight w:val="216"/>
        </w:trPr>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number exhibit filed with the Registrant’s Registration Statement on Form F-1, File No. 333-0126909). Pursuant to approvals by shareholders,</w:t>
            </w:r>
          </w:p>
        </w:tc>
      </w:tr>
      <w:tr>
        <w:trPr>
          <w:trHeight w:val="228"/>
        </w:trPr>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Registrant’s Articles of Association provide for an authorized share capital of NIS 800,000,000 divided into 800,000,000 shares.</w:t>
            </w:r>
          </w:p>
        </w:tc>
      </w:tr>
      <w:tr>
        <w:trPr>
          <w:trHeight w:val="459"/>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Yigal Arnon &amp; Co.*</w:t>
            </w:r>
          </w:p>
        </w:tc>
      </w:tr>
      <w:tr>
        <w:trPr>
          <w:trHeight w:val="459"/>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Yigal Arnon &amp; Co. (contained in their opinion constituting Exhibit 5.1)*</w:t>
            </w:r>
          </w:p>
        </w:tc>
      </w:tr>
      <w:tr>
        <w:trPr>
          <w:trHeight w:val="459"/>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23.2</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Brightman Almagor &amp; Co.</w:t>
            </w:r>
          </w:p>
        </w:tc>
      </w:tr>
      <w:tr>
        <w:trPr>
          <w:trHeight w:val="459"/>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24.1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Attorney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80" w:hanging="572"/>
        <w:spacing w:after="0"/>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6136005</wp:posOffset>
            </wp:positionV>
            <wp:extent cx="726757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0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this Amendment No. 1 to the Registration Statement on Form F-3 (No. 333-140174) of (i) our report dated February 1, 2006, relating to the financial statements of Tower Semiconductor Ltd. appearing in the Annual Report on Form 20-F of Tower Semiconductor Ltd. for the year ended December 31, 2005, and (ii) our report dated February 7, 2007, relating to the financial statements of Tower Semiconductor Ltd. for the year ended December 31, 2006 appearing in the Report on Form 6-K of Tower Semiconductor Ltd. filed on February 8, 2007. We also consent to the reference to us under the heading “Experts” in this Amendment No. 1 to the Registration Statement.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Brightman Almagor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&amp; 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Deloitte Touche Tohmatsu</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lowerRoman"/>
      <w:start w:val="3"/>
    </w:lvl>
  </w:abstractNum>
  <w:abstractNum w:abstractNumId="1">
    <w:nsid w:val="257130A3"/>
    <w:multiLevelType w:val="hybridMultilevel"/>
    <w:lvl w:ilvl="0">
      <w:lvlJc w:val="left"/>
      <w:lvlText w:val="\emdash "/>
      <w:numFmt w:val="bullet"/>
      <w:start w:val="1"/>
    </w:lvl>
  </w:abstractNum>
  <w:abstractNum w:abstractNumId="2">
    <w:nsid w:val="62BBD95A"/>
    <w:multiLevelType w:val="hybridMultilevel"/>
    <w:lvl w:ilvl="0">
      <w:lvlJc w:val="left"/>
      <w:lvlText w:val="\emdash "/>
      <w:numFmt w:val="bullet"/>
      <w:start w:val="1"/>
    </w:lvl>
  </w:abstractNum>
  <w:abstractNum w:abstractNumId="3">
    <w:nsid w:val="436C6125"/>
    <w:multiLevelType w:val="hybridMultilevel"/>
    <w:lvl w:ilvl="0">
      <w:lvlJc w:val="left"/>
      <w:lvlText w:val="\emdash "/>
      <w:numFmt w:val="bullet"/>
      <w:start w:val="1"/>
    </w:lvl>
  </w:abstractNum>
  <w:abstractNum w:abstractNumId="4">
    <w:nsid w:val="628C895D"/>
    <w:multiLevelType w:val="hybridMultilevel"/>
    <w:lvl w:ilvl="0">
      <w:lvlJc w:val="left"/>
      <w:lvlText w:val="\emdash "/>
      <w:numFmt w:val="bullet"/>
      <w:start w:val="1"/>
    </w:lvl>
  </w:abstractNum>
  <w:abstractNum w:abstractNumId="5">
    <w:nsid w:val="333AB105"/>
    <w:multiLevelType w:val="hybridMultilevel"/>
    <w:lvl w:ilvl="0">
      <w:lvlJc w:val="left"/>
      <w:lvlText w:val="\emdash "/>
      <w:numFmt w:val="bullet"/>
      <w:start w:val="1"/>
    </w:lvl>
  </w:abstractNum>
  <w:abstractNum w:abstractNumId="6">
    <w:nsid w:val="721DA317"/>
    <w:multiLevelType w:val="hybridMultilevel"/>
    <w:lvl w:ilvl="0">
      <w:lvlJc w:val="left"/>
      <w:lvlText w:val="\emdash "/>
      <w:numFmt w:val="bullet"/>
      <w:start w:val="1"/>
    </w:lvl>
  </w:abstractNum>
  <w:abstractNum w:abstractNumId="7">
    <w:nsid w:val="2443A858"/>
    <w:multiLevelType w:val="hybridMultilevel"/>
    <w:lvl w:ilvl="0">
      <w:lvlJc w:val="left"/>
      <w:lvlText w:val="\emdash "/>
      <w:numFmt w:val="bullet"/>
      <w:start w:val="1"/>
    </w:lvl>
  </w:abstractNum>
  <w:abstractNum w:abstractNumId="8">
    <w:nsid w:val="2D1D5AE9"/>
    <w:multiLevelType w:val="hybridMultilevel"/>
    <w:lvl w:ilvl="0">
      <w:lvlJc w:val="left"/>
      <w:lvlText w:val="\emdash "/>
      <w:numFmt w:val="bullet"/>
      <w:start w:val="1"/>
    </w:lvl>
  </w:abstractNum>
  <w:abstractNum w:abstractNumId="9">
    <w:nsid w:val="6763845E"/>
    <w:multiLevelType w:val="hybridMultilevel"/>
    <w:lvl w:ilvl="0">
      <w:lvlJc w:val="left"/>
      <w:lvlText w:val="\emdash "/>
      <w:numFmt w:val="bullet"/>
      <w:start w:val="1"/>
    </w:lvl>
  </w:abstractNum>
  <w:abstractNum w:abstractNumId="10">
    <w:nsid w:val="75A2A8D4"/>
    <w:multiLevelType w:val="hybridMultilevel"/>
    <w:lvl w:ilvl="0">
      <w:lvlJc w:val="left"/>
      <w:lvlText w:val="\emdash "/>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lowerRoman"/>
      <w:start w:val="1"/>
    </w:lvl>
  </w:abstractNum>
  <w:abstractNum w:abstractNumId="13">
    <w:nsid w:val="4353D0CD"/>
    <w:multiLevelType w:val="hybridMultilevel"/>
    <w:lvl w:ilvl="0">
      <w:lvlJc w:val="left"/>
      <w:lvlText w:val="(%1)"/>
      <w:numFmt w:val="lowerRoman"/>
      <w:start w:val="7"/>
    </w:lvl>
  </w:abstractNum>
  <w:abstractNum w:abstractNumId="14">
    <w:nsid w:val="B03E0C6"/>
    <w:multiLevelType w:val="hybridMultilevel"/>
    <w:lvl w:ilvl="0">
      <w:lvlJc w:val="left"/>
      <w:lvlText w:val="\emdash "/>
      <w:numFmt w:val="bullet"/>
      <w:start w:val="1"/>
    </w:lvl>
  </w:abstractNum>
  <w:abstractNum w:abstractNumId="15">
    <w:nsid w:val="189A769B"/>
    <w:multiLevelType w:val="hybridMultilevel"/>
    <w:lvl w:ilvl="0">
      <w:lvlJc w:val="left"/>
      <w:lvlText w:val="1"/>
      <w:numFmt w:val="bullet"/>
      <w:start w:val="1"/>
    </w:lvl>
  </w:abstractNum>
  <w:abstractNum w:abstractNumId="16">
    <w:nsid w:val="54E49EB4"/>
    <w:multiLevelType w:val="hybridMultilevel"/>
    <w:lvl w:ilvl="0">
      <w:lvlJc w:val="left"/>
      <w:lvlText w:val="2"/>
      <w:numFmt w:val="bullet"/>
      <w:start w:val="1"/>
    </w:lvl>
  </w:abstractNum>
  <w:abstractNum w:abstractNumId="17">
    <w:nsid w:val="71F32454"/>
    <w:multiLevelType w:val="hybridMultilevel"/>
    <w:lvl w:ilvl="0">
      <w:lvlJc w:val="left"/>
      <w:lvlText w:val="3"/>
      <w:numFmt w:val="bullet"/>
      <w:start w:val="1"/>
    </w:lvl>
  </w:abstractNum>
  <w:abstractNum w:abstractNumId="18">
    <w:nsid w:val="2CA88611"/>
    <w:multiLevelType w:val="hybridMultilevel"/>
    <w:lvl w:ilvl="0">
      <w:lvlJc w:val="left"/>
      <w:lvlText w:val="4"/>
      <w:numFmt w:val="bullet"/>
      <w:start w:val="1"/>
    </w:lvl>
  </w:abstractNum>
  <w:abstractNum w:abstractNumId="19">
    <w:nsid w:val="836C40E"/>
    <w:multiLevelType w:val="hybridMultilevel"/>
    <w:lvl w:ilvl="0">
      <w:lvlJc w:val="left"/>
      <w:lvlText w:val="5"/>
      <w:numFmt w:val="bullet"/>
      <w:start w:val="1"/>
    </w:lvl>
  </w:abstractNum>
  <w:abstractNum w:abstractNumId="20">
    <w:nsid w:val="2901D82"/>
    <w:multiLevelType w:val="hybridMultilevel"/>
    <w:lvl w:ilvl="0">
      <w:lvlJc w:val="left"/>
      <w:lvlText w:val="6"/>
      <w:numFmt w:val="bullet"/>
      <w:start w:val="1"/>
    </w:lvl>
  </w:abstractNum>
  <w:abstractNum w:abstractNumId="21">
    <w:nsid w:val="3A95F874"/>
    <w:multiLevelType w:val="hybridMultilevel"/>
    <w:lvl w:ilvl="0">
      <w:lvlJc w:val="left"/>
      <w:lvlText w:val="7"/>
      <w:numFmt w:val="bullet"/>
      <w:start w:val="1"/>
    </w:lvl>
  </w:abstractNum>
  <w:abstractNum w:abstractNumId="22">
    <w:nsid w:val="8138641"/>
    <w:multiLevelType w:val="hybridMultilevel"/>
    <w:lvl w:ilvl="0">
      <w:lvlJc w:val="left"/>
      <w:lvlText w:val="8"/>
      <w:numFmt w:val="bullet"/>
      <w:start w:val="1"/>
    </w:lvl>
  </w:abstractNum>
  <w:abstractNum w:abstractNumId="23">
    <w:nsid w:val="1E7FF521"/>
    <w:multiLevelType w:val="hybridMultilevel"/>
    <w:lvl w:ilvl="0">
      <w:lvlJc w:val="left"/>
      <w:lvlText w:val="\emdash "/>
      <w:numFmt w:val="bullet"/>
      <w:start w:val="1"/>
    </w:lvl>
  </w:abstractNum>
  <w:abstractNum w:abstractNumId="24">
    <w:nsid w:val="7C3DBD3D"/>
    <w:multiLevelType w:val="hybridMultilevel"/>
    <w:lvl w:ilvl="0">
      <w:lvlJc w:val="left"/>
      <w:lvlText w:val="\emdash "/>
      <w:numFmt w:val="bullet"/>
      <w:start w:val="1"/>
    </w:lvl>
  </w:abstractNum>
  <w:abstractNum w:abstractNumId="25">
    <w:nsid w:val="737B8DDC"/>
    <w:multiLevelType w:val="hybridMultilevel"/>
    <w:lvl w:ilvl="0">
      <w:lvlJc w:val="left"/>
      <w:lvlText w:val="\emdash "/>
      <w:numFmt w:val="bullet"/>
      <w:start w:val="1"/>
    </w:lvl>
  </w:abstractNum>
  <w:abstractNum w:abstractNumId="26">
    <w:nsid w:val="6CEAF087"/>
    <w:multiLevelType w:val="hybridMultilevel"/>
    <w:lvl w:ilvl="0">
      <w:lvlJc w:val="left"/>
      <w:lvlText w:val="%1."/>
      <w:numFmt w:val="decimal"/>
      <w:start w:val="1"/>
    </w:lvl>
    <w:lvl w:ilvl="1">
      <w:lvlJc w:val="left"/>
      <w:lvlText w:val="(%2)"/>
      <w:numFmt w:val="lowerLetter"/>
      <w:start w:val="1"/>
    </w:lvl>
  </w:abstractNum>
  <w:abstractNum w:abstractNumId="27">
    <w:nsid w:val="22221A70"/>
    <w:multiLevelType w:val="hybridMultilevel"/>
    <w:lvl w:ilvl="0">
      <w:lvlJc w:val="left"/>
      <w:lvlText w:val="%1."/>
      <w:numFmt w:val="lowerRoman"/>
      <w:start w:val="1"/>
    </w:lvl>
  </w:abstractNum>
  <w:abstractNum w:abstractNumId="28">
    <w:nsid w:val="4516DDE9"/>
    <w:multiLevelType w:val="hybridMultilevel"/>
    <w:lvl w:ilvl="0">
      <w:lvlJc w:val="left"/>
      <w:lvlText w:val="š"/>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lvl w:ilvl="1">
      <w:lvlJc w:val="left"/>
      <w:lvlText w:val="(%2)"/>
      <w:numFmt w:val="lowerRoman"/>
      <w:start w:val="1"/>
    </w:lvl>
  </w:abstractNum>
  <w:abstractNum w:abstractNumId="32">
    <w:nsid w:val="5577F8E1"/>
    <w:multiLevelType w:val="hybridMultilevel"/>
    <w:lvl w:ilvl="0">
      <w:lvlJc w:val="left"/>
      <w:lvlText w:val="(%1)"/>
      <w:numFmt w:val="decimal"/>
      <w:start w:val="2"/>
    </w:lvl>
  </w:abstractNum>
  <w:abstractNum w:abstractNumId="33">
    <w:nsid w:val="440BADFC"/>
    <w:multiLevelType w:val="hybridMultilevel"/>
    <w:lvl w:ilvl="0">
      <w:lvlJc w:val="left"/>
      <w:lvlText w:val="(%1)"/>
      <w:numFmt w:val="decimal"/>
      <w:start w:val="5"/>
    </w:lvl>
    <w:lvl w:ilvl="1">
      <w:lvlJc w:val="left"/>
      <w:lvlText w:val="%2."/>
      <w:numFmt w:val="lowerRoman"/>
      <w:start w:val="1"/>
    </w:lvl>
    <w:lvl w:ilvl="2">
      <w:lvlJc w:val="left"/>
      <w:lvlText w:val="%3."/>
      <w:numFmt w:val="upperLetter"/>
      <w:start w:val="1"/>
    </w:lvl>
  </w:abstractNum>
  <w:abstractNum w:abstractNumId="34">
    <w:nsid w:val="5072367"/>
    <w:multiLevelType w:val="hybridMultilevel"/>
    <w:lvl w:ilvl="0">
      <w:lvlJc w:val="left"/>
      <w:lvlText w:val="%1"/>
      <w:numFmt w:val="lowerLetter"/>
      <w:start w:val="1"/>
    </w:lvl>
    <w:lvl w:ilvl="1">
      <w:lvlJc w:val="left"/>
      <w:lvlText w:val="%2."/>
      <w:numFmt w:val="lowerRoman"/>
      <w:start w:val="1"/>
    </w:lvl>
  </w:abstractNum>
  <w:abstractNum w:abstractNumId="35">
    <w:nsid w:val="3804823E"/>
    <w:multiLevelType w:val="hybridMultilevel"/>
    <w:lvl w:ilvl="0">
      <w:lvlJc w:val="left"/>
      <w:lvlText w:val="(%1)"/>
      <w:numFmt w:val="lowerLetter"/>
      <w:start w:val="2"/>
    </w:lvl>
    <w:lvl w:ilvl="1">
      <w:lvlJc w:val="left"/>
      <w:lvlText w:val="%2"/>
      <w:numFmt w:val="lowerRoman"/>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2019-12-14T04:16:01Z</dcterms:created>
  <dcterms:modified xsi:type="dcterms:W3CDTF">2019-12-14T04:16:01Z</dcterms:modified>
</cp:coreProperties>
</file>