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80"/>
        <w:spacing w:after="0"/>
        <w:rPr>
          <w:sz w:val="20"/>
          <w:szCs w:val="20"/>
          <w:color w:val="auto"/>
        </w:rPr>
      </w:pPr>
      <w:r>
        <w:rPr>
          <w:rFonts w:ascii="Arial" w:cs="Arial" w:eastAsia="Arial" w:hAnsi="Arial"/>
          <w:sz w:val="18"/>
          <w:szCs w:val="18"/>
          <w:b w:val="1"/>
          <w:bCs w:val="1"/>
          <w:color w:val="auto"/>
        </w:rPr>
        <w:t>UNITED STATES</w:t>
      </w:r>
    </w:p>
    <w:p>
      <w:pPr>
        <w:spacing w:after="0" w:line="36"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SCHEDULE 13G/A</w:t>
      </w:r>
    </w:p>
    <w:p>
      <w:pPr>
        <w:spacing w:after="0" w:line="25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(Amendment No. 2)*</w:t>
      </w: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Ordinary Shares, par value NIS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(Title of Class of Securities)</w:t>
      </w:r>
    </w:p>
    <w:p>
      <w:pPr>
        <w:spacing w:after="0" w:line="15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M87915100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w:t>
      </w:r>
    </w:p>
    <w:p>
      <w:pPr>
        <w:spacing w:after="0" w:line="20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77"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 - 1(b)</w:t>
      </w:r>
    </w:p>
    <w:p>
      <w:pPr>
        <w:spacing w:after="0" w:line="238"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 - 1(c)</w:t>
      </w: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 - 1(d)</w:t>
      </w:r>
    </w:p>
    <w:p>
      <w:pPr>
        <w:spacing w:after="0" w:line="8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4"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240" w:top="355" w:right="47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CUSIP No. M87915100</w:t>
      </w:r>
    </w:p>
    <w:p>
      <w:pPr>
        <w:spacing w:after="0" w:line="266" w:lineRule="exact"/>
        <w:rPr>
          <w:sz w:val="20"/>
          <w:szCs w:val="20"/>
          <w:color w:val="auto"/>
        </w:rPr>
      </w:pPr>
    </w:p>
    <w:p>
      <w:pPr>
        <w:ind w:left="640" w:hanging="412"/>
        <w:spacing w:after="0"/>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ONTARIO TEACHERS’ PENSION PLAN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6663690" cy="6706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6706235"/>
                    </a:xfrm>
                    <a:prstGeom prst="rect">
                      <a:avLst/>
                    </a:prstGeom>
                    <a:noFill/>
                  </pic:spPr>
                </pic:pic>
              </a:graphicData>
            </a:graphic>
          </wp:anchor>
        </w:drawing>
      </w:r>
    </w:p>
    <w:p>
      <w:pPr>
        <w:spacing w:after="0" w:line="225" w:lineRule="exact"/>
        <w:rPr>
          <w:sz w:val="20"/>
          <w:szCs w:val="20"/>
          <w:color w:val="auto"/>
        </w:rPr>
      </w:pPr>
    </w:p>
    <w:p>
      <w:pPr>
        <w:ind w:left="640" w:hanging="412"/>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71" w:lineRule="exact"/>
        <w:rPr>
          <w:sz w:val="20"/>
          <w:szCs w:val="20"/>
          <w:color w:val="auto"/>
        </w:rPr>
      </w:pPr>
    </w:p>
    <w:p>
      <w:pPr>
        <w:jc w:val="both"/>
        <w:ind w:left="8360"/>
        <w:spacing w:after="0"/>
        <w:tabs>
          <w:tab w:leader="none" w:pos="88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158" w:lineRule="exact"/>
        <w:rPr>
          <w:sz w:val="20"/>
          <w:szCs w:val="20"/>
          <w:color w:val="auto"/>
        </w:rPr>
      </w:pPr>
    </w:p>
    <w:p>
      <w:pPr>
        <w:jc w:val="both"/>
        <w:ind w:left="8360"/>
        <w:spacing w:after="0"/>
        <w:tabs>
          <w:tab w:leader="none" w:pos="88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171" w:lineRule="exact"/>
        <w:rPr>
          <w:sz w:val="20"/>
          <w:szCs w:val="20"/>
          <w:color w:val="auto"/>
        </w:rPr>
      </w:pPr>
    </w:p>
    <w:p>
      <w:pPr>
        <w:ind w:left="640" w:hanging="41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40" w:hanging="41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ONTARIO, CANADA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60" w:type="dxa"/>
            <w:vAlign w:val="bottom"/>
            <w:tcBorders>
              <w:top w:val="single" w:sz="8" w:color="auto"/>
              <w:right w:val="single" w:sz="8" w:color="auto"/>
            </w:tcBorders>
          </w:tcPr>
          <w:p>
            <w:pPr>
              <w:spacing w:after="0"/>
              <w:rPr>
                <w:sz w:val="21"/>
                <w:szCs w:val="21"/>
                <w:color w:val="auto"/>
              </w:rPr>
            </w:pPr>
          </w:p>
        </w:tc>
        <w:tc>
          <w:tcPr>
            <w:tcW w:w="520" w:type="dxa"/>
            <w:vAlign w:val="bottom"/>
            <w:tcBorders>
              <w:top w:val="single" w:sz="8" w:color="auto"/>
              <w:right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w:t>
            </w:r>
          </w:p>
        </w:tc>
        <w:tc>
          <w:tcPr>
            <w:tcW w:w="76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10"/>
        </w:trPr>
        <w:tc>
          <w:tcPr>
            <w:tcW w:w="236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7620" w:type="dxa"/>
            <w:vAlign w:val="bottom"/>
          </w:tcPr>
          <w:p>
            <w:pPr>
              <w:ind w:left="80"/>
              <w:spacing w:after="0"/>
              <w:rPr>
                <w:sz w:val="20"/>
                <w:szCs w:val="20"/>
                <w:color w:val="auto"/>
              </w:rPr>
            </w:pPr>
            <w:r>
              <w:rPr>
                <w:rFonts w:ascii="Arial" w:cs="Arial" w:eastAsia="Arial" w:hAnsi="Arial"/>
                <w:sz w:val="18"/>
                <w:szCs w:val="18"/>
                <w:b w:val="1"/>
                <w:bCs w:val="1"/>
                <w:color w:val="auto"/>
              </w:rPr>
              <w:t>4,135,273</w:t>
            </w:r>
          </w:p>
        </w:tc>
        <w:tc>
          <w:tcPr>
            <w:tcW w:w="0" w:type="dxa"/>
            <w:vAlign w:val="bottom"/>
          </w:tcPr>
          <w:p>
            <w:pPr>
              <w:spacing w:after="0"/>
              <w:rPr>
                <w:sz w:val="1"/>
                <w:szCs w:val="1"/>
                <w:color w:val="auto"/>
              </w:rPr>
            </w:pPr>
          </w:p>
        </w:tc>
      </w:tr>
      <w:tr>
        <w:trPr>
          <w:trHeight w:val="419"/>
        </w:trPr>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NUMBER OF</w:t>
            </w:r>
          </w:p>
        </w:tc>
        <w:tc>
          <w:tcPr>
            <w:tcW w:w="52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6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1"/>
              </w:rPr>
              <w:t>SHARES</w:t>
            </w:r>
          </w:p>
        </w:tc>
        <w:tc>
          <w:tcPr>
            <w:tcW w:w="520" w:type="dxa"/>
            <w:vAlign w:val="bottom"/>
            <w:tcBorders>
              <w:right w:val="single" w:sz="8" w:color="auto"/>
            </w:tcBorders>
          </w:tcPr>
          <w:p>
            <w:pPr>
              <w:jc w:val="right"/>
              <w:ind w:right="132"/>
              <w:spacing w:after="0" w:line="203" w:lineRule="exact"/>
              <w:rPr>
                <w:sz w:val="20"/>
                <w:szCs w:val="20"/>
                <w:color w:val="auto"/>
              </w:rPr>
            </w:pPr>
            <w:r>
              <w:rPr>
                <w:rFonts w:ascii="Arial" w:cs="Arial" w:eastAsia="Arial" w:hAnsi="Arial"/>
                <w:sz w:val="18"/>
                <w:szCs w:val="18"/>
                <w:b w:val="1"/>
                <w:bCs w:val="1"/>
                <w:color w:val="auto"/>
              </w:rPr>
              <w:t>6</w:t>
            </w:r>
          </w:p>
        </w:tc>
        <w:tc>
          <w:tcPr>
            <w:tcW w:w="7620" w:type="dxa"/>
            <w:vAlign w:val="bottom"/>
          </w:tcPr>
          <w:p>
            <w:pPr>
              <w:ind w:left="80"/>
              <w:spacing w:after="0" w:line="203"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BENEFICIALLY</w:t>
            </w:r>
          </w:p>
        </w:tc>
        <w:tc>
          <w:tcPr>
            <w:tcW w:w="520" w:type="dxa"/>
            <w:vAlign w:val="bottom"/>
            <w:tcBorders>
              <w:right w:val="single" w:sz="8" w:color="auto"/>
            </w:tcBorders>
          </w:tcPr>
          <w:p>
            <w:pPr>
              <w:spacing w:after="0"/>
              <w:rPr>
                <w:sz w:val="18"/>
                <w:szCs w:val="18"/>
                <w:color w:val="auto"/>
              </w:rPr>
            </w:pPr>
          </w:p>
        </w:tc>
        <w:tc>
          <w:tcPr>
            <w:tcW w:w="76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4"/>
        </w:trPr>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520" w:type="dxa"/>
            <w:vAlign w:val="bottom"/>
            <w:tcBorders>
              <w:right w:val="single" w:sz="8" w:color="auto"/>
            </w:tcBorders>
          </w:tcPr>
          <w:p>
            <w:pPr>
              <w:spacing w:after="0"/>
              <w:rPr>
                <w:sz w:val="9"/>
                <w:szCs w:val="9"/>
                <w:color w:val="auto"/>
              </w:rPr>
            </w:pPr>
          </w:p>
        </w:tc>
        <w:tc>
          <w:tcPr>
            <w:tcW w:w="7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360" w:type="dxa"/>
            <w:vAlign w:val="bottom"/>
            <w:tcBorders>
              <w:righ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7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Borders>
              <w:bottom w:val="single" w:sz="8" w:color="auto"/>
              <w:right w:val="single" w:sz="8" w:color="auto"/>
            </w:tcBorders>
          </w:tcPr>
          <w:p>
            <w:pPr>
              <w:spacing w:after="0"/>
              <w:rPr>
                <w:sz w:val="19"/>
                <w:szCs w:val="19"/>
                <w:color w:val="auto"/>
              </w:rPr>
            </w:pPr>
          </w:p>
        </w:tc>
        <w:tc>
          <w:tcPr>
            <w:tcW w:w="7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6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1"/>
              </w:rPr>
              <w:t>REPORTING</w:t>
            </w:r>
          </w:p>
        </w:tc>
        <w:tc>
          <w:tcPr>
            <w:tcW w:w="520" w:type="dxa"/>
            <w:vAlign w:val="bottom"/>
            <w:tcBorders>
              <w:right w:val="single" w:sz="8" w:color="auto"/>
            </w:tcBorders>
          </w:tcPr>
          <w:p>
            <w:pPr>
              <w:jc w:val="right"/>
              <w:ind w:right="132"/>
              <w:spacing w:after="0" w:line="203" w:lineRule="exact"/>
              <w:rPr>
                <w:sz w:val="20"/>
                <w:szCs w:val="20"/>
                <w:color w:val="auto"/>
              </w:rPr>
            </w:pPr>
            <w:r>
              <w:rPr>
                <w:rFonts w:ascii="Arial" w:cs="Arial" w:eastAsia="Arial" w:hAnsi="Arial"/>
                <w:sz w:val="18"/>
                <w:szCs w:val="18"/>
                <w:b w:val="1"/>
                <w:bCs w:val="1"/>
                <w:color w:val="auto"/>
              </w:rPr>
              <w:t>7</w:t>
            </w:r>
          </w:p>
        </w:tc>
        <w:tc>
          <w:tcPr>
            <w:tcW w:w="7620" w:type="dxa"/>
            <w:vAlign w:val="bottom"/>
          </w:tcPr>
          <w:p>
            <w:pPr>
              <w:ind w:left="80"/>
              <w:spacing w:after="0" w:line="203"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520" w:type="dxa"/>
            <w:vAlign w:val="bottom"/>
            <w:tcBorders>
              <w:right w:val="single" w:sz="8" w:color="auto"/>
            </w:tcBorders>
          </w:tcPr>
          <w:p>
            <w:pPr>
              <w:spacing w:after="0"/>
              <w:rPr>
                <w:sz w:val="18"/>
                <w:szCs w:val="18"/>
                <w:color w:val="auto"/>
              </w:rPr>
            </w:pPr>
          </w:p>
        </w:tc>
        <w:tc>
          <w:tcPr>
            <w:tcW w:w="76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4,135,273</w:t>
            </w:r>
          </w:p>
        </w:tc>
        <w:tc>
          <w:tcPr>
            <w:tcW w:w="0" w:type="dxa"/>
            <w:vAlign w:val="bottom"/>
          </w:tcPr>
          <w:p>
            <w:pPr>
              <w:spacing w:after="0"/>
              <w:rPr>
                <w:sz w:val="1"/>
                <w:szCs w:val="1"/>
                <w:color w:val="auto"/>
              </w:rPr>
            </w:pPr>
          </w:p>
        </w:tc>
      </w:tr>
      <w:tr>
        <w:trPr>
          <w:trHeight w:val="114"/>
        </w:trPr>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520" w:type="dxa"/>
            <w:vAlign w:val="bottom"/>
            <w:tcBorders>
              <w:right w:val="single" w:sz="8" w:color="auto"/>
            </w:tcBorders>
          </w:tcPr>
          <w:p>
            <w:pPr>
              <w:spacing w:after="0"/>
              <w:rPr>
                <w:sz w:val="9"/>
                <w:szCs w:val="9"/>
                <w:color w:val="auto"/>
              </w:rPr>
            </w:pPr>
          </w:p>
        </w:tc>
        <w:tc>
          <w:tcPr>
            <w:tcW w:w="7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360" w:type="dxa"/>
            <w:vAlign w:val="bottom"/>
            <w:tcBorders>
              <w:right w:val="single" w:sz="8" w:color="auto"/>
            </w:tcBorders>
            <w:vMerge w:val="continue"/>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7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36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8</w:t>
            </w:r>
          </w:p>
        </w:tc>
        <w:tc>
          <w:tcPr>
            <w:tcW w:w="76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10"/>
        </w:trPr>
        <w:tc>
          <w:tcPr>
            <w:tcW w:w="236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762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8"/>
        </w:trPr>
        <w:tc>
          <w:tcPr>
            <w:tcW w:w="23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640" w:hanging="41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4,135,273</w:t>
      </w:r>
    </w:p>
    <w:p>
      <w:pPr>
        <w:spacing w:after="0" w:line="245" w:lineRule="exact"/>
        <w:rPr>
          <w:sz w:val="20"/>
          <w:szCs w:val="20"/>
          <w:color w:val="auto"/>
        </w:rPr>
      </w:pPr>
    </w:p>
    <w:p>
      <w:pPr>
        <w:ind w:left="640" w:hanging="456"/>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w:t>
      </w:r>
    </w:p>
    <w:p>
      <w:pPr>
        <w:spacing w:after="0" w:line="22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o</w:t>
      </w:r>
    </w:p>
    <w:p>
      <w:pPr>
        <w:spacing w:after="0" w:line="239" w:lineRule="exact"/>
        <w:rPr>
          <w:sz w:val="20"/>
          <w:szCs w:val="20"/>
          <w:color w:val="auto"/>
        </w:rPr>
      </w:pPr>
    </w:p>
    <w:p>
      <w:pPr>
        <w:ind w:left="640" w:hanging="45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p>
    <w:p>
      <w:pPr>
        <w:spacing w:after="0" w:line="244" w:lineRule="exact"/>
        <w:rPr>
          <w:rFonts w:ascii="Arial" w:cs="Arial" w:eastAsia="Arial" w:hAnsi="Arial"/>
          <w:sz w:val="18"/>
          <w:szCs w:val="18"/>
          <w:b w:val="1"/>
          <w:bCs w:val="1"/>
          <w:color w:val="auto"/>
        </w:rPr>
      </w:pPr>
    </w:p>
    <w:p>
      <w:pPr>
        <w:ind w:left="640" w:hanging="456"/>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1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EP</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Name of Issuer:</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Tower Semiconductor Ltd. (the “Corporation”)</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Prinicpal Executive Offices:</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PO Box 619, Migdal Haemek, 23105, Israel</w:t>
      </w:r>
    </w:p>
    <w:p>
      <w:pPr>
        <w:spacing w:after="0" w:line="1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 of Person Filing:</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Ontario Teachers' Pension Plan Board (the “Board”)</w:t>
      </w:r>
    </w:p>
    <w:p>
      <w:pPr>
        <w:sectPr>
          <w:pgSz w:w="11900" w:h="16838" w:orient="portrait"/>
          <w:cols w:equalWidth="0" w:num="1">
            <w:col w:w="10500"/>
          </w:cols>
          <w:pgMar w:left="240" w:top="347" w:right="1159" w:bottom="0" w:gutter="0" w:footer="0" w:header="0"/>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5650 Yonge Street, Suite 500, Toronto, Ontario, Canada, M2M 4H5.</w:t>
      </w:r>
    </w:p>
    <w:p>
      <w:pPr>
        <w:spacing w:after="0" w:line="1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5"/>
          <w:szCs w:val="15"/>
          <w:b w:val="1"/>
          <w:bCs w:val="1"/>
          <w:color w:val="auto"/>
        </w:rPr>
        <w:t>Citizenship:</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Board is a corporation incorporated under the laws of the Province of Ontario, Canada.</w:t>
      </w:r>
    </w:p>
    <w:p>
      <w:pPr>
        <w:spacing w:after="0" w:line="9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Ordinary Shares, par value NIS 1.00 per share.</w:t>
      </w:r>
    </w:p>
    <w:p>
      <w:pPr>
        <w:spacing w:after="0" w:line="8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M87915100</w:t>
      </w:r>
    </w:p>
    <w:p>
      <w:pPr>
        <w:spacing w:after="0" w:line="9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110" w:lineRule="exact"/>
        <w:rPr>
          <w:sz w:val="20"/>
          <w:szCs w:val="20"/>
          <w:color w:val="auto"/>
        </w:rPr>
      </w:pPr>
    </w:p>
    <w:p>
      <w:pPr>
        <w:ind w:firstLine="801"/>
        <w:spacing w:after="0" w:line="268" w:lineRule="auto"/>
        <w:rPr>
          <w:sz w:val="20"/>
          <w:szCs w:val="20"/>
          <w:color w:val="auto"/>
        </w:rPr>
      </w:pPr>
      <w:r>
        <w:rPr>
          <w:rFonts w:ascii="Arial" w:cs="Arial" w:eastAsia="Arial" w:hAnsi="Arial"/>
          <w:sz w:val="18"/>
          <w:szCs w:val="18"/>
          <w:color w:val="auto"/>
        </w:rPr>
        <w:t>The Board is filing this statement pursuant to the "no-action" relief granted to it by the Office of Tender Offers, Division of Corporation Finance of the United States Securities and Exchange Commission in a letter dated May 6, 1992.</w:t>
      </w:r>
    </w:p>
    <w:p>
      <w:pPr>
        <w:spacing w:after="0" w:line="186"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13d-1(b)(1)(ii)(F);</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5660" w:right="4920" w:hanging="5652"/>
        <w:spacing w:after="0" w:line="613" w:lineRule="auto"/>
        <w:tabs>
          <w:tab w:leader="none" w:pos="253" w:val="left"/>
        </w:tabs>
        <w:numPr>
          <w:ilvl w:val="0"/>
          <w:numId w:val="8"/>
        </w:numPr>
        <w:rPr>
          <w:rFonts w:ascii="Arial" w:cs="Arial" w:eastAsia="Arial" w:hAnsi="Arial"/>
          <w:sz w:val="16"/>
          <w:szCs w:val="16"/>
          <w:color w:val="auto"/>
        </w:rPr>
      </w:pPr>
      <w:r>
        <w:rPr>
          <w:rFonts w:ascii="Arial" w:cs="Arial" w:eastAsia="Arial" w:hAnsi="Arial"/>
          <w:sz w:val="16"/>
          <w:szCs w:val="16"/>
          <w:color w:val="auto"/>
        </w:rPr>
        <w:t>o A savings association as defined in Section 3(b) of the Federal Deposit Insurance Act; 3</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1420" w:right="7800" w:hanging="848"/>
        <w:spacing w:after="0" w:line="369"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4,135,273</w:t>
      </w:r>
    </w:p>
    <w:p>
      <w:pPr>
        <w:spacing w:after="0" w:line="106" w:lineRule="exact"/>
        <w:rPr>
          <w:rFonts w:ascii="Arial" w:cs="Arial" w:eastAsia="Arial" w:hAnsi="Arial"/>
          <w:sz w:val="18"/>
          <w:szCs w:val="18"/>
          <w:color w:val="auto"/>
        </w:rPr>
      </w:pPr>
    </w:p>
    <w:p>
      <w:pPr>
        <w:ind w:left="1420" w:hanging="853"/>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96"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32" w:lineRule="exact"/>
        <w:rPr>
          <w:rFonts w:ascii="Arial" w:cs="Arial" w:eastAsia="Arial" w:hAnsi="Arial"/>
          <w:sz w:val="18"/>
          <w:szCs w:val="18"/>
          <w:color w:val="auto"/>
        </w:rPr>
      </w:pPr>
    </w:p>
    <w:p>
      <w:pPr>
        <w:ind w:left="1420" w:hanging="848"/>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color w:val="auto"/>
        </w:rPr>
      </w:pPr>
    </w:p>
    <w:p>
      <w:pPr>
        <w:ind w:left="2100" w:right="6360" w:hanging="369"/>
        <w:spacing w:after="0" w:line="400" w:lineRule="auto"/>
        <w:tabs>
          <w:tab w:leader="none" w:pos="21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4,135,273</w:t>
      </w:r>
    </w:p>
    <w:p>
      <w:pPr>
        <w:spacing w:after="0" w:line="66" w:lineRule="exact"/>
        <w:rPr>
          <w:rFonts w:ascii="Arial" w:cs="Arial" w:eastAsia="Arial" w:hAnsi="Arial"/>
          <w:sz w:val="18"/>
          <w:szCs w:val="18"/>
          <w:b w:val="1"/>
          <w:bCs w:val="1"/>
          <w:color w:val="auto"/>
        </w:rPr>
      </w:pPr>
    </w:p>
    <w:p>
      <w:pPr>
        <w:ind w:left="2100" w:right="6140" w:hanging="418"/>
        <w:spacing w:after="0" w:line="400" w:lineRule="auto"/>
        <w:tabs>
          <w:tab w:leader="none" w:pos="21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spacing w:after="0" w:line="66" w:lineRule="exact"/>
        <w:rPr>
          <w:rFonts w:ascii="Arial" w:cs="Arial" w:eastAsia="Arial" w:hAnsi="Arial"/>
          <w:sz w:val="18"/>
          <w:szCs w:val="18"/>
          <w:b w:val="1"/>
          <w:bCs w:val="1"/>
          <w:color w:val="auto"/>
        </w:rPr>
      </w:pPr>
    </w:p>
    <w:p>
      <w:pPr>
        <w:ind w:left="2100" w:right="5440" w:hanging="467"/>
        <w:spacing w:after="0" w:line="400" w:lineRule="auto"/>
        <w:tabs>
          <w:tab w:leader="none" w:pos="21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4,135,273</w:t>
      </w:r>
    </w:p>
    <w:p>
      <w:pPr>
        <w:spacing w:after="0" w:line="66" w:lineRule="exact"/>
        <w:rPr>
          <w:rFonts w:ascii="Arial" w:cs="Arial" w:eastAsia="Arial" w:hAnsi="Arial"/>
          <w:sz w:val="18"/>
          <w:szCs w:val="18"/>
          <w:b w:val="1"/>
          <w:bCs w:val="1"/>
          <w:color w:val="auto"/>
        </w:rPr>
      </w:pPr>
    </w:p>
    <w:p>
      <w:pPr>
        <w:ind w:left="2100" w:right="5220" w:hanging="457"/>
        <w:spacing w:after="0" w:line="400" w:lineRule="auto"/>
        <w:tabs>
          <w:tab w:leader="none" w:pos="21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-0-</w:t>
      </w:r>
    </w:p>
    <w:p>
      <w:pPr>
        <w:spacing w:after="0" w:line="6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260" w:type="dxa"/>
            <w:vAlign w:val="bottom"/>
          </w:tcPr>
          <w:p>
            <w:pPr>
              <w:ind w:left="38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40" w:type="dxa"/>
            <w:vAlign w:val="bottom"/>
          </w:tcPr>
          <w:p>
            <w:pPr>
              <w:spacing w:after="0"/>
              <w:rPr>
                <w:sz w:val="24"/>
                <w:szCs w:val="24"/>
                <w:color w:val="auto"/>
              </w:rPr>
            </w:pPr>
          </w:p>
        </w:tc>
        <w:tc>
          <w:tcPr>
            <w:tcW w:w="9260" w:type="dxa"/>
            <w:vAlign w:val="bottom"/>
          </w:tcPr>
          <w:p>
            <w:pPr>
              <w:ind w:left="380"/>
              <w:spacing w:after="0"/>
              <w:rPr>
                <w:sz w:val="20"/>
                <w:szCs w:val="20"/>
                <w:color w:val="auto"/>
              </w:rPr>
            </w:pPr>
            <w:r>
              <w:rPr>
                <w:rFonts w:ascii="Arial" w:cs="Arial" w:eastAsia="Arial" w:hAnsi="Arial"/>
                <w:sz w:val="18"/>
                <w:szCs w:val="18"/>
                <w:color w:val="auto"/>
                <w:w w:val="89"/>
              </w:rPr>
              <w:t>If this statement is being filed to report the fact that as of the date hereof the reporting person has ceased to be the beneficial</w:t>
            </w:r>
          </w:p>
        </w:tc>
        <w:tc>
          <w:tcPr>
            <w:tcW w:w="280" w:type="dxa"/>
            <w:vAlign w:val="bottom"/>
            <w:vMerge w:val="restart"/>
          </w:tcPr>
          <w:p>
            <w:pPr>
              <w:ind w:left="180"/>
              <w:spacing w:after="0"/>
              <w:rPr>
                <w:sz w:val="20"/>
                <w:szCs w:val="20"/>
                <w:color w:val="auto"/>
              </w:rPr>
            </w:pPr>
            <w:r>
              <w:rPr>
                <w:rFonts w:ascii="Arial" w:cs="Arial" w:eastAsia="Arial" w:hAnsi="Arial"/>
                <w:sz w:val="22"/>
                <w:szCs w:val="22"/>
                <w:color w:val="auto"/>
                <w:w w:val="72"/>
              </w:rPr>
              <w:t>x</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9260" w:type="dxa"/>
            <w:vAlign w:val="bottom"/>
            <w:vMerge w:val="restart"/>
          </w:tcPr>
          <w:p>
            <w:pPr>
              <w:ind w:left="380"/>
              <w:spacing w:after="0"/>
              <w:rPr>
                <w:sz w:val="20"/>
                <w:szCs w:val="20"/>
                <w:color w:val="auto"/>
              </w:rPr>
            </w:pPr>
            <w:r>
              <w:rPr>
                <w:rFonts w:ascii="Arial" w:cs="Arial" w:eastAsia="Arial" w:hAnsi="Arial"/>
                <w:sz w:val="18"/>
                <w:szCs w:val="18"/>
                <w:color w:val="auto"/>
              </w:rPr>
              <w:t>owner of more than five percent of the class of securities, check the following:</w:t>
            </w: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940" w:type="dxa"/>
            <w:vAlign w:val="bottom"/>
          </w:tcPr>
          <w:p>
            <w:pPr>
              <w:spacing w:after="0"/>
              <w:rPr>
                <w:sz w:val="7"/>
                <w:szCs w:val="7"/>
                <w:color w:val="auto"/>
              </w:rPr>
            </w:pPr>
          </w:p>
        </w:tc>
        <w:tc>
          <w:tcPr>
            <w:tcW w:w="92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260" w:type="dxa"/>
            <w:vAlign w:val="bottom"/>
          </w:tcPr>
          <w:p>
            <w:pPr>
              <w:ind w:left="3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9260" w:type="dxa"/>
            <w:vAlign w:val="bottom"/>
          </w:tcPr>
          <w:p>
            <w:pPr>
              <w:ind w:left="380"/>
              <w:spacing w:after="0"/>
              <w:rPr>
                <w:sz w:val="20"/>
                <w:szCs w:val="20"/>
                <w:color w:val="auto"/>
              </w:rPr>
            </w:pPr>
            <w:r>
              <w:rPr>
                <w:rFonts w:ascii="Arial" w:cs="Arial" w:eastAsia="Arial" w:hAnsi="Arial"/>
                <w:sz w:val="18"/>
                <w:szCs w:val="18"/>
                <w:color w:val="auto"/>
              </w:rPr>
              <w:t>Not Applicable.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93" w:right="259" w:bottom="0" w:gutter="0" w:footer="0" w:header="0"/>
        </w:sectPr>
      </w:pPr>
    </w:p>
    <w:bookmarkStart w:id="3" w:name="page4"/>
    <w:bookmarkEnd w:id="3"/>
    <w:p>
      <w:pPr>
        <w:ind w:left="1320" w:right="1320" w:hanging="1322"/>
        <w:spacing w:after="0" w:line="275" w:lineRule="auto"/>
        <w:tabs>
          <w:tab w:leader="none" w:pos="13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7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Not Applicable.</w:t>
      </w:r>
    </w:p>
    <w:p>
      <w:pPr>
        <w:spacing w:after="0" w:line="31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368935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31"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368935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February 2, 2007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Roger Barton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w:t>
      </w:r>
    </w:p>
    <w:p>
      <w:pPr>
        <w:ind w:left="5620"/>
        <w:spacing w:after="0" w:line="234" w:lineRule="auto"/>
        <w:rPr>
          <w:sz w:val="20"/>
          <w:szCs w:val="20"/>
          <w:color w:val="auto"/>
        </w:rPr>
      </w:pPr>
      <w:r>
        <w:rPr>
          <w:rFonts w:ascii="Arial" w:cs="Arial" w:eastAsia="Arial" w:hAnsi="Arial"/>
          <w:sz w:val="18"/>
          <w:szCs w:val="18"/>
          <w:i w:val="1"/>
          <w:iCs w:val="1"/>
          <w:color w:val="auto"/>
        </w:rPr>
        <w:t>Roger Barton</w:t>
      </w:r>
    </w:p>
    <w:p>
      <w:pPr>
        <w:ind w:left="5620"/>
        <w:spacing w:after="0" w:line="235" w:lineRule="auto"/>
        <w:rPr>
          <w:sz w:val="20"/>
          <w:szCs w:val="20"/>
          <w:color w:val="auto"/>
        </w:rPr>
      </w:pPr>
      <w:r>
        <w:rPr>
          <w:rFonts w:ascii="Arial" w:cs="Arial" w:eastAsia="Arial" w:hAnsi="Arial"/>
          <w:sz w:val="18"/>
          <w:szCs w:val="18"/>
          <w:i w:val="1"/>
          <w:iCs w:val="1"/>
          <w:color w:val="auto"/>
        </w:rPr>
        <w:t>Vice President, General Counsel and</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sectPr>
      <w:pgSz w:w="11900" w:h="16838" w:orient="portrait"/>
      <w:cols w:equalWidth="0" w:num="1">
        <w:col w:w="11100"/>
      </w:cols>
      <w:pgMar w:left="340" w:top="12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2019-12-14T03:38:24Z</dcterms:created>
  <dcterms:modified xsi:type="dcterms:W3CDTF">2019-12-14T03:38:24Z</dcterms:modified>
</cp:coreProperties>
</file>