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zk2635189.htm"/>
      <w:bookmarkStart w:id="1" w:name="kszk2635189"/>
      <w:bookmarkStart w:id="2" w:name="zk2635189.htm"/>
      <w:bookmarkStart w:id="3" w:name="kszk2635189"/>
      <w:bookmarkEnd w:id="2"/>
      <w:bookmarkEnd w:id="3"/>
    </w:p>
    <w:p>
      <w:pPr>
        <w:pStyle w:val="TextBody"/>
        <w:bidi w:val="0"/>
        <w:spacing w:before="0" w:after="0"/>
        <w:jc w:val="left"/>
        <w:rPr>
          <w:b/>
        </w:rPr>
      </w:pPr>
      <w:r>
        <w:rPr>
          <w:b/>
        </w:rPr>
      </w:r>
    </w:p>
    <w:p>
      <w:pPr>
        <w:pStyle w:val="TextBody"/>
        <w:bidi w:val="0"/>
        <w:spacing w:lineRule="auto" w:line="300" w:before="0" w:after="0"/>
        <w:jc w:val="center"/>
        <w:rPr>
          <w:rFonts w:ascii="Times New Roman;Times;serif" w:hAnsi="Times New Roman;Times;serif"/>
          <w:b/>
          <w:color w:val="000000"/>
          <w:sz w:val="28"/>
        </w:rPr>
      </w:pPr>
      <w:r>
        <w:rPr>
          <w:rFonts w:ascii="Times New Roman;Times;serif" w:hAnsi="Times New Roman;Times;serif"/>
          <w:b/>
          <w:color w:val="000000"/>
          <w:sz w:val="28"/>
        </w:rPr>
        <w:t>UNITED STATES</w:t>
      </w:r>
    </w:p>
    <w:p>
      <w:pPr>
        <w:pStyle w:val="TextBody"/>
        <w:bidi w:val="0"/>
        <w:spacing w:lineRule="auto" w:line="300" w:before="0" w:after="0"/>
        <w:jc w:val="center"/>
        <w:rPr>
          <w:rFonts w:ascii="Times New Roman;Times;serif" w:hAnsi="Times New Roman;Times;serif"/>
          <w:b/>
          <w:smallCaps/>
          <w:color w:val="000000"/>
          <w:sz w:val="28"/>
        </w:rPr>
      </w:pPr>
      <w:r>
        <w:rPr>
          <w:rFonts w:ascii="Times New Roman;Times;serif" w:hAnsi="Times New Roman;Times;serif"/>
          <w:b/>
          <w:smallCaps/>
          <w:color w:val="000000"/>
          <w:sz w:val="28"/>
        </w:rPr>
        <w:t>SECURITIES AND EXCHANGE COMMISSION</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smallCaps/>
          <w:color w:val="000000"/>
          <w:sz w:val="20"/>
        </w:rPr>
        <w:t>W</w:t>
      </w:r>
      <w:r>
        <w:rPr>
          <w:rFonts w:ascii="Times New Roman;Times;serif" w:hAnsi="Times New Roman;Times;serif"/>
          <w:color w:val="000000"/>
          <w:sz w:val="20"/>
        </w:rPr>
        <w:t xml:space="preserve">ashington, D.C. </w:t>
      </w:r>
      <w:r>
        <w:rPr>
          <w:rFonts w:ascii="Times New Roman;Times;serif" w:hAnsi="Times New Roman;Times;serif"/>
          <w:smallCaps/>
          <w:color w:val="000000"/>
          <w:sz w:val="20"/>
        </w:rPr>
        <w:t>20549</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smallCaps/>
          <w:color w:val="000000"/>
          <w:sz w:val="28"/>
        </w:rPr>
      </w:pPr>
      <w:r>
        <w:rPr>
          <w:rFonts w:ascii="Times New Roman;Times;serif" w:hAnsi="Times New Roman;Times;serif"/>
          <w:b/>
          <w:smallCaps/>
          <w:color w:val="000000"/>
          <w:sz w:val="28"/>
        </w:rPr>
        <w:t>FORM 6-K</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REPORT OF FOREIGN PRIVATE ISSUER PURSUANT TO RULE 13a-16 OR 15d-16</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OF THE SECURITIES EXCHANGE ACT OF 1934</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smallCaps/>
          <w:color w:val="000000"/>
          <w:sz w:val="20"/>
        </w:rPr>
        <w:t>F</w:t>
      </w:r>
      <w:r>
        <w:rPr>
          <w:rFonts w:ascii="Times New Roman;Times;serif" w:hAnsi="Times New Roman;Times;serif"/>
          <w:color w:val="000000"/>
          <w:sz w:val="20"/>
        </w:rPr>
        <w:t>or the month of May 2026 No.1</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Commission File Number 0-24790</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32"/>
        </w:rPr>
      </w:pPr>
      <w:r>
        <w:rPr>
          <w:rFonts w:ascii="Times New Roman;Times;serif" w:hAnsi="Times New Roman;Times;serif"/>
          <w:b/>
          <w:color w:val="000000"/>
          <w:sz w:val="32"/>
        </w:rPr>
        <w:t>TOWER SEMICONDUCTOR LTD.</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(Translation of registrant's name into English)</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Ramat Gavriel Industrial Park</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P.O. Box 619, Migdal Haemek, Israel 2310502</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(Address of principal executive offices)</w:t>
      </w:r>
    </w:p>
    <w:p>
      <w:pPr>
        <w:pStyle w:val="TextBody"/>
        <w:bidi w:val="0"/>
        <w:spacing w:lineRule="auto" w:line="300" w:before="0" w:after="0"/>
        <w:jc w:val="left"/>
        <w:rPr/>
      </w:pPr>
      <w:r>
        <w:rPr/>
      </w:r>
    </w:p>
    <w:p>
      <w:pPr>
        <w:pStyle w:val="TextBody"/>
        <w:bidi w:val="0"/>
        <w:spacing w:lineRule="auto" w:line="300" w:before="0" w:after="0"/>
        <w:ind w:left="0" w:right="0" w:firstLine="710"/>
        <w:jc w:val="both"/>
        <w:rPr>
          <w:rFonts w:ascii="Times New Roman;Times;serif" w:hAnsi="Times New Roman;Times;serif"/>
          <w:color w:val="000000"/>
          <w:sz w:val="20"/>
        </w:rPr>
      </w:pPr>
      <w:r>
        <w:rPr>
          <w:rFonts w:ascii="Times New Roman;Times;serif" w:hAnsi="Times New Roman;Times;serif"/>
          <w:color w:val="000000"/>
          <w:sz w:val="20"/>
        </w:rPr>
        <w:t>Indicate by check mark whether the registrant files or will file annual reports under cover of Form 20-F or Form 40-F.</w:t>
      </w:r>
    </w:p>
    <w:p>
      <w:pPr>
        <w:pStyle w:val="TextBody"/>
        <w:bidi w:val="0"/>
        <w:spacing w:lineRule="auto" w:line="300" w:before="0" w:after="0"/>
        <w:ind w:left="0" w:right="0" w:firstLine="710"/>
        <w:jc w:val="both"/>
        <w:rPr/>
      </w:pPr>
      <w:r>
        <w:rPr/>
      </w:r>
    </w:p>
    <w:p>
      <w:pPr>
        <w:pStyle w:val="TextBody"/>
        <w:bidi w:val="0"/>
        <w:spacing w:lineRule="auto" w:line="300" w:before="0" w:after="0"/>
        <w:jc w:val="center"/>
        <w:rPr>
          <w:rFonts w:ascii="Times New Roman;Times;serif" w:hAnsi="Times New Roman;Times;serif"/>
          <w:b w:val="false"/>
          <w:i w:val="false"/>
          <w:caps w:val="false"/>
          <w:smallCaps w:val="false"/>
          <w:color w:val="000000"/>
          <w:spacing w:val="0"/>
          <w:sz w:val="20"/>
          <w:shd w:fill="FFFFFF" w:val="clear"/>
        </w:rPr>
      </w:pPr>
      <w:r>
        <w:rPr>
          <w:rFonts w:ascii="Times New Roman;Times;serif" w:hAnsi="Times New Roman;Times;serif"/>
          <w:b w:val="false"/>
          <w:i w:val="false"/>
          <w:caps w:val="false"/>
          <w:smallCaps w:val="false"/>
          <w:color w:val="000000"/>
          <w:spacing w:val="0"/>
          <w:sz w:val="20"/>
          <w:shd w:fill="FFFFFF" w:val="clear"/>
        </w:rPr>
        <w:t>Form 20-F ☒      Form 40-F ☐</w:t>
      </w:r>
    </w:p>
    <w:p>
      <w:pPr>
        <w:pStyle w:val="TextBody"/>
        <w:bidi w:val="0"/>
        <w:spacing w:lineRule="auto" w:line="300" w:before="0" w:after="0"/>
        <w:jc w:val="left"/>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ind w:left="0" w:right="0" w:hanging="0"/>
        <w:jc w:val="center"/>
        <w:rPr>
          <w:b/>
        </w:rPr>
      </w:pPr>
      <w:r>
        <w:rPr>
          <w:b/>
        </w:rPr>
      </w:r>
    </w:p>
    <w:p>
      <w:pPr>
        <w:pStyle w:val="TextBody"/>
        <w:bidi w:val="0"/>
        <w:spacing w:lineRule="auto" w:line="300" w:before="0" w:after="0"/>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On May 4, 2026, the Registrant Announced its Participation in May and</w:t>
      </w:r>
    </w:p>
    <w:p>
      <w:pPr>
        <w:pStyle w:val="TextBody"/>
        <w:bidi w:val="0"/>
        <w:spacing w:lineRule="auto" w:line="300" w:before="0" w:after="0"/>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June Investor Conferences</w:t>
      </w:r>
    </w:p>
    <w:p>
      <w:pPr>
        <w:pStyle w:val="TextBody"/>
        <w:bidi w:val="0"/>
        <w:spacing w:lineRule="auto" w:line="300" w:before="0" w:after="0"/>
        <w:jc w:val="left"/>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SIGNATURES</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4" w:name="z6f4c6bd2ee8043df91c4759e0ebe35b6"/>
      <w:bookmarkStart w:id="5" w:name="z6f4c6bd2ee8043df91c4759e0ebe35b6"/>
      <w:bookmarkEnd w:id="5"/>
    </w:p>
    <w:tbl>
      <w:tblPr>
        <w:tblW w:w="5725" w:type="dxa"/>
        <w:jc w:val="left"/>
        <w:tblInd w:w="0" w:type="dxa"/>
        <w:tblLayout w:type="fixed"/>
        <w:tblCellMar>
          <w:top w:w="0" w:type="dxa"/>
          <w:left w:w="0" w:type="dxa"/>
          <w:bottom w:w="0" w:type="dxa"/>
          <w:right w:w="0" w:type="dxa"/>
        </w:tblCellMar>
      </w:tblPr>
      <w:tblGrid>
        <w:gridCol w:w="1865"/>
        <w:gridCol w:w="3860"/>
      </w:tblGrid>
      <w:tr>
        <w:trPr/>
        <w:tc>
          <w:tcPr>
            <w:tcW w:w="1865" w:type="dxa"/>
            <w:tcBorders/>
            <w:vAlign w:val="center"/>
          </w:tcPr>
          <w:p>
            <w:pPr>
              <w:pStyle w:val="TableContents"/>
              <w:bidi w:val="0"/>
              <w:spacing w:before="0" w:after="0"/>
              <w:jc w:val="left"/>
              <w:rPr/>
            </w:pPr>
            <w:r>
              <w:rPr/>
              <w:t> </w:t>
            </w:r>
          </w:p>
        </w:tc>
        <w:tc>
          <w:tcPr>
            <w:tcW w:w="3860" w:type="dxa"/>
            <w:tcBorders/>
            <w:vAlign w:val="center"/>
          </w:tcPr>
          <w:p>
            <w:pPr>
              <w:pStyle w:val="TableContents"/>
              <w:bidi w:val="0"/>
              <w:spacing w:lineRule="auto" w:line="300" w:before="0" w:after="0"/>
              <w:jc w:val="left"/>
              <w:rPr>
                <w:rFonts w:ascii="Times New Roman;Times;serif" w:hAnsi="Times New Roman;Times;serif"/>
                <w:b/>
              </w:rPr>
            </w:pPr>
            <w:r>
              <w:rPr>
                <w:rFonts w:ascii="Times New Roman;Times;serif" w:hAnsi="Times New Roman;Times;serif"/>
                <w:b/>
              </w:rPr>
              <w:t>TOWER SEMICONDUCTOR LTD.</w:t>
            </w:r>
          </w:p>
        </w:tc>
      </w:tr>
      <w:tr>
        <w:trPr/>
        <w:tc>
          <w:tcPr>
            <w:tcW w:w="1865" w:type="dxa"/>
            <w:tcBorders/>
            <w:vAlign w:val="center"/>
          </w:tcPr>
          <w:p>
            <w:pPr>
              <w:pStyle w:val="TableContents"/>
              <w:bidi w:val="0"/>
              <w:spacing w:before="0" w:after="283"/>
              <w:jc w:val="left"/>
              <w:rPr/>
            </w:pPr>
            <w:r>
              <w:rPr/>
              <w:t> </w:t>
            </w:r>
          </w:p>
        </w:tc>
        <w:tc>
          <w:tcPr>
            <w:tcW w:w="3860" w:type="dxa"/>
            <w:tcBorders/>
            <w:vAlign w:val="center"/>
          </w:tcPr>
          <w:p>
            <w:pPr>
              <w:pStyle w:val="TableContents"/>
              <w:bidi w:val="0"/>
              <w:spacing w:before="0" w:after="283"/>
              <w:jc w:val="left"/>
              <w:rPr/>
            </w:pPr>
            <w:r>
              <w:rPr/>
            </w:r>
          </w:p>
        </w:tc>
      </w:tr>
      <w:tr>
        <w:trPr/>
        <w:tc>
          <w:tcPr>
            <w:tcW w:w="1865" w:type="dxa"/>
            <w:tcBorders/>
            <w:vAlign w:val="center"/>
          </w:tcPr>
          <w:p>
            <w:pPr>
              <w:pStyle w:val="TableContents"/>
              <w:bidi w:val="0"/>
              <w:spacing w:before="0" w:after="283"/>
              <w:jc w:val="left"/>
              <w:rPr/>
            </w:pPr>
            <w:r>
              <w:rPr/>
              <w:t xml:space="preserve">Date: May 4, 2026 </w:t>
            </w:r>
          </w:p>
        </w:tc>
        <w:tc>
          <w:tcPr>
            <w:tcW w:w="3860" w:type="dxa"/>
            <w:tcBorders/>
            <w:vAlign w:val="center"/>
          </w:tcPr>
          <w:p>
            <w:pPr>
              <w:pStyle w:val="TableContents"/>
              <w:bidi w:val="0"/>
              <w:spacing w:before="0" w:after="283"/>
              <w:jc w:val="left"/>
              <w:rPr/>
            </w:pPr>
            <w:r>
              <w:rPr/>
              <w:t xml:space="preserve">By: </w:t>
            </w:r>
            <w:r>
              <w:rPr>
                <w:u w:val="single"/>
              </w:rPr>
              <w:t>/s/ Nati Somekh</w:t>
            </w:r>
          </w:p>
        </w:tc>
      </w:tr>
      <w:tr>
        <w:trPr/>
        <w:tc>
          <w:tcPr>
            <w:tcW w:w="1865" w:type="dxa"/>
            <w:tcBorders/>
            <w:vAlign w:val="center"/>
          </w:tcPr>
          <w:p>
            <w:pPr>
              <w:pStyle w:val="TableContents"/>
              <w:bidi w:val="0"/>
              <w:spacing w:before="0" w:after="283"/>
              <w:jc w:val="left"/>
              <w:rPr/>
            </w:pPr>
            <w:r>
              <w:rPr/>
              <w:t> </w:t>
            </w:r>
          </w:p>
        </w:tc>
        <w:tc>
          <w:tcPr>
            <w:tcW w:w="3860" w:type="dxa"/>
            <w:tcBorders/>
            <w:vAlign w:val="center"/>
          </w:tcPr>
          <w:p>
            <w:pPr>
              <w:pStyle w:val="TableContents"/>
              <w:bidi w:val="0"/>
              <w:spacing w:before="0" w:after="0"/>
              <w:jc w:val="left"/>
              <w:rPr/>
            </w:pPr>
            <w:r>
              <w:rPr/>
              <w:t xml:space="preserve">       </w:t>
            </w:r>
            <w:r>
              <w:rPr/>
              <w:t>Name:  Nati Somekh</w:t>
            </w:r>
          </w:p>
        </w:tc>
      </w:tr>
      <w:tr>
        <w:trPr/>
        <w:tc>
          <w:tcPr>
            <w:tcW w:w="1865" w:type="dxa"/>
            <w:tcBorders/>
            <w:vAlign w:val="center"/>
          </w:tcPr>
          <w:p>
            <w:pPr>
              <w:pStyle w:val="TableContents"/>
              <w:bidi w:val="0"/>
              <w:spacing w:before="0" w:after="283"/>
              <w:jc w:val="left"/>
              <w:rPr/>
            </w:pPr>
            <w:r>
              <w:rPr/>
              <w:t> </w:t>
            </w:r>
          </w:p>
        </w:tc>
        <w:tc>
          <w:tcPr>
            <w:tcW w:w="3860" w:type="dxa"/>
            <w:tcBorders/>
            <w:vAlign w:val="center"/>
          </w:tcPr>
          <w:p>
            <w:pPr>
              <w:pStyle w:val="TableContents"/>
              <w:bidi w:val="0"/>
              <w:spacing w:before="0" w:after="0"/>
              <w:jc w:val="left"/>
              <w:rPr/>
            </w:pPr>
            <w:r>
              <w:rPr/>
              <w:t xml:space="preserve">       </w:t>
            </w:r>
            <w:r>
              <w:rPr/>
              <w:t>Title:  Corporate Secretary</w:t>
            </w:r>
          </w:p>
        </w:tc>
      </w:tr>
    </w:tbl>
    <w:p>
      <w:pPr>
        <w:pStyle w:val="TextBody"/>
        <w:bidi w:val="0"/>
        <w:spacing w:lineRule="auto" w:line="300"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lineRule="auto" w:line="300" w:before="0" w:after="0"/>
        <w:jc w:val="left"/>
        <w:rPr>
          <w:color w:val="000000"/>
        </w:rPr>
      </w:pPr>
      <w:r>
        <w:rPr>
          <w:color w:val="000000"/>
        </w:rPr>
        <w:drawing>
          <wp:inline distT="0" distB="0" distL="0" distR="0">
            <wp:extent cx="762000" cy="438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62000" cy="438150"/>
                    </a:xfrm>
                    <a:prstGeom prst="rect">
                      <a:avLst/>
                    </a:prstGeom>
                  </pic:spPr>
                </pic:pic>
              </a:graphicData>
            </a:graphic>
          </wp:inline>
        </w:drawing>
      </w:r>
      <w:r>
        <w:rPr>
          <w:color w:val="000000"/>
        </w:rPr>
        <w:t>          </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4"/>
        </w:rPr>
      </w:pPr>
      <w:r>
        <w:rPr>
          <w:rFonts w:ascii="Times New Roman;Times;serif" w:hAnsi="Times New Roman;Times;serif"/>
          <w:b/>
          <w:color w:val="000000"/>
          <w:sz w:val="24"/>
        </w:rPr>
        <w:t>Tower Semiconductor to Participate in May and June Investor Conferences</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b/>
          <w:color w:val="000000"/>
          <w:sz w:val="20"/>
        </w:rPr>
        <w:t>MIGDAL HAEMEK, Israel, May 4, 2026</w:t>
      </w:r>
      <w:r>
        <w:rPr>
          <w:rFonts w:ascii="Times New Roman;Times;serif" w:hAnsi="Times New Roman;Times;serif"/>
          <w:color w:val="000000"/>
          <w:sz w:val="20"/>
        </w:rPr>
        <w:t> – Tower Semiconductor (NASDAQ/TASE: TSEM), a leading foundry of high-value analog semiconductor solutions, today announced that company representatives will participate in several upcoming investor conferences in May and June:</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6" w:name="z71c19561e64d40f68422ad26eb7b7a82"/>
      <w:bookmarkStart w:id="7" w:name="z71c19561e64d40f68422ad26eb7b7a82"/>
      <w:bookmarkEnd w:id="7"/>
    </w:p>
    <w:tbl>
      <w:tblPr>
        <w:tblW w:w="8103" w:type="dxa"/>
        <w:jc w:val="left"/>
        <w:tblInd w:w="0" w:type="dxa"/>
        <w:tblLayout w:type="fixed"/>
        <w:tblCellMar>
          <w:top w:w="0" w:type="dxa"/>
          <w:left w:w="0" w:type="dxa"/>
          <w:bottom w:w="0" w:type="dxa"/>
          <w:right w:w="0" w:type="dxa"/>
        </w:tblCellMar>
      </w:tblPr>
      <w:tblGrid>
        <w:gridCol w:w="38"/>
        <w:gridCol w:w="110"/>
        <w:gridCol w:w="795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955" w:type="dxa"/>
            <w:tcBorders/>
            <w:vAlign w:val="center"/>
          </w:tcPr>
          <w:p>
            <w:pPr>
              <w:pStyle w:val="TableContents"/>
              <w:bidi w:val="0"/>
              <w:spacing w:before="0" w:after="0"/>
              <w:jc w:val="left"/>
              <w:rPr/>
            </w:pPr>
            <w:r>
              <w:rPr/>
              <w:t>The 27th Annual Oppenheimer Israeli Conference in Tel Aviv on Monday, May 18</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8" w:name="z2435d93a639147e29bf0ee45d29c3db5"/>
      <w:bookmarkStart w:id="9" w:name="z2435d93a639147e29bf0ee45d29c3db5"/>
      <w:bookmarkEnd w:id="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The 54th Annual TD Cowen Technology, Media &amp; Telecom Conference in New York on Wednesday, May 27</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 w:name="z5f715b0e111146748acefd7f9540fa84"/>
      <w:bookmarkStart w:id="11" w:name="z5f715b0e111146748acefd7f9540fa84"/>
      <w:bookmarkEnd w:id="11"/>
    </w:p>
    <w:tbl>
      <w:tblPr>
        <w:tblW w:w="9918" w:type="dxa"/>
        <w:jc w:val="left"/>
        <w:tblInd w:w="0" w:type="dxa"/>
        <w:tblLayout w:type="fixed"/>
        <w:tblCellMar>
          <w:top w:w="0" w:type="dxa"/>
          <w:left w:w="0" w:type="dxa"/>
          <w:bottom w:w="0" w:type="dxa"/>
          <w:right w:w="0" w:type="dxa"/>
        </w:tblCellMar>
      </w:tblPr>
      <w:tblGrid>
        <w:gridCol w:w="38"/>
        <w:gridCol w:w="110"/>
        <w:gridCol w:w="977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770" w:type="dxa"/>
            <w:tcBorders/>
            <w:vAlign w:val="center"/>
          </w:tcPr>
          <w:p>
            <w:pPr>
              <w:pStyle w:val="TableContents"/>
              <w:bidi w:val="0"/>
              <w:spacing w:before="0" w:after="0"/>
              <w:jc w:val="left"/>
              <w:rPr/>
            </w:pPr>
            <w:r>
              <w:rPr/>
              <w:t>The 23rd Annual Craig-Hallum Institutional Investor Conference in Minneapolis on Thursday, May 28</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 w:name="z40357e58864241c286d66dc151fec95e"/>
      <w:bookmarkStart w:id="13" w:name="z40357e58864241c286d66dc151fec95e"/>
      <w:bookmarkEnd w:id="13"/>
    </w:p>
    <w:tbl>
      <w:tblPr>
        <w:tblW w:w="9453" w:type="dxa"/>
        <w:jc w:val="left"/>
        <w:tblInd w:w="0" w:type="dxa"/>
        <w:tblLayout w:type="fixed"/>
        <w:tblCellMar>
          <w:top w:w="0" w:type="dxa"/>
          <w:left w:w="0" w:type="dxa"/>
          <w:bottom w:w="0" w:type="dxa"/>
          <w:right w:w="0" w:type="dxa"/>
        </w:tblCellMar>
      </w:tblPr>
      <w:tblGrid>
        <w:gridCol w:w="38"/>
        <w:gridCol w:w="110"/>
        <w:gridCol w:w="930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305" w:type="dxa"/>
            <w:tcBorders/>
            <w:vAlign w:val="center"/>
          </w:tcPr>
          <w:p>
            <w:pPr>
              <w:pStyle w:val="TableContents"/>
              <w:bidi w:val="0"/>
              <w:spacing w:before="0" w:after="0"/>
              <w:jc w:val="left"/>
              <w:rPr/>
            </w:pPr>
            <w:r>
              <w:rPr/>
              <w:t>The 2026 Mizuho Global Tech Conference in New York on Tuesday and Wednesday, June 9–10</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There will be an opportunity for investors to meet one-on-one with company representatives at these conferences. Interested investors should contact the conference organizers or email the investor relations team at </w:t>
      </w:r>
      <w:r>
        <w:rPr>
          <w:rFonts w:ascii="Times New Roman;Times;serif" w:hAnsi="Times New Roman;Times;serif"/>
          <w:color w:val="000000"/>
          <w:sz w:val="20"/>
          <w:u w:val="single"/>
        </w:rPr>
        <w:t>towersemi@kcsa.com</w:t>
      </w:r>
      <w:r>
        <w:rPr>
          <w:rFonts w:ascii="Times New Roman;Times;serif" w:hAnsi="Times New Roman;Times;serif"/>
          <w:color w:val="000000"/>
          <w:sz w:val="20"/>
        </w:rPr>
        <w:t>.</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About Tower Semiconductor</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Tower Semiconductor Ltd. (NASDAQ/TASE: TSEM), the leading foundry of high-value analog semiconductor solutions, provides technology, development, and process platforms for its customers in growing markets such as consumer, industrial, automotive, mobile, infrastructure, medical and aerospace and defense. Tower Semiconductor focuses on creating a positive and sustainable impact on the world through long-term partnerships and its advanced and innovative analog technology offering, comprised of a broad range of customizable process platforms such as SiPho, SiGe, BiCMOS, mixed-signal/CMOS, RF CMOS, CMOS image sensor, non-imaging sensors, displays, integrated power management (BCD and 700V),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currently owns one operating facility in Israel (200mm), two in the U.S. (200mm), and two in Japan (200mm and 300mm) which it owns through its 51% holdings in TPSCo and shares a 300mm facility in Agrate, Italy with STMicroelectronics. For more information, please visit: </w:t>
      </w:r>
      <w:r>
        <w:rPr>
          <w:rFonts w:ascii="Times New Roman;Times;serif" w:hAnsi="Times New Roman;Times;serif"/>
          <w:color w:val="000000"/>
          <w:sz w:val="20"/>
          <w:u w:val="single"/>
        </w:rPr>
        <w:t>www.towersemi.com</w:t>
      </w:r>
      <w:r>
        <w:rPr>
          <w:rFonts w:ascii="Times New Roman;Times;serif" w:hAnsi="Times New Roman;Times;serif"/>
          <w:color w:val="000000"/>
          <w:sz w:val="20"/>
        </w:rPr>
        <w:t>.</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Contact Information:</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Liat Avraham</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Investor Relations</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u w:val="single"/>
        </w:rPr>
        <w:t>liatavra@towersemi.com</w:t>
      </w:r>
      <w:r>
        <w:rPr>
          <w:rFonts w:ascii="Times New Roman;Times;serif" w:hAnsi="Times New Roman;Times;serif"/>
          <w:color w:val="000000"/>
          <w:sz w:val="20"/>
        </w:rPr>
        <w:t xml:space="preserve"> | +972 4 650 6154</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David Hanover</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KCSA Strategic Communications</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u w:val="single"/>
        </w:rPr>
        <w:t>towersemi@kcsa.com</w:t>
      </w:r>
      <w:r>
        <w:rPr>
          <w:rFonts w:ascii="Times New Roman;Times;serif" w:hAnsi="Times New Roman;Times;serif"/>
          <w:color w:val="000000"/>
          <w:sz w:val="20"/>
        </w:rPr>
        <w:t xml:space="preserve"> | 212-682-6300</w:t>
      </w:r>
    </w:p>
    <w:p>
      <w:pPr>
        <w:pStyle w:val="TextBody"/>
        <w:bidi w:val="0"/>
        <w:spacing w:lineRule="auto" w:line="300" w:before="0" w:after="0"/>
        <w:jc w:val="left"/>
        <w:rPr/>
      </w:pPr>
      <w:r>
        <w:rPr/>
      </w:r>
    </w:p>
    <w:p>
      <w:pPr>
        <w:pStyle w:val="HorizontalLine"/>
        <w:bidi w:val="0"/>
        <w:spacing w:lineRule="auto" w:line="300"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495</Words>
  <Characters>2928</Characters>
  <CharactersWithSpaces>3422</CharactersWithSpaces>
  <Paragraphs>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