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1 )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Tower Semiconductor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M87915274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M87915274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Massachusetts</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8,804,442</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9,476,212</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9,476,212</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8.81%</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CUSIP No. M87915274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8,804,442</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9,476,212</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9,476,212</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8.81%</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M87915274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8,804,442</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9,476,212</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9,476,212</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8.81%</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M87915274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Management Company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480" w:type="dxa"/>
            <w:vAlign w:val="bottom"/>
          </w:tcPr>
          <w:p>
            <w:pPr>
              <w:spacing w:after="0"/>
              <w:rPr>
                <w:sz w:val="24"/>
                <w:szCs w:val="24"/>
                <w:color w:val="auto"/>
              </w:rPr>
            </w:pPr>
          </w:p>
        </w:tc>
        <w:tc>
          <w:tcPr>
            <w:tcW w:w="63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480" w:type="dxa"/>
            <w:vAlign w:val="bottom"/>
          </w:tcPr>
          <w:p>
            <w:pPr>
              <w:spacing w:after="0"/>
              <w:rPr>
                <w:sz w:val="21"/>
                <w:szCs w:val="21"/>
                <w:color w:val="auto"/>
              </w:rPr>
            </w:pPr>
          </w:p>
        </w:tc>
        <w:tc>
          <w:tcPr>
            <w:tcW w:w="63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8,494,748</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480" w:type="dxa"/>
            <w:vAlign w:val="bottom"/>
          </w:tcPr>
          <w:p>
            <w:pPr>
              <w:spacing w:after="0"/>
              <w:rPr>
                <w:sz w:val="15"/>
                <w:szCs w:val="15"/>
                <w:color w:val="auto"/>
              </w:rPr>
            </w:pPr>
          </w:p>
        </w:tc>
        <w:tc>
          <w:tcPr>
            <w:tcW w:w="634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634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480" w:type="dxa"/>
            <w:vAlign w:val="bottom"/>
          </w:tcPr>
          <w:p>
            <w:pPr>
              <w:spacing w:after="0"/>
              <w:rPr>
                <w:sz w:val="12"/>
                <w:szCs w:val="12"/>
                <w:color w:val="auto"/>
              </w:rPr>
            </w:pPr>
          </w:p>
        </w:tc>
        <w:tc>
          <w:tcPr>
            <w:tcW w:w="634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634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480" w:type="dxa"/>
            <w:vAlign w:val="bottom"/>
          </w:tcPr>
          <w:p>
            <w:pPr>
              <w:spacing w:after="0"/>
              <w:rPr>
                <w:sz w:val="24"/>
                <w:szCs w:val="24"/>
                <w:color w:val="auto"/>
              </w:rPr>
            </w:pPr>
          </w:p>
        </w:tc>
        <w:tc>
          <w:tcPr>
            <w:tcW w:w="63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8,875,102</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34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8,875,102</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8.25%</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6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34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5" w:name="page6"/>
    <w:bookmarkEnd w:id="5"/>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125" w:lineRule="exact"/>
        <w:rPr>
          <w:sz w:val="20"/>
          <w:szCs w:val="20"/>
          <w:color w:val="auto"/>
        </w:rPr>
      </w:pPr>
    </w:p>
    <w:p>
      <w:pPr>
        <w:ind w:left="1760" w:hanging="401"/>
        <w:spacing w:after="0"/>
        <w:tabs>
          <w:tab w:leader="none" w:pos="17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w:t>
      </w:r>
    </w:p>
    <w:p>
      <w:pPr>
        <w:spacing w:after="0" w:line="18" w:lineRule="exact"/>
        <w:rPr>
          <w:rFonts w:ascii="Times New Roman" w:cs="Times New Roman" w:eastAsia="Times New Roman" w:hAnsi="Times New Roman"/>
          <w:sz w:val="22"/>
          <w:szCs w:val="22"/>
          <w:b w:val="1"/>
          <w:bCs w:val="1"/>
          <w:color w:val="auto"/>
        </w:rPr>
      </w:pPr>
    </w:p>
    <w:p>
      <w:pPr>
        <w:ind w:left="1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Tower Semiconductor Ltd.</w:t>
      </w:r>
    </w:p>
    <w:p>
      <w:pPr>
        <w:spacing w:after="0" w:line="97" w:lineRule="exact"/>
        <w:rPr>
          <w:rFonts w:ascii="Times New Roman" w:cs="Times New Roman" w:eastAsia="Times New Roman" w:hAnsi="Times New Roman"/>
          <w:sz w:val="22"/>
          <w:szCs w:val="22"/>
          <w:b w:val="1"/>
          <w:bCs w:val="1"/>
          <w:color w:val="auto"/>
        </w:rPr>
      </w:pPr>
    </w:p>
    <w:p>
      <w:pPr>
        <w:ind w:left="1760" w:right="4960" w:hanging="401"/>
        <w:spacing w:after="0" w:line="243" w:lineRule="auto"/>
        <w:tabs>
          <w:tab w:leader="none" w:pos="17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Issuer's Principal Executive Offices </w:t>
      </w:r>
      <w:r>
        <w:rPr>
          <w:rFonts w:ascii="Times New Roman" w:cs="Times New Roman" w:eastAsia="Times New Roman" w:hAnsi="Times New Roman"/>
          <w:sz w:val="22"/>
          <w:szCs w:val="22"/>
          <w:color w:val="auto"/>
        </w:rPr>
        <w:t>Ramat Gavriel Industrial Park</w:t>
      </w:r>
    </w:p>
    <w:p>
      <w:pPr>
        <w:spacing w:after="0" w:line="1" w:lineRule="exact"/>
        <w:rPr>
          <w:rFonts w:ascii="Times New Roman" w:cs="Times New Roman" w:eastAsia="Times New Roman" w:hAnsi="Times New Roman"/>
          <w:sz w:val="22"/>
          <w:szCs w:val="22"/>
          <w:b w:val="1"/>
          <w:bCs w:val="1"/>
          <w:color w:val="auto"/>
        </w:rPr>
      </w:pPr>
    </w:p>
    <w:p>
      <w:pPr>
        <w:ind w:left="1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Migdal Haemek, L3 23105</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760" w:right="5180"/>
        <w:spacing w:after="0" w:line="23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 Wellington Management Company LLP</w:t>
      </w:r>
    </w:p>
    <w:p>
      <w:pPr>
        <w:spacing w:after="0" w:line="92" w:lineRule="exact"/>
        <w:rPr>
          <w:rFonts w:ascii="Times New Roman" w:cs="Times New Roman" w:eastAsia="Times New Roman" w:hAnsi="Times New Roman"/>
          <w:sz w:val="22"/>
          <w:szCs w:val="22"/>
          <w:b w:val="1"/>
          <w:bCs w:val="1"/>
          <w:color w:val="auto"/>
        </w:rPr>
      </w:pPr>
    </w:p>
    <w:p>
      <w:pPr>
        <w:ind w:left="1760" w:right="3880" w:hanging="401"/>
        <w:spacing w:after="0" w:line="243"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Principal Business Office or, if None, Residence </w:t>
      </w:r>
      <w:r>
        <w:rPr>
          <w:rFonts w:ascii="Times New Roman" w:cs="Times New Roman" w:eastAsia="Times New Roman" w:hAnsi="Times New Roman"/>
          <w:sz w:val="22"/>
          <w:szCs w:val="22"/>
          <w:color w:val="auto"/>
        </w:rPr>
        <w:t>c/o Wellington Management Company LLP</w:t>
      </w:r>
    </w:p>
    <w:p>
      <w:pPr>
        <w:spacing w:after="0" w:line="1" w:lineRule="exact"/>
        <w:rPr>
          <w:rFonts w:ascii="Times New Roman" w:cs="Times New Roman" w:eastAsia="Times New Roman" w:hAnsi="Times New Roman"/>
          <w:sz w:val="22"/>
          <w:szCs w:val="22"/>
          <w:b w:val="1"/>
          <w:bCs w:val="1"/>
          <w:color w:val="auto"/>
        </w:rPr>
      </w:pPr>
    </w:p>
    <w:p>
      <w:pPr>
        <w:ind w:left="1760" w:right="7540"/>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280 Congress Street Boston, MA 02210</w:t>
      </w:r>
    </w:p>
    <w:p>
      <w:pPr>
        <w:spacing w:after="0" w:line="73" w:lineRule="exact"/>
        <w:rPr>
          <w:rFonts w:ascii="Times New Roman" w:cs="Times New Roman" w:eastAsia="Times New Roman" w:hAnsi="Times New Roman"/>
          <w:sz w:val="22"/>
          <w:szCs w:val="22"/>
          <w:b w:val="1"/>
          <w:bCs w:val="1"/>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w:t>
      </w:r>
    </w:p>
    <w:p>
      <w:pPr>
        <w:spacing w:after="0" w:line="18" w:lineRule="exact"/>
        <w:rPr>
          <w:rFonts w:ascii="Times New Roman" w:cs="Times New Roman" w:eastAsia="Times New Roman" w:hAnsi="Times New Roman"/>
          <w:sz w:val="22"/>
          <w:szCs w:val="22"/>
          <w:b w:val="1"/>
          <w:bCs w:val="1"/>
          <w:color w:val="auto"/>
        </w:rPr>
      </w:pPr>
    </w:p>
    <w:p>
      <w:pPr>
        <w:ind w:left="1760" w:right="4180"/>
        <w:spacing w:after="0" w:line="23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 Massachusetts Wellington Group Holdings LLP - Delaware Wellington Investment Advisors Holdings LLP - Delaware Wellington Management Company LLP - Delaware</w:t>
      </w:r>
    </w:p>
    <w:p>
      <w:pPr>
        <w:spacing w:after="0" w:line="92" w:lineRule="exact"/>
        <w:rPr>
          <w:rFonts w:ascii="Times New Roman" w:cs="Times New Roman" w:eastAsia="Times New Roman" w:hAnsi="Times New Roman"/>
          <w:sz w:val="22"/>
          <w:szCs w:val="22"/>
          <w:b w:val="1"/>
          <w:bCs w:val="1"/>
          <w:color w:val="auto"/>
        </w:rPr>
      </w:pPr>
    </w:p>
    <w:p>
      <w:pPr>
        <w:ind w:left="1760" w:right="6880" w:hanging="401"/>
        <w:spacing w:after="0" w:line="262"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760" w:right="7800" w:hanging="401"/>
        <w:spacing w:after="0" w:line="286" w:lineRule="auto"/>
        <w:tabs>
          <w:tab w:leader="none" w:pos="17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M87915274</w:t>
      </w:r>
    </w:p>
    <w:p>
      <w:pPr>
        <w:spacing w:after="0" w:line="45" w:lineRule="exact"/>
        <w:rPr>
          <w:sz w:val="20"/>
          <w:szCs w:val="20"/>
          <w:color w:val="auto"/>
        </w:rPr>
      </w:pPr>
    </w:p>
    <w:p>
      <w:pPr>
        <w:ind w:left="1360" w:hanging="1349"/>
        <w:spacing w:after="0" w:line="262" w:lineRule="auto"/>
        <w:tabs>
          <w:tab w:leader="none" w:pos="134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2"/>
          <w:szCs w:val="22"/>
          <w:b w:val="1"/>
          <w:bCs w:val="1"/>
          <w:color w:val="auto"/>
        </w:rPr>
        <w:t>If This Statement is Filed Pursuant to Rule 13d-1(b), or 13d-2(b) or (c), Check Whether the Person Filing is a:</w:t>
      </w:r>
    </w:p>
    <w:p>
      <w:pPr>
        <w:spacing w:after="0" w:line="73" w:lineRule="exact"/>
        <w:rPr>
          <w:sz w:val="20"/>
          <w:szCs w:val="20"/>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Broker or dealer registered under Section 15 of the Act (15 U.S.C. 78o).</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Bank as defined in Section 3(a)(6) of the Act (15 U.S.C. 78c).</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Insurance Company as defined in Section 3(a)(19) of the Act (15 U.S.C. 78c).</w:t>
      </w:r>
    </w:p>
    <w:p>
      <w:pPr>
        <w:spacing w:after="0" w:line="125" w:lineRule="exact"/>
        <w:rPr>
          <w:rFonts w:ascii="Times New Roman" w:cs="Times New Roman" w:eastAsia="Times New Roman" w:hAnsi="Times New Roman"/>
          <w:sz w:val="22"/>
          <w:szCs w:val="22"/>
          <w:color w:val="auto"/>
        </w:rPr>
      </w:pPr>
    </w:p>
    <w:p>
      <w:pPr>
        <w:ind w:left="2220" w:right="12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Investment Company registered under Section 8 of the Investment Company Act of 1940 (15 U.S.C. 80a-8).</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An investment adviser in accordance with Rule 240.13d-1(b)(1)(ii)(E); *</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employee benefit plan or endowment fund in accordance with Rule 240.13d-1(b)(1)(ii)(F);</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 parent holding company or control person in accordance with Rule 240.13d-1(b)(1)(ii)(G);</w:t>
      </w:r>
    </w:p>
    <w:p>
      <w:pPr>
        <w:spacing w:after="0" w:line="125" w:lineRule="exact"/>
        <w:rPr>
          <w:rFonts w:ascii="Times New Roman" w:cs="Times New Roman" w:eastAsia="Times New Roman" w:hAnsi="Times New Roman"/>
          <w:sz w:val="22"/>
          <w:szCs w:val="22"/>
          <w:color w:val="auto"/>
        </w:rPr>
      </w:pPr>
    </w:p>
    <w:p>
      <w:pPr>
        <w:ind w:left="2220" w:right="46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savings association as defined in Section 3(b) of the Federal Deposit Insurance Act (12 U.S.C. 1813);</w:t>
      </w:r>
    </w:p>
    <w:p>
      <w:pPr>
        <w:spacing w:after="0" w:line="77" w:lineRule="exact"/>
        <w:rPr>
          <w:rFonts w:ascii="Times New Roman" w:cs="Times New Roman" w:eastAsia="Times New Roman" w:hAnsi="Times New Roman"/>
          <w:sz w:val="22"/>
          <w:szCs w:val="22"/>
          <w:color w:val="auto"/>
        </w:rPr>
      </w:pPr>
    </w:p>
    <w:p>
      <w:pPr>
        <w:ind w:left="2220" w:right="14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church plan that is excluded from the definition of an investment company under Section 3(c)(14) of the Investment Company Act of 1940 (15 U.S.C. 80a-3);</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Group, in accordance with Rule 240.13d-1(b)(1)(ii)(J).</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statement is filed pursuant to Rule 13d-1(c), check this box [ ]</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Group LLP - HC</w:t>
      </w:r>
    </w:p>
    <w:p>
      <w:pPr>
        <w:spacing w:after="0" w:line="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Group Holdings LLP - HC</w:t>
      </w:r>
    </w:p>
    <w:p>
      <w:pPr>
        <w:ind w:left="1360"/>
        <w:spacing w:after="0" w:line="230" w:lineRule="auto"/>
        <w:rPr>
          <w:sz w:val="20"/>
          <w:szCs w:val="20"/>
          <w:color w:val="auto"/>
        </w:rPr>
      </w:pPr>
      <w:r>
        <w:rPr>
          <w:rFonts w:ascii="Times New Roman" w:cs="Times New Roman" w:eastAsia="Times New Roman" w:hAnsi="Times New Roman"/>
          <w:sz w:val="22"/>
          <w:szCs w:val="22"/>
          <w:color w:val="auto"/>
        </w:rPr>
        <w:t>Wellington Investment Advisors Holdings LLP - HC</w:t>
      </w:r>
    </w:p>
    <w:p>
      <w:pPr>
        <w:spacing w:after="0" w:line="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Company LLP - IA</w:t>
      </w:r>
    </w:p>
    <w:p>
      <w:pPr>
        <w:spacing w:after="0" w:line="97"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9 on the attached cover pages.</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11 on the attached cover pages.</w:t>
      </w:r>
    </w:p>
    <w:p>
      <w:pPr>
        <w:sectPr>
          <w:pgSz w:w="11900" w:h="16901" w:orient="portrait"/>
          <w:cols w:equalWidth="0" w:num="1">
            <w:col w:w="11040"/>
          </w:cols>
          <w:pgMar w:left="400" w:top="405" w:right="459" w:bottom="0" w:gutter="0" w:footer="0" w:header="0"/>
        </w:sectPr>
      </w:pPr>
    </w:p>
    <w:bookmarkStart w:id="6" w:name="page7"/>
    <w:bookmarkEnd w:id="6"/>
    <w:p>
      <w:pPr>
        <w:spacing w:after="0" w:line="65" w:lineRule="exact"/>
        <w:rPr>
          <w:sz w:val="20"/>
          <w:szCs w:val="20"/>
          <w:color w:val="auto"/>
        </w:rPr>
      </w:pPr>
    </w:p>
    <w:p>
      <w:pPr>
        <w:ind w:left="1760" w:hanging="401"/>
        <w:spacing w:after="0"/>
        <w:tabs>
          <w:tab w:leader="none" w:pos="176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such person has:</w:t>
      </w:r>
    </w:p>
    <w:p>
      <w:pPr>
        <w:spacing w:after="0" w:line="136" w:lineRule="exact"/>
        <w:rPr>
          <w:rFonts w:ascii="Times New Roman" w:cs="Times New Roman" w:eastAsia="Times New Roman" w:hAnsi="Times New Roman"/>
          <w:sz w:val="21"/>
          <w:szCs w:val="21"/>
          <w:color w:val="auto"/>
        </w:rPr>
      </w:pPr>
    </w:p>
    <w:p>
      <w:pPr>
        <w:ind w:left="2220" w:hanging="456"/>
        <w:spacing w:after="0"/>
        <w:tabs>
          <w:tab w:leader="none" w:pos="222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46" w:lineRule="exact"/>
        <w:rPr>
          <w:rFonts w:ascii="Times New Roman" w:cs="Times New Roman" w:eastAsia="Times New Roman" w:hAnsi="Times New Roman"/>
          <w:sz w:val="22"/>
          <w:szCs w:val="22"/>
          <w:color w:val="auto"/>
        </w:rPr>
      </w:pPr>
    </w:p>
    <w:p>
      <w:pPr>
        <w:ind w:left="2220" w:hanging="456"/>
        <w:spacing w:after="0"/>
        <w:tabs>
          <w:tab w:leader="none" w:pos="2220" w:val="left"/>
        </w:tabs>
        <w:numPr>
          <w:ilvl w:val="1"/>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125"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50" w:lineRule="exact"/>
        <w:rPr>
          <w:sz w:val="20"/>
          <w:szCs w:val="20"/>
          <w:color w:val="auto"/>
        </w:rPr>
      </w:pPr>
    </w:p>
    <w:p>
      <w:pPr>
        <w:sectPr>
          <w:pgSz w:w="11900" w:h="16903" w:orient="portrait"/>
          <w:cols w:equalWidth="0" w:num="2">
            <w:col w:w="5900" w:space="720"/>
            <w:col w:w="4320"/>
          </w:cols>
          <w:pgMar w:left="400" w:top="247" w:right="559" w:bottom="0" w:gutter="0" w:footer="0" w:header="0"/>
        </w:sectPr>
      </w:pPr>
    </w:p>
    <w:p>
      <w:pPr>
        <w:ind w:left="2220" w:hanging="456"/>
        <w:spacing w:after="0"/>
        <w:tabs>
          <w:tab w:leader="none" w:pos="222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w:t>
      </w:r>
      <w:r>
        <w:rPr>
          <w:rFonts w:ascii="Times New Roman" w:cs="Times New Roman" w:eastAsia="Times New Roman" w:hAnsi="Times New Roman"/>
          <w:sz w:val="39"/>
          <w:szCs w:val="39"/>
          <w:color w:val="auto"/>
          <w:vertAlign w:val="subscript"/>
        </w:rPr>
        <w:t>of</w:t>
      </w:r>
      <w:r>
        <w:rPr>
          <w:rFonts w:ascii="Times New Roman" w:cs="Times New Roman" w:eastAsia="Times New Roman" w:hAnsi="Times New Roman"/>
          <w:sz w:val="20"/>
          <w:szCs w:val="20"/>
          <w:color w:val="auto"/>
        </w:rPr>
        <w:t xml:space="preserve"> power to dispose or to direct the disposition</w:t>
      </w:r>
    </w:p>
    <w:p>
      <w:pPr>
        <w:spacing w:after="0" w:line="218" w:lineRule="exact"/>
        <w:rPr>
          <w:rFonts w:ascii="Times New Roman" w:cs="Times New Roman" w:eastAsia="Times New Roman" w:hAnsi="Times New Roman"/>
          <w:sz w:val="39"/>
          <w:szCs w:val="39"/>
          <w:color w:val="auto"/>
          <w:vertAlign w:val="subscript"/>
        </w:rPr>
      </w:pPr>
    </w:p>
    <w:p>
      <w:pPr>
        <w:ind w:left="2220" w:right="800" w:hanging="456"/>
        <w:spacing w:after="0" w:line="185" w:lineRule="auto"/>
        <w:tabs>
          <w:tab w:leader="none" w:pos="222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See the responses to Item 8 on the attached cover pages.</w:t>
      </w:r>
    </w:p>
    <w:p>
      <w:pPr>
        <w:spacing w:after="0" w:line="73" w:lineRule="exact"/>
        <w:rPr>
          <w:sz w:val="20"/>
          <w:szCs w:val="20"/>
          <w:color w:val="auto"/>
        </w:rPr>
      </w:pPr>
    </w:p>
    <w:p>
      <w:pPr>
        <w:sectPr>
          <w:pgSz w:w="11900" w:h="16903" w:orient="portrait"/>
          <w:cols w:equalWidth="0" w:num="2">
            <w:col w:w="6420" w:space="200"/>
            <w:col w:w="4320"/>
          </w:cols>
          <w:pgMar w:left="400" w:top="247" w:right="559" w:bottom="0" w:gutter="0" w:footer="0" w:header="0"/>
          <w:type w:val="continuous"/>
        </w:sectPr>
      </w:pPr>
    </w:p>
    <w:tbl>
      <w:tblPr>
        <w:tblLayout w:type="fixed"/>
        <w:tblInd w:w="0" w:type="dxa"/>
        <w:tblCellMar>
          <w:top w:w="0" w:type="dxa"/>
          <w:left w:w="0" w:type="dxa"/>
          <w:bottom w:w="0" w:type="dxa"/>
          <w:right w:w="0" w:type="dxa"/>
        </w:tblCellMar>
      </w:tblPr>
      <w:tr>
        <w:trPr>
          <w:trHeight w:val="286"/>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5.</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Ownership of Five Percent or Less of Class.</w:t>
            </w:r>
          </w:p>
        </w:tc>
      </w:tr>
      <w:tr>
        <w:trPr>
          <w:trHeight w:val="339"/>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w w:val="98"/>
              </w:rPr>
              <w:t>If this statement is being filed to report the fact that as of the date hereof the reporting person has ceased to be</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the beneficial owner of more than five percent of the class of securities, check the following: [ ]</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6.</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Ownership of More than Five Percent on Behalf of Another Person.</w:t>
            </w:r>
          </w:p>
        </w:tc>
      </w:tr>
      <w:tr>
        <w:trPr>
          <w:trHeight w:val="339"/>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rPr>
              <w:t>advisers identified in Exhibit A directly or indirectly owned by Wellington Management Group LLP. Those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clients have the right to receive, or the power to direct the receipt of, dividends from, or the proceeds from the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rPr>
              <w:t>sale of, such securities. No such client is known to have such right or power with respect to more than five</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percent of this class of securities, except as follows:</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35"/>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7.</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w w:val="99"/>
              </w:rPr>
              <w:t>Identification and Classification of the Subsidiary Which Acquired the Security Being Reported on by</w:t>
            </w:r>
          </w:p>
        </w:tc>
      </w:tr>
      <w:tr>
        <w:trPr>
          <w:trHeight w:val="2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the Parent Holding Company.</w:t>
            </w:r>
          </w:p>
        </w:tc>
      </w:tr>
      <w:tr>
        <w:trPr>
          <w:trHeight w:val="621"/>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See attached Exhibit A.</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8.</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9.</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10.</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Certification.</w:t>
            </w:r>
          </w:p>
        </w:tc>
      </w:tr>
      <w:tr>
        <w:trPr>
          <w:trHeight w:val="4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7"/>
              </w:rPr>
              <w:t>acquired and are held in the ordinary course of business and were not acquired and are not held for the purpose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of or with the effect of changing or influencing the control of the issuer of the securities and were not acquired</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and 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10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SIGNATURE</w:t>
            </w:r>
          </w:p>
        </w:tc>
      </w:tr>
      <w:tr>
        <w:trPr>
          <w:trHeight w:val="541"/>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Management Group LLP</w:t>
            </w:r>
          </w:p>
        </w:tc>
      </w:tr>
      <w:tr>
        <w:trPr>
          <w:trHeight w:val="244"/>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Borders>
              <w:left w:val="single" w:sz="8" w:color="auto"/>
            </w:tcBorders>
          </w:tcPr>
          <w:p>
            <w:pPr>
              <w:spacing w:after="0" w:line="20" w:lineRule="exact"/>
              <w:rPr>
                <w:sz w:val="1"/>
                <w:szCs w:val="1"/>
                <w:color w:val="auto"/>
              </w:rPr>
            </w:pPr>
          </w:p>
        </w:tc>
      </w:tr>
      <w:tr>
        <w:trPr>
          <w:trHeight w:val="330"/>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15, 2021</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Group Holdings LLP</w:t>
            </w:r>
          </w:p>
        </w:tc>
      </w:tr>
      <w:tr>
        <w:trPr>
          <w:trHeight w:val="244"/>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9"/>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15, 2021</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tc>
      </w:tr>
      <w:tr>
        <w:trPr>
          <w:trHeight w:val="244"/>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9"/>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bl>
    <w:p>
      <w:pPr>
        <w:sectPr>
          <w:pgSz w:w="11900" w:h="16903" w:orient="portrait"/>
          <w:cols w:equalWidth="0" w:num="1">
            <w:col w:w="10940"/>
          </w:cols>
          <w:pgMar w:left="400" w:top="247" w:right="559" w:bottom="0" w:gutter="0" w:footer="0" w:header="0"/>
          <w:type w:val="continuous"/>
        </w:sectPr>
      </w:pPr>
    </w:p>
    <w:bookmarkStart w:id="7" w:name="page8"/>
    <w:bookmarkEnd w:id="7"/>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15, 2021</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360680</wp:posOffset>
            </wp:positionV>
            <wp:extent cx="573024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318" w:lineRule="exact"/>
        <w:rPr>
          <w:sz w:val="20"/>
          <w:szCs w:val="20"/>
          <w:color w:val="auto"/>
        </w:rPr>
      </w:pPr>
    </w:p>
    <w:p>
      <w:pPr>
        <w:ind w:left="60" w:right="219"/>
        <w:spacing w:after="0" w:line="244"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54" w:lineRule="exact"/>
        <w:rPr>
          <w:sz w:val="20"/>
          <w:szCs w:val="20"/>
          <w:color w:val="auto"/>
        </w:rPr>
      </w:pPr>
    </w:p>
    <w:p>
      <w:pPr>
        <w:ind w:left="60" w:right="4399"/>
        <w:spacing w:after="0" w:line="295" w:lineRule="auto"/>
        <w:rPr>
          <w:sz w:val="20"/>
          <w:szCs w:val="20"/>
          <w:color w:val="auto"/>
        </w:rPr>
      </w:pPr>
      <w:r>
        <w:rPr>
          <w:rFonts w:ascii="Times New Roman" w:cs="Times New Roman" w:eastAsia="Times New Roman" w:hAnsi="Times New Roman"/>
          <w:sz w:val="22"/>
          <w:szCs w:val="22"/>
          <w:color w:val="auto"/>
        </w:rPr>
        <w:t>Wellington Group Holdings LLP – HC Wellington Investment Advisors LLP – HC Wellington Management Global Holdings, Ltd. - HC</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One or more of the following investment advisers (the “Wellington Investment Advisers”):</w:t>
      </w:r>
    </w:p>
    <w:p>
      <w:pPr>
        <w:spacing w:after="0" w:line="2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Company LLP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Canada LLC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Singapore Pte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Hong Kong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International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Japan Pte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Australia Pty Ltd - IA</w:t>
      </w:r>
    </w:p>
    <w:p>
      <w:pPr>
        <w:spacing w:after="0" w:line="287" w:lineRule="exact"/>
        <w:rPr>
          <w:sz w:val="20"/>
          <w:szCs w:val="20"/>
          <w:color w:val="auto"/>
        </w:rPr>
      </w:pPr>
    </w:p>
    <w:p>
      <w:pPr>
        <w:ind w:left="60" w:right="119"/>
        <w:spacing w:after="0" w:line="235" w:lineRule="auto"/>
        <w:rPr>
          <w:sz w:val="20"/>
          <w:szCs w:val="20"/>
          <w:color w:val="auto"/>
        </w:rPr>
      </w:pPr>
      <w:r>
        <w:rPr>
          <w:rFonts w:ascii="Times New Roman" w:cs="Times New Roman" w:eastAsia="Times New Roman" w:hAnsi="Times New Roman"/>
          <w:sz w:val="22"/>
          <w:szCs w:val="22"/>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157480</wp:posOffset>
            </wp:positionV>
            <wp:extent cx="573024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8" w:lineRule="exact"/>
        <w:rPr>
          <w:sz w:val="20"/>
          <w:szCs w:val="20"/>
          <w:color w:val="auto"/>
        </w:rPr>
      </w:pPr>
    </w:p>
    <w:p>
      <w:pPr>
        <w:ind w:left="60" w:right="7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Tower Semiconductor Ltd.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ectPr>
          <w:pgSz w:w="11900" w:h="16838" w:orient="portrait"/>
          <w:cols w:equalWidth="0" w:num="1">
            <w:col w:w="9019"/>
          </w:cols>
          <w:pgMar w:left="1440" w:top="139" w:right="1440" w:bottom="0" w:gutter="0" w:footer="0" w:header="0"/>
        </w:sectPr>
      </w:pPr>
    </w:p>
    <w:bookmarkStart w:id="8" w:name="page9"/>
    <w:bookmarkEnd w:id="8"/>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15, 2021</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15, 2021</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1"/>
          <w:szCs w:val="21"/>
          <w:color w:val="auto"/>
        </w:rPr>
        <w:t>By: Wellington Investment Advisors Holdings LLP</w:t>
      </w:r>
    </w:p>
    <w:p>
      <w:pPr>
        <w:spacing w:after="0" w:line="5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15, 2021</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15, 2021</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upperLetter"/>
      <w:start w:val="24"/>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lvl w:ilvl="1">
      <w:lvlJc w:val="left"/>
      <w:lvlText w:val="(%2)"/>
      <w:numFmt w:val="lowerRoman"/>
      <w:start w:val="1"/>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2021-02-03T12:14:52Z</dcterms:created>
  <dcterms:modified xsi:type="dcterms:W3CDTF">2021-02-03T12:14:52Z</dcterms:modified>
</cp:coreProperties>
</file>