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For the month of May 2020 No.2</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Commission File Number 0-24790</w:t>
      </w: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399"/>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82" w:lineRule="exact"/>
        <w:rPr>
          <w:sz w:val="24"/>
          <w:szCs w:val="24"/>
          <w:color w:val="auto"/>
        </w:rPr>
      </w:pPr>
    </w:p>
    <w:p>
      <w:pPr>
        <w:jc w:val="center"/>
        <w:ind w:right="-17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(1): 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49" w:right="499" w:bottom="1440" w:gutter="0" w:footer="0" w:header="0"/>
        </w:sectPr>
      </w:pPr>
    </w:p>
    <w:bookmarkStart w:id="1" w:name="page2"/>
    <w:bookmarkEnd w:id="1"/>
    <w:p>
      <w:pPr>
        <w:ind w:firstLine="639"/>
        <w:spacing w:after="0" w:line="276" w:lineRule="auto"/>
        <w:rPr>
          <w:sz w:val="20"/>
          <w:szCs w:val="20"/>
          <w:color w:val="auto"/>
        </w:rPr>
      </w:pPr>
      <w:r>
        <w:rPr>
          <w:rFonts w:ascii="Arial" w:cs="Arial" w:eastAsia="Arial" w:hAnsi="Arial"/>
          <w:sz w:val="22"/>
          <w:szCs w:val="22"/>
          <w:color w:val="auto"/>
        </w:rPr>
        <w:t>On May 13, 2020, the Registrant announced its financial results for the three months ended March 31, 2020. Attached hereto is the following exhibit.</w:t>
      </w:r>
    </w:p>
    <w:p>
      <w:pPr>
        <w:spacing w:after="0" w:line="222"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92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60"/>
          </w:cols>
          <w:pgMar w:left="320" w:top="396"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534160"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1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40"/>
        <w:spacing w:after="0"/>
        <w:rPr>
          <w:sz w:val="20"/>
          <w:szCs w:val="20"/>
          <w:color w:val="auto"/>
        </w:rPr>
      </w:pPr>
      <w:r>
        <w:rPr>
          <w:rFonts w:ascii="Arial" w:cs="Arial" w:eastAsia="Arial" w:hAnsi="Arial"/>
          <w:sz w:val="25"/>
          <w:szCs w:val="25"/>
          <w:b w:val="1"/>
          <w:bCs w:val="1"/>
          <w:color w:val="auto"/>
        </w:rPr>
        <w:t>Tower Semiconductor Reports First Quarter 2020</w:t>
      </w:r>
    </w:p>
    <w:p>
      <w:pPr>
        <w:spacing w:after="0" w:line="41" w:lineRule="exact"/>
        <w:rPr>
          <w:sz w:val="20"/>
          <w:szCs w:val="20"/>
          <w:color w:val="auto"/>
        </w:rPr>
      </w:pPr>
    </w:p>
    <w:p>
      <w:pPr>
        <w:jc w:val="center"/>
        <w:ind w:right="240"/>
        <w:spacing w:after="0"/>
        <w:rPr>
          <w:sz w:val="20"/>
          <w:szCs w:val="20"/>
          <w:color w:val="auto"/>
        </w:rPr>
      </w:pPr>
      <w:r>
        <w:rPr>
          <w:rFonts w:ascii="Arial" w:cs="Arial" w:eastAsia="Arial" w:hAnsi="Arial"/>
          <w:sz w:val="25"/>
          <w:szCs w:val="25"/>
          <w:b w:val="1"/>
          <w:bCs w:val="1"/>
          <w:color w:val="auto"/>
        </w:rPr>
        <w:t>with Year over Year Organic Revenue Growth</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Revenues of $300 Million; Cash from Operations of $68 Million,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EBITDA of $73 Million and Net Profit of $17 Million</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Guides Second Quarter Sequential Revenue Growth</w:t>
      </w:r>
    </w:p>
    <w:p>
      <w:pPr>
        <w:spacing w:after="0" w:line="28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MIGDAL HAEMEK, ISRAEL – May 13, 2020– </w:t>
      </w:r>
      <w:r>
        <w:rPr>
          <w:rFonts w:ascii="Arial" w:cs="Arial" w:eastAsia="Arial" w:hAnsi="Arial"/>
          <w:sz w:val="22"/>
          <w:szCs w:val="22"/>
          <w:color w:val="auto"/>
        </w:rPr>
        <w:t>Tower Semiconductor (NASDAQ: TSEM &amp; TASE: TSEM) reported today its</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for the first quarter ended March 31, 2020.</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Results Overview</w:t>
      </w:r>
    </w:p>
    <w:p>
      <w:pPr>
        <w:spacing w:after="0" w:line="28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Revenues </w:t>
      </w:r>
      <w:r>
        <w:rPr>
          <w:rFonts w:ascii="Arial" w:cs="Arial" w:eastAsia="Arial" w:hAnsi="Arial"/>
          <w:sz w:val="22"/>
          <w:szCs w:val="22"/>
          <w:color w:val="auto"/>
        </w:rPr>
        <w:t>for the first quarter of 2020 were $300 million, reflecting 10% year over year organic revenue growth (organic</w:t>
      </w:r>
      <w:r>
        <w:rPr>
          <w:rFonts w:ascii="Arial" w:cs="Arial" w:eastAsia="Arial" w:hAnsi="Arial"/>
          <w:sz w:val="22"/>
          <w:szCs w:val="22"/>
          <w:b w:val="1"/>
          <w:bCs w:val="1"/>
          <w:color w:val="auto"/>
        </w:rPr>
        <w:t xml:space="preserve"> </w:t>
      </w:r>
      <w:r>
        <w:rPr>
          <w:rFonts w:ascii="Arial" w:cs="Arial" w:eastAsia="Arial" w:hAnsi="Arial"/>
          <w:sz w:val="22"/>
          <w:szCs w:val="22"/>
          <w:color w:val="auto"/>
        </w:rPr>
        <w:t>revenues are defined as total revenue excluding revenues from Panasonic in the TPSCo fabs and revenues from Maxim in the San Antonio fab).</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21"/>
          <w:szCs w:val="21"/>
          <w:b w:val="1"/>
          <w:bCs w:val="1"/>
          <w:color w:val="auto"/>
        </w:rPr>
        <w:t xml:space="preserve">Gross </w:t>
      </w:r>
      <w:r>
        <w:rPr>
          <w:rFonts w:ascii="Arial" w:cs="Arial" w:eastAsia="Arial" w:hAnsi="Arial"/>
          <w:sz w:val="21"/>
          <w:szCs w:val="21"/>
          <w:color w:val="auto"/>
        </w:rPr>
        <w:t>and</w:t>
      </w:r>
      <w:r>
        <w:rPr>
          <w:rFonts w:ascii="Arial" w:cs="Arial" w:eastAsia="Arial" w:hAnsi="Arial"/>
          <w:sz w:val="21"/>
          <w:szCs w:val="21"/>
          <w:b w:val="1"/>
          <w:bCs w:val="1"/>
          <w:color w:val="auto"/>
        </w:rPr>
        <w:t xml:space="preserve"> operating profits </w:t>
      </w:r>
      <w:r>
        <w:rPr>
          <w:rFonts w:ascii="Arial" w:cs="Arial" w:eastAsia="Arial" w:hAnsi="Arial"/>
          <w:sz w:val="21"/>
          <w:szCs w:val="21"/>
          <w:color w:val="auto"/>
        </w:rPr>
        <w:t>for the first quarter of 2020 were $53 million and $16 million, respectively; the 10% year over year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organic revenue growth and efficiencies enabled the company to mitigate 55% of the impact in gross and operating profits resulting from Panasonic renewed contract revenue reduction. </w:t>
      </w:r>
      <w:r>
        <w:rPr>
          <w:rFonts w:ascii="Arial" w:cs="Arial" w:eastAsia="Arial" w:hAnsi="Arial"/>
          <w:sz w:val="21"/>
          <w:szCs w:val="21"/>
          <w:b w:val="1"/>
          <w:bCs w:val="1"/>
          <w:color w:val="auto"/>
        </w:rPr>
        <w:t>EBITDA</w:t>
      </w:r>
      <w:r>
        <w:rPr>
          <w:rFonts w:ascii="Arial" w:cs="Arial" w:eastAsia="Arial" w:hAnsi="Arial"/>
          <w:sz w:val="21"/>
          <w:szCs w:val="21"/>
          <w:color w:val="auto"/>
        </w:rPr>
        <w:t xml:space="preserve"> for the first quarter of 2020 was $73 million; </w:t>
      </w:r>
      <w:r>
        <w:rPr>
          <w:rFonts w:ascii="Arial" w:cs="Arial" w:eastAsia="Arial" w:hAnsi="Arial"/>
          <w:sz w:val="21"/>
          <w:szCs w:val="21"/>
          <w:b w:val="1"/>
          <w:bCs w:val="1"/>
          <w:color w:val="auto"/>
        </w:rPr>
        <w:t>Net profit</w:t>
      </w:r>
      <w:r>
        <w:rPr>
          <w:rFonts w:ascii="Arial" w:cs="Arial" w:eastAsia="Arial" w:hAnsi="Arial"/>
          <w:sz w:val="21"/>
          <w:szCs w:val="21"/>
          <w:color w:val="auto"/>
        </w:rPr>
        <w:t xml:space="preserve"> for the first quarter of 2020 was $17 million, or $0.16 basic and diluted earnings per share.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Cash flow generated from operations </w:t>
      </w:r>
      <w:r>
        <w:rPr>
          <w:rFonts w:ascii="Arial" w:cs="Arial" w:eastAsia="Arial" w:hAnsi="Arial"/>
          <w:sz w:val="22"/>
          <w:szCs w:val="22"/>
          <w:color w:val="auto"/>
        </w:rPr>
        <w:t>in the first quarter of 2020 was $68 million. Investment in fixed assets, net was $63</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in the first quarter of 2020 and included payments related to the previously announced 300mm fab capex investment, to support current customer demand increase, with additional planned shipments beginning the third quarter of 2020. In the first quarter of 2020, the company repaid $24 million of its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 xml:space="preserve">Shareholders' equity </w:t>
      </w:r>
      <w:r>
        <w:rPr>
          <w:rFonts w:ascii="Arial" w:cs="Arial" w:eastAsia="Arial" w:hAnsi="Arial"/>
          <w:sz w:val="22"/>
          <w:szCs w:val="22"/>
          <w:color w:val="auto"/>
        </w:rPr>
        <w:t>as of March 31, 2020 was a record of $1.36 billion, reflecting 70% from total assets.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Tower Semiconductor expects revenues for the second quarter of 2020 to be $310 million, with an upward or downward range of 5%.</w:t>
      </w:r>
    </w:p>
    <w:p>
      <w:pPr>
        <w:spacing w:after="0" w:line="226" w:lineRule="exact"/>
        <w:rPr>
          <w:sz w:val="20"/>
          <w:szCs w:val="20"/>
          <w:color w:val="auto"/>
        </w:rPr>
      </w:pPr>
    </w:p>
    <w:p>
      <w:pPr>
        <w:jc w:val="both"/>
        <w:spacing w:after="0" w:line="310" w:lineRule="auto"/>
        <w:rPr>
          <w:sz w:val="20"/>
          <w:szCs w:val="20"/>
          <w:color w:val="auto"/>
        </w:rPr>
      </w:pPr>
      <w:r>
        <w:rPr>
          <w:rFonts w:ascii="Arial" w:cs="Arial" w:eastAsia="Arial" w:hAnsi="Arial"/>
          <w:sz w:val="19"/>
          <w:szCs w:val="19"/>
          <w:b w:val="1"/>
          <w:bCs w:val="1"/>
          <w:color w:val="auto"/>
        </w:rPr>
        <w:t>Mr. Russell Ellwanger, Chief Executive Officer of Tower Semiconductor</w:t>
      </w:r>
      <w:r>
        <w:rPr>
          <w:rFonts w:ascii="Arial" w:cs="Arial" w:eastAsia="Arial" w:hAnsi="Arial"/>
          <w:sz w:val="19"/>
          <w:szCs w:val="19"/>
          <w:color w:val="auto"/>
        </w:rPr>
        <w:t>,</w:t>
      </w:r>
      <w:r>
        <w:rPr>
          <w:rFonts w:ascii="Arial" w:cs="Arial" w:eastAsia="Arial" w:hAnsi="Arial"/>
          <w:sz w:val="19"/>
          <w:szCs w:val="19"/>
          <w:b w:val="1"/>
          <w:bCs w:val="1"/>
          <w:color w:val="auto"/>
        </w:rPr>
        <w:t xml:space="preserve"> commented</w:t>
      </w:r>
      <w:r>
        <w:rPr>
          <w:rFonts w:ascii="Arial" w:cs="Arial" w:eastAsia="Arial" w:hAnsi="Arial"/>
          <w:sz w:val="19"/>
          <w:szCs w:val="19"/>
          <w:color w:val="auto"/>
        </w:rPr>
        <w:t>, “We began 2020 with a pandemic that</w:t>
      </w:r>
      <w:r>
        <w:rPr>
          <w:rFonts w:ascii="Arial" w:cs="Arial" w:eastAsia="Arial" w:hAnsi="Arial"/>
          <w:sz w:val="19"/>
          <w:szCs w:val="19"/>
          <w:b w:val="1"/>
          <w:bCs w:val="1"/>
          <w:color w:val="auto"/>
        </w:rPr>
        <w:t xml:space="preserve"> </w:t>
      </w:r>
      <w:r>
        <w:rPr>
          <w:rFonts w:ascii="Arial" w:cs="Arial" w:eastAsia="Arial" w:hAnsi="Arial"/>
          <w:sz w:val="19"/>
          <w:szCs w:val="19"/>
          <w:color w:val="auto"/>
        </w:rPr>
        <w:t>has grown worldwide, vastly impacting the global business and economic environment. COVID-19 has created new and considerable hurdles, forcing us, together with the entire world, to modify and implement a new mode of life, and with that, a different mode of work. We remain proactive on all fronts with respect to the health and safety of our employees, operational and supply chain management and our customers with an even increased communication, to maximize every `wafer of opportunity` - providing reliable short- and long-term technology and manufacturing solutions in response to their changing needs.”</w:t>
      </w:r>
    </w:p>
    <w:p>
      <w:pPr>
        <w:spacing w:after="0" w:line="197" w:lineRule="exact"/>
        <w:rPr>
          <w:sz w:val="20"/>
          <w:szCs w:val="20"/>
          <w:color w:val="auto"/>
        </w:rPr>
      </w:pPr>
    </w:p>
    <w:p>
      <w:pPr>
        <w:jc w:val="both"/>
        <w:spacing w:after="0" w:line="330" w:lineRule="auto"/>
        <w:rPr>
          <w:sz w:val="20"/>
          <w:szCs w:val="20"/>
          <w:color w:val="auto"/>
        </w:rPr>
      </w:pPr>
      <w:r>
        <w:rPr>
          <w:rFonts w:ascii="Arial" w:cs="Arial" w:eastAsia="Arial" w:hAnsi="Arial"/>
          <w:sz w:val="19"/>
          <w:szCs w:val="19"/>
          <w:b w:val="1"/>
          <w:bCs w:val="1"/>
          <w:color w:val="auto"/>
        </w:rPr>
        <w:t xml:space="preserve">Ellwanger further commented: </w:t>
      </w:r>
      <w:r>
        <w:rPr>
          <w:rFonts w:ascii="Arial" w:cs="Arial" w:eastAsia="Arial" w:hAnsi="Arial"/>
          <w:sz w:val="19"/>
          <w:szCs w:val="19"/>
          <w:color w:val="auto"/>
        </w:rPr>
        <w:t>“Updated customer forecasts continue to show quarter over quarter growth through the year. As</w:t>
      </w:r>
      <w:r>
        <w:rPr>
          <w:rFonts w:ascii="Arial" w:cs="Arial" w:eastAsia="Arial" w:hAnsi="Arial"/>
          <w:sz w:val="19"/>
          <w:szCs w:val="19"/>
          <w:b w:val="1"/>
          <w:bCs w:val="1"/>
          <w:color w:val="auto"/>
        </w:rPr>
        <w:t xml:space="preserve"> </w:t>
      </w:r>
      <w:r>
        <w:rPr>
          <w:rFonts w:ascii="Arial" w:cs="Arial" w:eastAsia="Arial" w:hAnsi="Arial"/>
          <w:sz w:val="19"/>
          <w:szCs w:val="19"/>
          <w:color w:val="auto"/>
        </w:rPr>
        <w:t>a well experienced, mature, strong global company – with an exceptional base of talented and most dedicated employees - we remain committed to our customer partnerships, towards long-term mutual growth, working through any short-term challenges.”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Credit Rating</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On May 6, 2020, Standard &amp; Poor’s Ma’alot (an Israeli rating company that is fully owned by S&amp;P Global Ratings) completed its annual rating review for the Company and affirmed a corporate credit rating and bonds series G rating of “ilAA-“, with a stable horizon.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Shelf Filing</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 xml:space="preserve">In May 2020, the ISA (Israel Securities Authority) approved the filing of the Company’s shelf registration statement, following the expiration of its previously filed 2016 shelf. The shelf provides the Company with a platform for future public fundraising although no specific fundraising is currently offered under this shelf. If the Company will make any decision to raise any funds under this shelf, it will publish a supplemental shelf-take-down report containing specific information and terms. This shelf filing and/or this press release shall not constitute an offer to sell, or the solicitation of an offer to buy, any securities. The shelf documents are available under </w:t>
      </w:r>
      <w:r>
        <w:rPr>
          <w:rFonts w:ascii="Arial" w:cs="Arial" w:eastAsia="Arial" w:hAnsi="Arial"/>
          <w:sz w:val="22"/>
          <w:szCs w:val="22"/>
          <w:u w:val="single" w:color="auto"/>
          <w:color w:val="auto"/>
        </w:rPr>
        <w:t>www.tase.co.il</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Teleconference and Webcast</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Tower Semiconductor will host an investor conference call today, Wednesday, May 13, 2020, at 10:00 a.m. Eastern time (9:00 a.m. Central time, 8:00 a.m. Mountain time, 7:00 a.m. Pacific time and 5:00 p.m. Israel time) to discuss the Company’s financial results for the first quarter of 2020 and its outlook.</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This call will be webcast and can be accessed via Tower Semiconductor’s website at </w:t>
      </w:r>
      <w:r>
        <w:rPr>
          <w:rFonts w:ascii="Arial" w:cs="Arial" w:eastAsia="Arial" w:hAnsi="Arial"/>
          <w:sz w:val="22"/>
          <w:szCs w:val="22"/>
          <w:u w:val="single" w:color="auto"/>
          <w:color w:val="auto"/>
        </w:rPr>
        <w:t>www.towersemi.com</w:t>
      </w:r>
      <w:r>
        <w:rPr>
          <w:rFonts w:ascii="Arial" w:cs="Arial" w:eastAsia="Arial" w:hAnsi="Arial"/>
          <w:sz w:val="22"/>
          <w:szCs w:val="22"/>
          <w:color w:val="auto"/>
        </w:rPr>
        <w:t xml:space="preserve"> or by calling 1-888-668-9141 (U.S. Toll-Free), 03-918-0609 (Israel), +972-3-918-0609 (International). For those who are not available to listen to the live broadcast, the call will be archived on Tower Semiconductor’s website for 90 days.</w:t>
      </w:r>
    </w:p>
    <w:p>
      <w:pPr>
        <w:spacing w:after="0" w:line="23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are non-GAAP financial measures as defined in Regulation G and related reporting requirements promulgated by the Securities and Exchange Commission as they apply to our Company. These adjusted financial measures are calculated excluding one or both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net profit in accordance with GAAP, excluding interest and other financing expense, net, other income,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net cash provided by operating activities (in the amounts of $68 million, $72 million and $75 million for the three months periods ended March 31, 2020, December 31, 2019 and March 31, 2019, respectively) less cash used for investments in property and equipment, net (in the amounts of $63 million, $44 million and $42 million for the three months periods ended March 31, 2020, December 31, 2019 and March 31, 2019,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auto"/>
        </w:rPr>
        <w:t>noitle@towersemi.com</w:t>
      </w:r>
    </w:p>
    <w:p>
      <w:pPr>
        <w:spacing w:after="0" w:line="28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March 31, 2020 we are in compliance with all such covenants included in our banks’ agreements, bond G indenture and others), (x) pending litigation, (xi) new customer engagements, qualification and production ramp-up at our facilities, including TPSCo and the San Antonio facility,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and/or for strategic opportunities and the possible unavailability of such financing and/ or the availability of such financing in unfavorable terms ,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negotiation and closure of a definitive agreement in relation to fab establishment in China, as well as project implementation through required outside funding and resources and receipt of future proceeds therefrom, (xxxvi) potential future effect on TPSCo and the Company due to the possible closing of Panasonic sale of PSCS (a company holding 49% of TPSCo) to Nuvoton, (xxxvii) industry and market impact due to the coronavirus and its potential impact on our business, operational continuity, supply chain, revenue and profitability; (xxxviii) potential security, cyber and privacy breaches, and (xxxix) business interruption due to fire and other natural disasters, the security situation in Israel and other events beyond our control such as power interruptions.</w:t>
      </w:r>
    </w:p>
    <w:p>
      <w:pPr>
        <w:sectPr>
          <w:pgSz w:w="11900" w:h="16838" w:orient="portrait"/>
          <w:cols w:equalWidth="0" w:num="1">
            <w:col w:w="11240"/>
          </w:cols>
          <w:pgMar w:left="320" w:top="396" w:right="339" w:bottom="156" w:gutter="0" w:footer="0" w:header="0"/>
        </w:sectPr>
      </w:pPr>
    </w:p>
    <w:bookmarkStart w:id="7" w:name="page8"/>
    <w:bookmarkEnd w:id="7"/>
    <w:p>
      <w:pPr>
        <w:jc w:val="both"/>
        <w:spacing w:after="0" w:line="311"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251,348</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355,561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deposits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277,857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215,609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Marketable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191,434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176,070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126,966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198,285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192,256</w:t>
            </w: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22,332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22,019</w:t>
            </w:r>
          </w:p>
        </w:tc>
      </w:tr>
      <w:tr>
        <w:trPr>
          <w:trHeight w:val="216"/>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1,056,450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1,088,481</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LONG-TERM INVESTMENTS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39,562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40,085</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732,169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681,939</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9,963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10,281</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GOODWILL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93,032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105,047</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1,938,176</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1,932,833</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62,885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65,932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148,671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119,199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10,322</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54,192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57,603</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275,939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253,056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220,216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245,821</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27,755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28,196</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EMPLOYEE RELATED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13,285</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40,941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45,752</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577,581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586,110</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1,360,595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1,938,176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1,932,833</w:t>
            </w:r>
          </w:p>
        </w:tc>
      </w:tr>
      <w:tr>
        <w:trPr>
          <w:trHeight w:val="446"/>
        </w:trPr>
        <w:tc>
          <w:tcPr>
            <w:tcW w:w="8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2"/>
              </w:rPr>
              <w:t>T h r e e  m o n t h s  e n d e d</w:t>
            </w: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300,171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305,710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310,107</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247,628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250,878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246,956</w:t>
            </w: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52,543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54,832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63,151</w:t>
            </w: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18,877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19,168</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16,691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17,057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16,641</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36,105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35,934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35,809</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16,438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18,898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27,342</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(2,113)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3,058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725</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14,325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21,956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28,067</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(2,360)</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(1,667)</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PROFIT BEFORE NON CONTROLLING INTEREST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16,031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19,596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26,400</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NON CONTROLLING INTEREST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1,111</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(184)</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17,020</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20,707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26,216</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0.25</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106,814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106,710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105,331</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0.25</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108,149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107,995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106,972</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GAAP NET PROFIT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17,020</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20,707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26,216</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3,823</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1,641</w:t>
            </w:r>
          </w:p>
        </w:tc>
      </w:tr>
      <w:tr>
        <w:trPr>
          <w:trHeight w:val="256"/>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21,873</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24,226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31,680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0.30</w:t>
            </w:r>
          </w:p>
        </w:tc>
      </w:tr>
      <w:tr>
        <w:trPr>
          <w:trHeight w:val="210"/>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0.30</w:t>
            </w:r>
          </w:p>
        </w:tc>
      </w:tr>
      <w:tr>
        <w:trPr>
          <w:trHeight w:val="446"/>
        </w:trPr>
        <w:tc>
          <w:tcPr>
            <w:tcW w:w="73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2160"/>
        <w:spacing w:after="0" w:line="27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2"/>
              </w:rPr>
              <w:t>T h r e e  m o n t h s  e n d e d</w:t>
            </w: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CALCULATION: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OPERATING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18,898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27,342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Depreciation of fixed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51,484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52,222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46,041</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3,823</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1,641</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72,775</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74,639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78,847</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2"/>
              </w:rPr>
              <w:t>T h r e e  m o n t h s  e n d e d</w:t>
            </w: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417,636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385,091</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68,336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71,561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74,868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(62,907)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(43,704)</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(41,718)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(24,197)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(3,247)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(3,074)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(740)</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(85,356)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(87,530)</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(6,726)</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251,348</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355,561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408,098</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12" w:name="page13"/>
    <w:bookmarkEnd w:id="12"/>
    <w:p>
      <w:pPr>
        <w:jc w:val="center"/>
        <w:ind w:right="5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2"/>
              </w:rPr>
              <w:t>T h r e e  m o n t h s  e n d e d</w:t>
            </w: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 for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19,596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26,400</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56,404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52,014</w:t>
            </w:r>
          </w:p>
        </w:tc>
      </w:tr>
      <w:tr>
        <w:trPr>
          <w:trHeight w:val="216"/>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Effect of exchange rate differences on debentures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4,001</w:t>
            </w:r>
          </w:p>
        </w:tc>
      </w:tr>
      <w:tr>
        <w:trPr>
          <w:trHeight w:val="216"/>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Other income,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r>
      <w:tr>
        <w:trPr>
          <w:trHeight w:val="216"/>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Changes in assets and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Trade accounts receivable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18,606</w:t>
            </w:r>
          </w:p>
        </w:tc>
      </w:tr>
      <w:tr>
        <w:trPr>
          <w:trHeight w:val="216"/>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3,133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(3,705)</w:t>
            </w:r>
          </w:p>
        </w:tc>
      </w:tr>
      <w:tr>
        <w:trPr>
          <w:trHeight w:val="216"/>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Inventories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(6,171)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(3,395)</w:t>
            </w:r>
          </w:p>
        </w:tc>
      </w:tr>
      <w:tr>
        <w:trPr>
          <w:trHeight w:val="216"/>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Trade accounts payable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2,755</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(2,651)</w:t>
            </w:r>
          </w:p>
        </w:tc>
      </w:tr>
      <w:tr>
        <w:trPr>
          <w:trHeight w:val="216"/>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Deferred revenue and customers' advances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(10,685)</w:t>
            </w:r>
          </w:p>
        </w:tc>
      </w:tr>
      <w:tr>
        <w:trPr>
          <w:trHeight w:val="216"/>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Other current liabilities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(3,248)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(1,095)</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(4,803)</w:t>
            </w:r>
          </w:p>
        </w:tc>
      </w:tr>
      <w:tr>
        <w:trPr>
          <w:trHeight w:val="216"/>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Long-term employee related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w:t>
            </w:r>
          </w:p>
        </w:tc>
      </w:tr>
      <w:tr>
        <w:trPr>
          <w:trHeight w:val="223"/>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2,719</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(965)</w:t>
            </w:r>
          </w:p>
        </w:tc>
      </w:tr>
      <w:tr>
        <w:trPr>
          <w:trHeight w:val="223"/>
        </w:trPr>
        <w:tc>
          <w:tcPr>
            <w:tcW w:w="732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68,336</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71,561</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74,868</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Investments in 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(62,907)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(43,704)</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(41,718)</w:t>
            </w:r>
          </w:p>
        </w:tc>
      </w:tr>
      <w:tr>
        <w:trPr>
          <w:trHeight w:val="21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(85,356)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(87,530)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(6,726)</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(148,263)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(131,234)</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(48,444)</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Debt repaid,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(24,197)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(3,247)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(3,074)</w:t>
            </w:r>
          </w:p>
        </w:tc>
      </w:tr>
      <w:tr>
        <w:trPr>
          <w:trHeight w:val="21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Exercise of options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(24,110)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(1,845)</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(2,677)</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(740)</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(104,213)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(62,075)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23,007</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417,636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385,091</w:t>
            </w: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251,348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355,561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408,098</w:t>
            </w:r>
          </w:p>
        </w:tc>
      </w:tr>
      <w:tr>
        <w:trPr>
          <w:trHeight w:val="614"/>
        </w:trPr>
        <w:tc>
          <w:tcPr>
            <w:tcW w:w="73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7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2020-05-13T06:36:28Z</dcterms:created>
  <dcterms:modified xsi:type="dcterms:W3CDTF">2020-05-13T06:36:28Z</dcterms:modified>
</cp:coreProperties>
</file>