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par value NIS 15.00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M87915274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M87915274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Point72 Asset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7,653,786.00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7,653,786.00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7,653,786.00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71" w:orient="portrait"/>
          <w:cols w:equalWidth="0" w:num="2">
            <w:col w:w="1100" w:space="60"/>
            <w:col w:w="9560"/>
          </w:cols>
          <w:pgMar w:left="320" w:top="166" w:right="85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Includes 258,000 Shares (as defined in Item 2(a)) issuable upon exercise of call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M87915274</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Point72 Capital Advisors,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7,653,786.00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7,653,786.00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7,653,786.00</w:t>
      </w:r>
    </w:p>
    <w:p>
      <w:pPr>
        <w:sectPr>
          <w:pgSz w:w="11900" w:h="16871" w:orient="portrait"/>
          <w:cols w:equalWidth="0" w:num="1">
            <w:col w:w="10720"/>
          </w:cols>
          <w:pgMar w:left="320" w:top="166" w:right="859" w:bottom="0" w:gutter="0" w:footer="0" w:header="0"/>
          <w:type w:val="continuous"/>
        </w:sectPr>
      </w:pPr>
    </w:p>
    <w:bookmarkStart w:id="2" w:name="page3"/>
    <w:bookmarkEnd w:id="2"/>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Includes 258,000 Shares issuable upon exercise of call options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M87915274</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Steven A. Cohen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139"/>
          </w:cols>
          <w:pgMar w:left="320" w:top="111" w:right="1440"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7,653,786.00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7,653,786.00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7,653,786.00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8979"/>
          </w:cols>
          <w:pgMar w:left="320" w:top="111" w:right="1440"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Includes 258,000 Shares issuable upon exercise of call options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139"/>
          </w:cols>
          <w:pgMar w:left="320" w:top="111" w:right="1440"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ectPr>
          <w:pgSz w:w="11900" w:h="16838" w:orient="portrait"/>
          <w:cols w:equalWidth="0" w:num="1">
            <w:col w:w="10139"/>
          </w:cols>
          <w:pgMar w:left="320" w:top="111" w:right="1440" w:bottom="0" w:gutter="0" w:footer="0" w:header="0"/>
          <w:type w:val="continuous"/>
        </w:sectPr>
      </w:pPr>
    </w:p>
    <w:bookmarkStart w:id="3" w:name="page4"/>
    <w:bookmarkEnd w:id="3"/>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issuer:</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TOWER SEMICONDUCTOR LTD</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Ramat Gavriel Industrial Park, P.O. Box 619, Migdal Haemek, Israel 2310502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00"/>
        <w:spacing w:after="0" w:line="249" w:lineRule="auto"/>
        <w:rPr>
          <w:sz w:val="20"/>
          <w:szCs w:val="20"/>
          <w:color w:val="auto"/>
        </w:rPr>
      </w:pPr>
      <w:r>
        <w:rPr>
          <w:rFonts w:ascii="Times New Roman" w:cs="Times New Roman" w:eastAsia="Times New Roman" w:hAnsi="Times New Roman"/>
          <w:sz w:val="21"/>
          <w:szCs w:val="21"/>
          <w:color w:val="auto"/>
        </w:rPr>
        <w:t>This statement is filed by: (i) Point72 Asset Management, L.P. ("Point72 Asset Management") with respect to the ordinary shares, par value NIS 15.00 per share (the "Shares"), of Tower Semiconductor Ltd. held by (and underlying options held by) Point72 Associates, LLC, an investment fund it manages ("Point72 Associates"), and another</w:t>
      </w:r>
    </w:p>
    <w:p>
      <w:pPr>
        <w:spacing w:after="0" w:line="1" w:lineRule="exact"/>
        <w:rPr>
          <w:sz w:val="20"/>
          <w:szCs w:val="20"/>
          <w:color w:val="auto"/>
        </w:rPr>
      </w:pPr>
    </w:p>
    <w:p>
      <w:pPr>
        <w:ind w:left="920" w:hanging="912"/>
        <w:spacing w:after="0" w:line="232"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 fund it manages (together with Point72 Associates, the "Point72 Funds"); (ii) Point72 Capital Advisors, Inc. ("Point72 Capital Advisors Inc.") with respect to the Shares held by (and underlying options held by) the Point72 Funds; and (iii) Steven A. Cohen ("Mr. Cohen") with respect to the Shares beneficially owned by Point72 Asset Management and Point72 Capital Advisors Inc. Each of Cubist Systematic Strategies, LLC and Point72 Hong Kong Limited are advisors under common control with Point72 Asset Management, and each acts as a sub-advisor with respect to a portion of the Shares reported herein.</w:t>
      </w:r>
    </w:p>
    <w:p>
      <w:pPr>
        <w:sectPr>
          <w:pgSz w:w="11900" w:h="16838" w:orient="portrait"/>
          <w:cols w:equalWidth="0" w:num="1">
            <w:col w:w="11100"/>
          </w:cols>
          <w:pgMar w:left="360" w:top="112" w:right="439" w:bottom="0" w:gutter="0" w:footer="0" w:header="0"/>
        </w:sect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address of the principal business office of Point72 Asset Management, Point72 Capital Advisors Inc., and Mr.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Cohen is 72 Cummings Point Road, Stamford, CT 06902.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960"/>
        <w:spacing w:after="0" w:line="256" w:lineRule="auto"/>
        <w:rPr>
          <w:sz w:val="20"/>
          <w:szCs w:val="20"/>
          <w:color w:val="auto"/>
        </w:rPr>
      </w:pPr>
      <w:r>
        <w:rPr>
          <w:rFonts w:ascii="Times New Roman" w:cs="Times New Roman" w:eastAsia="Times New Roman" w:hAnsi="Times New Roman"/>
          <w:sz w:val="22"/>
          <w:szCs w:val="22"/>
          <w:color w:val="auto"/>
        </w:rPr>
        <w:t>Point72 Asset Management is a Delaware limited partnership. Point72 Capital Advisors Inc. is a Delaware corporation. Mr. Cohen is a United States citizen.</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Ordinary Shares, par value NIS 15.00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M87915274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4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8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180"/>
          </w:cols>
          <w:pgMar w:left="360" w:top="112" w:right="439" w:bottom="0" w:gutter="0" w:footer="0" w:header="0"/>
          <w:type w:val="continuous"/>
        </w:sectPr>
      </w:pPr>
    </w:p>
    <w:p>
      <w:pPr>
        <w:spacing w:after="0" w:line="33" w:lineRule="exact"/>
        <w:rPr>
          <w:sz w:val="20"/>
          <w:szCs w:val="20"/>
          <w:color w:val="auto"/>
        </w:rPr>
      </w:pPr>
    </w:p>
    <w:p>
      <w:pPr>
        <w:ind w:left="920"/>
        <w:spacing w:after="0" w:line="253" w:lineRule="auto"/>
        <w:rPr>
          <w:sz w:val="20"/>
          <w:szCs w:val="20"/>
          <w:color w:val="auto"/>
        </w:rPr>
      </w:pPr>
      <w:r>
        <w:rPr>
          <w:rFonts w:ascii="Times New Roman" w:cs="Times New Roman" w:eastAsia="Times New Roman" w:hAnsi="Times New Roman"/>
          <w:sz w:val="21"/>
          <w:szCs w:val="21"/>
          <w:color w:val="auto"/>
        </w:rPr>
        <w:t>The information required by Item 4(a) is set forth in Row 9 of the cover page for each of the Reporting Persons and is incorporated herein by reference. Such information is as of the close of business on March 31, 2025. Point72 Asset</w:t>
      </w:r>
    </w:p>
    <w:p>
      <w:pPr>
        <w:spacing w:after="0" w:line="1" w:lineRule="exact"/>
        <w:rPr>
          <w:sz w:val="20"/>
          <w:szCs w:val="20"/>
          <w:color w:val="auto"/>
        </w:rPr>
      </w:pPr>
    </w:p>
    <w:p>
      <w:pPr>
        <w:ind w:left="920" w:hanging="912"/>
        <w:spacing w:after="0" w:line="201" w:lineRule="auto"/>
        <w:tabs>
          <w:tab w:leader="none" w:pos="92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Management, Point72 Capital Advisors Inc., and Mr. Cohen own directly no Shares. Pursuant to an investment management agreement, Point72 Asset Management maintains investment and voting power with respect to the securities held by the Point72 Funds. Point72 Capital Advisors Inc. is the general partner of Point72 Asset Management. Mr. Cohen controls each of Point72 Asset Management and Point72 Capital Advisors Inc. The filing of this statement should not be construed as an admission that any of the foregoing persons or any Reporting Person is, for the purposes of Section 13 of the Act, the beneficial owner of the Shares reported herein.</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6.9% %</w:t>
      </w:r>
    </w:p>
    <w:p>
      <w:pPr>
        <w:sectPr>
          <w:pgSz w:w="11900" w:h="16838" w:orient="portrait"/>
          <w:cols w:equalWidth="0" w:num="1">
            <w:col w:w="11100"/>
          </w:cols>
          <w:pgMar w:left="360" w:top="112" w:right="439" w:bottom="0" w:gutter="0" w:footer="0" w:header="0"/>
          <w:type w:val="continuous"/>
        </w:sectPr>
      </w:pPr>
    </w:p>
    <w:bookmarkStart w:id="4" w:name="page5"/>
    <w:bookmarkEnd w:id="4"/>
    <w:p>
      <w:pPr>
        <w:ind w:left="920" w:hanging="912"/>
        <w:spacing w:after="0"/>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 Such information is as of the close of business on March 31, 2025.</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21"/>
          <w:szCs w:val="21"/>
          <w:color w:val="auto"/>
        </w:rPr>
        <w:t>The information required by Item 4(c)(ii) is set forth in Row 6 of the cover page for each of the Reporting Persons and is incorporated herein by reference. Such information is as of the close of business on March 31,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21"/>
          <w:szCs w:val="21"/>
          <w:color w:val="auto"/>
        </w:rPr>
        <w:t>The information required by Item 4(c)(iii) is set forth in Row 7 of the cover page for each of the Reporting Persons and is incorporated herein by reference. Such information is as of the close of business on March 31,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21"/>
          <w:szCs w:val="21"/>
          <w:color w:val="auto"/>
        </w:rPr>
        <w:t>The information required by Item 4(c)(iv) is set forth in Row 8 of the cover page for each of the Reporting Persons and is incorporated herein by reference. Such information is as of the close of business on March 31,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2"/>
          <w:szCs w:val="22"/>
          <w:color w:val="auto"/>
        </w:rPr>
        <w:t>See Item 2(a). Point72 Associates has the right to receive or the power to direct the receipt of dividends from, or the proceeds from the sale of, more than 5 percent of the outstanding Shares.</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Point72 Asset Management, L.P.</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Name/Title: Jason M. Colombo, Authorized Person</w:t>
      </w:r>
    </w:p>
    <w:p>
      <w:pPr>
        <w:spacing w:after="0" w:line="44"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Point72 Capital Advisors, Inc.</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Name/Title: Jason M. Colombo, Authorized Person</w:t>
      </w:r>
    </w:p>
    <w:p>
      <w:pPr>
        <w:spacing w:after="0" w:line="44"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ectPr>
          <w:pgSz w:w="11900" w:h="16838" w:orient="portrait"/>
          <w:cols w:equalWidth="0" w:num="1">
            <w:col w:w="11140"/>
          </w:cols>
          <w:pgMar w:left="360" w:top="112" w:right="399" w:bottom="0" w:gutter="0" w:footer="0" w:header="0"/>
          <w:type w:val="continuous"/>
        </w:sectPr>
      </w:pPr>
    </w:p>
    <w:bookmarkStart w:id="5" w:name="page6"/>
    <w:bookmarkEnd w:id="5"/>
    <w:p>
      <w:pPr>
        <w:ind w:left="580"/>
        <w:spacing w:after="0"/>
        <w:rPr>
          <w:sz w:val="20"/>
          <w:szCs w:val="20"/>
          <w:color w:val="auto"/>
        </w:rPr>
      </w:pPr>
      <w:r>
        <w:rPr>
          <w:rFonts w:ascii="Times New Roman" w:cs="Times New Roman" w:eastAsia="Times New Roman" w:hAnsi="Times New Roman"/>
          <w:sz w:val="22"/>
          <w:szCs w:val="22"/>
          <w:color w:val="auto"/>
        </w:rPr>
        <w:t>Steven A. Cohen</w:t>
      </w:r>
    </w:p>
    <w:p>
      <w:pPr>
        <w:spacing w:after="0" w:line="153" w:lineRule="exact"/>
        <w:rPr>
          <w:sz w:val="20"/>
          <w:szCs w:val="20"/>
          <w:color w:val="auto"/>
        </w:rPr>
      </w:pPr>
    </w:p>
    <w:p>
      <w:pPr>
        <w:ind w:left="356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pacing w:after="0" w:line="4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1"/>
          <w:szCs w:val="21"/>
          <w:color w:val="auto"/>
        </w:rPr>
        <w:t>Name/Title: Jason M. Colombo, Authorized Person</w:t>
      </w:r>
    </w:p>
    <w:p>
      <w:pPr>
        <w:spacing w:after="0" w:line="56" w:lineRule="exact"/>
        <w:rPr>
          <w:sz w:val="20"/>
          <w:szCs w:val="20"/>
          <w:color w:val="auto"/>
        </w:rPr>
      </w:pPr>
    </w:p>
    <w:p>
      <w:pPr>
        <w:ind w:left="3560"/>
        <w:spacing w:after="0"/>
        <w:tabs>
          <w:tab w:leader="none" w:pos="4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2025-05-15T15:32:44Z</dcterms:created>
  <dcterms:modified xsi:type="dcterms:W3CDTF">2025-05-15T15:32:44Z</dcterms:modified>
</cp:coreProperties>
</file>