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July 2024 No.2</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000-24790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3820"/>
        <w:spacing w:after="0" w:line="207" w:lineRule="exact"/>
        <w:tabs>
          <w:tab w:leader="none" w:pos="5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July 24, 2024, the Registrant announced its financial results for the six and three months ended June 30, 2024. Attached hereto is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dated July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24,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34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9161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2024 Second Quarter Financial Results</w:t>
      </w:r>
    </w:p>
    <w:p>
      <w:pPr>
        <w:spacing w:after="0" w:line="22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July 24, 2024 – </w:t>
      </w:r>
      <w:r>
        <w:rPr>
          <w:rFonts w:ascii="Times New Roman" w:cs="Times New Roman" w:eastAsia="Times New Roman" w:hAnsi="Times New Roman"/>
          <w:sz w:val="18"/>
          <w:szCs w:val="18"/>
          <w:color w:val="auto"/>
        </w:rPr>
        <w:t>Tower Semiconductor (NASDAQ: TSEM &amp; TASE: TSEM) reports today its results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2024 Results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second quarter of 2024 was $351 million as compared to $327 million for the first quarter of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second quarter of 2024 was $87 million as compared to $73 million for the first quarter of 2024.</w:t>
      </w:r>
    </w:p>
    <w:p>
      <w:pPr>
        <w:spacing w:after="0" w:line="23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for the second quarter of 2024 was $55 million and included $6 million restructuring income, net associated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disclosed reorganization and restructure of our Japan operations during 2022, as compared to $34 million in the first quarter of 2024.</w:t>
      </w:r>
    </w:p>
    <w:p>
      <w:pPr>
        <w:spacing w:after="0" w:line="15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for the second quarter of 2024 was $53 million, or $0.48 basic and diluted earnings per share and included $3 million restructuring income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as compared to net profit of $45 million, or $0.40 basic and diluted earnings per share for the first quarter of 2024.</w:t>
      </w:r>
    </w:p>
    <w:p>
      <w:pPr>
        <w:spacing w:after="0" w:line="15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generated from operating activities in the second quarter of 2024 was $113 million. Investments in equipment and other fixed assets were $113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net and debt payments totaled $10 million.</w:t>
      </w:r>
    </w:p>
    <w:p>
      <w:pPr>
        <w:spacing w:after="0" w:line="15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the first quarter of 2024, cash flow generated from operating activities was $110 million, investments in equipment and other fixed assets were $98 million, net and debt payments totaled $8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Tower Semiconductor guides revenue for the third quarter of 2024 to be $370 million, with an upward or downward range of 5%. Mid-range guidance reflects year over year and quarter over quarter growth.</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Mr. Russell Ellwanger, Chief Executive Officer of Tower Semiconductor, stated: “</w:t>
      </w:r>
      <w:r>
        <w:rPr>
          <w:rFonts w:ascii="Times New Roman" w:cs="Times New Roman" w:eastAsia="Times New Roman" w:hAnsi="Times New Roman"/>
          <w:sz w:val="18"/>
          <w:szCs w:val="18"/>
          <w:color w:val="auto"/>
        </w:rPr>
        <w:t>We are tracking well and remain committed to our stated target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sequential revenue growth throughout 2024, as evidenced by our second quarter performance and third quarter guidance. In addition to the recovery in mobile and growth in our advanced Power platforms, we are experiencing a robust, rapidly expanding demand from both existing and new customers within the optical space. Our strong position in optical transceivers, coupled with multiple years of 1st-tier customer partnership in developing both passive and active Silicon Photonics platforms, have uniquely prepared us to be the leading foundry of choice for data transfer within the exploding AI market. We remain focused on innovation to enhance our market leadership and hence to continue to deliver sustainable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Wednesday, July 24, 2024, at 10:00 a.m. Eastern time (9:00 a.m. Central time, 8:00 a.m. Mountain time, 7:00 a.m. Pacific time and 5:00 p.m. Israel time) to discuss the Company’s financial results for the second quarter of 2024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This call will be webcast and can be accessed via Tower Semiconductor’s website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or by calling 1-888-281-1167 (U.S. Toll-Free), 03-918-0610 (Israel), +972-3-918-0610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presents its financial statements in accordance with U.S.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as included in our operating costs and expenses, (2) compensation expenses in respect of equity grants to directors, officers, and employees as included in our operating costs and expenses, (3) merger contract termination fees received from Intel, net of associated cost and taxes following the previously announced Intel contract termination as included in net profit in 2023 and (4)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xml:space="preserve"> as included in net profit.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and/or fixed other assets depreciation), (ii) stock-based compensation expense, (iii) 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in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$113 million, $110 million and $75 million for the three months periods ended June 30, 2024, March 31, 2024 and June 30, 2023,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less cash used for investments in property and equipment, net (in the amounts of $113 million, $98 million and $89 million for the three months periods ended June 30, 2024, March 31, 2024 and June 30, 2023,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Noit Levy | Investor Relations | +972 74 737 7556 |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reliance on acquisition and/or gaining additional capacity for growth, (iii) difficulties in achieving acceptable operational metrics and indices in the future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may fluctuate from quarter to quarter making it difficult to forecast future performance, (viii) our debt and other liabilities that may impact our financial position and operations, (ix) our ability to successfully execute acquisitions, integrate them into our business, utilize our expanded capacity and find new business,</w:t>
      </w:r>
    </w:p>
    <w:p>
      <w:pPr>
        <w:spacing w:after="0" w:line="8" w:lineRule="exact"/>
        <w:rPr>
          <w:sz w:val="20"/>
          <w:szCs w:val="20"/>
          <w:color w:val="auto"/>
        </w:rPr>
      </w:pPr>
    </w:p>
    <w:p>
      <w:pPr>
        <w:jc w:val="both"/>
        <w:ind w:firstLine="8"/>
        <w:spacing w:after="0" w:line="259" w:lineRule="auto"/>
        <w:tabs>
          <w:tab w:leader="none" w:pos="2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and/or failure to receive customer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situations of obsolete inventory if forecasted demand exceeds actual demand when we create inventory before receipt of customer orders,</w:t>
      </w:r>
    </w:p>
    <w:p>
      <w:pPr>
        <w:spacing w:after="0" w:line="22" w:lineRule="exact"/>
        <w:rPr>
          <w:rFonts w:ascii="Times New Roman" w:cs="Times New Roman" w:eastAsia="Times New Roman" w:hAnsi="Times New Roman"/>
          <w:sz w:val="18"/>
          <w:szCs w:val="18"/>
          <w:color w:val="auto"/>
        </w:rPr>
      </w:pPr>
    </w:p>
    <w:p>
      <w:pPr>
        <w:jc w:val="both"/>
        <w:ind w:firstLine="8"/>
        <w:spacing w:after="0" w:line="260"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semiconductor industry and the resulting periodic overcapacity, fluctuations in operating results and future average selling price erosion, (xx) obtain financing for capacity acquisition related transactions, strategic and/or other growth or M&amp;A opportunities, including for funding Agrate fab’s significant 300mm capacity investments and acquisition or funding of equipment and other fixed assets associated with the capacity corridor transaction with Intel as announced in September 2023, in addition to other capacity expansion plans, and the possible unavailability of such financing and/or the availability of such financing on unfavorable terms, (xxi) operating our facilities at sufficient utilization rates necessary to generate and maintain positive and sustainable gross, operating and net profit, (xxii) the purchase of equipment and/or raw material (including purchase beyond our needs), the timely completion of the equipment installation, technology transfer and raising the funds therefor, (xxiii) product returns and defective products, (xxiv) our ability to maintain and develop our technology processes and services to keep pace with new technology, evolving standards, changing customer and end-user requirements, new product introductions and short product life cycles, (xxv) competing effectively, (xxvi)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fab3 landlord’s alleged claims that the noise abatement efforts made thus far are not adequate under the terms of the amended lease that caused him to request a judicial declaration that there was a material non-curable breach of the lease and that he would be entitled to terminate the lease, as well the ability to extend such lease or acquire the real estate and obtain the required local and/or state approvals required to be able to continue operations beyond the current lease term, (xxix) retention of key employees and recruitment and retention of skilled qualified personnel, (xxx) exposure to inflation, currency rates (mainly the Israeli Shekel, the Japanese Yen and the Euro) and interest rate fluctuations and risks associated with doing business locally and internationally, as well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Agrate fab establishment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their significant capacity investment needs and other payments, the availability of which funding cannot be assured on favorable terms, if at all, (xxxiii) potential liabilities, cost and other impact that may be incurred or occur due to reorganization and consolidation of fabrication facilities, including the impact of cessation of operations of our facilities,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issuance of ordinary shares as a result of exercise and/or vesting of any of our employee stock options and/or restricted stock units, as well as any sale of shares by any of our shareholders, or any market expectation thereof, as well as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 due to flood, fire, pandemic, earthquake and other natural disasters, the security situation in Israel, global trade “war” and the current war in Israel, including potential inability to continue uninterrupted operations of the Israeli fabs, impact on global supply chain to and from the Israeli fabs, power interruptions, chemicals or other leaks or damages as a result of the war, absence of workforce due to military service as well as risk that certain countries will restrict doing business with Israeli companies, including imposing restrictions if hostilities in Israel or political instability in the region continue or exacerbate, and other events beyond our control. With respect to the current war in Israel, if instability in neighboring states occurs, Israel could be subject to additional political, economic, and military confines, and our Israeli facilities’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2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p>
      <w:pPr>
        <w:ind w:left="892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June 30,</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903,401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790,823</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65,331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184,960</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154,067</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276,082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282,688</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35,414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35,956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1,710,702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1,709,158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1,199,191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1,155,929</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12,115</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41,315</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2,962,167</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9"/>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61,365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58,952</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139,128</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18,418</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81,040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60,340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290,175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276,838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172,611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16,118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25,710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16,446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449,454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491,478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2,512,713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2,427,039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2,962,167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351,181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327,238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357,191</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264,259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254,632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270,674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72,606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86,517</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18,994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19,951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19,452</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18,670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17,387</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(6,270)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(851)</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38,621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35,988</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33,985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50,529</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3,924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37,969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54,453</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(6,108)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5,078</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(5,747)</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43,047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48,706</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(3,305)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53,445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51,190</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110,840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111,627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111,234</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 during 2022.</w:t>
      </w:r>
    </w:p>
    <w:p>
      <w:pPr>
        <w:spacing w:after="0" w:line="239"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44,634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51,190</w:t>
            </w: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6,761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6,923</w:t>
            </w: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3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(2,634)</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59,040</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58,354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0.52</w:t>
            </w:r>
          </w:p>
        </w:tc>
      </w:tr>
      <w:tr>
        <w:trPr>
          <w:trHeight w:val="21"/>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ind w:right="280" w:firstLine="8"/>
        <w:spacing w:after="0" w:line="302"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678,419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712,802</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518,891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530,568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159,528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182,234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38,945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38,783</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36,016</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(32,506)</w:t>
            </w:r>
          </w:p>
        </w:tc>
      </w:tr>
      <w:tr>
        <w:trPr>
          <w:trHeight w:val="229"/>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70,395</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42,293</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139,941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150,862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(1,030)</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(20,788)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130,074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(1,718)</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(7,482)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98,079</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122,592</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111,153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 during 2022.</w:t>
      </w:r>
    </w:p>
    <w:p>
      <w:pPr>
        <w:spacing w:after="0" w:line="239"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98,079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122,592</w:t>
            </w: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13,371</w:t>
            </w: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990</w:t>
            </w: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(11,224)</w:t>
            </w: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110,883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125,729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w:t>
            </w: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ind w:right="280" w:firstLine="8"/>
        <w:spacing w:after="0" w:line="302" w:lineRule="auto"/>
        <w:tabs>
          <w:tab w:leader="none" w:pos="22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304,934</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110,038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75,494</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(112,615)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(98,018)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(89,433)</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repayment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(8,409)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(10,093)</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(2,658)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(5,322)</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and marketable securities, net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17,443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42,615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318,195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392"/>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56,750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48,706</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65,567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59,544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63,579</w:t>
            </w: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and fair value adjustment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3,102</w:t>
            </w:r>
          </w:p>
        </w:tc>
      </w:tr>
      <w:tr>
        <w:trPr>
          <w:trHeight w:val="230"/>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5,993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(7,227)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(6,716)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(21,241)</w:t>
            </w: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(13,454)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2,114</w:t>
            </w: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(23,703)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16,315</w:t>
            </w:r>
          </w:p>
        </w:tc>
      </w:tr>
      <w:tr>
        <w:trPr>
          <w:trHeight w:val="230"/>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(19,741)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32,559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(24,712)</w:t>
            </w: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(2,091)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(10,723)</w:t>
            </w:r>
          </w:p>
        </w:tc>
      </w:tr>
      <w:tr>
        <w:trPr>
          <w:trHeight w:val="230"/>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16,868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(5,479)</w:t>
            </w:r>
          </w:p>
        </w:tc>
      </w:tr>
      <w:tr>
        <w:trPr>
          <w:trHeight w:val="23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(2,396)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3,982</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113,085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110,038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75,494</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(112,615)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(98,018)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(89,433)</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and marketable securities,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42,615</w:t>
            </w:r>
          </w:p>
        </w:tc>
      </w:tr>
      <w:tr>
        <w:trPr>
          <w:trHeight w:val="237"/>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(95,172)</w:t>
            </w:r>
          </w:p>
        </w:tc>
        <w:tc>
          <w:tcPr>
            <w:tcW w:w="2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(99,131)</w:t>
            </w: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(46,818)</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repayment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(8,409)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(10,093)</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(8,409)</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(10,093)</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(2,658)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(5,322)</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13,261</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304,934</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318,195</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firstLine="8"/>
        <w:spacing w:after="0" w:line="302" w:lineRule="auto"/>
        <w:tabs>
          <w:tab w:leader="none" w:pos="1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acquired intangible assets and stock based compensation in the amounts of $8,229, $7,209 and $7,414 for the 3 months periods ended June 30, 2024, March 31, 2024 and June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Roman"/>
      <w:start w:val="18"/>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2024-07-24T06:03:10Z</dcterms:created>
  <dcterms:modified xsi:type="dcterms:W3CDTF">2024-07-24T06:03:10Z</dcterms:modified>
</cp:coreProperties>
</file>