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6)*</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 par value NIS 15.00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M87915274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March 3,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Securities Exchange Act</w:t>
      </w:r>
      <w:r>
        <w:rPr>
          <w:rFonts w:ascii="Arial" w:cs="Arial" w:eastAsia="Arial" w:hAnsi="Arial"/>
          <w:sz w:val="22"/>
          <w:szCs w:val="22"/>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tbl>
      <w:tblPr>
        <w:tblLayout w:type="fixed"/>
        <w:tblInd w:w="30" w:type="dxa"/>
        <w:tblCellMar>
          <w:top w:w="0" w:type="dxa"/>
          <w:left w:w="0" w:type="dxa"/>
          <w:bottom w:w="0" w:type="dxa"/>
          <w:right w:w="0" w:type="dxa"/>
        </w:tblCellMar>
      </w:tblPr>
      <w:tr>
        <w:trPr>
          <w:trHeight w:val="22"/>
        </w:trPr>
        <w:tc>
          <w:tcPr>
            <w:tcW w:w="4100" w:type="dxa"/>
            <w:vAlign w:val="bottom"/>
            <w:tcBorders>
              <w:bottom w:val="single" w:sz="8" w:color="auto"/>
            </w:tcBorders>
          </w:tcPr>
          <w:p>
            <w:pPr>
              <w:spacing w:after="0" w:line="20" w:lineRule="exact"/>
              <w:rPr>
                <w:sz w:val="1"/>
                <w:szCs w:val="1"/>
                <w:color w:val="auto"/>
              </w:rPr>
            </w:pPr>
          </w:p>
        </w:tc>
        <w:tc>
          <w:tcPr>
            <w:tcW w:w="398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13G</w:t>
            </w:r>
          </w:p>
        </w:tc>
        <w:tc>
          <w:tcPr>
            <w:tcW w:w="3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M87915274</w:t>
            </w:r>
          </w:p>
        </w:tc>
        <w:tc>
          <w:tcPr>
            <w:tcW w:w="3980" w:type="dxa"/>
            <w:vAlign w:val="bottom"/>
            <w:vMerge w:val="continue"/>
          </w:tcPr>
          <w:p>
            <w:pPr>
              <w:spacing w:after="0"/>
              <w:rPr>
                <w:sz w:val="19"/>
                <w:szCs w:val="19"/>
                <w:color w:val="auto"/>
              </w:rPr>
            </w:pPr>
          </w:p>
        </w:tc>
        <w:tc>
          <w:tcPr>
            <w:tcW w:w="3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2 of 8 Pages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103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04"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Holdings Ltd.</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9"/>
        <w:spacing w:after="0" w:line="207" w:lineRule="exact"/>
        <w:tabs>
          <w:tab w:leader="none" w:pos="2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9"/>
        <w:spacing w:after="0" w:line="207" w:lineRule="exact"/>
        <w:tabs>
          <w:tab w:leader="none" w:pos="24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3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6"/>
              </w:rPr>
              <w:t>SEC USE ONLY</w:t>
            </w:r>
          </w:p>
        </w:tc>
        <w:tc>
          <w:tcPr>
            <w:tcW w:w="7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680" w:type="dxa"/>
            <w:vAlign w:val="bottom"/>
            <w:tcBorders>
              <w:bottom w:val="single" w:sz="8" w:color="auto"/>
              <w:right w:val="single" w:sz="8" w:color="CCEEFF"/>
            </w:tcBorders>
            <w:shd w:val="clear" w:color="auto" w:fill="CCEEFF"/>
          </w:tcPr>
          <w:p>
            <w:pPr>
              <w:spacing w:after="0"/>
              <w:rPr>
                <w:sz w:val="24"/>
                <w:szCs w:val="24"/>
                <w:color w:val="auto"/>
              </w:rPr>
            </w:pPr>
          </w:p>
        </w:tc>
        <w:tc>
          <w:tcPr>
            <w:tcW w:w="7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w:t>
            </w:r>
          </w:p>
        </w:tc>
        <w:tc>
          <w:tcPr>
            <w:tcW w:w="7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vMerge w:val="restart"/>
          </w:tcPr>
          <w:p>
            <w:pPr>
              <w:jc w:val="center"/>
              <w:ind w:left="78"/>
              <w:spacing w:after="0"/>
              <w:rPr>
                <w:sz w:val="20"/>
                <w:szCs w:val="20"/>
                <w:color w:val="auto"/>
              </w:rPr>
            </w:pPr>
            <w:r>
              <w:rPr>
                <w:rFonts w:ascii="Arial" w:cs="Arial" w:eastAsia="Arial" w:hAnsi="Arial"/>
                <w:sz w:val="18"/>
                <w:szCs w:val="18"/>
                <w:color w:val="auto"/>
                <w:w w:val="96"/>
              </w:rPr>
              <w:t>NUMBER OF</w:t>
            </w: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5,121,734.89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BENEFICIALLY</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78"/>
              <w:spacing w:after="0" w:line="189" w:lineRule="exact"/>
              <w:rPr>
                <w:sz w:val="20"/>
                <w:szCs w:val="20"/>
                <w:color w:val="auto"/>
              </w:rPr>
            </w:pPr>
            <w:r>
              <w:rPr>
                <w:rFonts w:ascii="Arial" w:cs="Arial" w:eastAsia="Arial" w:hAnsi="Arial"/>
                <w:sz w:val="18"/>
                <w:szCs w:val="18"/>
                <w:color w:val="auto"/>
                <w:w w:val="97"/>
              </w:rPr>
              <w:t>OWNED BY</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7</w:t>
            </w: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78"/>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78"/>
              <w:spacing w:after="0" w:line="170" w:lineRule="exact"/>
              <w:rPr>
                <w:sz w:val="20"/>
                <w:szCs w:val="20"/>
                <w:color w:val="auto"/>
              </w:rPr>
            </w:pPr>
            <w:r>
              <w:rPr>
                <w:rFonts w:ascii="Arial" w:cs="Arial" w:eastAsia="Arial" w:hAnsi="Arial"/>
                <w:sz w:val="18"/>
                <w:szCs w:val="18"/>
                <w:color w:val="auto"/>
                <w:w w:val="94"/>
              </w:rPr>
              <w:t>PERSON WITH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8</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5,121,734.89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w w:val="99"/>
              </w:rPr>
              <w:t>5,121,734.89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4.70%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The beneficial ownership of the securities reported herein is described in Item 4(a).</w:t>
      </w:r>
    </w:p>
    <w:p>
      <w:pPr>
        <w:spacing w:after="0" w:line="287" w:lineRule="exact"/>
        <w:rPr>
          <w:sz w:val="20"/>
          <w:szCs w:val="20"/>
          <w:color w:val="auto"/>
        </w:rPr>
      </w:pPr>
    </w:p>
    <w:p>
      <w:pPr>
        <w:ind w:left="5580" w:right="1760" w:hanging="5572"/>
        <w:spacing w:after="0" w:line="519" w:lineRule="auto"/>
        <w:tabs>
          <w:tab w:leader="none" w:pos="432"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108,883,257 Ordinary Shares outstanding as of March 3, 2022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1361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spacing w:after="0"/>
        <w:tabs>
          <w:tab w:leader="none" w:pos="1900" w:val="left"/>
        </w:tabs>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Tower Semiconductor Ltd.</w:t>
      </w:r>
    </w:p>
    <w:p>
      <w:pPr>
        <w:spacing w:after="0" w:line="240" w:lineRule="exact"/>
        <w:rPr>
          <w:sz w:val="20"/>
          <w:szCs w:val="20"/>
          <w:color w:val="auto"/>
        </w:rPr>
      </w:pPr>
    </w:p>
    <w:p>
      <w:pPr>
        <w:ind w:left="1460" w:hanging="86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Ramat Gavriel Industrial Park, P.O. Box 619, Migdal Haemek 2310502, Israel</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Phoenix Holdings Ltd.</w:t>
      </w:r>
    </w:p>
    <w:p>
      <w:pPr>
        <w:spacing w:after="0" w:line="258" w:lineRule="exact"/>
        <w:rPr>
          <w:sz w:val="20"/>
          <w:szCs w:val="20"/>
          <w:color w:val="auto"/>
        </w:rPr>
      </w:pPr>
    </w:p>
    <w:p>
      <w:pPr>
        <w:jc w:val="both"/>
        <w:ind w:left="1420"/>
        <w:spacing w:after="0" w:line="260" w:lineRule="auto"/>
        <w:rPr>
          <w:sz w:val="20"/>
          <w:szCs w:val="20"/>
          <w:color w:val="auto"/>
        </w:rPr>
      </w:pPr>
      <w:r>
        <w:rPr>
          <w:rFonts w:ascii="Arial" w:cs="Arial" w:eastAsia="Arial" w:hAnsi="Arial"/>
          <w:sz w:val="22"/>
          <w:szCs w:val="22"/>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39" w:lineRule="exact"/>
        <w:rPr>
          <w:sz w:val="20"/>
          <w:szCs w:val="20"/>
          <w:color w:val="auto"/>
        </w:rPr>
      </w:pPr>
    </w:p>
    <w:p>
      <w:pPr>
        <w:ind w:left="1480" w:hanging="649"/>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The address of the Phoenix Holdings Ltd. is Derech Hashalom 53, Givataim, 53454, Israel.</w:t>
      </w:r>
    </w:p>
    <w:p>
      <w:pPr>
        <w:spacing w:after="0" w:line="240" w:lineRule="exact"/>
        <w:rPr>
          <w:sz w:val="20"/>
          <w:szCs w:val="20"/>
          <w:color w:val="auto"/>
        </w:rPr>
      </w:pPr>
    </w:p>
    <w:p>
      <w:pPr>
        <w:ind w:left="1480" w:hanging="649"/>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Phoenix Holdings Ltd. - Israel</w:t>
      </w:r>
    </w:p>
    <w:p>
      <w:pPr>
        <w:spacing w:after="0" w:line="252" w:lineRule="exact"/>
        <w:rPr>
          <w:sz w:val="20"/>
          <w:szCs w:val="20"/>
          <w:color w:val="auto"/>
        </w:rPr>
      </w:pPr>
    </w:p>
    <w:p>
      <w:pPr>
        <w:ind w:left="1480" w:hanging="649"/>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5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Ordinary Shares, par value NIS 15.00 per share</w:t>
      </w:r>
    </w:p>
    <w:p>
      <w:pPr>
        <w:spacing w:after="0" w:line="254" w:lineRule="exact"/>
        <w:rPr>
          <w:sz w:val="20"/>
          <w:szCs w:val="20"/>
          <w:color w:val="auto"/>
        </w:rPr>
      </w:pPr>
    </w:p>
    <w:p>
      <w:pPr>
        <w:ind w:left="1480" w:hanging="649"/>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6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22"/>
                <w:szCs w:val="22"/>
                <w:color w:val="auto"/>
                <w:w w:val="92"/>
              </w:rPr>
              <w:t>M87915274</w:t>
            </w:r>
          </w:p>
        </w:tc>
      </w:tr>
      <w:tr>
        <w:trPr>
          <w:trHeight w:val="44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8"/>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jc w:val="both"/>
        <w:ind w:left="656"/>
        <w:spacing w:after="0" w:line="254"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25" w:lineRule="exact"/>
        <w:rPr>
          <w:sz w:val="20"/>
          <w:szCs w:val="20"/>
          <w:color w:val="auto"/>
        </w:rPr>
      </w:pPr>
    </w:p>
    <w:p>
      <w:pPr>
        <w:ind w:left="656"/>
        <w:spacing w:after="0"/>
        <w:rPr>
          <w:sz w:val="20"/>
          <w:szCs w:val="20"/>
          <w:color w:val="auto"/>
        </w:rPr>
      </w:pPr>
      <w:r>
        <w:rPr>
          <w:rFonts w:ascii="Arial" w:cs="Arial" w:eastAsia="Arial" w:hAnsi="Arial"/>
          <w:sz w:val="22"/>
          <w:szCs w:val="22"/>
          <w:color w:val="auto"/>
        </w:rPr>
        <w:t>As of March 3, 2022, the securities reported herein were held as follows:</w:t>
      </w:r>
    </w:p>
    <w:p>
      <w:pPr>
        <w:spacing w:after="0" w:line="277" w:lineRule="exact"/>
        <w:rPr>
          <w:sz w:val="20"/>
          <w:szCs w:val="20"/>
          <w:color w:val="auto"/>
        </w:rPr>
      </w:pPr>
    </w:p>
    <w:tbl>
      <w:tblPr>
        <w:tblLayout w:type="fixed"/>
        <w:tblInd w:w="376"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of total</w:t>
            </w:r>
          </w:p>
        </w:tc>
      </w:tr>
      <w:tr>
        <w:trPr>
          <w:trHeight w:val="216"/>
        </w:trPr>
        <w:tc>
          <w:tcPr>
            <w:tcW w:w="7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Ordinary</w:t>
            </w:r>
          </w:p>
        </w:tc>
      </w:tr>
      <w:tr>
        <w:trPr>
          <w:trHeight w:val="216"/>
        </w:trPr>
        <w:tc>
          <w:tcPr>
            <w:tcW w:w="772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Ordinary</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r>
      <w:tr>
        <w:trPr>
          <w:trHeight w:val="241"/>
        </w:trPr>
        <w:tc>
          <w:tcPr>
            <w:tcW w:w="77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outstanding</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Excellence "nostro" accounts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Excellence provident funds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Excellence trust funds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1,257,786.31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Excellence ETF's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 Phoenix "nostro" accounts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207,569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0.19%</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The Phoenix pension and provident funds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164,576.95</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Linked insurance policies of Phoenix</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26,695.71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Partnership for Israeli shares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2,792,672.42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Partnership for investing in shares indexes (1)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672,434.50</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0.62%</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Partnership for international shares (1)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Halman - Aldubi Provident and Pension Funds Ltd.</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976" w:hanging="342"/>
        <w:spacing w:after="0" w:line="342" w:lineRule="auto"/>
        <w:tabs>
          <w:tab w:leader="none" w:pos="976"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50" w:lineRule="exact"/>
        <w:rPr>
          <w:rFonts w:ascii="Arial" w:cs="Arial" w:eastAsia="Arial" w:hAnsi="Arial"/>
          <w:sz w:val="16"/>
          <w:szCs w:val="16"/>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6"/>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52" w:lineRule="exact"/>
        <w:rPr>
          <w:rFonts w:ascii="Arial" w:cs="Arial" w:eastAsia="Arial" w:hAnsi="Arial"/>
          <w:sz w:val="18"/>
          <w:szCs w:val="18"/>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25" w:lineRule="exact"/>
        <w:rPr>
          <w:rFonts w:ascii="Arial" w:cs="Arial" w:eastAsia="Arial" w:hAnsi="Arial"/>
          <w:sz w:val="18"/>
          <w:szCs w:val="18"/>
          <w:color w:val="auto"/>
        </w:rPr>
      </w:pPr>
    </w:p>
    <w:p>
      <w:pPr>
        <w:ind w:left="1416" w:right="5300" w:hanging="647"/>
        <w:spacing w:after="0" w:line="581" w:lineRule="auto"/>
        <w:tabs>
          <w:tab w:leader="none" w:pos="1416" w:val="left"/>
        </w:tabs>
        <w:numPr>
          <w:ilvl w:val="2"/>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00" w:lineRule="exact"/>
        <w:rPr>
          <w:sz w:val="20"/>
          <w:szCs w:val="20"/>
          <w:color w:val="auto"/>
        </w:rPr>
      </w:pPr>
    </w:p>
    <w:p>
      <w:pPr>
        <w:spacing w:after="0" w:line="220" w:lineRule="exact"/>
        <w:rPr>
          <w:sz w:val="20"/>
          <w:szCs w:val="20"/>
          <w:color w:val="auto"/>
        </w:rPr>
      </w:pPr>
    </w:p>
    <w:p>
      <w:pPr>
        <w:ind w:left="481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41275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584" w:right="339" w:bottom="1440" w:gutter="0" w:footer="0" w:header="0"/>
        </w:sectPr>
      </w:pPr>
    </w:p>
    <w:bookmarkStart w:id="4" w:name="page5"/>
    <w:bookmarkEnd w:id="4"/>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62" w:lineRule="exact"/>
        <w:rPr>
          <w:sz w:val="20"/>
          <w:szCs w:val="20"/>
          <w:color w:val="auto"/>
        </w:rPr>
      </w:pPr>
    </w:p>
    <w:p>
      <w:pPr>
        <w:ind w:left="1460"/>
        <w:spacing w:after="0" w:line="284"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1"/>
          <w:szCs w:val="21"/>
          <w:color w:val="auto"/>
        </w:rPr>
        <w:t>☒</w:t>
      </w:r>
      <w:r>
        <w:rPr>
          <w:rFonts w:ascii="Arial" w:cs="Arial" w:eastAsia="Arial" w:hAnsi="Arial"/>
          <w:sz w:val="21"/>
          <w:szCs w:val="21"/>
          <w:color w:val="auto"/>
        </w:rPr>
        <w:t>.</w:t>
      </w:r>
    </w:p>
    <w:p>
      <w:pPr>
        <w:spacing w:after="0" w:line="205"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1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March 7, 2022</w:t>
      </w:r>
    </w:p>
    <w:p>
      <w:pPr>
        <w:spacing w:after="0" w:line="2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The Phoenix Holdings Ltd.</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Financial Officer</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Haggai Schreiber</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Haggai Schreiber*</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Investment Officer</w:t>
      </w:r>
    </w:p>
    <w:p>
      <w:pPr>
        <w:spacing w:after="0" w:line="24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Signature duly authorized by resolution of the Board of Directors, notice of which is attached as Exhibit 1 to this Schedule 13G.</w:t>
      </w:r>
    </w:p>
    <w:p>
      <w:pPr>
        <w:spacing w:after="0" w:line="308"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1120" w:hanging="1106"/>
        <w:spacing w:after="0" w:line="277" w:lineRule="auto"/>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Notice of resolution of the Board of Directors of the Phoenix Holdings Ltd., dated as of December 12, 2019 (incorporated herein by reference to Exhibit 3 to the Schedule 13G filed on February 7, 2022).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36130" cy="45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lvl w:ilvl="1">
      <w:lvlJc w:val="left"/>
      <w:lvlText w:val="(%2)"/>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7FDCC23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2022-03-08T05:15:44Z</dcterms:created>
  <dcterms:modified xsi:type="dcterms:W3CDTF">2022-03-08T05:15:44Z</dcterms:modified>
</cp:coreProperties>
</file>