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zk2329663.htm"/>
      <w:bookmarkStart w:id="1" w:name="kszk2329663"/>
      <w:bookmarkStart w:id="2" w:name="zk2329663.htm"/>
      <w:bookmarkStart w:id="3" w:name="kszk2329663"/>
      <w:bookmarkEnd w:id="2"/>
      <w:bookmarkEnd w:id="3"/>
    </w:p>
    <w:p>
      <w:pPr>
        <w:pStyle w:val="TextBody"/>
        <w:spacing w:before="0" w:after="0"/>
        <w:rPr/>
      </w:pPr>
      <w:r>
        <w:rPr/>
      </w:r>
    </w:p>
    <w:p>
      <w:pPr>
        <w:pStyle w:val="TextBody"/>
        <w:spacing w:lineRule="auto" w:line="300" w:before="0" w:after="0"/>
        <w:jc w:val="center"/>
        <w:rPr>
          <w:rFonts w:ascii="Times New Roman;Times;serif" w:hAnsi="Times New Roman;Times;serif"/>
          <w:b/>
        </w:rPr>
      </w:pPr>
      <w:r>
        <w:rPr>
          <w:rFonts w:ascii="Times New Roman;Times;serif" w:hAnsi="Times New Roman;Times;serif"/>
          <w:b/>
        </w:rPr>
        <w:t>UNITED STATES</w:t>
      </w:r>
    </w:p>
    <w:p>
      <w:pPr>
        <w:pStyle w:val="TextBody"/>
        <w:spacing w:lineRule="auto" w:line="300" w:before="0" w:after="0"/>
        <w:jc w:val="center"/>
        <w:rPr>
          <w:rFonts w:ascii="Times New Roman;Times;serif" w:hAnsi="Times New Roman;Times;serif"/>
          <w:b/>
          <w:smallCaps/>
          <w:sz w:val="28"/>
        </w:rPr>
      </w:pPr>
      <w:r>
        <w:rPr>
          <w:rFonts w:ascii="Times New Roman;Times;serif" w:hAnsi="Times New Roman;Times;serif"/>
          <w:b/>
          <w:smallCaps/>
          <w:sz w:val="28"/>
        </w:rPr>
        <w:t>SECURITIES AND EXCHANGE COMMISSION</w:t>
      </w:r>
    </w:p>
    <w:p>
      <w:pPr>
        <w:pStyle w:val="TextBody"/>
        <w:spacing w:lineRule="auto" w:line="300" w:before="0" w:after="0"/>
        <w:jc w:val="center"/>
        <w:rPr>
          <w:rFonts w:ascii="Times New Roman;Times;serif" w:hAnsi="Times New Roman;Times;serif"/>
        </w:rPr>
      </w:pPr>
      <w:r>
        <w:rPr>
          <w:rFonts w:ascii="Times New Roman;Times;serif" w:hAnsi="Times New Roman;Times;serif"/>
          <w:smallCaps/>
        </w:rPr>
        <w:t>W</w:t>
      </w:r>
      <w:r>
        <w:rPr>
          <w:rFonts w:ascii="Times New Roman;Times;serif" w:hAnsi="Times New Roman;Times;serif"/>
        </w:rPr>
        <w:t xml:space="preserve">ashington, D.C. </w:t>
      </w:r>
      <w:r>
        <w:rPr>
          <w:rFonts w:ascii="Times New Roman;Times;serif" w:hAnsi="Times New Roman;Times;serif"/>
          <w:smallCaps/>
        </w:rPr>
        <w:t>20549</w:t>
      </w:r>
    </w:p>
    <w:p>
      <w:pPr>
        <w:pStyle w:val="TextBody"/>
        <w:spacing w:lineRule="auto" w:line="300" w:before="0" w:after="0"/>
        <w:rPr/>
      </w:pPr>
      <w:r>
        <w:rPr/>
      </w:r>
    </w:p>
    <w:p>
      <w:pPr>
        <w:pStyle w:val="TextBody"/>
        <w:spacing w:lineRule="auto" w:line="300" w:before="0" w:after="0"/>
        <w:jc w:val="center"/>
        <w:rPr>
          <w:rFonts w:ascii="Times New Roman;Times;serif" w:hAnsi="Times New Roman;Times;serif"/>
          <w:b/>
          <w:smallCaps/>
          <w:sz w:val="28"/>
        </w:rPr>
      </w:pPr>
      <w:r>
        <w:rPr>
          <w:rFonts w:ascii="Times New Roman;Times;serif" w:hAnsi="Times New Roman;Times;serif"/>
          <w:b/>
          <w:smallCaps/>
          <w:sz w:val="28"/>
        </w:rPr>
        <w:t>FORM 6-K</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b/>
        </w:rPr>
      </w:pPr>
      <w:r>
        <w:rPr>
          <w:rFonts w:ascii="Times New Roman;Times;serif" w:hAnsi="Times New Roman;Times;serif"/>
          <w:b/>
        </w:rPr>
        <w:t xml:space="preserve">REPORT OF FOREIGN PRIVATE ISSUER PURSUANT TO RULE 13a-16 OR 15d-16 </w:t>
      </w:r>
    </w:p>
    <w:p>
      <w:pPr>
        <w:pStyle w:val="TextBody"/>
        <w:spacing w:lineRule="auto" w:line="300" w:before="0" w:after="0"/>
        <w:jc w:val="center"/>
        <w:rPr>
          <w:rFonts w:ascii="Times New Roman;Times;serif" w:hAnsi="Times New Roman;Times;serif"/>
          <w:b/>
        </w:rPr>
      </w:pPr>
      <w:r>
        <w:rPr>
          <w:rFonts w:ascii="Times New Roman;Times;serif" w:hAnsi="Times New Roman;Times;serif"/>
          <w:b/>
        </w:rPr>
        <w:t>OF THE SECURITIES EXCHANGE ACT OF 1934</w:t>
      </w:r>
    </w:p>
    <w:p>
      <w:pPr>
        <w:pStyle w:val="TextBody"/>
        <w:spacing w:lineRule="auto" w:line="300" w:before="0" w:after="0"/>
        <w:rPr/>
      </w:pPr>
      <w:r>
        <w:rPr/>
        <w:t> </w:t>
      </w:r>
    </w:p>
    <w:p>
      <w:pPr>
        <w:pStyle w:val="TextBody"/>
        <w:spacing w:lineRule="auto" w:line="300" w:before="0" w:after="0"/>
        <w:jc w:val="center"/>
        <w:rPr>
          <w:rFonts w:ascii="Times New Roman;Times;serif" w:hAnsi="Times New Roman;Times;serif"/>
        </w:rPr>
      </w:pPr>
      <w:r>
        <w:rPr>
          <w:rFonts w:ascii="Times New Roman;Times;serif" w:hAnsi="Times New Roman;Times;serif"/>
          <w:smallCaps/>
        </w:rPr>
        <w:t>F</w:t>
      </w:r>
      <w:r>
        <w:rPr>
          <w:rFonts w:ascii="Times New Roman;Times;serif" w:hAnsi="Times New Roman;Times;serif"/>
        </w:rPr>
        <w:t>or the month of May 2023 No.1</w:t>
      </w:r>
    </w:p>
    <w:p>
      <w:pPr>
        <w:pStyle w:val="TextBody"/>
        <w:spacing w:lineRule="auto" w:line="300" w:before="0" w:after="0"/>
        <w:rPr/>
      </w:pPr>
      <w:r>
        <w:rPr/>
      </w:r>
    </w:p>
    <w:p>
      <w:pPr>
        <w:pStyle w:val="TextBody"/>
        <w:spacing w:lineRule="auto" w:line="300" w:before="0" w:after="0"/>
        <w:jc w:val="center"/>
        <w:rPr>
          <w:rFonts w:ascii="Times New Roman;Times;serif" w:hAnsi="Times New Roman;Times;serif"/>
        </w:rPr>
      </w:pPr>
      <w:r>
        <w:rPr>
          <w:rFonts w:ascii="Times New Roman;Times;serif" w:hAnsi="Times New Roman;Times;serif"/>
        </w:rPr>
        <w:t>Commission File Number 0-24790</w:t>
      </w:r>
    </w:p>
    <w:p>
      <w:pPr>
        <w:pStyle w:val="TextBody"/>
        <w:spacing w:lineRule="auto" w:line="300" w:before="0" w:after="0"/>
        <w:rPr/>
      </w:pPr>
      <w:r>
        <w:rPr/>
      </w:r>
    </w:p>
    <w:p>
      <w:pPr>
        <w:pStyle w:val="TextBody"/>
        <w:spacing w:lineRule="auto" w:line="300" w:before="0" w:after="0"/>
        <w:jc w:val="center"/>
        <w:rPr>
          <w:rFonts w:ascii="Times New Roman;Times;serif" w:hAnsi="Times New Roman;Times;serif"/>
          <w:b/>
          <w:sz w:val="32"/>
        </w:rPr>
      </w:pPr>
      <w:r>
        <w:rPr>
          <w:rFonts w:ascii="Times New Roman;Times;serif" w:hAnsi="Times New Roman;Times;serif"/>
          <w:b/>
          <w:sz w:val="32"/>
        </w:rPr>
        <w:t>TOWER SEMICONDUCTOR LTD.</w:t>
      </w:r>
    </w:p>
    <w:p>
      <w:pPr>
        <w:pStyle w:val="TextBody"/>
        <w:spacing w:lineRule="auto" w:line="300" w:before="0" w:after="0"/>
        <w:jc w:val="center"/>
        <w:rPr>
          <w:rFonts w:ascii="Times New Roman;Times;serif" w:hAnsi="Times New Roman;Times;serif"/>
        </w:rPr>
      </w:pPr>
      <w:r>
        <w:rPr>
          <w:rFonts w:ascii="Times New Roman;Times;serif" w:hAnsi="Times New Roman;Times;serif"/>
        </w:rPr>
        <w:t>(Translation of registrant's name into English)</w:t>
      </w:r>
    </w:p>
    <w:p>
      <w:pPr>
        <w:pStyle w:val="TextBody"/>
        <w:spacing w:lineRule="auto" w:line="300" w:before="0" w:after="0"/>
        <w:rPr/>
      </w:pPr>
      <w:r>
        <w:rPr/>
      </w:r>
    </w:p>
    <w:p>
      <w:pPr>
        <w:pStyle w:val="TextBody"/>
        <w:spacing w:lineRule="auto" w:line="300" w:before="0" w:after="0"/>
        <w:jc w:val="center"/>
        <w:rPr>
          <w:rFonts w:ascii="Times New Roman;Times;serif" w:hAnsi="Times New Roman;Times;serif"/>
          <w:b/>
        </w:rPr>
      </w:pPr>
      <w:r>
        <w:rPr>
          <w:rFonts w:ascii="Times New Roman;Times;serif" w:hAnsi="Times New Roman;Times;serif"/>
          <w:b/>
        </w:rPr>
        <w:t>Ramat Gavriel Industrial Park</w:t>
      </w:r>
    </w:p>
    <w:p>
      <w:pPr>
        <w:pStyle w:val="TextBody"/>
        <w:spacing w:lineRule="auto" w:line="300" w:before="0" w:after="0"/>
        <w:jc w:val="center"/>
        <w:rPr>
          <w:rFonts w:ascii="Times New Roman;Times;serif" w:hAnsi="Times New Roman;Times;serif"/>
          <w:b/>
        </w:rPr>
      </w:pPr>
      <w:r>
        <w:rPr>
          <w:rFonts w:ascii="Times New Roman;Times;serif" w:hAnsi="Times New Roman;Times;serif"/>
          <w:b/>
        </w:rPr>
        <w:t>P.O. Box 619, Migdal Haemek, Israel 2310502</w:t>
      </w:r>
    </w:p>
    <w:p>
      <w:pPr>
        <w:pStyle w:val="TextBody"/>
        <w:spacing w:lineRule="auto" w:line="300" w:before="0" w:after="0"/>
        <w:jc w:val="center"/>
        <w:rPr>
          <w:rFonts w:ascii="Times New Roman;Times;serif" w:hAnsi="Times New Roman;Times;serif"/>
        </w:rPr>
      </w:pPr>
      <w:r>
        <w:rPr>
          <w:rFonts w:ascii="Times New Roman;Times;serif" w:hAnsi="Times New Roman;Times;serif"/>
        </w:rPr>
        <w:t>(Address of principal executive offices)</w:t>
      </w:r>
    </w:p>
    <w:p>
      <w:pPr>
        <w:pStyle w:val="TextBody"/>
        <w:spacing w:lineRule="auto" w:line="300" w:before="0" w:after="0"/>
        <w:rPr/>
      </w:pPr>
      <w:r>
        <w:rPr/>
      </w:r>
    </w:p>
    <w:p>
      <w:pPr>
        <w:pStyle w:val="TextBody"/>
        <w:spacing w:lineRule="auto" w:line="300" w:before="0" w:after="0"/>
        <w:ind w:left="0" w:right="0" w:firstLine="720"/>
        <w:jc w:val="both"/>
        <w:rPr>
          <w:rFonts w:ascii="Times New Roman;Times;serif" w:hAnsi="Times New Roman;Times;serif"/>
        </w:rPr>
      </w:pPr>
      <w:r>
        <w:rPr>
          <w:rFonts w:ascii="Times New Roman;Times;serif" w:hAnsi="Times New Roman;Times;serif"/>
        </w:rPr>
        <w:t>Indicate by check mark whether the registrant files or will file annual reports under cover of Form 20-F or Form 40-F.</w:t>
      </w:r>
    </w:p>
    <w:p>
      <w:pPr>
        <w:pStyle w:val="TextBody"/>
        <w:spacing w:lineRule="auto" w:line="300" w:before="0" w:after="0"/>
        <w:rPr>
          <w:rFonts w:ascii="Times New Roman;Times;serif" w:hAnsi="Times New Roman;Times;serif"/>
        </w:rPr>
      </w:pPr>
      <w:r>
        <w:rPr>
          <w:rFonts w:ascii="Times New Roman;Times;serif" w:hAnsi="Times New Roman;Times;serif"/>
        </w:rPr>
      </w:r>
    </w:p>
    <w:p>
      <w:pPr>
        <w:pStyle w:val="TextBody"/>
        <w:spacing w:lineRule="auto" w:line="300" w:before="0" w:after="0"/>
        <w:jc w:val="center"/>
        <w:rPr>
          <w:rFonts w:ascii="Times New Roman;Times;serif" w:hAnsi="Times New Roman;Times;serif"/>
        </w:rPr>
      </w:pPr>
      <w:r>
        <w:rPr>
          <w:rFonts w:ascii="Times New Roman;Times;serif" w:hAnsi="Times New Roman;Times;serif"/>
        </w:rPr>
        <w:t>Form 20-F  ☒   Form 40-F ☐</w:t>
      </w:r>
    </w:p>
    <w:p>
      <w:pPr>
        <w:pStyle w:val="TextBody"/>
        <w:spacing w:lineRule="auto" w:line="300" w:before="0" w:after="0"/>
        <w:rPr/>
      </w:pPr>
      <w:r>
        <w:rPr/>
      </w:r>
    </w:p>
    <w:p>
      <w:pPr>
        <w:pStyle w:val="HorizontalLine"/>
        <w:pBdr>
          <w:bottom w:val="single" w:sz="20" w:space="0" w:color="808080"/>
        </w:pBdr>
        <w:spacing w:before="200" w:after="200"/>
        <w:rPr/>
      </w:pPr>
      <w:r>
        <w:rPr/>
      </w:r>
    </w:p>
    <w:p>
      <w:pPr>
        <w:pStyle w:val="TextBody"/>
        <w:spacing w:lineRule="auto" w:line="300" w:before="0" w:after="0"/>
        <w:ind w:left="0" w:right="0" w:firstLine="720"/>
        <w:jc w:val="both"/>
        <w:rPr/>
      </w:pPr>
      <w:r>
        <w:rPr/>
        <w:t>On May 8, 2023, Standard &amp; Poor’s Maalot (an Israeli rating company which is fully owned by S&amp;P Global Ratings) completed its annual rating review of the Registrant and re-affirmed its corporate credit rating as “ilAA“/ stable.  S&amp;P Maalot's official rating report in Hebrew has been submitted by S&amp;P Maalot to the Israel Securities Authority and the Tel Aviv Stock Exchange and is available on the Tel Aviv Stock Exchange website.  An unofficial English translation of the report prepared by S&amp;P Maalot is available on the Company’s website.</w:t>
      </w:r>
    </w:p>
    <w:p>
      <w:pPr>
        <w:pStyle w:val="TextBody"/>
        <w:spacing w:lineRule="auto" w:line="300" w:before="0" w:after="0"/>
        <w:rPr/>
      </w:pPr>
      <w:r>
        <w:rPr/>
      </w:r>
    </w:p>
    <w:p>
      <w:pPr>
        <w:pStyle w:val="HorizontalLine"/>
        <w:pBdr>
          <w:bottom w:val="single" w:sz="20" w:space="0" w:color="808080"/>
        </w:pBdr>
        <w:spacing w:before="200" w:after="200"/>
        <w:rPr/>
      </w:pPr>
      <w:r>
        <w:rPr/>
      </w:r>
    </w:p>
    <w:p>
      <w:pPr>
        <w:pStyle w:val="TextBody"/>
        <w:spacing w:lineRule="auto" w:line="300" w:before="0" w:after="0"/>
        <w:rPr/>
      </w:pPr>
      <w:r>
        <w:rPr/>
      </w:r>
    </w:p>
    <w:p>
      <w:pPr>
        <w:pStyle w:val="TextBody"/>
        <w:spacing w:lineRule="auto" w:line="300" w:before="0" w:after="0"/>
        <w:jc w:val="center"/>
        <w:rPr>
          <w:b/>
        </w:rPr>
      </w:pPr>
      <w:r>
        <w:rPr>
          <w:b/>
        </w:rPr>
        <w:t>SIGNATURES</w:t>
      </w:r>
    </w:p>
    <w:p>
      <w:pPr>
        <w:pStyle w:val="TextBody"/>
        <w:spacing w:lineRule="auto" w:line="300" w:before="0" w:after="0"/>
        <w:rPr/>
      </w:pPr>
      <w:r>
        <w:rPr/>
      </w:r>
    </w:p>
    <w:p>
      <w:pPr>
        <w:pStyle w:val="TextBody"/>
        <w:spacing w:lineRule="auto" w:line="300" w:before="0" w:after="0"/>
        <w:ind w:left="0" w:right="0" w:firstLine="710"/>
        <w:rPr/>
      </w:pPr>
      <w:r>
        <w:rPr/>
        <w:t>Pursuant to the requirements of the Securities Exchange Act of 1934, the registrant has duly caused this report to be signed on its behalf by the undersigned, thereunto duly authorized.</w:t>
      </w:r>
    </w:p>
    <w:p>
      <w:pPr>
        <w:pStyle w:val="TextBody"/>
        <w:spacing w:lineRule="auto" w:line="300" w:before="0" w:after="0"/>
        <w:ind w:left="0" w:right="0" w:firstLine="710"/>
        <w:rPr/>
      </w:pPr>
      <w:r>
        <w:rPr/>
      </w:r>
    </w:p>
    <w:tbl>
      <w:tblPr>
        <w:tblW w:w="5784" w:type="dxa"/>
        <w:jc w:val="left"/>
        <w:tblInd w:w="0" w:type="dxa"/>
        <w:tblCellMar>
          <w:top w:w="0" w:type="dxa"/>
          <w:left w:w="0" w:type="dxa"/>
          <w:bottom w:w="0" w:type="dxa"/>
          <w:right w:w="0" w:type="dxa"/>
        </w:tblCellMar>
      </w:tblPr>
      <w:tblGrid>
        <w:gridCol w:w="1865"/>
        <w:gridCol w:w="567"/>
        <w:gridCol w:w="3292"/>
        <w:gridCol w:w="60"/>
      </w:tblGrid>
      <w:tr>
        <w:trPr/>
        <w:tc>
          <w:tcPr>
            <w:tcW w:w="1865" w:type="dxa"/>
            <w:tcBorders/>
            <w:shd w:fill="auto" w:val="clear"/>
          </w:tcPr>
          <w:p>
            <w:pPr>
              <w:pStyle w:val="TableContents"/>
              <w:spacing w:before="0" w:after="283"/>
              <w:rPr/>
            </w:pPr>
            <w:r>
              <w:rPr/>
              <w:t> </w:t>
            </w:r>
          </w:p>
        </w:tc>
        <w:tc>
          <w:tcPr>
            <w:tcW w:w="3859" w:type="dxa"/>
            <w:gridSpan w:val="2"/>
            <w:tcBorders/>
            <w:shd w:fill="auto" w:val="clear"/>
          </w:tcPr>
          <w:p>
            <w:pPr>
              <w:pStyle w:val="TableContents"/>
              <w:spacing w:lineRule="auto" w:line="300" w:before="0" w:after="0"/>
              <w:jc w:val="left"/>
              <w:rPr>
                <w:rFonts w:ascii="Times New Roman;Times;serif" w:hAnsi="Times New Roman;Times;serif"/>
                <w:b/>
              </w:rPr>
            </w:pPr>
            <w:r>
              <w:rPr>
                <w:rFonts w:ascii="Times New Roman;Times;serif" w:hAnsi="Times New Roman;Times;serif"/>
                <w:b/>
              </w:rPr>
              <w:t>TOWER SEMICONDUCTOR LTD.</w:t>
            </w:r>
          </w:p>
        </w:tc>
        <w:tc>
          <w:tcPr>
            <w:tcW w:w="60" w:type="dxa"/>
            <w:tcBorders/>
            <w:shd w:fill="auto" w:val="clear"/>
          </w:tcPr>
          <w:p>
            <w:pPr>
              <w:pStyle w:val="TableContents"/>
              <w:spacing w:before="0" w:after="283"/>
              <w:rPr/>
            </w:pPr>
            <w:r>
              <w:rPr/>
              <w:t> </w:t>
            </w:r>
          </w:p>
        </w:tc>
      </w:tr>
      <w:tr>
        <w:trPr/>
        <w:tc>
          <w:tcPr>
            <w:tcW w:w="1865" w:type="dxa"/>
            <w:tcBorders/>
            <w:shd w:fill="auto" w:val="clear"/>
          </w:tcPr>
          <w:p>
            <w:pPr>
              <w:pStyle w:val="TableContents"/>
              <w:spacing w:before="0" w:after="283"/>
              <w:rPr/>
            </w:pPr>
            <w:r>
              <w:rPr/>
              <w:t> </w:t>
            </w:r>
          </w:p>
        </w:tc>
        <w:tc>
          <w:tcPr>
            <w:tcW w:w="567" w:type="dxa"/>
            <w:tcBorders/>
            <w:shd w:fill="auto" w:val="clear"/>
          </w:tcPr>
          <w:p>
            <w:pPr>
              <w:pStyle w:val="TableContents"/>
              <w:spacing w:before="0" w:after="283"/>
              <w:rPr/>
            </w:pPr>
            <w:r>
              <w:rPr/>
              <w:t> </w:t>
            </w:r>
          </w:p>
        </w:tc>
        <w:tc>
          <w:tcPr>
            <w:tcW w:w="329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r>
      <w:tr>
        <w:trPr/>
        <w:tc>
          <w:tcPr>
            <w:tcW w:w="1865" w:type="dxa"/>
            <w:tcBorders/>
            <w:shd w:fill="auto" w:val="clear"/>
          </w:tcPr>
          <w:p>
            <w:pPr>
              <w:pStyle w:val="TableContents"/>
              <w:spacing w:before="0" w:after="0"/>
              <w:ind w:left="0" w:right="0" w:hanging="0"/>
              <w:jc w:val="left"/>
              <w:rPr/>
            </w:pPr>
            <w:r>
              <w:rPr/>
              <w:t>Date:  May 8, 2023</w:t>
            </w:r>
          </w:p>
        </w:tc>
        <w:tc>
          <w:tcPr>
            <w:tcW w:w="567" w:type="dxa"/>
            <w:tcBorders/>
            <w:shd w:fill="auto" w:val="clear"/>
          </w:tcPr>
          <w:p>
            <w:pPr>
              <w:pStyle w:val="TableContents"/>
              <w:spacing w:before="0" w:after="0"/>
              <w:ind w:left="0" w:right="0" w:hanging="0"/>
              <w:jc w:val="left"/>
              <w:rPr/>
            </w:pPr>
            <w:r>
              <w:rPr/>
              <w:t xml:space="preserve">By: </w:t>
            </w:r>
          </w:p>
        </w:tc>
        <w:tc>
          <w:tcPr>
            <w:tcW w:w="3292" w:type="dxa"/>
            <w:tcBorders>
              <w:bottom w:val="single" w:sz="12" w:space="0" w:color="000000"/>
            </w:tcBorders>
            <w:shd w:fill="auto" w:val="clear"/>
            <w:tcMar>
              <w:bottom w:w="28" w:type="dxa"/>
            </w:tcMar>
          </w:tcPr>
          <w:p>
            <w:pPr>
              <w:pStyle w:val="TableContents"/>
              <w:spacing w:before="0" w:after="283"/>
              <w:jc w:val="left"/>
              <w:rPr/>
            </w:pPr>
            <w:r>
              <w:rPr/>
              <w:t>/s/ Nati Somekh</w:t>
            </w:r>
          </w:p>
        </w:tc>
        <w:tc>
          <w:tcPr>
            <w:tcW w:w="60" w:type="dxa"/>
            <w:tcBorders/>
            <w:shd w:fill="auto" w:val="clear"/>
          </w:tcPr>
          <w:p>
            <w:pPr>
              <w:pStyle w:val="TableContents"/>
              <w:spacing w:before="0" w:after="283"/>
              <w:rPr/>
            </w:pPr>
            <w:r>
              <w:rPr/>
              <w:t> </w:t>
            </w:r>
          </w:p>
        </w:tc>
      </w:tr>
      <w:tr>
        <w:trPr/>
        <w:tc>
          <w:tcPr>
            <w:tcW w:w="1865" w:type="dxa"/>
            <w:tcBorders/>
            <w:shd w:fill="auto" w:val="clear"/>
          </w:tcPr>
          <w:p>
            <w:pPr>
              <w:pStyle w:val="TableContents"/>
              <w:spacing w:before="0" w:after="283"/>
              <w:rPr/>
            </w:pPr>
            <w:r>
              <w:rPr/>
              <w:t> </w:t>
            </w:r>
          </w:p>
        </w:tc>
        <w:tc>
          <w:tcPr>
            <w:tcW w:w="567" w:type="dxa"/>
            <w:tcBorders/>
            <w:shd w:fill="auto" w:val="clear"/>
          </w:tcPr>
          <w:p>
            <w:pPr>
              <w:pStyle w:val="TableContents"/>
              <w:spacing w:before="0" w:after="283"/>
              <w:rPr/>
            </w:pPr>
            <w:r>
              <w:rPr/>
              <w:t> </w:t>
            </w:r>
          </w:p>
        </w:tc>
        <w:tc>
          <w:tcPr>
            <w:tcW w:w="3292" w:type="dxa"/>
            <w:tcBorders/>
            <w:shd w:fill="auto" w:val="clear"/>
            <w:vAlign w:val="bottom"/>
          </w:tcPr>
          <w:p>
            <w:pPr>
              <w:pStyle w:val="TableContents"/>
              <w:spacing w:before="0" w:after="283"/>
              <w:jc w:val="left"/>
              <w:rPr/>
            </w:pPr>
            <w:r>
              <w:rPr/>
              <w:t>Name: Nati Somekh</w:t>
            </w:r>
          </w:p>
        </w:tc>
        <w:tc>
          <w:tcPr>
            <w:tcW w:w="60" w:type="dxa"/>
            <w:tcBorders/>
            <w:shd w:fill="auto" w:val="clear"/>
          </w:tcPr>
          <w:p>
            <w:pPr>
              <w:pStyle w:val="TableContents"/>
              <w:spacing w:before="0" w:after="283"/>
              <w:rPr/>
            </w:pPr>
            <w:r>
              <w:rPr/>
              <w:t> </w:t>
            </w:r>
          </w:p>
        </w:tc>
      </w:tr>
      <w:tr>
        <w:trPr/>
        <w:tc>
          <w:tcPr>
            <w:tcW w:w="1865" w:type="dxa"/>
            <w:tcBorders/>
            <w:shd w:fill="auto" w:val="clear"/>
          </w:tcPr>
          <w:p>
            <w:pPr>
              <w:pStyle w:val="TableContents"/>
              <w:spacing w:before="0" w:after="283"/>
              <w:rPr/>
            </w:pPr>
            <w:r>
              <w:rPr/>
              <w:t> </w:t>
            </w:r>
          </w:p>
        </w:tc>
        <w:tc>
          <w:tcPr>
            <w:tcW w:w="567" w:type="dxa"/>
            <w:tcBorders/>
            <w:shd w:fill="auto" w:val="clear"/>
          </w:tcPr>
          <w:p>
            <w:pPr>
              <w:pStyle w:val="TableContents"/>
              <w:spacing w:before="0" w:after="283"/>
              <w:rPr/>
            </w:pPr>
            <w:r>
              <w:rPr/>
              <w:t> </w:t>
            </w:r>
          </w:p>
        </w:tc>
        <w:tc>
          <w:tcPr>
            <w:tcW w:w="3292" w:type="dxa"/>
            <w:tcBorders/>
            <w:shd w:fill="auto" w:val="clear"/>
          </w:tcPr>
          <w:p>
            <w:pPr>
              <w:pStyle w:val="TableContents"/>
              <w:spacing w:before="0" w:after="283"/>
              <w:rPr/>
            </w:pPr>
            <w:r>
              <w:rPr/>
              <w:t>Title: Corporate Secretary</w:t>
            </w:r>
          </w:p>
        </w:tc>
        <w:tc>
          <w:tcPr>
            <w:tcW w:w="60" w:type="dxa"/>
            <w:tcBorders/>
            <w:shd w:fill="auto" w:val="clear"/>
          </w:tcPr>
          <w:p>
            <w:pPr>
              <w:pStyle w:val="TableContents"/>
              <w:spacing w:before="0" w:after="283"/>
              <w:rPr/>
            </w:pPr>
            <w:r>
              <w:rPr/>
              <w:t> </w:t>
            </w:r>
          </w:p>
        </w:tc>
      </w:tr>
      <w:tr>
        <w:trPr/>
        <w:tc>
          <w:tcPr>
            <w:tcW w:w="1865" w:type="dxa"/>
            <w:tcBorders/>
            <w:shd w:fill="auto" w:val="clear"/>
          </w:tcPr>
          <w:p>
            <w:pPr>
              <w:pStyle w:val="TableContents"/>
              <w:spacing w:before="0" w:after="283"/>
              <w:rPr/>
            </w:pPr>
            <w:r>
              <w:rPr/>
              <w:t> </w:t>
            </w:r>
          </w:p>
        </w:tc>
        <w:tc>
          <w:tcPr>
            <w:tcW w:w="567" w:type="dxa"/>
            <w:tcBorders/>
            <w:shd w:fill="auto" w:val="clear"/>
          </w:tcPr>
          <w:p>
            <w:pPr>
              <w:pStyle w:val="TableContents"/>
              <w:spacing w:before="0" w:after="283"/>
              <w:rPr/>
            </w:pPr>
            <w:r>
              <w:rPr/>
              <w:t> </w:t>
            </w:r>
          </w:p>
        </w:tc>
        <w:tc>
          <w:tcPr>
            <w:tcW w:w="329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r>
    </w:tbl>
    <w:p>
      <w:pPr>
        <w:pStyle w:val="TextBody"/>
        <w:spacing w:lineRule="auto" w:line="300" w:before="0" w:after="0"/>
        <w:rPr/>
      </w:pPr>
      <w:r>
        <w:rPr/>
      </w:r>
    </w:p>
    <w:p>
      <w:pPr>
        <w:pStyle w:val="TextBody"/>
        <w:spacing w:before="0" w:after="0"/>
        <w:rPr/>
      </w:pPr>
      <w:r>
        <w:rPr/>
      </w:r>
    </w:p>
    <w:p>
      <w:pPr>
        <w:pStyle w:val="HorizontalLine"/>
        <w:rPr/>
      </w:pPr>
      <w:r>
        <w:rPr/>
      </w:r>
    </w:p>
    <w:p>
      <w:pPr>
        <w:pStyle w:val="TextBody"/>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228</Words>
  <CharactersWithSpaces>1429</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