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6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8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6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For the month of February 2021 No.1</w:t>
      </w:r>
    </w:p>
    <w:p>
      <w:pPr>
        <w:spacing w:after="0" w:line="27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7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5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3840"/>
        <w:spacing w:after="0" w:line="207" w:lineRule="exact"/>
        <w:tabs>
          <w:tab w:leader="none" w:pos="5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30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9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135890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42"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February 17, 2021, the Registrant announced its fourth quarter and full year 2020 results. Attached hereto is the following exhibit.</w:t>
      </w:r>
    </w:p>
    <w:p>
      <w:pPr>
        <w:spacing w:after="0" w:line="279"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Exhibit 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Press release dated February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91" w:right="1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320" w:firstLine="6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39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20"/>
        </w:trPr>
        <w:tc>
          <w:tcPr>
            <w:tcW w:w="3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18"/>
        </w:trPr>
        <w:tc>
          <w:tcPr>
            <w:tcW w:w="3700" w:type="dxa"/>
            <w:vAlign w:val="bottom"/>
          </w:tcPr>
          <w:p>
            <w:pPr>
              <w:spacing w:after="0"/>
              <w:rPr>
                <w:sz w:val="18"/>
                <w:szCs w:val="18"/>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700" w:type="dxa"/>
            <w:vAlign w:val="bottom"/>
          </w:tcPr>
          <w:p>
            <w:pPr>
              <w:spacing w:after="0"/>
              <w:rPr>
                <w:sz w:val="20"/>
                <w:szCs w:val="20"/>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378"/>
        </w:trPr>
        <w:tc>
          <w:tcPr>
            <w:tcW w:w="37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163"/>
        </w:trPr>
        <w:tc>
          <w:tcPr>
            <w:tcW w:w="37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560195"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1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Reports Double Digit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Revenue Growth for the Fourth Quarter of 2020</w:t>
      </w:r>
    </w:p>
    <w:p>
      <w:pPr>
        <w:spacing w:after="0" w:line="27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Guides 15% Year Over Year Revenue Growth for the First Quarter of 2021;</w:t>
      </w:r>
    </w:p>
    <w:p>
      <w:pPr>
        <w:spacing w:after="0" w:line="3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Expecting Quarterly Sequential Growth Throughout 2021</w:t>
      </w:r>
    </w:p>
    <w:p>
      <w:pPr>
        <w:spacing w:after="0" w:line="27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Initiated 200mm and 300mm Capacity Expansion to</w:t>
      </w:r>
    </w:p>
    <w:p>
      <w:pPr>
        <w:spacing w:after="0" w:line="3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Answer the Exceeding Demand Forecast</w:t>
      </w:r>
    </w:p>
    <w:p>
      <w:pPr>
        <w:spacing w:after="0" w:line="2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MIGDAL HAEMEK, ISRAEL – February 17, 2021 – </w:t>
      </w:r>
      <w:r>
        <w:rPr>
          <w:rFonts w:ascii="Times New Roman" w:cs="Times New Roman" w:eastAsia="Times New Roman" w:hAnsi="Times New Roman"/>
          <w:sz w:val="22"/>
          <w:szCs w:val="22"/>
          <w:color w:val="auto"/>
        </w:rPr>
        <w:t>Tower Semiconductor (NASDAQ: TSEM &amp; TASE: TSEM) reported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its results for the fourth quarter and for the full year ended December 31, 2020.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3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revenues of $345 million, reflecting 11% quarter over quarter and 13% year over year growth.</w:t>
      </w:r>
    </w:p>
    <w:p>
      <w:pPr>
        <w:spacing w:after="0" w:line="2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revenue growth of 20% quarter over quarter and 17% year over year.</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the fourth quarter of 2020 in gross profit, operating profit, EBITDA and net profit, as compared to both prior quarter and the fourth quarter of 2019.</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full year 2020 of $1.266 billion, reflecting 3% total growth and 5% year over year organic growth.</w:t>
      </w:r>
    </w:p>
    <w:p>
      <w:pPr>
        <w:spacing w:after="0" w:line="2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guidance for the first quarter of 2021 of $345 million, with an upward or downward range of 5%. Mid-range guidance represents year over year growth of 15% total and 20% organic.</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sequential quarterly revenue growth through 2021.</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Announcing capacity expansion for 200mm and 300mm to answer the exceeding demand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Fourth Quarter Results Overview</w:t>
      </w:r>
    </w:p>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Revenues </w:t>
      </w:r>
      <w:r>
        <w:rPr>
          <w:rFonts w:ascii="Times New Roman" w:cs="Times New Roman" w:eastAsia="Times New Roman" w:hAnsi="Times New Roman"/>
          <w:sz w:val="22"/>
          <w:szCs w:val="22"/>
          <w:color w:val="auto"/>
        </w:rPr>
        <w:t>for the fourth quarter of 2020 were $345 million, reflecting 11% growth as compared to $310 million in the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 and 13% growth as compared to $306 million in the fourth quarter of 2019. Organic revenue, defined as total revenue excluding revenues from Nuvoton Japan (previously named Panasonic Semiconductor Japan) and from Maxim in the San Antonio fab, grew by 20% quarter over quarter and by 17% year over year.</w:t>
      </w:r>
    </w:p>
    <w:p>
      <w:pPr>
        <w:spacing w:after="0" w:line="22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Gross profit </w:t>
      </w:r>
      <w:r>
        <w:rPr>
          <w:rFonts w:ascii="Times New Roman" w:cs="Times New Roman" w:eastAsia="Times New Roman" w:hAnsi="Times New Roman"/>
          <w:sz w:val="22"/>
          <w:szCs w:val="22"/>
          <w:color w:val="auto"/>
        </w:rPr>
        <w:t>for the fourth quarter of 2020 was $70 million, 30% higher than $53 million in the prior quarter and 27% higher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$55 million in the fourth quarter of 2019.</w:t>
      </w:r>
    </w:p>
    <w:p>
      <w:pPr>
        <w:spacing w:after="0" w:line="20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Operating profit </w:t>
      </w:r>
      <w:r>
        <w:rPr>
          <w:rFonts w:ascii="Times New Roman" w:cs="Times New Roman" w:eastAsia="Times New Roman" w:hAnsi="Times New Roman"/>
          <w:sz w:val="22"/>
          <w:szCs w:val="22"/>
          <w:color w:val="auto"/>
        </w:rPr>
        <w:t>for the fourth quarter of 2020 was $33 million as compared to $19 million both in the prior quarter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fourth quarter of 2019.</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Net profit </w:t>
      </w:r>
      <w:r>
        <w:rPr>
          <w:rFonts w:ascii="Times New Roman" w:cs="Times New Roman" w:eastAsia="Times New Roman" w:hAnsi="Times New Roman"/>
          <w:sz w:val="22"/>
          <w:szCs w:val="22"/>
          <w:color w:val="auto"/>
        </w:rPr>
        <w:t>for the fourth quarter of 2020 was $31 million, or $0.29 basic earnings per share and $0.28 diluted earnings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compared to net profit of $15 million, or $0.14 basic and diluted earnings per share in the prior quarter, and $21 million or $0.19 basic and diluted earnings per share in the fourth quarter of 2019.</w:t>
      </w:r>
    </w:p>
    <w:p>
      <w:pPr>
        <w:spacing w:after="0" w:line="22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EBITDA </w:t>
      </w:r>
      <w:r>
        <w:rPr>
          <w:rFonts w:ascii="Times New Roman" w:cs="Times New Roman" w:eastAsia="Times New Roman" w:hAnsi="Times New Roman"/>
          <w:sz w:val="22"/>
          <w:szCs w:val="22"/>
          <w:color w:val="auto"/>
        </w:rPr>
        <w:t>for the fourth quarter of 2020 was $96 million, $17 million higher as compared to $79 million in the prior quarter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 million higher as compared to $75 million in the fourth quarter of 2019.</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Cash flow </w:t>
      </w:r>
      <w:r>
        <w:rPr>
          <w:rFonts w:ascii="Times New Roman" w:cs="Times New Roman" w:eastAsia="Times New Roman" w:hAnsi="Times New Roman"/>
          <w:sz w:val="22"/>
          <w:szCs w:val="22"/>
          <w:color w:val="auto"/>
        </w:rPr>
        <w:t>generated from operating activities in the fourth quarter of 2020 was $73 million with investment in fixed assets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$64 million that included payments related to the 300mm facility capacity expansion program. In addition, in the fourth quarter of 2020, the company repaid $8 million of its debt.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Manufacturing Expansion and Capabilities</w:t>
      </w:r>
    </w:p>
    <w:p>
      <w:pPr>
        <w:spacing w:after="0" w:line="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Driven by very high confidence in customers’ demand which exceeds current 200mm and 300mm capacity, the Company is announcing it will invest an additional $150 million in the coming 12 months to purchase machinery and other fixed assets, in order to increase its manufacturing capacity, mostly in Fab2 in Israel, Fab9 in Texas (US), Fab5 in Tonami (Japan) and Fab7 in Uozu (Japan). This equipment will begin to have incremental revenue impact during the second half of 2021, targeted to be fully qualified during the first quarter of 2022.</w:t>
      </w:r>
    </w:p>
    <w:p>
      <w:pPr>
        <w:spacing w:after="0" w:line="23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During the fourth quarter of 2020, the Company (through TPSCo) has extended its Japanese buildings and facilities’ lease contract to continue its lease at least through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Business Outlook</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Tower Semiconductor guides revenue for the first quarter of 2021 to be $345 million, with an upward or downward range of 5%. Mid-range guidance represents 15% growth year over year with 20% organic revenue growth. The Company expects sequential quarterly revenue growth through 2021.</w:t>
      </w:r>
    </w:p>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color w:val="auto"/>
        </w:rPr>
        <w:t>Mr. Russell Ellwanger, Chief Executive Officer of Tower Semiconductor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commented</w:t>
      </w:r>
      <w:r>
        <w:rPr>
          <w:rFonts w:ascii="Times New Roman" w:cs="Times New Roman" w:eastAsia="Times New Roman" w:hAnsi="Times New Roman"/>
          <w:sz w:val="22"/>
          <w:szCs w:val="22"/>
          <w:color w:val="auto"/>
        </w:rPr>
        <w:t>: “We enter 2021 from a good place,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namely a fourth quarter 2020 revenue of $345 million, representing 20% quarter over quarter organic growth. We voice appreciation to our worldwide employee base, who despite strong pandemic-related challenges, completed a year that not only drove this end of year growth but has enabled a 2021 with an increased customer base and overall increased demand, resulting in new exciting corporate wide growth initiatives.”</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Ellwanger further commented: “Our $345 million guidance indicates the highest first quarter revenue in the company’s history, upon which we expect sequential quarterly revenue growth throughout the year. Given that customers’ forecast within every business unit, for every served segment indicate year over year increases, we are confident that 2021 will be a record revenue year for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Teleconference and Webcast</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Tower Semiconductor will host an investor conference call today, Wednesday, February 17, 2021, at 10:00 a.m. Eastern time (9:00 a.m. Central time, 8:00 a.m. Mountain time, 7:00 a.m. Pacific time and 5:00 p.m. Israel time) to discuss the company’s financial results for the fourth quarter and full year of 2020 and its outlook.</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This call will be webcast and can be accessed via Tower Semiconductor’s website at </w:t>
      </w:r>
      <w:r>
        <w:rPr>
          <w:rFonts w:ascii="Times New Roman" w:cs="Times New Roman" w:eastAsia="Times New Roman" w:hAnsi="Times New Roman"/>
          <w:sz w:val="22"/>
          <w:szCs w:val="22"/>
          <w:u w:val="single" w:color="auto"/>
          <w:color w:val="auto"/>
        </w:rPr>
        <w:t>www.towersemi.com</w:t>
      </w:r>
      <w:r>
        <w:rPr>
          <w:rFonts w:ascii="Times New Roman" w:cs="Times New Roman" w:eastAsia="Times New Roman" w:hAnsi="Times New Roman"/>
          <w:sz w:val="22"/>
          <w:szCs w:val="22"/>
          <w:color w:val="auto"/>
        </w:rPr>
        <w:t xml:space="preserve"> or by calling 1-888-642-5032 (U.S. Toll-Free), 03-918-0609 (Israel), +972-3-918-0609 (International). For those who are not available to listen to the live broadcast, the call will be archived on Tower Semiconductor’s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jc w:val="both"/>
        <w:spacing w:after="0" w:line="269" w:lineRule="auto"/>
        <w:rPr>
          <w:sz w:val="20"/>
          <w:szCs w:val="20"/>
          <w:color w:val="auto"/>
        </w:rPr>
      </w:pPr>
      <w:r>
        <w:rPr>
          <w:rFonts w:ascii="Times New Roman" w:cs="Times New Roman" w:eastAsia="Times New Roman" w:hAnsi="Times New Roman"/>
          <w:sz w:val="21"/>
          <w:szCs w:val="21"/>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are non-GAAP financial measures as defined in Regulation G and related reporting requirements promulgated by the Securities and Exchange Commission as they apply to our Company. These adjusted financial measures are calculated excluding one or both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financing and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net cash provided by operating activities (in the amounts of $73 million, $69 million and $72 million for the three months periods ended December 31, 2020, September 30, 2020 and December 31, 2019, respectively and $277 million and $291 million for the years ended December 31, 2020 and December 31, 2019, respectively) less cash used for investments in property and equipment, net (in the amounts of $64 million, $67 million and $44 million for the three months periods ended December 31, 2020, September 30, 2020 and December 31, 2019, respectively and $257 million and $172 million for the years ended December 31, 2020 and December 31, 2019,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Times New Roman" w:cs="Times New Roman" w:eastAsia="Times New Roman" w:hAnsi="Times New Roman"/>
          <w:sz w:val="21"/>
          <w:szCs w:val="21"/>
          <w:u w:val="single" w:color="auto"/>
          <w:color w:val="auto"/>
        </w:rPr>
        <w:t>www.towersemi.com</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CONTACTS</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Noit Levy | Investor Relations | +972 74 737 7556 | </w:t>
      </w:r>
      <w:r>
        <w:rPr>
          <w:rFonts w:ascii="Times New Roman" w:cs="Times New Roman" w:eastAsia="Times New Roman" w:hAnsi="Times New Roman"/>
          <w:sz w:val="22"/>
          <w:szCs w:val="22"/>
          <w:u w:val="single" w:color="auto"/>
          <w:color w:val="auto"/>
        </w:rPr>
        <w:t>noitle@towersemi.com</w:t>
      </w:r>
    </w:p>
    <w:p>
      <w:pPr>
        <w:spacing w:after="0" w:line="275" w:lineRule="exact"/>
        <w:rPr>
          <w:sz w:val="20"/>
          <w:szCs w:val="20"/>
          <w:color w:val="auto"/>
        </w:rPr>
      </w:pPr>
    </w:p>
    <w:p>
      <w:pPr>
        <w:jc w:val="both"/>
        <w:ind w:left="340"/>
        <w:spacing w:after="0" w:line="269" w:lineRule="auto"/>
        <w:rPr>
          <w:sz w:val="20"/>
          <w:szCs w:val="20"/>
          <w:color w:val="auto"/>
        </w:rPr>
      </w:pPr>
      <w:r>
        <w:rPr>
          <w:rFonts w:ascii="Times New Roman" w:cs="Times New Roman" w:eastAsia="Times New Roman" w:hAnsi="Times New Roman"/>
          <w:sz w:val="21"/>
          <w:szCs w:val="21"/>
          <w:color w:val="auto"/>
        </w:rPr>
        <w:t>This press release, including our revenue guidance and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December 31, 2020 we are in compliance with all such covenants included in our banks’ agreements, bond G indenture and others), (x) 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w:t>
      </w:r>
    </w:p>
    <w:p>
      <w:pPr>
        <w:spacing w:after="0" w:line="3" w:lineRule="exact"/>
        <w:rPr>
          <w:sz w:val="20"/>
          <w:szCs w:val="20"/>
          <w:color w:val="auto"/>
        </w:rPr>
      </w:pPr>
    </w:p>
    <w:p>
      <w:pPr>
        <w:jc w:val="both"/>
        <w:ind w:left="340" w:hanging="8"/>
        <w:spacing w:after="0" w:line="269" w:lineRule="auto"/>
        <w:tabs>
          <w:tab w:leader="none" w:pos="83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and/or for strategic opportunities and the possible unavailability of such financing and/ or the availability of such financing in unfavorable terms ,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(xxxvi) potential effect on TPSCo and the Company due to the purchase of NTCJ (previously named PSCS, the company which is holding 49% of TPSCo) by Nuvoton from Panasonic, (xxxvii) industry and market impact due to the coronavirus and its potential impact on our business, operational continuity, supply chain, revenue and profitability; (xxxviii) potential security, cyber and privacy breaches, and (xxxix) business interruption due to fire and other natural disasters, the security situation in Israel and other events beyond our control such as power interruptions.</w:t>
      </w:r>
    </w:p>
    <w:p>
      <w:pPr>
        <w:spacing w:after="0" w:line="200" w:lineRule="exact"/>
        <w:rPr>
          <w:sz w:val="20"/>
          <w:szCs w:val="20"/>
          <w:color w:val="auto"/>
        </w:rPr>
      </w:pP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  #  #</w:t>
      </w:r>
    </w:p>
    <w:p>
      <w:pPr>
        <w:spacing w:after="0" w:line="2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i w:val="1"/>
          <w:iCs w:val="1"/>
          <w:color w:val="auto"/>
        </w:rPr>
        <w:t>(Financial tables follow)</w:t>
      </w:r>
    </w:p>
    <w:p>
      <w:pPr>
        <w:sectPr>
          <w:pgSz w:w="11900" w:h="16838" w:orient="portrait"/>
          <w:cols w:equalWidth="0" w:num="1">
            <w:col w:w="11240"/>
          </w:cols>
          <w:pgMar w:left="320" w:top="122" w:right="339" w:bottom="0"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211,683</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207,704</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355,561</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313,029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215,609</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188,967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183,946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176,070</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126,966</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199,126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204,933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192,256</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22,019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1,102,916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1,058,102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1,088,481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40,699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41,303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40,085</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839,171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780,596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681,939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INTANGIBLE ASSETS,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17,962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17,281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DEFERRED TAX AND OTHER LONG-TERM ASSETS,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93,401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88,878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105,047</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2,094,149</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1,984,685</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1,932,833</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86,717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65,932</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96,940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104,354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119,199</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10,322</w:t>
            </w: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59,432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58,098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57,603</w:t>
            </w: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272,912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258,829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253,056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229,266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245,821</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25,451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25,780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28,196</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EMPLOYEE RELATED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15,833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13,285</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DEFERRED TAX AND OTHER LONG-TERM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41,286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40,536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45,752</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639,247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571,128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586,110</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1,454,902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1,413,557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1,346,723</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2,094,149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1,984,685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1,932,833</w:t>
            </w:r>
          </w:p>
        </w:tc>
      </w:tr>
      <w:tr>
        <w:trPr>
          <w:trHeight w:val="419"/>
        </w:trPr>
        <w:tc>
          <w:tcPr>
            <w:tcW w:w="73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 h r e e  m o n t h s  e n d e d</w:t>
            </w:r>
          </w:p>
        </w:tc>
      </w:tr>
      <w:tr>
        <w:trPr>
          <w:trHeight w:val="223"/>
        </w:trPr>
        <w:tc>
          <w:tcPr>
            <w:tcW w:w="7320" w:type="dxa"/>
            <w:vAlign w:val="bottom"/>
          </w:tcPr>
          <w:p>
            <w:pPr>
              <w:spacing w:after="0"/>
              <w:rPr>
                <w:sz w:val="19"/>
                <w:szCs w:val="19"/>
                <w:color w:val="auto"/>
              </w:rPr>
            </w:pPr>
          </w:p>
        </w:tc>
        <w:tc>
          <w:tcPr>
            <w:tcW w:w="138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345,211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310,212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305,710</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275,602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256,751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250,878</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69,609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53,461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54,832</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18,877</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17,057</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35,934</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19,089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18,898</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(1,498)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3,058</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21,956</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(1,823)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(2,798)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(2,360)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15,726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19,596</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31,032</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15,198</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20,707</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0.14</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107,762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107,475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106,710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0.14</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0.19</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107,995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FROM GAAP NET PROFIT TO ADJUSTED NET PROFIT: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GAAP NET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31,032</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15,198</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20,707</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3,066</w:t>
            </w: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453</w:t>
            </w: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PROFIT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0.23</w:t>
            </w:r>
          </w:p>
        </w:tc>
      </w:tr>
      <w:tr>
        <w:trPr>
          <w:trHeight w:val="209"/>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0.22</w:t>
            </w:r>
          </w:p>
        </w:tc>
      </w:tr>
      <w:tr>
        <w:trPr>
          <w:trHeight w:val="419"/>
        </w:trPr>
        <w:tc>
          <w:tcPr>
            <w:tcW w:w="73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 e a r</w:t>
            </w:r>
          </w:p>
        </w:tc>
        <w:tc>
          <w:tcPr>
            <w:tcW w:w="134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 n d e d</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1,265,684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1,234,003</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1,032,366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1,004,332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229,671</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75,579</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67,376</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142,955</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86,716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(EXPENSE), NET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4,305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88,688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91,021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(2,948)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88,073</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90,048</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106,256</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107,438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FROM GAAP NET PROFIT TO ADJUSTED NET PROFIT: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GAAP NET PROFIT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82,302</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90,048</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14,548</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3,080</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PROFIT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419"/>
        </w:trPr>
        <w:tc>
          <w:tcPr>
            <w:tcW w:w="86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2" w:name="page13"/>
    <w:bookmarkEnd w:id="12"/>
    <w:p>
      <w:pPr>
        <w:jc w:val="center"/>
        <w:ind w:left="340" w:right="2160"/>
        <w:spacing w:after="0" w:line="27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11"/>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 h r e e  m o n t h s  e n d e d</w:t>
            </w: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CALCULATION: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GAAP OPERATING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19,089</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18,898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Depreciation of fixed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56,131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52,222</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3,460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3,066</w:t>
            </w: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453</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95,890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79,170</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74,639</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Y e a r</w:t>
            </w: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 n d e d</w:t>
            </w: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OPERATING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91,033</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86,716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Depreciation of fixed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219,746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194,584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16,988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14,548</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1,658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329,425</w:t>
            </w:r>
          </w:p>
        </w:tc>
        <w:tc>
          <w:tcPr>
            <w:tcW w:w="40" w:type="dxa"/>
            <w:vAlign w:val="bottom"/>
          </w:tcPr>
          <w:p>
            <w:pPr>
              <w:spacing w:after="0"/>
              <w:rPr>
                <w:sz w:val="18"/>
                <w:szCs w:val="18"/>
                <w:color w:val="auto"/>
              </w:rPr>
            </w:pP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298,928</w:t>
            </w: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11"/>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 h r e e  m o n t h s  e n d e d</w:t>
            </w:r>
          </w:p>
        </w:tc>
      </w:tr>
      <w:tr>
        <w:trPr>
          <w:trHeight w:val="223"/>
        </w:trPr>
        <w:tc>
          <w:tcPr>
            <w:tcW w:w="7320" w:type="dxa"/>
            <w:vAlign w:val="bottom"/>
          </w:tcPr>
          <w:p>
            <w:pPr>
              <w:spacing w:after="0"/>
              <w:rPr>
                <w:sz w:val="19"/>
                <w:szCs w:val="19"/>
                <w:color w:val="auto"/>
              </w:rPr>
            </w:pPr>
          </w:p>
        </w:tc>
        <w:tc>
          <w:tcPr>
            <w:tcW w:w="136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207,704</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258,793</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417,636</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73,010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68,612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71,561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(64,233)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(66,862)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(43,704)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(26,355)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(3,247)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(557)</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(87,530)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211,683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207,704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355,561</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 e a r</w:t>
            </w:r>
          </w:p>
        </w:tc>
        <w:tc>
          <w:tcPr>
            <w:tcW w:w="134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 n d e d</w:t>
            </w: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355,561</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385,091</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276,561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291,320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(256,539)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(172,166)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(63,699)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(19,402)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1,804</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(132,928)</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211,683</w:t>
            </w:r>
          </w:p>
        </w:tc>
        <w:tc>
          <w:tcPr>
            <w:tcW w:w="8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355,561</w:t>
            </w: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83,289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88,073</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214,474</w:t>
            </w:r>
          </w:p>
        </w:tc>
      </w:tr>
      <w:tr>
        <w:trPr>
          <w:trHeight w:val="216"/>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Effect of indexation, translation and fair value measurement on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10,294</w:t>
            </w: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(4,293)</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(33,087)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27,317</w:t>
            </w:r>
          </w:p>
        </w:tc>
      </w:tr>
      <w:tr>
        <w:trPr>
          <w:trHeight w:val="216"/>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(7,999)</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(4,600)</w:t>
            </w: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(2,891)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(21,021)</w:t>
            </w:r>
          </w:p>
        </w:tc>
      </w:tr>
      <w:tr>
        <w:trPr>
          <w:trHeight w:val="216"/>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(18,576)</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(339)</w:t>
            </w: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(3,072)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(10,331)</w:t>
            </w:r>
          </w:p>
        </w:tc>
      </w:tr>
      <w:tr>
        <w:trPr>
          <w:trHeight w:val="216"/>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347</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(9,435)</w:t>
            </w: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Long-term employee related liabilities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(310)</w:t>
            </w:r>
          </w:p>
        </w:tc>
      </w:tr>
      <w:tr>
        <w:trPr>
          <w:trHeight w:val="223"/>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Deferred tax, net and other long-term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1,491</w:t>
            </w:r>
          </w:p>
        </w:tc>
      </w:tr>
      <w:tr>
        <w:trPr>
          <w:trHeight w:val="223"/>
        </w:trPr>
        <w:tc>
          <w:tcPr>
            <w:tcW w:w="8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276,561</w:t>
            </w:r>
          </w:p>
        </w:tc>
        <w:tc>
          <w:tcPr>
            <w:tcW w:w="2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291,320</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(256,539)</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(172,166)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deposits, marketable securities and other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(107,070)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(132,928)</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(363,609)</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(305,094)</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(63,699)</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(19,402)</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options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2,512</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(61,187)</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(17,560)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4,357</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1,804</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(143,878)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(29,530)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355,561</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385,091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5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211,683</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355,561</w:t>
            </w:r>
          </w:p>
        </w:tc>
      </w:tr>
      <w:tr>
        <w:trPr>
          <w:trHeight w:val="345"/>
        </w:trPr>
        <w:tc>
          <w:tcPr>
            <w:tcW w:w="86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2021-02-17T06:06:59Z</dcterms:created>
  <dcterms:modified xsi:type="dcterms:W3CDTF">2021-02-17T06:06:59Z</dcterms:modified>
</cp:coreProperties>
</file>