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For the month of October 2004</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spacing w:after="0" w:line="2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309"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RAMAT GAVRIEL INDUSTRIAL PARK</w:t>
      </w:r>
    </w:p>
    <w:p>
      <w:pPr>
        <w:spacing w:after="0" w:line="23"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23105</w:t>
      </w: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09" w:lineRule="exact"/>
        <w:rPr>
          <w:sz w:val="24"/>
          <w:szCs w:val="24"/>
          <w:color w:val="auto"/>
        </w:rPr>
      </w:pPr>
    </w:p>
    <w:p>
      <w:pPr>
        <w:ind w:right="3579" w:firstLine="437"/>
        <w:spacing w:after="0" w:line="34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40-F[_]</w:t>
      </w:r>
    </w:p>
    <w:p>
      <w:pPr>
        <w:spacing w:after="0" w:line="335" w:lineRule="exact"/>
        <w:rPr>
          <w:sz w:val="24"/>
          <w:szCs w:val="24"/>
          <w:color w:val="auto"/>
        </w:rPr>
      </w:pPr>
    </w:p>
    <w:p>
      <w:pPr>
        <w:ind w:right="3239" w:firstLine="437"/>
        <w:spacing w:after="0" w:line="32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7" w:lineRule="exact"/>
        <w:rPr>
          <w:sz w:val="24"/>
          <w:szCs w:val="24"/>
          <w:color w:val="auto"/>
        </w:rPr>
      </w:pPr>
    </w:p>
    <w:p>
      <w:pPr>
        <w:ind w:left="2720"/>
        <w:spacing w:after="0"/>
        <w:tabs>
          <w:tab w:leader="none" w:pos="376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On October 17, 2004, the Registrant announced that Israeli fabless companies represent fifth of its revenues. Attached hereto as Exhibit 99.1 is a copy of the press release.</w:t>
      </w:r>
    </w:p>
    <w:p>
      <w:pPr>
        <w:spacing w:after="0" w:line="57" w:lineRule="exact"/>
        <w:rPr>
          <w:sz w:val="24"/>
          <w:szCs w:val="24"/>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On October 21, 2004, the Registrant announced its financial results for the three and nine month periods ended September 30, 2004. Attached hereto as Exhibit 99.2 is the press release relating to such announcement and attached hereto as Exhibit 99.3 are the Registrant's unaudited interim consolidated financial statements for the three and nine month periods ended September 30, 2004.</w:t>
      </w:r>
    </w:p>
    <w:p>
      <w:pPr>
        <w:spacing w:after="0" w:line="81" w:lineRule="exact"/>
        <w:rPr>
          <w:sz w:val="24"/>
          <w:szCs w:val="24"/>
          <w:color w:val="auto"/>
        </w:rPr>
      </w:pPr>
    </w:p>
    <w:p>
      <w:pPr>
        <w:ind w:right="3939" w:firstLine="437"/>
        <w:spacing w:after="0" w:line="385" w:lineRule="auto"/>
        <w:rPr>
          <w:sz w:val="20"/>
          <w:szCs w:val="20"/>
          <w:color w:val="auto"/>
        </w:rPr>
      </w:pPr>
      <w:r>
        <w:rPr>
          <w:rFonts w:ascii="Courier New" w:cs="Courier New" w:eastAsia="Courier New" w:hAnsi="Courier New"/>
          <w:sz w:val="14"/>
          <w:szCs w:val="14"/>
          <w:color w:val="auto"/>
        </w:rPr>
        <w:t>This Form 6-K is being incorporated by reference into all effective registration statements filed by us under the Securities Act of 1933.</w:t>
      </w:r>
    </w:p>
    <w:p>
      <w:pPr>
        <w:sectPr>
          <w:pgSz w:w="11900" w:h="16838" w:orient="portrait"/>
          <w:cols w:equalWidth="0" w:num="1">
            <w:col w:w="10239"/>
          </w:cols>
          <w:pgMar w:left="220" w:top="373" w:right="1440" w:bottom="1440" w:gutter="0" w:footer="0" w:header="0"/>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TOWER SEMICONDUCTOR LTD.</w:t>
      </w:r>
    </w:p>
    <w:p>
      <w:pPr>
        <w:sectPr>
          <w:pgSz w:w="11900" w:h="16838" w:orient="portrait"/>
          <w:cols w:equalWidth="0" w:num="1">
            <w:col w:w="10239"/>
          </w:cols>
          <w:pgMar w:left="220" w:top="766"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October 21, 2004</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Tamar Cohen</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Tamar Cohen</w:t>
      </w:r>
    </w:p>
    <w:p>
      <w:pPr>
        <w:spacing w:after="0"/>
        <w:rPr>
          <w:sz w:val="20"/>
          <w:szCs w:val="20"/>
          <w:color w:val="auto"/>
        </w:rPr>
      </w:pPr>
      <w:r>
        <w:rPr>
          <w:rFonts w:ascii="Courier New" w:cs="Courier New" w:eastAsia="Courier New" w:hAnsi="Courier New"/>
          <w:sz w:val="14"/>
          <w:szCs w:val="14"/>
          <w:color w:val="auto"/>
        </w:rPr>
        <w:t>Corporate Secretary</w:t>
      </w:r>
    </w:p>
    <w:p>
      <w:pPr>
        <w:sectPr>
          <w:pgSz w:w="11900" w:h="16838" w:orient="portrait"/>
          <w:cols w:equalWidth="0" w:num="2">
            <w:col w:w="3920" w:space="720"/>
            <w:col w:w="5599"/>
          </w:cols>
          <w:pgMar w:left="220" w:top="766" w:right="1440" w:bottom="1440" w:gutter="0" w:footer="0" w:header="0"/>
          <w:type w:val="continuous"/>
        </w:sectPr>
      </w:pPr>
    </w:p>
    <w:bookmarkStart w:id="2" w:name="page3"/>
    <w:bookmarkEnd w:id="2"/>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ISRAELI FABLESS REPRESENT</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FIFTH OF OUR REVENUES</w:t>
      </w:r>
    </w:p>
    <w:p>
      <w:pPr>
        <w:spacing w:after="0" w:line="14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TOWER IS HOSTING THE SECOND ISRAELI FABLESS CONFERENCE</w:t>
      </w:r>
    </w:p>
    <w:p>
      <w:pPr>
        <w:spacing w:after="0" w:line="16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MIGDAL HAEMEK, ISRAEL - OCTOBER 17, 2004 - Tower Semiconductor Ltd. (NASDAQ: TSEM; TASE: TSEM) today announced that Israeli Fabless companies represent fifth of its revenues. Tower will host the Israeli Fabless conference on Wednesday, October 20, 2004 at the Daniel Hotel in Herzelia, Israel. Aimed towards strengthening the cooperation amongst Israeli fables companies, the conference is expected to host representatives from 40 companies.</w:t>
      </w:r>
    </w:p>
    <w:p>
      <w:pPr>
        <w:spacing w:after="0" w:line="81"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4"/>
          <w:szCs w:val="14"/>
          <w:color w:val="auto"/>
        </w:rPr>
        <w:t>Tower conducts extensive relations with the Israeli semiconductor industry and has further increased the number of local customers since the commencement of operation of its new fabrication facility, Fab 2. At the conference, Tower will present its capabilities and plans for 0.13-micron manufacturing, and offer networking opportunities and technical sessions of common interest to the members of the growing Israeli Fabless community. In addition, Tower will present its design to production advanced customer services, its wide IP offering and cooperation with the industry's leading vendors.</w:t>
      </w:r>
    </w:p>
    <w:p>
      <w:pPr>
        <w:spacing w:after="0" w:line="7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"We are pleased to host this conference for the second time and provide a forum for fruitful discussions among our customers, potential customers, strategic partners and providers of the semiconductor industry," said Carmel Vernia, chairman and chief executive officer of Tower. "Tower views its Israeli customers an important, strategic target and will continue to act towards strengthening the relations with the local industry, as well as providing them with the highest quality and service."</w:t>
      </w:r>
    </w:p>
    <w:p>
      <w:pPr>
        <w:spacing w:after="0" w:line="8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"Being the sole foundry in Israel, Tower has an important role in promoting the local semiconductor industry at the global market, by increasing the Israeli capabilities, development and offering, while reducing costs and time-to-market," said Ephie Koltin, Regional Marketing Manager in Tower. "In last year's conference we presented Tower's 0.18-micron manufacturing plans, and now we are proud to show success stories in 0.18-micron and production plans for our next technology generations."</w:t>
      </w:r>
    </w:p>
    <w:p>
      <w:pPr>
        <w:spacing w:after="0" w:line="82" w:lineRule="exact"/>
        <w:rPr>
          <w:sz w:val="20"/>
          <w:szCs w:val="20"/>
          <w:color w:val="auto"/>
        </w:rPr>
      </w:pPr>
    </w:p>
    <w:p>
      <w:pPr>
        <w:ind w:right="3239"/>
        <w:spacing w:after="0" w:line="381" w:lineRule="auto"/>
        <w:rPr>
          <w:sz w:val="20"/>
          <w:szCs w:val="20"/>
          <w:color w:val="auto"/>
        </w:rPr>
      </w:pPr>
      <w:r>
        <w:rPr>
          <w:rFonts w:ascii="Courier New" w:cs="Courier New" w:eastAsia="Courier New" w:hAnsi="Courier New"/>
          <w:sz w:val="14"/>
          <w:szCs w:val="14"/>
          <w:color w:val="auto"/>
        </w:rPr>
        <w:t>For additional information and registration, please contact Iris Hirsch, Marcom Manager - Israel, at Tower, phone: +972-4-6506191, e-mail: irishir@towersemi.com</w:t>
      </w:r>
    </w:p>
    <w:p>
      <w:pPr>
        <w:spacing w:after="0" w:line="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59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166"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fully equipped, Fab 2 is expected to offer full production capacity of 33,000 200mm wafers per month. The Tower Web site is located at www.towersemi.com.</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w:t>
      </w:r>
    </w:p>
    <w:p>
      <w:pPr>
        <w:spacing w:after="0" w:line="166" w:lineRule="exact"/>
        <w:rPr>
          <w:sz w:val="20"/>
          <w:szCs w:val="20"/>
          <w:color w:val="auto"/>
        </w:rPr>
      </w:pPr>
    </w:p>
    <w:p>
      <w:pPr>
        <w:ind w:right="3239"/>
        <w:spacing w:after="0" w:line="259"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(IV) OPERATING OUR FACILITIES AT SATISFACTORY UTILIZATION RATES,</w:t>
      </w:r>
    </w:p>
    <w:p>
      <w:pPr>
        <w:spacing w:after="0" w:line="2" w:lineRule="exact"/>
        <w:rPr>
          <w:sz w:val="20"/>
          <w:szCs w:val="20"/>
          <w:color w:val="auto"/>
        </w:rPr>
      </w:pPr>
    </w:p>
    <w:p>
      <w:pPr>
        <w:ind w:right="3239" w:firstLine="10"/>
        <w:spacing w:after="0" w:line="241"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AFFECT THAT OUR EXPECTED DECREASE IN SALES IN COMING QUARTERS WILL HAVE ON OUR ABILITY TO MEET OUR COVENANTS IN OUR AMENDED FACILITY AGREEMENT, WHICH WE CURRENTLY FORECAST WE WILL NOT MEET IN THE NEXT SEVERAL QUARTERS, (VI) OUR ABILITY TO CAPITALIZE ON INCREASES IN DEMAND FOR FOUNDRY SERVICES, (VII) MEETING THE CONDITIONS TO RECEIVE ISRAELI GOVERNMENT GRANTS AND TAX BENEFITS APPROVED FOR FAB 2 AND OBTAINING THE APPROVAL OF THE ISRAELI INVESTMENT CENTER TO EXTEND THE FIVE-YEAR INVESTMENT PERIOD UNDER OUR FAB 2 APPROVED ENTERPRISE PROGRAM AND OF AMENDMENTS TO OUR MODIFIED BUSINESS PLAN, (VIII) ATTRACTING ADDITIONAL CUSTOMERS, (IX) NOT RECEIVING ORDERS FROM OUR WAFER PARTNERS AND TECHNOLOGY PROVIDERS, (X) FAILING TO MAINTAIN AND DEVELOP OUR TECHNOLOGY PROCESSES AND SERVICES, (XI) COMPETING EFFECTIVELY, (XII) OUR LARGE AMOUNT OF DEBT AND OUR SATISFYING THE COVENANTS SET FORTH IN OUR AMENDED FACILITY AGREEMENT, AND (XIII) ACHIEVING ACCEPTABLE DEVICE YIELDS, PRODUCT PERFORMANCE AND DELIVERY TIMES.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9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PR AGENCY CONTACT</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INVESTOR RELATIONS CONTACT</w:t>
            </w: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CORPORATE CONTACT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Matt Beevers</w:t>
            </w:r>
          </w:p>
        </w:tc>
        <w:tc>
          <w:tcPr>
            <w:tcW w:w="2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Sheldon Lutch</w:t>
            </w:r>
          </w:p>
        </w:tc>
        <w:tc>
          <w:tcPr>
            <w:tcW w:w="2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Michael Axelrod</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Pacifico, Inc.</w:t>
            </w:r>
          </w:p>
        </w:tc>
        <w:tc>
          <w:tcPr>
            <w:tcW w:w="2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IR &amp; Communications</w:t>
            </w:r>
          </w:p>
        </w:tc>
        <w:tc>
          <w:tcPr>
            <w:tcW w:w="2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Tower Semiconductor USA</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+1 (408) 293-8600</w:t>
            </w:r>
          </w:p>
        </w:tc>
        <w:tc>
          <w:tcPr>
            <w:tcW w:w="2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 (212) 268 1816</w:t>
            </w:r>
          </w:p>
        </w:tc>
        <w:tc>
          <w:tcPr>
            <w:tcW w:w="2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 (408) 330 6871</w:t>
            </w:r>
          </w:p>
        </w:tc>
      </w:tr>
      <w:tr>
        <w:trPr>
          <w:trHeight w:val="245"/>
        </w:trPr>
        <w:tc>
          <w:tcPr>
            <w:tcW w:w="2020" w:type="dxa"/>
            <w:vAlign w:val="bottom"/>
          </w:tcPr>
          <w:p>
            <w:pPr>
              <w:spacing w:after="0"/>
              <w:rPr>
                <w:sz w:val="20"/>
                <w:szCs w:val="20"/>
                <w:color w:val="auto"/>
              </w:rPr>
            </w:pPr>
            <w:r>
              <w:rPr>
                <w:rFonts w:ascii="Courier New" w:cs="Courier New" w:eastAsia="Courier New" w:hAnsi="Courier New"/>
                <w:sz w:val="15"/>
                <w:szCs w:val="15"/>
                <w:color w:val="auto"/>
              </w:rPr>
              <w:t>mbeevers@pacifico.com</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sheldon@fusionir.com</w:t>
            </w: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pr@towersemi.com</w:t>
            </w:r>
          </w:p>
        </w:tc>
      </w:tr>
    </w:tbl>
    <w:p>
      <w:pPr>
        <w:sectPr>
          <w:pgSz w:w="11900" w:h="16838" w:orient="portrait"/>
          <w:cols w:equalWidth="0" w:num="1">
            <w:col w:w="10239"/>
          </w:cols>
          <w:pgMar w:left="220" w:top="934" w:right="1440" w:bottom="1440" w:gutter="0" w:footer="0" w:header="0"/>
        </w:sectPr>
      </w:pPr>
    </w:p>
    <w:bookmarkStart w:id="4" w:name="page5"/>
    <w:bookmarkEnd w:id="4"/>
    <w:p>
      <w:pPr>
        <w:jc w:val="right"/>
        <w:ind w:right="3239"/>
        <w:spacing w:after="0"/>
        <w:rPr>
          <w:sz w:val="20"/>
          <w:szCs w:val="20"/>
          <w:color w:val="auto"/>
        </w:rPr>
      </w:pPr>
      <w:r>
        <w:rPr>
          <w:rFonts w:ascii="Courier New" w:cs="Courier New" w:eastAsia="Courier New" w:hAnsi="Courier New"/>
          <w:sz w:val="15"/>
          <w:szCs w:val="15"/>
          <w:color w:val="auto"/>
        </w:rPr>
        <w:t>EXHIBIT 99.2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 ANNOUNCES THIRD</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QUARTER AND NINE MONTHS 2004 RESULTS</w:t>
      </w:r>
    </w:p>
    <w:p>
      <w:pPr>
        <w:spacing w:after="0" w:line="309"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MIGDAL HAEMEK, Israel - October 21, 2004 - Tower Semiconductor Ltd. (NASDAQ: TSEM; TASE: TSEM) today announced results for the third quarter and nine months ended September 30, 2004.</w:t>
      </w:r>
    </w:p>
    <w:p>
      <w:pPr>
        <w:spacing w:after="0" w:line="57"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Revenues for the third quarter of 2004 totaled $35.1 million, an increase of 118 percent over $16.1 million reported in the third quarter of 2003. This is compared to revenues of $33.7 million in the second quarter of 2004.</w:t>
      </w:r>
    </w:p>
    <w:p>
      <w:pPr>
        <w:spacing w:after="0" w:line="5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loss in the third quarter of 2004 was $39.4 million, or $0.60 per share, compared to a loss of $37.1 million, or $0.77 per share, in the third quarter of 2003, and compared to a loss of $36.5 million, or $0.55 per share, for the second quarter of 2004. The loss for the third quarter of 2004 includes $29.7 million of depreciation and amortization.</w:t>
      </w:r>
    </w:p>
    <w:p>
      <w:pPr>
        <w:spacing w:after="0" w:line="75"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Revenues for the nine months ended September 30, 2004, were $96.0 million, an increase of 131 percent over revenues of $41.5 million for the nine months ended September 30, 2003. The company reported a loss of $114.4 million, or $1.78 per share in the nine months ended September 30, 2004, compared to a loss of $68.3 million, or $1.49 per share, in the nine months ended September 30, 2003. The increase in loss, as compared with the nine months ended September 30, 2003, is primarily attributed to depreciation and amortization, which was $83.2 million on the nine months ended September 30, 2004 vs. $29.6 million in the parallel period of 2003.</w:t>
      </w:r>
    </w:p>
    <w:p>
      <w:pPr>
        <w:spacing w:after="0" w:line="89" w:lineRule="exact"/>
        <w:rPr>
          <w:sz w:val="20"/>
          <w:szCs w:val="20"/>
          <w:color w:val="auto"/>
        </w:rPr>
      </w:pPr>
    </w:p>
    <w:p>
      <w:pPr>
        <w:ind w:right="3499"/>
        <w:spacing w:after="0" w:line="264" w:lineRule="auto"/>
        <w:rPr>
          <w:sz w:val="20"/>
          <w:szCs w:val="20"/>
          <w:color w:val="auto"/>
        </w:rPr>
      </w:pPr>
      <w:r>
        <w:rPr>
          <w:rFonts w:ascii="Courier New" w:cs="Courier New" w:eastAsia="Courier New" w:hAnsi="Courier New"/>
          <w:sz w:val="14"/>
          <w:szCs w:val="14"/>
          <w:color w:val="auto"/>
        </w:rPr>
        <w:t>"Tower achieved quarter over quarter revenues growth, in spite of the industry-wide challenging market condition," said Carmel Vernia, chairman and chief executive officer of Tower. "Looking to the near future, demand and average sale price are expected to decline, resulting in lower Q4-2004 and</w:t>
      </w:r>
    </w:p>
    <w:p>
      <w:pPr>
        <w:spacing w:after="0" w:line="1" w:lineRule="exact"/>
        <w:rPr>
          <w:sz w:val="20"/>
          <w:szCs w:val="20"/>
          <w:color w:val="auto"/>
        </w:rPr>
      </w:pPr>
    </w:p>
    <w:p>
      <w:pPr>
        <w:ind w:right="3239"/>
        <w:spacing w:after="0" w:line="272" w:lineRule="auto"/>
        <w:rPr>
          <w:sz w:val="20"/>
          <w:szCs w:val="20"/>
          <w:color w:val="auto"/>
        </w:rPr>
      </w:pPr>
      <w:r>
        <w:rPr>
          <w:rFonts w:ascii="Courier New" w:cs="Courier New" w:eastAsia="Courier New" w:hAnsi="Courier New"/>
          <w:sz w:val="15"/>
          <w:szCs w:val="15"/>
          <w:color w:val="auto"/>
        </w:rPr>
        <w:t>Q1-2005 sales. Our long-term outlook remains positive based on new customers that are in various stages of designing and prototyping into the fabs. We expect to see demand increase starting in Q2-2005."</w:t>
      </w:r>
    </w:p>
    <w:p>
      <w:pPr>
        <w:spacing w:after="0" w:line="69"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The company expects Q-4 2004 revenues to be in the range of $30 million and $33 million. The company is now targeting for positive EBITDA in the second half of 2005.</w:t>
      </w:r>
    </w:p>
    <w:p>
      <w:pPr>
        <w:spacing w:after="0" w:line="57"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"We continue to see progress in our specialized technologies," added Mr. Vernia. "We've added two new 0.18-micron CMOS image sensor committed customers this quarter and are running prototype silicon for a 0.18-micron embedded flash customer. We also increased the amount of mixed signal designs into our fabs, all of which are expected to increase our production levels during 2005."</w:t>
      </w:r>
    </w:p>
    <w:p>
      <w:pPr>
        <w:sectPr>
          <w:pgSz w:w="11900" w:h="16838" w:orient="portrait"/>
          <w:cols w:equalWidth="0" w:num="1">
            <w:col w:w="10239"/>
          </w:cols>
          <w:pgMar w:left="220" w:top="1102" w:right="1440" w:bottom="1440" w:gutter="0" w:footer="0" w:header="0"/>
        </w:sectPr>
      </w:pPr>
    </w:p>
    <w:bookmarkStart w:id="5" w:name="page6"/>
    <w:bookmarkEnd w:id="5"/>
    <w:p>
      <w:pPr>
        <w:ind w:right="3239"/>
        <w:spacing w:after="0" w:line="280" w:lineRule="auto"/>
        <w:rPr>
          <w:sz w:val="20"/>
          <w:szCs w:val="20"/>
          <w:color w:val="auto"/>
        </w:rPr>
      </w:pPr>
      <w:r>
        <w:rPr>
          <w:rFonts w:ascii="Courier New" w:cs="Courier New" w:eastAsia="Courier New" w:hAnsi="Courier New"/>
          <w:sz w:val="14"/>
          <w:szCs w:val="14"/>
          <w:color w:val="auto"/>
        </w:rPr>
        <w:t>Further to the dismissal of the class action filed in the United States District Court for the Southern District of New York on behalf of the shareholders of the company against the company and certain of its directors and shareholders, the company was informed in September 2004 that one of the lead plaintiffs filed a notice of appeal of the decision dismissing the complaint. The Company believes that the complaint is without merit and will continue to vigorously contest it.</w:t>
      </w:r>
    </w:p>
    <w:p>
      <w:pPr>
        <w:spacing w:after="0" w:line="6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The company will host a conference call to discuss these results on Thursday, October 21, 2004 at 10:00 a.m. Eastern time / 16:00 Israel time. To participate, call 1-800-500-0177 (U.S. toll-free number) or 1-719-457-2679 (international) and mention ID code: TOWER. Callers in Israel are invited to call locally, at 03-925-5910. The conference call also will be Webcast live at www.companyboardroom.com and at www.towersemi.com. The call will be available on both Web sites for replay for 90 days.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166"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fully equipped, Fab 2 is expected to offer full production capacity of 33,000 200mm wafers per month. The Tower Web site is located at www.towersemi.com.</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w:t>
      </w:r>
    </w:p>
    <w:p>
      <w:pPr>
        <w:spacing w:after="0" w:line="166" w:lineRule="exact"/>
        <w:rPr>
          <w:sz w:val="20"/>
          <w:szCs w:val="20"/>
          <w:color w:val="auto"/>
        </w:rPr>
      </w:pPr>
    </w:p>
    <w:p>
      <w:pPr>
        <w:ind w:right="3239"/>
        <w:spacing w:after="0" w:line="259"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(IV) OPERATING OUR FACILITIES AT SATISFACTORY UTILIZATION RATES,</w:t>
      </w:r>
    </w:p>
    <w:p>
      <w:pPr>
        <w:spacing w:after="0" w:line="2" w:lineRule="exact"/>
        <w:rPr>
          <w:sz w:val="20"/>
          <w:szCs w:val="20"/>
          <w:color w:val="auto"/>
        </w:rPr>
      </w:pPr>
    </w:p>
    <w:p>
      <w:pPr>
        <w:ind w:right="3239" w:firstLine="10"/>
        <w:spacing w:after="0" w:line="260" w:lineRule="auto"/>
        <w:tabs>
          <w:tab w:leader="none" w:pos="35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THAT OUR EXPECTED DECREASE IN SALES IN THE COMING QUARTERS WILL HAVE ON OUR ABILITY TO MEET CERTAIN OF THE COVENANTS STIPULATED IN OUR AMENDED FACILITY AGREEMENT, WHICH WE CURRENTLY FORECAST WE MAY NOT MEET IN THE NEXT SEVERAL QUARTERS, (VI) OUR ABILITY TO CAPITALIZE ON INCREASES IN DEMAND FOR FOUNDRY SERVICES, (VII) MEETING THE CONDITIONS TO RECEIVE ISRAELI GOVERNMENT GRANTS AND TAX BENEFITS APPROVED FOR FAB 2 AND OBTAINING THE APPROVAL OF THE ISRAELI INVESTMENT CENTER TO EXTEND THE FIVE-YEAR INVESTMENT PERIOD UNDER OUR FAB 2 APPROVED ENTERPRISE PROGRAM, (VIII) ATTRACTING ADDITIONAL CUSTOMERS, (IX) NOT RECEIVING ORDERS FROM OUR WAFER PARTNERS AND TECHNOLOGY PROVIDERS, (X) FAILING TO MAINTAIN AND DEVELOP OUR TECHNOLOGY PROCESSES AND SERVICES, (XI) COMPETING EFFECTIVELY, (XII) OUR LARGE AMOUNT OF DEBT, AND (XIII) ACHIEVING ACCEPTABLE DEVICE YIELDS, PRODUCT PERFORMANCE AND DELIVERY TIMES.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80" w:lineRule="exact"/>
        <w:rPr>
          <w:rFonts w:ascii="Courier New" w:cs="Courier New" w:eastAsia="Courier New" w:hAnsi="Courier New"/>
          <w:sz w:val="14"/>
          <w:szCs w:val="14"/>
          <w:color w:val="auto"/>
        </w:rPr>
      </w:pPr>
    </w:p>
    <w:p>
      <w:pPr>
        <w:ind w:left="3500" w:hanging="167"/>
        <w:spacing w:after="0"/>
        <w:tabs>
          <w:tab w:leader="none" w:pos="35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PR AGENCY CONTACT</w:t>
            </w:r>
          </w:p>
        </w:tc>
        <w:tc>
          <w:tcPr>
            <w:tcW w:w="2660" w:type="dxa"/>
            <w:vAlign w:val="bottom"/>
          </w:tcPr>
          <w:p>
            <w:pPr>
              <w:ind w:left="120"/>
              <w:spacing w:after="0"/>
              <w:rPr>
                <w:sz w:val="20"/>
                <w:szCs w:val="20"/>
                <w:color w:val="auto"/>
              </w:rPr>
            </w:pPr>
            <w:r>
              <w:rPr>
                <w:rFonts w:ascii="Courier New" w:cs="Courier New" w:eastAsia="Courier New" w:hAnsi="Courier New"/>
                <w:sz w:val="15"/>
                <w:szCs w:val="15"/>
                <w:color w:val="auto"/>
              </w:rPr>
              <w:t>INVESTOR RELATIONS CONTACT</w:t>
            </w:r>
          </w:p>
        </w:tc>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CORPORATE CONTACT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Matt Beevers</w:t>
            </w: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Sheldon Lutch</w:t>
            </w:r>
          </w:p>
        </w:tc>
        <w:tc>
          <w:tcPr>
            <w:tcW w:w="2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Michael Axelrod</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Pacifico, Inc.</w:t>
            </w: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IR &amp; Communications</w:t>
            </w:r>
          </w:p>
        </w:tc>
        <w:tc>
          <w:tcPr>
            <w:tcW w:w="2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Tower Semiconductor USA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 (408) 293-8600</w:t>
            </w: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 (212) 268 1816</w:t>
            </w:r>
          </w:p>
        </w:tc>
        <w:tc>
          <w:tcPr>
            <w:tcW w:w="2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 (408) 330 6871</w:t>
            </w:r>
          </w:p>
        </w:tc>
      </w:tr>
      <w:tr>
        <w:trPr>
          <w:trHeight w:val="245"/>
        </w:trPr>
        <w:tc>
          <w:tcPr>
            <w:tcW w:w="1980" w:type="dxa"/>
            <w:vAlign w:val="bottom"/>
          </w:tcPr>
          <w:p>
            <w:pPr>
              <w:spacing w:after="0"/>
              <w:rPr>
                <w:sz w:val="20"/>
                <w:szCs w:val="20"/>
                <w:color w:val="auto"/>
              </w:rPr>
            </w:pPr>
            <w:r>
              <w:rPr>
                <w:rFonts w:ascii="Courier New" w:cs="Courier New" w:eastAsia="Courier New" w:hAnsi="Courier New"/>
                <w:sz w:val="15"/>
                <w:szCs w:val="15"/>
                <w:color w:val="auto"/>
              </w:rPr>
              <w:t>mbeevers@pacifico.com</w:t>
            </w:r>
          </w:p>
        </w:tc>
        <w:tc>
          <w:tcPr>
            <w:tcW w:w="2660" w:type="dxa"/>
            <w:vAlign w:val="bottom"/>
          </w:tcPr>
          <w:p>
            <w:pPr>
              <w:ind w:left="120"/>
              <w:spacing w:after="0"/>
              <w:rPr>
                <w:sz w:val="20"/>
                <w:szCs w:val="20"/>
                <w:color w:val="auto"/>
              </w:rPr>
            </w:pPr>
            <w:r>
              <w:rPr>
                <w:rFonts w:ascii="Courier New" w:cs="Courier New" w:eastAsia="Courier New" w:hAnsi="Courier New"/>
                <w:sz w:val="15"/>
                <w:szCs w:val="15"/>
                <w:color w:val="auto"/>
              </w:rPr>
              <w:t>sheldon@fusionir.com</w:t>
            </w:r>
          </w:p>
        </w:tc>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pr@towersemi.com</w:t>
            </w:r>
          </w:p>
        </w:tc>
      </w:tr>
    </w:tbl>
    <w:p>
      <w:pPr>
        <w:sectPr>
          <w:pgSz w:w="11900" w:h="16838" w:orient="portrait"/>
          <w:cols w:equalWidth="0" w:num="1">
            <w:col w:w="10239"/>
          </w:cols>
          <w:pgMar w:left="220" w:top="766" w:right="1440" w:bottom="1440" w:gutter="0" w:footer="0" w:header="0"/>
        </w:sectPr>
      </w:pPr>
    </w:p>
    <w:bookmarkStart w:id="6" w:name="page7"/>
    <w:bookmarkEnd w:id="6"/>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245"/>
        </w:trPr>
        <w:tc>
          <w:tcPr>
            <w:tcW w:w="6140" w:type="dxa"/>
            <w:vAlign w:val="bottom"/>
          </w:tcPr>
          <w:p>
            <w:pPr>
              <w:ind w:left="880"/>
              <w:spacing w:after="0"/>
              <w:rPr>
                <w:sz w:val="20"/>
                <w:szCs w:val="20"/>
                <w:color w:val="auto"/>
              </w:rPr>
            </w:pPr>
            <w:r>
              <w:rPr>
                <w:rFonts w:ascii="Courier New" w:cs="Courier New" w:eastAsia="Courier New" w:hAnsi="Courier New"/>
                <w:sz w:val="15"/>
                <w:szCs w:val="15"/>
                <w:color w:val="auto"/>
                <w:w w:val="97"/>
              </w:rPr>
              <w:t>(DOLLARS IN THOUSANDS, EXCEPT SHARE DATA AND PER SHARE DATA)</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8"/>
        </w:trPr>
        <w:tc>
          <w:tcPr>
            <w:tcW w:w="6140" w:type="dxa"/>
            <w:vAlign w:val="bottom"/>
          </w:tcPr>
          <w:p>
            <w:pPr>
              <w:spacing w:after="0"/>
              <w:rPr>
                <w:sz w:val="24"/>
                <w:szCs w:val="24"/>
                <w:color w:val="auto"/>
              </w:rPr>
            </w:pP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SEPTEMBER 30,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140" w:type="dxa"/>
            <w:vAlign w:val="bottom"/>
          </w:tcPr>
          <w:p>
            <w:pPr>
              <w:spacing w:after="0"/>
              <w:rPr>
                <w:sz w:val="22"/>
                <w:szCs w:val="22"/>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14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12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$ 21,877</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$ 12,448</w:t>
            </w: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DESIGNATED CASH AND SHORT-TERM INTEREST-BEARING DEPOSITS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36,576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44,042</w:t>
            </w: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25,961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11,631</w:t>
            </w: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18,385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11,073</w:t>
            </w: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INVENTORIES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30,371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19,382</w:t>
            </w: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1,729</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rPr>
              <w:t>TOTAL CURRENT ASSETS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vMerge w:val="continue"/>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134,413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100,305</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140" w:type="dxa"/>
            <w:vAlign w:val="bottom"/>
          </w:tcPr>
          <w:p>
            <w:pPr>
              <w:ind w:left="440"/>
              <w:spacing w:after="0"/>
              <w:rPr>
                <w:sz w:val="20"/>
                <w:szCs w:val="20"/>
                <w:color w:val="auto"/>
              </w:rPr>
            </w:pPr>
            <w:r>
              <w:rPr>
                <w:rFonts w:ascii="Courier New" w:cs="Courier New" w:eastAsia="Courier New" w:hAnsi="Courier New"/>
                <w:sz w:val="15"/>
                <w:szCs w:val="15"/>
                <w:color w:val="auto"/>
              </w:rPr>
              <w:t>LONG-TERM INVESTMENTS</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12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4,934</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4,848</w:t>
            </w:r>
          </w:p>
        </w:tc>
        <w:tc>
          <w:tcPr>
            <w:tcW w:w="0" w:type="dxa"/>
            <w:vAlign w:val="bottom"/>
          </w:tcPr>
          <w:p>
            <w:pPr>
              <w:spacing w:after="0"/>
              <w:rPr>
                <w:sz w:val="1"/>
                <w:szCs w:val="1"/>
                <w:color w:val="auto"/>
              </w:rPr>
            </w:pPr>
          </w:p>
        </w:tc>
      </w:tr>
      <w:tr>
        <w:trPr>
          <w:trHeight w:val="168"/>
        </w:trPr>
        <w:tc>
          <w:tcPr>
            <w:tcW w:w="6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w:t>
            </w:r>
          </w:p>
        </w:tc>
        <w:tc>
          <w:tcPr>
            <w:tcW w:w="0" w:type="dxa"/>
            <w:vAlign w:val="bottom"/>
          </w:tcPr>
          <w:p>
            <w:pPr>
              <w:spacing w:after="0"/>
              <w:rPr>
                <w:sz w:val="1"/>
                <w:szCs w:val="1"/>
                <w:color w:val="auto"/>
              </w:rPr>
            </w:pP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10,934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10,848</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14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NET</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613,561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568,412</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140" w:type="dxa"/>
            <w:vAlign w:val="bottom"/>
          </w:tcPr>
          <w:p>
            <w:pPr>
              <w:ind w:left="440"/>
              <w:spacing w:after="0"/>
              <w:rPr>
                <w:sz w:val="20"/>
                <w:szCs w:val="20"/>
                <w:color w:val="auto"/>
              </w:rPr>
            </w:pPr>
            <w:r>
              <w:rPr>
                <w:rFonts w:ascii="Courier New" w:cs="Courier New" w:eastAsia="Courier New" w:hAnsi="Courier New"/>
                <w:sz w:val="15"/>
                <w:szCs w:val="15"/>
                <w:color w:val="auto"/>
              </w:rPr>
              <w:t>OTHER ASSETS, NET</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97,961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108,770</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140" w:type="dxa"/>
            <w:vAlign w:val="bottom"/>
          </w:tcPr>
          <w:p>
            <w:pPr>
              <w:ind w:left="1400"/>
              <w:spacing w:after="0"/>
              <w:rPr>
                <w:sz w:val="20"/>
                <w:szCs w:val="20"/>
                <w:color w:val="auto"/>
              </w:rPr>
            </w:pPr>
            <w:r>
              <w:rPr>
                <w:rFonts w:ascii="Courier New" w:cs="Courier New" w:eastAsia="Courier New" w:hAnsi="Courier New"/>
                <w:sz w:val="15"/>
                <w:szCs w:val="15"/>
                <w:color w:val="auto"/>
              </w:rPr>
              <w:t>TOTAL ASSETS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$856,869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$788,335</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14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12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$ 61,202</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$ 40,249</w:t>
            </w: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9,082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9,564</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TOTAL CURRENT LIABILITIES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140" w:type="dxa"/>
            <w:vAlign w:val="bottom"/>
            <w:vMerge w:val="continue"/>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70,284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49,813</w:t>
            </w:r>
          </w:p>
        </w:tc>
        <w:tc>
          <w:tcPr>
            <w:tcW w:w="0" w:type="dxa"/>
            <w:vAlign w:val="bottom"/>
          </w:tcPr>
          <w:p>
            <w:pPr>
              <w:spacing w:after="0"/>
              <w:rPr>
                <w:sz w:val="1"/>
                <w:szCs w:val="1"/>
                <w:color w:val="auto"/>
              </w:rPr>
            </w:pPr>
          </w:p>
        </w:tc>
      </w:tr>
      <w:tr>
        <w:trPr>
          <w:trHeight w:val="336"/>
        </w:trPr>
        <w:tc>
          <w:tcPr>
            <w:tcW w:w="614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497,000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431,000</w:t>
            </w:r>
          </w:p>
        </w:tc>
        <w:tc>
          <w:tcPr>
            <w:tcW w:w="0" w:type="dxa"/>
            <w:vAlign w:val="bottom"/>
          </w:tcPr>
          <w:p>
            <w:pPr>
              <w:spacing w:after="0"/>
              <w:rPr>
                <w:sz w:val="1"/>
                <w:szCs w:val="1"/>
                <w:color w:val="auto"/>
              </w:rPr>
            </w:pPr>
          </w:p>
        </w:tc>
      </w:tr>
      <w:tr>
        <w:trPr>
          <w:trHeight w:val="336"/>
        </w:trPr>
        <w:tc>
          <w:tcPr>
            <w:tcW w:w="6140" w:type="dxa"/>
            <w:vAlign w:val="bottom"/>
          </w:tcPr>
          <w:p>
            <w:pPr>
              <w:ind w:left="440"/>
              <w:spacing w:after="0"/>
              <w:rPr>
                <w:sz w:val="20"/>
                <w:szCs w:val="20"/>
                <w:color w:val="auto"/>
              </w:rPr>
            </w:pPr>
            <w:r>
              <w:rPr>
                <w:rFonts w:ascii="Courier New" w:cs="Courier New" w:eastAsia="Courier New" w:hAnsi="Courier New"/>
                <w:sz w:val="15"/>
                <w:szCs w:val="15"/>
                <w:color w:val="auto"/>
              </w:rPr>
              <w:t>CONVERTIBLE DEBENTURES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25,643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25,783</w:t>
            </w:r>
          </w:p>
        </w:tc>
        <w:tc>
          <w:tcPr>
            <w:tcW w:w="0" w:type="dxa"/>
            <w:vAlign w:val="bottom"/>
          </w:tcPr>
          <w:p>
            <w:pPr>
              <w:spacing w:after="0"/>
              <w:rPr>
                <w:sz w:val="1"/>
                <w:szCs w:val="1"/>
                <w:color w:val="auto"/>
              </w:rPr>
            </w:pPr>
          </w:p>
        </w:tc>
      </w:tr>
      <w:tr>
        <w:trPr>
          <w:trHeight w:val="259"/>
        </w:trPr>
        <w:tc>
          <w:tcPr>
            <w:tcW w:w="6140" w:type="dxa"/>
            <w:vAlign w:val="bottom"/>
          </w:tcPr>
          <w:p>
            <w:pPr>
              <w:ind w:left="440"/>
              <w:spacing w:after="0"/>
              <w:rPr>
                <w:sz w:val="20"/>
                <w:szCs w:val="20"/>
                <w:color w:val="auto"/>
              </w:rPr>
            </w:pPr>
            <w:r>
              <w:rPr>
                <w:rFonts w:ascii="Courier New" w:cs="Courier New" w:eastAsia="Courier New" w:hAnsi="Courier New"/>
                <w:sz w:val="15"/>
                <w:szCs w:val="15"/>
                <w:color w:val="auto"/>
              </w:rPr>
              <w:t>LONG-TERM LIABILITY IN RESPECT</w:t>
            </w:r>
          </w:p>
        </w:tc>
        <w:tc>
          <w:tcPr>
            <w:tcW w:w="12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65,069</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46,347</w:t>
            </w:r>
          </w:p>
        </w:tc>
        <w:tc>
          <w:tcPr>
            <w:tcW w:w="0" w:type="dxa"/>
            <w:vAlign w:val="bottom"/>
          </w:tcPr>
          <w:p>
            <w:pPr>
              <w:spacing w:after="0"/>
              <w:rPr>
                <w:sz w:val="1"/>
                <w:szCs w:val="1"/>
                <w:color w:val="auto"/>
              </w:rPr>
            </w:pPr>
          </w:p>
        </w:tc>
      </w:tr>
      <w:tr>
        <w:trPr>
          <w:trHeight w:val="245"/>
        </w:trPr>
        <w:tc>
          <w:tcPr>
            <w:tcW w:w="6140" w:type="dxa"/>
            <w:vAlign w:val="bottom"/>
          </w:tcPr>
          <w:p>
            <w:pPr>
              <w:ind w:left="880"/>
              <w:spacing w:after="0"/>
              <w:rPr>
                <w:sz w:val="20"/>
                <w:szCs w:val="20"/>
                <w:color w:val="auto"/>
              </w:rPr>
            </w:pPr>
            <w:r>
              <w:rPr>
                <w:rFonts w:ascii="Courier New" w:cs="Courier New" w:eastAsia="Courier New" w:hAnsi="Courier New"/>
                <w:sz w:val="15"/>
                <w:szCs w:val="15"/>
                <w:color w:val="auto"/>
              </w:rPr>
              <w:t>OF CUSTOMERS' ADVANCES</w:t>
            </w:r>
          </w:p>
        </w:tc>
        <w:tc>
          <w:tcPr>
            <w:tcW w:w="12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140" w:type="dxa"/>
            <w:vAlign w:val="bottom"/>
          </w:tcPr>
          <w:p>
            <w:pPr>
              <w:ind w:left="440"/>
              <w:spacing w:after="0"/>
              <w:rPr>
                <w:sz w:val="20"/>
                <w:szCs w:val="20"/>
                <w:color w:val="auto"/>
              </w:rPr>
            </w:pPr>
            <w:r>
              <w:rPr>
                <w:rFonts w:ascii="Courier New" w:cs="Courier New" w:eastAsia="Courier New" w:hAnsi="Courier New"/>
                <w:sz w:val="15"/>
                <w:szCs w:val="15"/>
                <w:color w:val="auto"/>
              </w:rPr>
              <w:t>OTHER LONG-TERM LIABILITIES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7,792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5,935</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TOTAL LIABILITIES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vMerge w:val="continue"/>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665,788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558,878</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14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12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16,260</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13,150</w:t>
            </w: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ORDINARY SHARES</w:t>
            </w: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517,258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427,881</w:t>
            </w: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16,428</w:t>
            </w: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68"/>
        </w:trPr>
        <w:tc>
          <w:tcPr>
            <w:tcW w:w="6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(333,339)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(218,904)</w:t>
            </w:r>
          </w:p>
        </w:tc>
        <w:tc>
          <w:tcPr>
            <w:tcW w:w="0" w:type="dxa"/>
            <w:vAlign w:val="bottom"/>
          </w:tcPr>
          <w:p>
            <w:pPr>
              <w:spacing w:after="0"/>
              <w:rPr>
                <w:sz w:val="1"/>
                <w:szCs w:val="1"/>
                <w:color w:val="auto"/>
              </w:rPr>
            </w:pP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TREASURY STOCK, AT COST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200,153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238,529</w:t>
            </w:r>
          </w:p>
        </w:tc>
        <w:tc>
          <w:tcPr>
            <w:tcW w:w="0" w:type="dxa"/>
            <w:vAlign w:val="bottom"/>
          </w:tcPr>
          <w:p>
            <w:pPr>
              <w:spacing w:after="0"/>
              <w:rPr>
                <w:sz w:val="1"/>
                <w:szCs w:val="1"/>
                <w:color w:val="auto"/>
              </w:rPr>
            </w:pPr>
          </w:p>
        </w:tc>
      </w:tr>
      <w:tr>
        <w:trPr>
          <w:trHeight w:val="168"/>
        </w:trPr>
        <w:tc>
          <w:tcPr>
            <w:tcW w:w="6140" w:type="dxa"/>
            <w:vAlign w:val="bottom"/>
            <w:vMerge w:val="continue"/>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TOTAL SHAREHOLDERS' EQUITY</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vMerge w:val="continue"/>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191,081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229,457</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140" w:type="dxa"/>
            <w:vAlign w:val="bottom"/>
          </w:tcPr>
          <w:p>
            <w:pPr>
              <w:ind w:left="14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$856,869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$788,335</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7" w:name="page8"/>
    <w:bookmarkEnd w:id="7"/>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4" w:lineRule="exact"/>
        <w:rPr>
          <w:sz w:val="20"/>
          <w:szCs w:val="20"/>
          <w:color w:val="auto"/>
        </w:rPr>
      </w:pPr>
    </w:p>
    <w:p>
      <w:pPr>
        <w:ind w:left="880" w:right="4099" w:firstLine="612"/>
        <w:spacing w:after="0" w:line="346" w:lineRule="auto"/>
        <w:rPr>
          <w:sz w:val="20"/>
          <w:szCs w:val="20"/>
          <w:color w:val="auto"/>
        </w:rPr>
      </w:pPr>
      <w:r>
        <w:rPr>
          <w:rFonts w:ascii="Courier New" w:cs="Courier New" w:eastAsia="Courier New" w:hAnsi="Courier New"/>
          <w:sz w:val="14"/>
          <w:szCs w:val="14"/>
          <w:color w:val="auto"/>
        </w:rPr>
        <w:t>CONDENSED CONSOLIDATED STATEMENTS OF OPERATIONS (dollars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NINE MONTHS ENDED</w:t>
            </w:r>
          </w:p>
        </w:tc>
        <w:tc>
          <w:tcPr>
            <w:tcW w:w="4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rPr>
              <w:t>SEPTEMBER 30,</w:t>
            </w:r>
          </w:p>
        </w:tc>
        <w:tc>
          <w:tcPr>
            <w:tcW w:w="400" w:type="dxa"/>
            <w:vAlign w:val="bottom"/>
          </w:tcPr>
          <w:p>
            <w:pPr>
              <w:spacing w:after="0"/>
              <w:rPr>
                <w:sz w:val="14"/>
                <w:szCs w:val="14"/>
                <w:color w:val="auto"/>
              </w:rPr>
            </w:pP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292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22"/>
                <w:szCs w:val="22"/>
                <w:color w:val="auto"/>
              </w:rPr>
            </w:pP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22"/>
                <w:szCs w:val="22"/>
                <w:color w:val="auto"/>
              </w:rPr>
            </w:pPr>
          </w:p>
        </w:tc>
        <w:tc>
          <w:tcPr>
            <w:tcW w:w="12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2004</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95,990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41,545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35,091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$ 16,074</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80" w:type="dxa"/>
            <w:vAlign w:val="bottom"/>
          </w:tcPr>
          <w:p>
            <w:pPr>
              <w:spacing w:after="0"/>
              <w:rPr>
                <w:sz w:val="22"/>
                <w:szCs w:val="22"/>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162,242</w:t>
            </w:r>
          </w:p>
        </w:tc>
        <w:tc>
          <w:tcPr>
            <w:tcW w:w="400" w:type="dxa"/>
            <w:vAlign w:val="bottom"/>
          </w:tcPr>
          <w:p>
            <w:pPr>
              <w:spacing w:after="0"/>
              <w:rPr>
                <w:sz w:val="22"/>
                <w:szCs w:val="22"/>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75,816</w:t>
            </w:r>
          </w:p>
        </w:tc>
        <w:tc>
          <w:tcPr>
            <w:tcW w:w="400" w:type="dxa"/>
            <w:vAlign w:val="bottom"/>
          </w:tcPr>
          <w:p>
            <w:pPr>
              <w:spacing w:after="0"/>
              <w:rPr>
                <w:sz w:val="22"/>
                <w:szCs w:val="22"/>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57,843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38,548</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GROSS LOSS</w:t>
            </w:r>
          </w:p>
        </w:tc>
        <w:tc>
          <w:tcPr>
            <w:tcW w:w="480" w:type="dxa"/>
            <w:vAlign w:val="bottom"/>
          </w:tcPr>
          <w:p>
            <w:pPr>
              <w:spacing w:after="0"/>
              <w:rPr>
                <w:sz w:val="22"/>
                <w:szCs w:val="22"/>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(66,252)</w:t>
            </w:r>
          </w:p>
        </w:tc>
        <w:tc>
          <w:tcPr>
            <w:tcW w:w="400" w:type="dxa"/>
            <w:vAlign w:val="bottom"/>
          </w:tcPr>
          <w:p>
            <w:pPr>
              <w:spacing w:after="0"/>
              <w:rPr>
                <w:sz w:val="22"/>
                <w:szCs w:val="22"/>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(34,271)</w:t>
            </w:r>
          </w:p>
        </w:tc>
        <w:tc>
          <w:tcPr>
            <w:tcW w:w="400" w:type="dxa"/>
            <w:vAlign w:val="bottom"/>
          </w:tcPr>
          <w:p>
            <w:pPr>
              <w:spacing w:after="0"/>
              <w:rPr>
                <w:sz w:val="22"/>
                <w:szCs w:val="22"/>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(22,752)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(22,474)</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ind w:left="620"/>
              <w:spacing w:after="0"/>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22"/>
                <w:szCs w:val="22"/>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11,208</w:t>
            </w:r>
          </w:p>
        </w:tc>
        <w:tc>
          <w:tcPr>
            <w:tcW w:w="400" w:type="dxa"/>
            <w:vAlign w:val="bottom"/>
          </w:tcPr>
          <w:p>
            <w:pPr>
              <w:spacing w:after="0"/>
              <w:rPr>
                <w:sz w:val="22"/>
                <w:szCs w:val="22"/>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12,551</w:t>
            </w:r>
          </w:p>
        </w:tc>
        <w:tc>
          <w:tcPr>
            <w:tcW w:w="400" w:type="dxa"/>
            <w:vAlign w:val="bottom"/>
          </w:tcPr>
          <w:p>
            <w:pPr>
              <w:spacing w:after="0"/>
              <w:rPr>
                <w:sz w:val="22"/>
                <w:szCs w:val="22"/>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3,952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3,895</w:t>
            </w:r>
          </w:p>
        </w:tc>
        <w:tc>
          <w:tcPr>
            <w:tcW w:w="0" w:type="dxa"/>
            <w:vAlign w:val="bottom"/>
          </w:tcPr>
          <w:p>
            <w:pPr>
              <w:spacing w:after="0"/>
              <w:rPr>
                <w:sz w:val="1"/>
                <w:szCs w:val="1"/>
                <w:color w:val="auto"/>
              </w:rPr>
            </w:pPr>
          </w:p>
        </w:tc>
      </w:tr>
      <w:tr>
        <w:trPr>
          <w:trHeight w:val="168"/>
        </w:trPr>
        <w:tc>
          <w:tcPr>
            <w:tcW w:w="4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16,176</w:t>
            </w:r>
          </w:p>
        </w:tc>
        <w:tc>
          <w:tcPr>
            <w:tcW w:w="40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17,064</w:t>
            </w:r>
          </w:p>
        </w:tc>
        <w:tc>
          <w:tcPr>
            <w:tcW w:w="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5,155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6,300</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27,384</w:t>
            </w:r>
          </w:p>
        </w:tc>
        <w:tc>
          <w:tcPr>
            <w:tcW w:w="400" w:type="dxa"/>
            <w:vAlign w:val="bottom"/>
          </w:tcPr>
          <w:p>
            <w:pPr>
              <w:spacing w:after="0"/>
              <w:rPr>
                <w:sz w:val="22"/>
                <w:szCs w:val="22"/>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29,615</w:t>
            </w:r>
          </w:p>
        </w:tc>
        <w:tc>
          <w:tcPr>
            <w:tcW w:w="400" w:type="dxa"/>
            <w:vAlign w:val="bottom"/>
          </w:tcPr>
          <w:p>
            <w:pPr>
              <w:spacing w:after="0"/>
              <w:rPr>
                <w:sz w:val="22"/>
                <w:szCs w:val="22"/>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9,107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10,195</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36"/>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OPERATING LOSS</w:t>
            </w:r>
          </w:p>
        </w:tc>
        <w:tc>
          <w:tcPr>
            <w:tcW w:w="48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(93,636)</w:t>
            </w:r>
          </w:p>
        </w:tc>
        <w:tc>
          <w:tcPr>
            <w:tcW w:w="40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(63,886)</w:t>
            </w:r>
          </w:p>
        </w:tc>
        <w:tc>
          <w:tcPr>
            <w:tcW w:w="400" w:type="dxa"/>
            <w:vAlign w:val="bottom"/>
          </w:tcPr>
          <w:p>
            <w:pPr>
              <w:spacing w:after="0"/>
              <w:rPr>
                <w:sz w:val="24"/>
                <w:szCs w:val="2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(31,859)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(32,669)</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48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(20,907)</w:t>
            </w:r>
          </w:p>
        </w:tc>
        <w:tc>
          <w:tcPr>
            <w:tcW w:w="40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(4,293)</w:t>
            </w:r>
          </w:p>
        </w:tc>
        <w:tc>
          <w:tcPr>
            <w:tcW w:w="400" w:type="dxa"/>
            <w:vAlign w:val="bottom"/>
          </w:tcPr>
          <w:p>
            <w:pPr>
              <w:spacing w:after="0"/>
              <w:rPr>
                <w:sz w:val="24"/>
                <w:szCs w:val="2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(7,567)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(4,264)</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480" w:type="dxa"/>
            <w:vAlign w:val="bottom"/>
          </w:tcPr>
          <w:p>
            <w:pPr>
              <w:spacing w:after="0"/>
              <w:rPr>
                <w:sz w:val="22"/>
                <w:szCs w:val="22"/>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108</w:t>
            </w:r>
          </w:p>
        </w:tc>
        <w:tc>
          <w:tcPr>
            <w:tcW w:w="400" w:type="dxa"/>
            <w:vAlign w:val="bottom"/>
          </w:tcPr>
          <w:p>
            <w:pPr>
              <w:spacing w:after="0"/>
              <w:rPr>
                <w:sz w:val="22"/>
                <w:szCs w:val="22"/>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w:t>
            </w:r>
          </w:p>
        </w:tc>
        <w:tc>
          <w:tcPr>
            <w:tcW w:w="400" w:type="dxa"/>
            <w:vAlign w:val="bottom"/>
          </w:tcPr>
          <w:p>
            <w:pPr>
              <w:spacing w:after="0"/>
              <w:rPr>
                <w:sz w:val="22"/>
                <w:szCs w:val="22"/>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520" w:type="dxa"/>
            <w:vAlign w:val="bottom"/>
          </w:tcPr>
          <w:p>
            <w:pPr>
              <w:ind w:left="1580"/>
              <w:spacing w:after="0"/>
              <w:rPr>
                <w:sz w:val="20"/>
                <w:szCs w:val="20"/>
                <w:color w:val="auto"/>
              </w:rPr>
            </w:pPr>
            <w:r>
              <w:rPr>
                <w:rFonts w:ascii="Courier New" w:cs="Courier New" w:eastAsia="Courier New" w:hAnsi="Courier New"/>
                <w:sz w:val="15"/>
                <w:szCs w:val="15"/>
                <w:color w:val="auto"/>
              </w:rPr>
              <w:t>LOSS FOR THE PERIOD</w:t>
            </w:r>
          </w:p>
        </w:tc>
        <w:tc>
          <w:tcPr>
            <w:tcW w:w="15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(114,435)</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(68,266)</w:t>
            </w: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(39,412)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$(37,086)</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8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ind w:left="620"/>
              <w:spacing w:after="0"/>
              <w:rPr>
                <w:sz w:val="20"/>
                <w:szCs w:val="20"/>
                <w:color w:val="auto"/>
              </w:rPr>
            </w:pPr>
            <w:r>
              <w:rPr>
                <w:rFonts w:ascii="Courier New" w:cs="Courier New" w:eastAsia="Courier New" w:hAnsi="Courier New"/>
                <w:sz w:val="15"/>
                <w:szCs w:val="15"/>
                <w:color w:val="auto"/>
              </w:rPr>
              <w:t>LOSS PER SHARE (*)</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(0.77)</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520" w:type="dxa"/>
            <w:vAlign w:val="bottom"/>
          </w:tcPr>
          <w:p>
            <w:pPr>
              <w:ind w:left="620"/>
              <w:spacing w:after="0"/>
              <w:rPr>
                <w:sz w:val="20"/>
                <w:szCs w:val="20"/>
                <w:color w:val="auto"/>
              </w:rPr>
            </w:pPr>
            <w:r>
              <w:rPr>
                <w:rFonts w:ascii="Courier New" w:cs="Courier New" w:eastAsia="Courier New" w:hAnsi="Courier New"/>
                <w:sz w:val="15"/>
                <w:szCs w:val="15"/>
                <w:color w:val="auto"/>
              </w:rPr>
              <w:t>WEIGHTED AVERAGE NUMBER OF ORDINARY</w:t>
            </w:r>
          </w:p>
        </w:tc>
        <w:tc>
          <w:tcPr>
            <w:tcW w:w="480" w:type="dxa"/>
            <w:vAlign w:val="bottom"/>
          </w:tcPr>
          <w:p>
            <w:pPr>
              <w:spacing w:after="0"/>
              <w:rPr>
                <w:sz w:val="22"/>
                <w:szCs w:val="22"/>
                <w:color w:val="auto"/>
              </w:rPr>
            </w:pP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64,392</w:t>
            </w:r>
          </w:p>
        </w:tc>
        <w:tc>
          <w:tcPr>
            <w:tcW w:w="400" w:type="dxa"/>
            <w:vAlign w:val="bottom"/>
          </w:tcPr>
          <w:p>
            <w:pPr>
              <w:spacing w:after="0"/>
              <w:rPr>
                <w:sz w:val="22"/>
                <w:szCs w:val="22"/>
                <w:color w:val="auto"/>
              </w:rPr>
            </w:pPr>
          </w:p>
        </w:tc>
        <w:tc>
          <w:tcPr>
            <w:tcW w:w="10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45,788</w:t>
            </w:r>
          </w:p>
        </w:tc>
        <w:tc>
          <w:tcPr>
            <w:tcW w:w="400" w:type="dxa"/>
            <w:vAlign w:val="bottom"/>
          </w:tcPr>
          <w:p>
            <w:pPr>
              <w:spacing w:after="0"/>
              <w:rPr>
                <w:sz w:val="22"/>
                <w:szCs w:val="22"/>
                <w:color w:val="auto"/>
              </w:rPr>
            </w:pPr>
          </w:p>
        </w:tc>
        <w:tc>
          <w:tcPr>
            <w:tcW w:w="12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65,625</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48,360</w:t>
            </w:r>
          </w:p>
        </w:tc>
        <w:tc>
          <w:tcPr>
            <w:tcW w:w="0" w:type="dxa"/>
            <w:vAlign w:val="bottom"/>
          </w:tcPr>
          <w:p>
            <w:pPr>
              <w:spacing w:after="0"/>
              <w:rPr>
                <w:sz w:val="1"/>
                <w:szCs w:val="1"/>
                <w:color w:val="auto"/>
              </w:rPr>
            </w:pPr>
          </w:p>
        </w:tc>
      </w:tr>
      <w:tr>
        <w:trPr>
          <w:trHeight w:val="168"/>
        </w:trPr>
        <w:tc>
          <w:tcPr>
            <w:tcW w:w="4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SHARES OUTSTANDING - IN THOUSANDS (**)</w:t>
            </w:r>
          </w:p>
        </w:tc>
        <w:tc>
          <w:tcPr>
            <w:tcW w:w="4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40" w:right="3319" w:hanging="430"/>
        <w:spacing w:after="0" w:line="290"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share data in accordance with U.S. GAAP are the same as the Isr. GAAP data for the nine and three months periods ended September 30, 2004 and 2003</w:t>
      </w:r>
    </w:p>
    <w:p>
      <w:pPr>
        <w:spacing w:after="0" w:line="57" w:lineRule="exact"/>
        <w:rPr>
          <w:sz w:val="20"/>
          <w:szCs w:val="20"/>
          <w:color w:val="auto"/>
        </w:rPr>
      </w:pPr>
    </w:p>
    <w:p>
      <w:pPr>
        <w:ind w:left="440" w:right="3399" w:hanging="430"/>
        <w:spacing w:after="0" w:line="26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number of ordinary shares outstanding in accordance with U.S. GAAP would be 64,280 thousands and 65,625 thousands for the nine and three months ended September 30, 2004 [45,788 thousands and 48,360 thousands in the nine and three months ended September 30, 2003, respectively].</w:t>
      </w:r>
    </w:p>
    <w:p>
      <w:pPr>
        <w:sectPr>
          <w:pgSz w:w="11900" w:h="16838" w:orient="portrait"/>
          <w:cols w:equalWidth="0" w:num="1">
            <w:col w:w="10239"/>
          </w:cols>
          <w:pgMar w:left="220" w:top="598" w:right="1440" w:bottom="1440" w:gutter="0" w:footer="0" w:header="0"/>
        </w:sectPr>
      </w:pPr>
    </w:p>
    <w:bookmarkStart w:id="8" w:name="page9"/>
    <w:bookmarkEnd w:id="8"/>
    <w:p>
      <w:pPr>
        <w:jc w:val="right"/>
        <w:ind w:right="3239"/>
        <w:spacing w:after="0"/>
        <w:rPr>
          <w:sz w:val="20"/>
          <w:szCs w:val="20"/>
          <w:color w:val="auto"/>
        </w:rPr>
      </w:pPr>
      <w:r>
        <w:rPr>
          <w:rFonts w:ascii="Courier New" w:cs="Courier New" w:eastAsia="Courier New" w:hAnsi="Courier New"/>
          <w:sz w:val="15"/>
          <w:szCs w:val="15"/>
          <w:color w:val="auto"/>
        </w:rPr>
        <w:t>Exhibit 99.3</w:t>
      </w:r>
    </w:p>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UNAUDITED CONDENSED INTERIM</w:t>
      </w:r>
    </w:p>
    <w:p>
      <w:pPr>
        <w:ind w:left="88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ind w:left="1240"/>
        <w:spacing w:after="0"/>
        <w:rPr>
          <w:sz w:val="20"/>
          <w:szCs w:val="20"/>
          <w:color w:val="auto"/>
        </w:rPr>
      </w:pPr>
      <w:r>
        <w:rPr>
          <w:rFonts w:ascii="Courier New" w:cs="Courier New" w:eastAsia="Courier New" w:hAnsi="Courier New"/>
          <w:sz w:val="15"/>
          <w:szCs w:val="15"/>
          <w:color w:val="auto"/>
        </w:rPr>
        <w:t>AS OF SEPTEMBER 30, 2004</w:t>
      </w:r>
    </w:p>
    <w:p>
      <w:pPr>
        <w:sectPr>
          <w:pgSz w:w="11900" w:h="16838" w:orient="portrait"/>
          <w:cols w:equalWidth="0" w:num="1">
            <w:col w:w="9019"/>
          </w:cols>
          <w:pgMar w:left="1440" w:top="766" w:right="1440" w:bottom="1440" w:gutter="0" w:footer="0" w:header="0"/>
        </w:sectPr>
      </w:pPr>
    </w:p>
    <w:bookmarkStart w:id="9" w:name="page10"/>
    <w:bookmarkEnd w:id="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INDEX TO UNAUDITED CONDENSED INTERIM</w:t>
      </w:r>
    </w:p>
    <w:p>
      <w:pPr>
        <w:spacing w:after="0" w:line="2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FINANCIAL STATEMENTS</w:t>
      </w:r>
    </w:p>
    <w:p>
      <w:pPr>
        <w:ind w:left="2460"/>
        <w:spacing w:after="0"/>
        <w:rPr>
          <w:sz w:val="20"/>
          <w:szCs w:val="20"/>
          <w:color w:val="auto"/>
        </w:rPr>
      </w:pPr>
      <w:r>
        <w:rPr>
          <w:rFonts w:ascii="Courier New" w:cs="Courier New" w:eastAsia="Courier New" w:hAnsi="Courier New"/>
          <w:sz w:val="15"/>
          <w:szCs w:val="15"/>
          <w:color w:val="auto"/>
        </w:rPr>
        <w:t>AS OF SEPTEMBER 30,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245"/>
        </w:trPr>
        <w:tc>
          <w:tcPr>
            <w:tcW w:w="4560" w:type="dxa"/>
            <w:vAlign w:val="bottom"/>
          </w:tcPr>
          <w:p>
            <w:pPr>
              <w:spacing w:after="0"/>
              <w:rPr>
                <w:sz w:val="21"/>
                <w:szCs w:val="21"/>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ACCOUNTANTS' REVIEW REPORT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r>
    </w:tbl>
    <w:p>
      <w:pPr>
        <w:sectPr>
          <w:pgSz w:w="11900" w:h="16838" w:orient="portrait"/>
          <w:cols w:equalWidth="0" w:num="1">
            <w:col w:w="10239"/>
          </w:cols>
          <w:pgMar w:left="220" w:top="110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DELOITTE.</w:t>
      </w:r>
    </w:p>
    <w:p>
      <w:pPr>
        <w:spacing w:after="0" w:line="2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Brightman Almagor</w:t>
      </w:r>
    </w:p>
    <w:p>
      <w:pPr>
        <w:ind w:left="4480"/>
        <w:spacing w:after="0" w:line="237" w:lineRule="auto"/>
        <w:rPr>
          <w:sz w:val="20"/>
          <w:szCs w:val="20"/>
          <w:color w:val="auto"/>
        </w:rPr>
      </w:pPr>
      <w:r>
        <w:rPr>
          <w:rFonts w:ascii="Courier New" w:cs="Courier New" w:eastAsia="Courier New" w:hAnsi="Courier New"/>
          <w:sz w:val="15"/>
          <w:szCs w:val="15"/>
          <w:color w:val="auto"/>
        </w:rPr>
        <w:t>1 Azrieli Center</w:t>
      </w:r>
    </w:p>
    <w:p>
      <w:pPr>
        <w:ind w:left="4480"/>
        <w:spacing w:after="0" w:line="238" w:lineRule="auto"/>
        <w:rPr>
          <w:sz w:val="20"/>
          <w:szCs w:val="20"/>
          <w:color w:val="auto"/>
        </w:rPr>
      </w:pPr>
      <w:r>
        <w:rPr>
          <w:rFonts w:ascii="Courier New" w:cs="Courier New" w:eastAsia="Courier New" w:hAnsi="Courier New"/>
          <w:sz w:val="15"/>
          <w:szCs w:val="15"/>
          <w:color w:val="auto"/>
        </w:rPr>
        <w:t>Tel Aviv 67021</w:t>
      </w:r>
    </w:p>
    <w:p>
      <w:pPr>
        <w:ind w:left="4480"/>
        <w:spacing w:after="0" w:line="237" w:lineRule="auto"/>
        <w:rPr>
          <w:sz w:val="20"/>
          <w:szCs w:val="20"/>
          <w:color w:val="auto"/>
        </w:rPr>
      </w:pPr>
      <w:r>
        <w:rPr>
          <w:rFonts w:ascii="Courier New" w:cs="Courier New" w:eastAsia="Courier New" w:hAnsi="Courier New"/>
          <w:sz w:val="15"/>
          <w:szCs w:val="15"/>
          <w:color w:val="auto"/>
        </w:rPr>
        <w:t>P.O.B. 16593, Tel Aviv 61164</w:t>
      </w:r>
    </w:p>
    <w:p>
      <w:pPr>
        <w:spacing w:after="0" w:line="1"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Israel</w:t>
      </w:r>
    </w:p>
    <w:p>
      <w:pPr>
        <w:spacing w:after="0" w:line="140"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Tel: +972 (3) 608 5555</w:t>
      </w:r>
    </w:p>
    <w:p>
      <w:pPr>
        <w:spacing w:after="0" w:line="2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Fax: +972 (3) 609 4022</w:t>
      </w:r>
    </w:p>
    <w:p>
      <w:pPr>
        <w:ind w:left="4480"/>
        <w:spacing w:after="0" w:line="237" w:lineRule="auto"/>
        <w:rPr>
          <w:sz w:val="20"/>
          <w:szCs w:val="20"/>
          <w:color w:val="auto"/>
        </w:rPr>
      </w:pPr>
      <w:r>
        <w:rPr>
          <w:rFonts w:ascii="Courier New" w:cs="Courier New" w:eastAsia="Courier New" w:hAnsi="Courier New"/>
          <w:sz w:val="15"/>
          <w:szCs w:val="15"/>
          <w:color w:val="auto"/>
        </w:rPr>
        <w:t>info@deloitte.co.il</w:t>
      </w:r>
    </w:p>
    <w:p>
      <w:pPr>
        <w:ind w:left="4480"/>
        <w:spacing w:after="0"/>
        <w:rPr>
          <w:sz w:val="20"/>
          <w:szCs w:val="20"/>
          <w:color w:val="auto"/>
        </w:rPr>
      </w:pPr>
      <w:r>
        <w:rPr>
          <w:rFonts w:ascii="Courier New" w:cs="Courier New" w:eastAsia="Courier New" w:hAnsi="Courier New"/>
          <w:sz w:val="15"/>
          <w:szCs w:val="15"/>
          <w:color w:val="auto"/>
        </w:rPr>
        <w:t>www.deloitte.com</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Semiconductor Ltd.</w:t>
      </w:r>
    </w:p>
    <w:p>
      <w:pPr>
        <w:spacing w:after="0"/>
        <w:rPr>
          <w:sz w:val="20"/>
          <w:szCs w:val="20"/>
          <w:color w:val="auto"/>
        </w:rPr>
      </w:pPr>
      <w:r>
        <w:rPr>
          <w:rFonts w:ascii="Courier New" w:cs="Courier New" w:eastAsia="Courier New" w:hAnsi="Courier New"/>
          <w:sz w:val="15"/>
          <w:szCs w:val="15"/>
          <w:color w:val="auto"/>
        </w:rPr>
        <w:t>MIGDAL HA'EMEK</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66" w:lineRule="exact"/>
        <w:rPr>
          <w:sz w:val="20"/>
          <w:szCs w:val="20"/>
          <w:color w:val="auto"/>
        </w:rPr>
      </w:pPr>
    </w:p>
    <w:p>
      <w:pPr>
        <w:ind w:left="1320"/>
        <w:spacing w:after="0"/>
        <w:tabs>
          <w:tab w:leader="none" w:pos="1740" w:val="left"/>
        </w:tabs>
        <w:rPr>
          <w:sz w:val="20"/>
          <w:szCs w:val="20"/>
          <w:color w:val="auto"/>
        </w:rPr>
      </w:pPr>
      <w:r>
        <w:rPr>
          <w:rFonts w:ascii="Courier New" w:cs="Courier New" w:eastAsia="Courier New" w:hAnsi="Courier New"/>
          <w:sz w:val="15"/>
          <w:szCs w:val="15"/>
          <w:color w:val="auto"/>
        </w:rPr>
        <w:t>Re:</w:t>
        <w:tab/>
        <w:t>REVIEW OF UNAUDITED CONDENSED INTERIM</w:t>
      </w:r>
    </w:p>
    <w:p>
      <w:pPr>
        <w:spacing w:after="0" w:line="2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CONSOLIDATED FINANCIAL STATEMENTS AS OF SEPTEMBER 30, 2004</w:t>
      </w:r>
    </w:p>
    <w:p>
      <w:pPr>
        <w:spacing w:after="0" w:line="140" w:lineRule="exact"/>
        <w:rPr>
          <w:sz w:val="20"/>
          <w:szCs w:val="20"/>
          <w:color w:val="auto"/>
        </w:rPr>
      </w:pPr>
    </w:p>
    <w:p>
      <w:pPr>
        <w:jc w:val="both"/>
        <w:ind w:right="3399"/>
        <w:spacing w:after="0" w:line="290" w:lineRule="auto"/>
        <w:rPr>
          <w:sz w:val="20"/>
          <w:szCs w:val="20"/>
          <w:color w:val="auto"/>
        </w:rPr>
      </w:pPr>
      <w:r>
        <w:rPr>
          <w:rFonts w:ascii="Courier New" w:cs="Courier New" w:eastAsia="Courier New" w:hAnsi="Courier New"/>
          <w:sz w:val="15"/>
          <w:szCs w:val="15"/>
          <w:color w:val="auto"/>
        </w:rPr>
        <w:t>At your request, we have reviewed the condensed interim consolidated financial statements ("interim financial statements") of Tower Semiconductor Ltd. ("the Company") and its subsidiary, as follows:</w:t>
      </w:r>
    </w:p>
    <w:p>
      <w:pPr>
        <w:spacing w:after="0" w:line="57"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Balance sheet as of September 30, 2004.</w:t>
      </w:r>
    </w:p>
    <w:p>
      <w:pPr>
        <w:spacing w:after="0" w:line="166" w:lineRule="exact"/>
        <w:rPr>
          <w:rFonts w:ascii="Courier New" w:cs="Courier New" w:eastAsia="Courier New" w:hAnsi="Courier New"/>
          <w:sz w:val="15"/>
          <w:szCs w:val="15"/>
          <w:color w:val="auto"/>
        </w:rPr>
      </w:pPr>
    </w:p>
    <w:p>
      <w:pPr>
        <w:ind w:left="440" w:right="3759" w:hanging="430"/>
        <w:spacing w:after="0" w:line="344" w:lineRule="auto"/>
        <w:tabs>
          <w:tab w:leader="none" w:pos="17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for the nine months and three months ended September 30, 2004.</w:t>
      </w:r>
    </w:p>
    <w:p>
      <w:pPr>
        <w:spacing w:after="0" w:line="17" w:lineRule="exact"/>
        <w:rPr>
          <w:rFonts w:ascii="Courier New" w:cs="Courier New" w:eastAsia="Courier New" w:hAnsi="Courier New"/>
          <w:sz w:val="15"/>
          <w:szCs w:val="15"/>
          <w:color w:val="auto"/>
        </w:rPr>
      </w:pPr>
    </w:p>
    <w:p>
      <w:pPr>
        <w:ind w:left="440" w:right="3059" w:hanging="430"/>
        <w:spacing w:after="0" w:line="344" w:lineRule="auto"/>
        <w:tabs>
          <w:tab w:leader="none" w:pos="17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changes in shareholders' equity for the nine months and three months ended September 30, 2004.</w:t>
      </w:r>
    </w:p>
    <w:p>
      <w:pPr>
        <w:spacing w:after="0" w:line="17" w:lineRule="exact"/>
        <w:rPr>
          <w:rFonts w:ascii="Courier New" w:cs="Courier New" w:eastAsia="Courier New" w:hAnsi="Courier New"/>
          <w:sz w:val="15"/>
          <w:szCs w:val="15"/>
          <w:color w:val="auto"/>
        </w:rPr>
      </w:pPr>
    </w:p>
    <w:p>
      <w:pPr>
        <w:ind w:left="440" w:right="3759" w:hanging="430"/>
        <w:spacing w:after="0" w:line="344" w:lineRule="auto"/>
        <w:tabs>
          <w:tab w:leader="none" w:pos="17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 for the nine months and three months ended September 30, 2004.</w:t>
      </w:r>
    </w:p>
    <w:p>
      <w:pPr>
        <w:spacing w:after="0" w:line="17"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81" w:lineRule="exact"/>
        <w:rPr>
          <w:sz w:val="20"/>
          <w:szCs w:val="20"/>
          <w:color w:val="auto"/>
        </w:rPr>
      </w:pPr>
    </w:p>
    <w:p>
      <w:pPr>
        <w:ind w:right="3319"/>
        <w:spacing w:after="0" w:line="320" w:lineRule="auto"/>
        <w:rPr>
          <w:sz w:val="20"/>
          <w:szCs w:val="20"/>
          <w:color w:val="auto"/>
        </w:rPr>
      </w:pPr>
      <w:r>
        <w:rPr>
          <w:rFonts w:ascii="Courier New" w:cs="Courier New" w:eastAsia="Courier New" w:hAnsi="Courier New"/>
          <w:sz w:val="14"/>
          <w:szCs w:val="14"/>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38"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68"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 and for the periods presented is summarized in Note 5.</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Respectfully submitted,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Certified Public Accountants</w:t>
      </w:r>
    </w:p>
    <w:p>
      <w:pPr>
        <w:spacing w:after="0"/>
        <w:rPr>
          <w:sz w:val="20"/>
          <w:szCs w:val="20"/>
          <w:color w:val="auto"/>
        </w:rPr>
      </w:pPr>
      <w:r>
        <w:rPr>
          <w:rFonts w:ascii="Courier New" w:cs="Courier New" w:eastAsia="Courier New" w:hAnsi="Courier New"/>
          <w:sz w:val="15"/>
          <w:szCs w:val="15"/>
          <w:color w:val="auto"/>
        </w:rPr>
        <w:t>A Member Firm of Deloitte Touche Tohmatsu</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21, 2004</w:t>
      </w:r>
    </w:p>
    <w:p>
      <w:pPr>
        <w:sectPr>
          <w:pgSz w:w="11900" w:h="16838" w:orient="portrait"/>
          <w:cols w:equalWidth="0" w:num="1">
            <w:col w:w="10239"/>
          </w:cols>
          <w:pgMar w:left="220" w:top="766" w:right="1440" w:bottom="1440" w:gutter="0" w:footer="0" w:header="0"/>
        </w:sectPr>
      </w:pPr>
    </w:p>
    <w:bookmarkStart w:id="11" w:name="page12"/>
    <w:bookmarkEnd w:id="11"/>
    <w:p>
      <w:pPr>
        <w:jc w:val="center"/>
        <w:ind w:right="32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245"/>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8"/>
        </w:trPr>
        <w:tc>
          <w:tcPr>
            <w:tcW w:w="6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AS OF SEPTEMBER 30,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6960" w:type="dxa"/>
            <w:vAlign w:val="bottom"/>
          </w:tcPr>
          <w:p>
            <w:pPr>
              <w:spacing w:after="0"/>
              <w:rPr>
                <w:sz w:val="14"/>
                <w:szCs w:val="14"/>
                <w:color w:val="auto"/>
              </w:rPr>
            </w:pPr>
          </w:p>
        </w:tc>
        <w:tc>
          <w:tcPr>
            <w:tcW w:w="22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68"/>
        </w:trPr>
        <w:tc>
          <w:tcPr>
            <w:tcW w:w="69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960" w:type="dxa"/>
            <w:vAlign w:val="bottom"/>
          </w:tcPr>
          <w:p>
            <w:pPr>
              <w:spacing w:after="0"/>
              <w:rPr>
                <w:sz w:val="21"/>
                <w:szCs w:val="21"/>
                <w:color w:val="auto"/>
              </w:rPr>
            </w:pPr>
          </w:p>
        </w:tc>
        <w:tc>
          <w:tcPr>
            <w:tcW w:w="22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21,877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4,218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12,448</w:t>
            </w: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DESIGNATED CASH AND SHORT-TERM INTEREST-BEARING DEPOSITS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36,576</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44,042</w:t>
            </w: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TRADE ACCOUNTS RECEIVABLE (NET OF ALLOWANCE FOR</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25,961</w:t>
            </w:r>
          </w:p>
        </w:tc>
        <w:tc>
          <w:tcPr>
            <w:tcW w:w="2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9,302</w:t>
            </w:r>
          </w:p>
        </w:tc>
        <w:tc>
          <w:tcPr>
            <w:tcW w:w="2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11,631</w:t>
            </w:r>
          </w:p>
        </w:tc>
        <w:tc>
          <w:tcPr>
            <w:tcW w:w="0" w:type="dxa"/>
            <w:vAlign w:val="bottom"/>
          </w:tcPr>
          <w:p>
            <w:pPr>
              <w:spacing w:after="0"/>
              <w:rPr>
                <w:sz w:val="1"/>
                <w:szCs w:val="1"/>
                <w:color w:val="auto"/>
              </w:rPr>
            </w:pPr>
          </w:p>
        </w:tc>
      </w:tr>
      <w:tr>
        <w:trPr>
          <w:trHeight w:val="168"/>
        </w:trPr>
        <w:tc>
          <w:tcPr>
            <w:tcW w:w="69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DOUBTFUL ACCOUNTS OF $0, $110 AND $0, RESPECTIVELY)</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18,385</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14,564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11,073</w:t>
            </w: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30,371</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17,058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19,382</w:t>
            </w: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1,243</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1,729</w:t>
            </w:r>
          </w:p>
        </w:tc>
        <w:tc>
          <w:tcPr>
            <w:tcW w:w="0" w:type="dxa"/>
            <w:vAlign w:val="bottom"/>
          </w:tcPr>
          <w:p>
            <w:pPr>
              <w:spacing w:after="0"/>
              <w:rPr>
                <w:sz w:val="1"/>
                <w:szCs w:val="1"/>
                <w:color w:val="auto"/>
              </w:rPr>
            </w:pPr>
          </w:p>
        </w:tc>
      </w:tr>
      <w:tr>
        <w:trPr>
          <w:trHeight w:val="168"/>
        </w:trPr>
        <w:tc>
          <w:tcPr>
            <w:tcW w:w="696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TOTAL CURRENT ASSETS</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134,413</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50,982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100,305</w:t>
            </w:r>
          </w:p>
        </w:tc>
        <w:tc>
          <w:tcPr>
            <w:tcW w:w="0" w:type="dxa"/>
            <w:vAlign w:val="bottom"/>
          </w:tcPr>
          <w:p>
            <w:pPr>
              <w:spacing w:after="0"/>
              <w:rPr>
                <w:sz w:val="1"/>
                <w:szCs w:val="1"/>
                <w:color w:val="auto"/>
              </w:rPr>
            </w:pPr>
          </w:p>
        </w:tc>
      </w:tr>
      <w:tr>
        <w:trPr>
          <w:trHeight w:val="245"/>
        </w:trPr>
        <w:tc>
          <w:tcPr>
            <w:tcW w:w="696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LONG-TERM INVESTMENTS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9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4,934</w:t>
            </w:r>
          </w:p>
        </w:tc>
        <w:tc>
          <w:tcPr>
            <w:tcW w:w="2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11,945</w:t>
            </w:r>
          </w:p>
        </w:tc>
        <w:tc>
          <w:tcPr>
            <w:tcW w:w="2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4,848</w:t>
            </w:r>
          </w:p>
        </w:tc>
        <w:tc>
          <w:tcPr>
            <w:tcW w:w="0" w:type="dxa"/>
            <w:vAlign w:val="bottom"/>
          </w:tcPr>
          <w:p>
            <w:pPr>
              <w:spacing w:after="0"/>
              <w:rPr>
                <w:sz w:val="1"/>
                <w:szCs w:val="1"/>
                <w:color w:val="auto"/>
              </w:rPr>
            </w:pPr>
          </w:p>
        </w:tc>
      </w:tr>
      <w:tr>
        <w:trPr>
          <w:trHeight w:val="168"/>
        </w:trPr>
        <w:tc>
          <w:tcPr>
            <w:tcW w:w="69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w:t>
            </w:r>
          </w:p>
        </w:tc>
        <w:tc>
          <w:tcPr>
            <w:tcW w:w="0" w:type="dxa"/>
            <w:vAlign w:val="bottom"/>
          </w:tcPr>
          <w:p>
            <w:pPr>
              <w:spacing w:after="0"/>
              <w:rPr>
                <w:sz w:val="1"/>
                <w:szCs w:val="1"/>
                <w:color w:val="auto"/>
              </w:rPr>
            </w:pPr>
          </w:p>
        </w:tc>
      </w:tr>
      <w:tr>
        <w:trPr>
          <w:trHeight w:val="168"/>
        </w:trPr>
        <w:tc>
          <w:tcPr>
            <w:tcW w:w="69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10,934</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17,945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10,848</w:t>
            </w:r>
          </w:p>
        </w:tc>
        <w:tc>
          <w:tcPr>
            <w:tcW w:w="0" w:type="dxa"/>
            <w:vAlign w:val="bottom"/>
          </w:tcPr>
          <w:p>
            <w:pPr>
              <w:spacing w:after="0"/>
              <w:rPr>
                <w:sz w:val="1"/>
                <w:szCs w:val="1"/>
                <w:color w:val="auto"/>
              </w:rPr>
            </w:pPr>
          </w:p>
        </w:tc>
      </w:tr>
      <w:tr>
        <w:trPr>
          <w:trHeight w:val="245"/>
        </w:trPr>
        <w:tc>
          <w:tcPr>
            <w:tcW w:w="696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613,561</w:t>
            </w:r>
          </w:p>
        </w:tc>
        <w:tc>
          <w:tcPr>
            <w:tcW w:w="220" w:type="dxa"/>
            <w:vAlign w:val="bottom"/>
          </w:tcPr>
          <w:p>
            <w:pPr>
              <w:spacing w:after="0"/>
              <w:rPr>
                <w:sz w:val="22"/>
                <w:szCs w:val="22"/>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576,425</w:t>
            </w:r>
          </w:p>
        </w:tc>
        <w:tc>
          <w:tcPr>
            <w:tcW w:w="260" w:type="dxa"/>
            <w:vAlign w:val="bottom"/>
          </w:tcPr>
          <w:p>
            <w:pPr>
              <w:spacing w:after="0"/>
              <w:rPr>
                <w:sz w:val="22"/>
                <w:szCs w:val="22"/>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568,412</w:t>
            </w:r>
          </w:p>
        </w:tc>
        <w:tc>
          <w:tcPr>
            <w:tcW w:w="0" w:type="dxa"/>
            <w:vAlign w:val="bottom"/>
          </w:tcPr>
          <w:p>
            <w:pPr>
              <w:spacing w:after="0"/>
              <w:rPr>
                <w:sz w:val="1"/>
                <w:szCs w:val="1"/>
                <w:color w:val="auto"/>
              </w:rPr>
            </w:pPr>
          </w:p>
        </w:tc>
      </w:tr>
      <w:tr>
        <w:trPr>
          <w:trHeight w:val="245"/>
        </w:trPr>
        <w:tc>
          <w:tcPr>
            <w:tcW w:w="696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OTHER ASSETS, NET</w:t>
            </w:r>
          </w:p>
        </w:tc>
        <w:tc>
          <w:tcPr>
            <w:tcW w:w="2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97,961</w:t>
            </w:r>
          </w:p>
        </w:tc>
        <w:tc>
          <w:tcPr>
            <w:tcW w:w="220" w:type="dxa"/>
            <w:vAlign w:val="bottom"/>
          </w:tcPr>
          <w:p>
            <w:pPr>
              <w:spacing w:after="0"/>
              <w:rPr>
                <w:sz w:val="22"/>
                <w:szCs w:val="22"/>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105,260</w:t>
            </w:r>
          </w:p>
        </w:tc>
        <w:tc>
          <w:tcPr>
            <w:tcW w:w="260" w:type="dxa"/>
            <w:vAlign w:val="bottom"/>
          </w:tcPr>
          <w:p>
            <w:pPr>
              <w:spacing w:after="0"/>
              <w:rPr>
                <w:sz w:val="22"/>
                <w:szCs w:val="22"/>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108,770</w:t>
            </w:r>
          </w:p>
        </w:tc>
        <w:tc>
          <w:tcPr>
            <w:tcW w:w="0" w:type="dxa"/>
            <w:vAlign w:val="bottom"/>
          </w:tcPr>
          <w:p>
            <w:pPr>
              <w:spacing w:after="0"/>
              <w:rPr>
                <w:sz w:val="1"/>
                <w:szCs w:val="1"/>
                <w:color w:val="auto"/>
              </w:rPr>
            </w:pPr>
          </w:p>
        </w:tc>
      </w:tr>
      <w:tr>
        <w:trPr>
          <w:trHeight w:val="245"/>
        </w:trPr>
        <w:tc>
          <w:tcPr>
            <w:tcW w:w="696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6960" w:type="dxa"/>
            <w:vAlign w:val="bottom"/>
          </w:tcPr>
          <w:p>
            <w:pPr>
              <w:ind w:left="1400"/>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$ 856,869</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$ 750,612</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$ 788,335</w:t>
            </w:r>
          </w:p>
        </w:tc>
        <w:tc>
          <w:tcPr>
            <w:tcW w:w="0" w:type="dxa"/>
            <w:vAlign w:val="bottom"/>
          </w:tcPr>
          <w:p>
            <w:pPr>
              <w:spacing w:after="0"/>
              <w:rPr>
                <w:sz w:val="1"/>
                <w:szCs w:val="1"/>
                <w:color w:val="auto"/>
              </w:rPr>
            </w:pPr>
          </w:p>
        </w:tc>
      </w:tr>
      <w:tr>
        <w:trPr>
          <w:trHeight w:val="245"/>
        </w:trPr>
        <w:tc>
          <w:tcPr>
            <w:tcW w:w="696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73"/>
        </w:trPr>
        <w:tc>
          <w:tcPr>
            <w:tcW w:w="69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SHORT-TERM DEBT</w:t>
            </w: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61,202</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65,772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40,249</w:t>
            </w: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9,082</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9,564</w:t>
            </w:r>
          </w:p>
        </w:tc>
        <w:tc>
          <w:tcPr>
            <w:tcW w:w="0" w:type="dxa"/>
            <w:vAlign w:val="bottom"/>
          </w:tcPr>
          <w:p>
            <w:pPr>
              <w:spacing w:after="0"/>
              <w:rPr>
                <w:sz w:val="1"/>
                <w:szCs w:val="1"/>
                <w:color w:val="auto"/>
              </w:rPr>
            </w:pPr>
          </w:p>
        </w:tc>
      </w:tr>
      <w:tr>
        <w:trPr>
          <w:trHeight w:val="168"/>
        </w:trPr>
        <w:tc>
          <w:tcPr>
            <w:tcW w:w="696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TOTAL CURRENT LIABILITIES</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9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70,284</w:t>
            </w:r>
          </w:p>
        </w:tc>
        <w:tc>
          <w:tcPr>
            <w:tcW w:w="22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79,154</w:t>
            </w:r>
          </w:p>
        </w:tc>
        <w:tc>
          <w:tcPr>
            <w:tcW w:w="26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49,813</w:t>
            </w:r>
          </w:p>
        </w:tc>
        <w:tc>
          <w:tcPr>
            <w:tcW w:w="0" w:type="dxa"/>
            <w:vAlign w:val="bottom"/>
          </w:tcPr>
          <w:p>
            <w:pPr>
              <w:spacing w:after="0"/>
              <w:rPr>
                <w:sz w:val="1"/>
                <w:szCs w:val="1"/>
                <w:color w:val="auto"/>
              </w:rPr>
            </w:pPr>
          </w:p>
        </w:tc>
      </w:tr>
      <w:tr>
        <w:trPr>
          <w:trHeight w:val="336"/>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347,000</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431,000</w:t>
            </w:r>
          </w:p>
        </w:tc>
        <w:tc>
          <w:tcPr>
            <w:tcW w:w="0" w:type="dxa"/>
            <w:vAlign w:val="bottom"/>
          </w:tcPr>
          <w:p>
            <w:pPr>
              <w:spacing w:after="0"/>
              <w:rPr>
                <w:sz w:val="1"/>
                <w:szCs w:val="1"/>
                <w:color w:val="auto"/>
              </w:rPr>
            </w:pPr>
          </w:p>
        </w:tc>
      </w:tr>
      <w:tr>
        <w:trPr>
          <w:trHeight w:val="336"/>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CONVERTIBLE DEBENTURES</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25,643</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25,552</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25,783</w:t>
            </w:r>
          </w:p>
        </w:tc>
        <w:tc>
          <w:tcPr>
            <w:tcW w:w="0" w:type="dxa"/>
            <w:vAlign w:val="bottom"/>
          </w:tcPr>
          <w:p>
            <w:pPr>
              <w:spacing w:after="0"/>
              <w:rPr>
                <w:sz w:val="1"/>
                <w:szCs w:val="1"/>
                <w:color w:val="auto"/>
              </w:rPr>
            </w:pPr>
          </w:p>
        </w:tc>
      </w:tr>
      <w:tr>
        <w:trPr>
          <w:trHeight w:val="259"/>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LONG-TERM LIABILITY IN RESPECT</w:t>
            </w:r>
          </w:p>
        </w:tc>
        <w:tc>
          <w:tcPr>
            <w:tcW w:w="220" w:type="dxa"/>
            <w:vAlign w:val="bottom"/>
          </w:tcPr>
          <w:p>
            <w:pPr>
              <w:spacing w:after="0"/>
              <w:rPr>
                <w:sz w:val="22"/>
                <w:szCs w:val="22"/>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65,069</w:t>
            </w:r>
          </w:p>
        </w:tc>
        <w:tc>
          <w:tcPr>
            <w:tcW w:w="220" w:type="dxa"/>
            <w:vAlign w:val="bottom"/>
          </w:tcPr>
          <w:p>
            <w:pPr>
              <w:spacing w:after="0"/>
              <w:rPr>
                <w:sz w:val="22"/>
                <w:szCs w:val="22"/>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46,920</w:t>
            </w:r>
          </w:p>
        </w:tc>
        <w:tc>
          <w:tcPr>
            <w:tcW w:w="260" w:type="dxa"/>
            <w:vAlign w:val="bottom"/>
          </w:tcPr>
          <w:p>
            <w:pPr>
              <w:spacing w:after="0"/>
              <w:rPr>
                <w:sz w:val="22"/>
                <w:szCs w:val="22"/>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46,347</w:t>
            </w:r>
          </w:p>
        </w:tc>
        <w:tc>
          <w:tcPr>
            <w:tcW w:w="0" w:type="dxa"/>
            <w:vAlign w:val="bottom"/>
          </w:tcPr>
          <w:p>
            <w:pPr>
              <w:spacing w:after="0"/>
              <w:rPr>
                <w:sz w:val="1"/>
                <w:szCs w:val="1"/>
                <w:color w:val="auto"/>
              </w:rPr>
            </w:pPr>
          </w:p>
        </w:tc>
      </w:tr>
      <w:tr>
        <w:trPr>
          <w:trHeight w:val="245"/>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OF CUSTOMERS' ADVANCES</w:t>
            </w:r>
          </w:p>
        </w:tc>
        <w:tc>
          <w:tcPr>
            <w:tcW w:w="2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OTHER LONG-TERM LIABILITIES</w:t>
            </w:r>
          </w:p>
        </w:tc>
        <w:tc>
          <w:tcPr>
            <w:tcW w:w="2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7,792</w:t>
            </w:r>
          </w:p>
        </w:tc>
        <w:tc>
          <w:tcPr>
            <w:tcW w:w="220" w:type="dxa"/>
            <w:vAlign w:val="bottom"/>
          </w:tcPr>
          <w:p>
            <w:pPr>
              <w:spacing w:after="0"/>
              <w:rPr>
                <w:sz w:val="22"/>
                <w:szCs w:val="22"/>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5,869</w:t>
            </w:r>
          </w:p>
        </w:tc>
        <w:tc>
          <w:tcPr>
            <w:tcW w:w="260" w:type="dxa"/>
            <w:vAlign w:val="bottom"/>
          </w:tcPr>
          <w:p>
            <w:pPr>
              <w:spacing w:after="0"/>
              <w:rPr>
                <w:sz w:val="22"/>
                <w:szCs w:val="22"/>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5,935</w:t>
            </w:r>
          </w:p>
        </w:tc>
        <w:tc>
          <w:tcPr>
            <w:tcW w:w="0" w:type="dxa"/>
            <w:vAlign w:val="bottom"/>
          </w:tcPr>
          <w:p>
            <w:pPr>
              <w:spacing w:after="0"/>
              <w:rPr>
                <w:sz w:val="1"/>
                <w:szCs w:val="1"/>
                <w:color w:val="auto"/>
              </w:rPr>
            </w:pPr>
          </w:p>
        </w:tc>
      </w:tr>
      <w:tr>
        <w:trPr>
          <w:trHeight w:val="168"/>
        </w:trPr>
        <w:tc>
          <w:tcPr>
            <w:tcW w:w="696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TOTAL LIABILITIES</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665,788</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504,495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558,878</w:t>
            </w:r>
          </w:p>
        </w:tc>
        <w:tc>
          <w:tcPr>
            <w:tcW w:w="0" w:type="dxa"/>
            <w:vAlign w:val="bottom"/>
          </w:tcPr>
          <w:p>
            <w:pPr>
              <w:spacing w:after="0"/>
              <w:rPr>
                <w:sz w:val="1"/>
                <w:szCs w:val="1"/>
                <w:color w:val="auto"/>
              </w:rPr>
            </w:pPr>
          </w:p>
        </w:tc>
      </w:tr>
      <w:tr>
        <w:trPr>
          <w:trHeight w:val="245"/>
        </w:trPr>
        <w:tc>
          <w:tcPr>
            <w:tcW w:w="696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96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ORDINARY SHARES, NIS 1.00 PAR VALUE - AUTHORIZED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150,000,000, 100,000,000 AND 150,000,000 SHARES, RESPECTIVELY;</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16,260</w:t>
            </w:r>
          </w:p>
        </w:tc>
        <w:tc>
          <w:tcPr>
            <w:tcW w:w="2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12,479</w:t>
            </w:r>
          </w:p>
        </w:tc>
        <w:tc>
          <w:tcPr>
            <w:tcW w:w="2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13,150</w:t>
            </w:r>
          </w:p>
        </w:tc>
        <w:tc>
          <w:tcPr>
            <w:tcW w:w="0" w:type="dxa"/>
            <w:vAlign w:val="bottom"/>
          </w:tcPr>
          <w:p>
            <w:pPr>
              <w:spacing w:after="0"/>
              <w:rPr>
                <w:sz w:val="1"/>
                <w:szCs w:val="1"/>
                <w:color w:val="auto"/>
              </w:rPr>
            </w:pPr>
          </w:p>
        </w:tc>
      </w:tr>
      <w:tr>
        <w:trPr>
          <w:trHeight w:val="168"/>
        </w:trPr>
        <w:tc>
          <w:tcPr>
            <w:tcW w:w="69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9"/>
              </w:rPr>
              <w:t>ISSUED 66,934,971, 50,079,146 AND 52,996,097 SHARES, RESPECTIVELY</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517,258</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415,645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427,881</w:t>
            </w: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16,428</w:t>
            </w: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(333,339)</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(172,909)</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(218,904)</w:t>
            </w:r>
          </w:p>
        </w:tc>
        <w:tc>
          <w:tcPr>
            <w:tcW w:w="0" w:type="dxa"/>
            <w:vAlign w:val="bottom"/>
          </w:tcPr>
          <w:p>
            <w:pPr>
              <w:spacing w:after="0"/>
              <w:rPr>
                <w:sz w:val="1"/>
                <w:szCs w:val="1"/>
                <w:color w:val="auto"/>
              </w:rPr>
            </w:pPr>
          </w:p>
        </w:tc>
      </w:tr>
      <w:tr>
        <w:trPr>
          <w:trHeight w:val="168"/>
        </w:trPr>
        <w:tc>
          <w:tcPr>
            <w:tcW w:w="69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96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TREASURY STOCK, AT COST - 1,300,000 SHARES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200,153</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255,189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238,529</w:t>
            </w:r>
          </w:p>
        </w:tc>
        <w:tc>
          <w:tcPr>
            <w:tcW w:w="0" w:type="dxa"/>
            <w:vAlign w:val="bottom"/>
          </w:tcPr>
          <w:p>
            <w:pPr>
              <w:spacing w:after="0"/>
              <w:rPr>
                <w:sz w:val="1"/>
                <w:szCs w:val="1"/>
                <w:color w:val="auto"/>
              </w:rPr>
            </w:pPr>
          </w:p>
        </w:tc>
      </w:tr>
      <w:tr>
        <w:trPr>
          <w:trHeight w:val="168"/>
        </w:trPr>
        <w:tc>
          <w:tcPr>
            <w:tcW w:w="6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0" w:type="dxa"/>
            <w:vAlign w:val="bottom"/>
          </w:tcPr>
          <w:p>
            <w:pPr>
              <w:spacing w:after="0"/>
              <w:rPr>
                <w:sz w:val="1"/>
                <w:szCs w:val="1"/>
                <w:color w:val="auto"/>
              </w:rPr>
            </w:pPr>
          </w:p>
        </w:tc>
      </w:tr>
      <w:tr>
        <w:trPr>
          <w:trHeight w:val="168"/>
        </w:trPr>
        <w:tc>
          <w:tcPr>
            <w:tcW w:w="696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TOTAL SHAREHOLDERS' EQUITY</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191,081</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246,117</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229,457</w:t>
            </w:r>
          </w:p>
        </w:tc>
        <w:tc>
          <w:tcPr>
            <w:tcW w:w="0" w:type="dxa"/>
            <w:vAlign w:val="bottom"/>
          </w:tcPr>
          <w:p>
            <w:pPr>
              <w:spacing w:after="0"/>
              <w:rPr>
                <w:sz w:val="1"/>
                <w:szCs w:val="1"/>
                <w:color w:val="auto"/>
              </w:rPr>
            </w:pPr>
          </w:p>
        </w:tc>
      </w:tr>
      <w:tr>
        <w:trPr>
          <w:trHeight w:val="245"/>
        </w:trPr>
        <w:tc>
          <w:tcPr>
            <w:tcW w:w="696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6960" w:type="dxa"/>
            <w:vAlign w:val="bottom"/>
          </w:tcPr>
          <w:p>
            <w:pPr>
              <w:ind w:left="14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$ 856,869</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$ 750,612</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$ 788,335</w:t>
            </w:r>
          </w:p>
        </w:tc>
        <w:tc>
          <w:tcPr>
            <w:tcW w:w="0" w:type="dxa"/>
            <w:vAlign w:val="bottom"/>
          </w:tcPr>
          <w:p>
            <w:pPr>
              <w:spacing w:after="0"/>
              <w:rPr>
                <w:sz w:val="1"/>
                <w:szCs w:val="1"/>
                <w:color w:val="auto"/>
              </w:rPr>
            </w:pPr>
          </w:p>
        </w:tc>
      </w:tr>
      <w:tr>
        <w:trPr>
          <w:trHeight w:val="245"/>
        </w:trPr>
        <w:tc>
          <w:tcPr>
            <w:tcW w:w="696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340"/>
          </w:cols>
          <w:pgMar w:left="220" w:top="598" w:right="1339" w:bottom="0" w:gutter="0" w:footer="0" w:header="0"/>
        </w:sectPr>
      </w:pPr>
    </w:p>
    <w:bookmarkStart w:id="12" w:name="page13"/>
    <w:bookmarkEnd w:id="12"/>
    <w:p>
      <w:pPr>
        <w:jc w:val="center"/>
        <w:ind w:right="45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4" w:lineRule="exact"/>
        <w:rPr>
          <w:sz w:val="20"/>
          <w:szCs w:val="20"/>
          <w:color w:val="auto"/>
        </w:rPr>
      </w:pPr>
    </w:p>
    <w:p>
      <w:pPr>
        <w:ind w:left="180" w:right="4799" w:firstLine="612"/>
        <w:spacing w:after="0" w:line="346" w:lineRule="auto"/>
        <w:rPr>
          <w:sz w:val="20"/>
          <w:szCs w:val="20"/>
          <w:color w:val="auto"/>
        </w:rPr>
      </w:pPr>
      <w:r>
        <w:rPr>
          <w:rFonts w:ascii="Courier New" w:cs="Courier New" w:eastAsia="Courier New" w:hAnsi="Courier New"/>
          <w:sz w:val="14"/>
          <w:szCs w:val="14"/>
          <w:color w:val="auto"/>
        </w:rPr>
        <w:t>CONDENSED CONSOLIDATED STATEMENTS OF OPERATIONS (DOLLARS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3"/>
          </w:tcPr>
          <w:p>
            <w:pPr>
              <w:jc w:val="center"/>
              <w:ind w:right="187"/>
              <w:spacing w:after="0"/>
              <w:rPr>
                <w:sz w:val="20"/>
                <w:szCs w:val="20"/>
                <w:color w:val="auto"/>
              </w:rPr>
            </w:pPr>
            <w:r>
              <w:rPr>
                <w:rFonts w:ascii="Courier New" w:cs="Courier New" w:eastAsia="Courier New" w:hAnsi="Courier New"/>
                <w:sz w:val="15"/>
                <w:szCs w:val="15"/>
                <w:color w:val="auto"/>
                <w:w w:val="98"/>
              </w:rPr>
              <w:t>NINE MONTHS ENDED</w:t>
            </w:r>
          </w:p>
        </w:tc>
        <w:tc>
          <w:tcPr>
            <w:tcW w:w="280" w:type="dxa"/>
            <w:vAlign w:val="bottom"/>
          </w:tcPr>
          <w:p>
            <w:pPr>
              <w:spacing w:after="0"/>
              <w:rPr>
                <w:sz w:val="14"/>
                <w:szCs w:val="14"/>
                <w:color w:val="auto"/>
              </w:rPr>
            </w:pPr>
          </w:p>
        </w:tc>
        <w:tc>
          <w:tcPr>
            <w:tcW w:w="192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w w:val="97"/>
              </w:rPr>
              <w:t>THREE MONTHS ENDED</w:t>
            </w:r>
          </w:p>
        </w:tc>
        <w:tc>
          <w:tcPr>
            <w:tcW w:w="10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3"/>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SEPTEMBER 30,</w:t>
            </w:r>
          </w:p>
        </w:tc>
        <w:tc>
          <w:tcPr>
            <w:tcW w:w="280" w:type="dxa"/>
            <w:vAlign w:val="bottom"/>
          </w:tcPr>
          <w:p>
            <w:pPr>
              <w:spacing w:after="0"/>
              <w:rPr>
                <w:sz w:val="14"/>
                <w:szCs w:val="14"/>
                <w:color w:val="auto"/>
              </w:rPr>
            </w:pPr>
          </w:p>
        </w:tc>
        <w:tc>
          <w:tcPr>
            <w:tcW w:w="192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SEPTEMBER 30,</w:t>
            </w: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226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22"/>
                <w:szCs w:val="22"/>
                <w:color w:val="auto"/>
              </w:rPr>
            </w:pPr>
          </w:p>
        </w:tc>
        <w:tc>
          <w:tcPr>
            <w:tcW w:w="8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2003</w:t>
            </w:r>
          </w:p>
        </w:tc>
        <w:tc>
          <w:tcPr>
            <w:tcW w:w="280" w:type="dxa"/>
            <w:vAlign w:val="bottom"/>
          </w:tcPr>
          <w:p>
            <w:pPr>
              <w:spacing w:after="0"/>
              <w:rPr>
                <w:sz w:val="22"/>
                <w:szCs w:val="22"/>
                <w:color w:val="auto"/>
              </w:rPr>
            </w:pPr>
          </w:p>
        </w:tc>
        <w:tc>
          <w:tcPr>
            <w:tcW w:w="8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2004</w:t>
            </w:r>
          </w:p>
        </w:tc>
        <w:tc>
          <w:tcPr>
            <w:tcW w:w="260" w:type="dxa"/>
            <w:vAlign w:val="bottom"/>
          </w:tcPr>
          <w:p>
            <w:pPr>
              <w:spacing w:after="0"/>
              <w:rPr>
                <w:sz w:val="22"/>
                <w:szCs w:val="22"/>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22"/>
                <w:szCs w:val="22"/>
                <w:color w:val="auto"/>
              </w:rPr>
            </w:pPr>
          </w:p>
        </w:tc>
        <w:tc>
          <w:tcPr>
            <w:tcW w:w="7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2003</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3"/>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280" w:type="dxa"/>
            <w:vAlign w:val="bottom"/>
          </w:tcPr>
          <w:p>
            <w:pPr>
              <w:spacing w:after="0"/>
              <w:rPr>
                <w:sz w:val="14"/>
                <w:szCs w:val="14"/>
                <w:color w:val="auto"/>
              </w:rPr>
            </w:pPr>
          </w:p>
        </w:tc>
        <w:tc>
          <w:tcPr>
            <w:tcW w:w="192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rPr>
              <w:t>(unaudited)</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226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38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95,990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41,545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16,074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61,368</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162,242</w:t>
            </w:r>
          </w:p>
        </w:tc>
        <w:tc>
          <w:tcPr>
            <w:tcW w:w="260" w:type="dxa"/>
            <w:vAlign w:val="bottom"/>
          </w:tcPr>
          <w:p>
            <w:pPr>
              <w:spacing w:after="0"/>
              <w:rPr>
                <w:sz w:val="22"/>
                <w:szCs w:val="22"/>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75,816</w:t>
            </w:r>
          </w:p>
        </w:tc>
        <w:tc>
          <w:tcPr>
            <w:tcW w:w="280" w:type="dxa"/>
            <w:vAlign w:val="bottom"/>
          </w:tcPr>
          <w:p>
            <w:pPr>
              <w:spacing w:after="0"/>
              <w:rPr>
                <w:sz w:val="22"/>
                <w:szCs w:val="22"/>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57,843</w:t>
            </w:r>
          </w:p>
        </w:tc>
        <w:tc>
          <w:tcPr>
            <w:tcW w:w="26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38,548</w:t>
            </w:r>
          </w:p>
        </w:tc>
        <w:tc>
          <w:tcPr>
            <w:tcW w:w="30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122,395</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820" w:type="dxa"/>
            <w:vAlign w:val="bottom"/>
          </w:tcPr>
          <w:p>
            <w:pPr>
              <w:ind w:left="700"/>
              <w:spacing w:after="0"/>
              <w:rPr>
                <w:sz w:val="20"/>
                <w:szCs w:val="20"/>
                <w:color w:val="auto"/>
              </w:rPr>
            </w:pPr>
            <w:r>
              <w:rPr>
                <w:rFonts w:ascii="Courier New" w:cs="Courier New" w:eastAsia="Courier New" w:hAnsi="Courier New"/>
                <w:sz w:val="15"/>
                <w:szCs w:val="15"/>
                <w:color w:val="auto"/>
              </w:rPr>
              <w:t>GROSS LOSS</w:t>
            </w:r>
          </w:p>
        </w:tc>
        <w:tc>
          <w:tcPr>
            <w:tcW w:w="260" w:type="dxa"/>
            <w:vAlign w:val="bottom"/>
          </w:tcPr>
          <w:p>
            <w:pPr>
              <w:spacing w:after="0"/>
              <w:rPr>
                <w:sz w:val="22"/>
                <w:szCs w:val="22"/>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(66,252)</w:t>
            </w:r>
          </w:p>
        </w:tc>
        <w:tc>
          <w:tcPr>
            <w:tcW w:w="260" w:type="dxa"/>
            <w:vAlign w:val="bottom"/>
          </w:tcPr>
          <w:p>
            <w:pPr>
              <w:spacing w:after="0"/>
              <w:rPr>
                <w:sz w:val="22"/>
                <w:szCs w:val="22"/>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(34,271)</w:t>
            </w:r>
          </w:p>
        </w:tc>
        <w:tc>
          <w:tcPr>
            <w:tcW w:w="280" w:type="dxa"/>
            <w:vAlign w:val="bottom"/>
          </w:tcPr>
          <w:p>
            <w:pPr>
              <w:spacing w:after="0"/>
              <w:rPr>
                <w:sz w:val="22"/>
                <w:szCs w:val="22"/>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(22,752)</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(22,474)</w:t>
            </w: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(61,027)</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11,208</w:t>
            </w:r>
          </w:p>
        </w:tc>
        <w:tc>
          <w:tcPr>
            <w:tcW w:w="260" w:type="dxa"/>
            <w:vAlign w:val="bottom"/>
          </w:tcPr>
          <w:p>
            <w:pPr>
              <w:spacing w:after="0"/>
              <w:rPr>
                <w:sz w:val="22"/>
                <w:szCs w:val="22"/>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12,551</w:t>
            </w:r>
          </w:p>
        </w:tc>
        <w:tc>
          <w:tcPr>
            <w:tcW w:w="280" w:type="dxa"/>
            <w:vAlign w:val="bottom"/>
          </w:tcPr>
          <w:p>
            <w:pPr>
              <w:spacing w:after="0"/>
              <w:rPr>
                <w:sz w:val="22"/>
                <w:szCs w:val="22"/>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3,952</w:t>
            </w:r>
          </w:p>
        </w:tc>
        <w:tc>
          <w:tcPr>
            <w:tcW w:w="26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3,895</w:t>
            </w:r>
          </w:p>
        </w:tc>
        <w:tc>
          <w:tcPr>
            <w:tcW w:w="30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20,709</w:t>
            </w:r>
          </w:p>
        </w:tc>
        <w:tc>
          <w:tcPr>
            <w:tcW w:w="0" w:type="dxa"/>
            <w:vAlign w:val="bottom"/>
          </w:tcPr>
          <w:p>
            <w:pPr>
              <w:spacing w:after="0"/>
              <w:rPr>
                <w:sz w:val="1"/>
                <w:szCs w:val="1"/>
                <w:color w:val="auto"/>
              </w:rPr>
            </w:pP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16,176</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17,064</w:t>
            </w:r>
          </w:p>
        </w:tc>
        <w:tc>
          <w:tcPr>
            <w:tcW w:w="2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5,155</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6,300</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22,615</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27,384</w:t>
            </w:r>
          </w:p>
        </w:tc>
        <w:tc>
          <w:tcPr>
            <w:tcW w:w="260" w:type="dxa"/>
            <w:vAlign w:val="bottom"/>
          </w:tcPr>
          <w:p>
            <w:pPr>
              <w:spacing w:after="0"/>
              <w:rPr>
                <w:sz w:val="22"/>
                <w:szCs w:val="22"/>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29,615</w:t>
            </w:r>
          </w:p>
        </w:tc>
        <w:tc>
          <w:tcPr>
            <w:tcW w:w="280" w:type="dxa"/>
            <w:vAlign w:val="bottom"/>
          </w:tcPr>
          <w:p>
            <w:pPr>
              <w:spacing w:after="0"/>
              <w:rPr>
                <w:sz w:val="22"/>
                <w:szCs w:val="22"/>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9,107</w:t>
            </w:r>
          </w:p>
        </w:tc>
        <w:tc>
          <w:tcPr>
            <w:tcW w:w="26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10,195</w:t>
            </w:r>
          </w:p>
        </w:tc>
        <w:tc>
          <w:tcPr>
            <w:tcW w:w="30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43,324</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820" w:type="dxa"/>
            <w:vAlign w:val="bottom"/>
          </w:tcPr>
          <w:p>
            <w:pPr>
              <w:ind w:left="700"/>
              <w:spacing w:after="0"/>
              <w:rPr>
                <w:sz w:val="20"/>
                <w:szCs w:val="20"/>
                <w:color w:val="auto"/>
              </w:rPr>
            </w:pPr>
            <w:r>
              <w:rPr>
                <w:rFonts w:ascii="Courier New" w:cs="Courier New" w:eastAsia="Courier New" w:hAnsi="Courier New"/>
                <w:sz w:val="15"/>
                <w:szCs w:val="15"/>
                <w:color w:val="auto"/>
              </w:rPr>
              <w:t>OPERATING LOSS</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(93,636)</w:t>
            </w:r>
          </w:p>
        </w:tc>
        <w:tc>
          <w:tcPr>
            <w:tcW w:w="2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(63,886)</w:t>
            </w:r>
          </w:p>
        </w:tc>
        <w:tc>
          <w:tcPr>
            <w:tcW w:w="28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(31,859)</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(32,669)</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(104,351)</w:t>
            </w:r>
          </w:p>
        </w:tc>
        <w:tc>
          <w:tcPr>
            <w:tcW w:w="0" w:type="dxa"/>
            <w:vAlign w:val="bottom"/>
          </w:tcPr>
          <w:p>
            <w:pPr>
              <w:spacing w:after="0"/>
              <w:rPr>
                <w:sz w:val="1"/>
                <w:szCs w:val="1"/>
                <w:color w:val="auto"/>
              </w:rPr>
            </w:pP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(20,907)</w:t>
            </w:r>
          </w:p>
        </w:tc>
        <w:tc>
          <w:tcPr>
            <w:tcW w:w="2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(4,293)</w:t>
            </w:r>
          </w:p>
        </w:tc>
        <w:tc>
          <w:tcPr>
            <w:tcW w:w="28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(7,567)</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(4,264)</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(9,826)</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2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w:t>
            </w:r>
          </w:p>
        </w:tc>
        <w:tc>
          <w:tcPr>
            <w:tcW w:w="260" w:type="dxa"/>
            <w:vAlign w:val="bottom"/>
          </w:tcPr>
          <w:p>
            <w:pPr>
              <w:spacing w:after="0"/>
              <w:rPr>
                <w:sz w:val="22"/>
                <w:szCs w:val="22"/>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w:t>
            </w:r>
          </w:p>
        </w:tc>
        <w:tc>
          <w:tcPr>
            <w:tcW w:w="280" w:type="dxa"/>
            <w:vAlign w:val="bottom"/>
          </w:tcPr>
          <w:p>
            <w:pPr>
              <w:spacing w:after="0"/>
              <w:rPr>
                <w:sz w:val="22"/>
                <w:szCs w:val="22"/>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820" w:type="dxa"/>
            <w:vAlign w:val="bottom"/>
          </w:tcPr>
          <w:p>
            <w:pPr>
              <w:ind w:left="1400"/>
              <w:spacing w:after="0"/>
              <w:rPr>
                <w:sz w:val="20"/>
                <w:szCs w:val="20"/>
                <w:color w:val="auto"/>
              </w:rPr>
            </w:pPr>
            <w:r>
              <w:rPr>
                <w:rFonts w:ascii="Courier New" w:cs="Courier New" w:eastAsia="Courier New" w:hAnsi="Courier New"/>
                <w:sz w:val="15"/>
                <w:szCs w:val="15"/>
                <w:color w:val="auto"/>
              </w:rPr>
              <w:t>LOSS FOR THE PERIOD</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$(114,435)</w:t>
            </w:r>
          </w:p>
        </w:tc>
        <w:tc>
          <w:tcPr>
            <w:tcW w:w="11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(68,266)</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(39,412)</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(37,086)</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$(114,261)</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Loss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(0.60)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(0.77)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LOSS USED TO COMPUTE</w:t>
            </w:r>
          </w:p>
        </w:tc>
        <w:tc>
          <w:tcPr>
            <w:tcW w:w="114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$(114,435)</w:t>
            </w:r>
          </w:p>
        </w:tc>
        <w:tc>
          <w:tcPr>
            <w:tcW w:w="112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 (68,266)</w:t>
            </w:r>
          </w:p>
        </w:tc>
        <w:tc>
          <w:tcPr>
            <w:tcW w:w="114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 (39,412)</w:t>
            </w:r>
          </w:p>
        </w:tc>
        <w:tc>
          <w:tcPr>
            <w:tcW w:w="10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(37,086)</w:t>
            </w:r>
          </w:p>
        </w:tc>
        <w:tc>
          <w:tcPr>
            <w:tcW w:w="10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$(114,114)</w:t>
            </w:r>
          </w:p>
        </w:tc>
        <w:tc>
          <w:tcPr>
            <w:tcW w:w="0" w:type="dxa"/>
            <w:vAlign w:val="bottom"/>
          </w:tcPr>
          <w:p>
            <w:pPr>
              <w:spacing w:after="0"/>
              <w:rPr>
                <w:sz w:val="1"/>
                <w:szCs w:val="1"/>
                <w:color w:val="auto"/>
              </w:rPr>
            </w:pPr>
          </w:p>
        </w:tc>
      </w:tr>
      <w:tr>
        <w:trPr>
          <w:trHeight w:val="168"/>
        </w:trPr>
        <w:tc>
          <w:tcPr>
            <w:tcW w:w="3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1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ORDINARY</w:t>
            </w:r>
          </w:p>
        </w:tc>
        <w:tc>
          <w:tcPr>
            <w:tcW w:w="260" w:type="dxa"/>
            <w:vAlign w:val="bottom"/>
          </w:tcPr>
          <w:p>
            <w:pPr>
              <w:spacing w:after="0"/>
              <w:rPr>
                <w:sz w:val="22"/>
                <w:szCs w:val="22"/>
                <w:color w:val="auto"/>
              </w:rPr>
            </w:pP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64,392</w:t>
            </w:r>
          </w:p>
        </w:tc>
        <w:tc>
          <w:tcPr>
            <w:tcW w:w="260" w:type="dxa"/>
            <w:vAlign w:val="bottom"/>
          </w:tcPr>
          <w:p>
            <w:pPr>
              <w:spacing w:after="0"/>
              <w:rPr>
                <w:sz w:val="22"/>
                <w:szCs w:val="22"/>
                <w:color w:val="auto"/>
              </w:rPr>
            </w:pPr>
          </w:p>
        </w:tc>
        <w:tc>
          <w:tcPr>
            <w:tcW w:w="8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45,788</w:t>
            </w:r>
          </w:p>
        </w:tc>
        <w:tc>
          <w:tcPr>
            <w:tcW w:w="280" w:type="dxa"/>
            <w:vAlign w:val="bottom"/>
          </w:tcPr>
          <w:p>
            <w:pPr>
              <w:spacing w:after="0"/>
              <w:rPr>
                <w:sz w:val="22"/>
                <w:szCs w:val="22"/>
                <w:color w:val="auto"/>
              </w:rPr>
            </w:pPr>
          </w:p>
        </w:tc>
        <w:tc>
          <w:tcPr>
            <w:tcW w:w="8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65,625</w:t>
            </w:r>
          </w:p>
        </w:tc>
        <w:tc>
          <w:tcPr>
            <w:tcW w:w="260" w:type="dxa"/>
            <w:vAlign w:val="bottom"/>
          </w:tcPr>
          <w:p>
            <w:pPr>
              <w:spacing w:after="0"/>
              <w:rPr>
                <w:sz w:val="22"/>
                <w:szCs w:val="22"/>
                <w:color w:val="auto"/>
              </w:rPr>
            </w:pP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48,360</w:t>
            </w:r>
          </w:p>
        </w:tc>
        <w:tc>
          <w:tcPr>
            <w:tcW w:w="30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47,608</w:t>
            </w:r>
          </w:p>
        </w:tc>
        <w:tc>
          <w:tcPr>
            <w:tcW w:w="0" w:type="dxa"/>
            <w:vAlign w:val="bottom"/>
          </w:tcPr>
          <w:p>
            <w:pPr>
              <w:spacing w:after="0"/>
              <w:rPr>
                <w:sz w:val="1"/>
                <w:szCs w:val="1"/>
                <w:color w:val="auto"/>
              </w:rPr>
            </w:pPr>
          </w:p>
        </w:tc>
      </w:tr>
      <w:tr>
        <w:trPr>
          <w:trHeight w:val="168"/>
        </w:trPr>
        <w:tc>
          <w:tcPr>
            <w:tcW w:w="3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598" w:right="1440" w:bottom="1440" w:gutter="0" w:footer="0" w:header="0"/>
        </w:sectPr>
      </w:pPr>
    </w:p>
    <w:bookmarkStart w:id="13" w:name="page14"/>
    <w:bookmarkEnd w:id="13"/>
    <w:p>
      <w:pPr>
        <w:jc w:val="center"/>
        <w:ind w:right="3219"/>
        <w:spacing w:after="0"/>
        <w:rPr>
          <w:sz w:val="20"/>
          <w:szCs w:val="20"/>
          <w:color w:val="auto"/>
        </w:rPr>
      </w:pPr>
      <w:r>
        <w:rPr>
          <w:rFonts w:ascii="Courier New" w:cs="Courier New" w:eastAsia="Courier New" w:hAnsi="Courier New"/>
          <w:sz w:val="15"/>
          <w:szCs w:val="15"/>
          <w:color w:val="auto"/>
        </w:rPr>
        <w:t>TOWER SEMICONDUCTOR LTD.</w:t>
      </w:r>
    </w:p>
    <w:p>
      <w:pPr>
        <w:spacing w:after="0" w:line="24" w:lineRule="exact"/>
        <w:rPr>
          <w:sz w:val="20"/>
          <w:szCs w:val="20"/>
          <w:color w:val="auto"/>
        </w:rPr>
      </w:pPr>
    </w:p>
    <w:p>
      <w:pPr>
        <w:ind w:left="880" w:right="4099" w:firstLine="700"/>
        <w:spacing w:after="0" w:line="346" w:lineRule="auto"/>
        <w:rPr>
          <w:sz w:val="20"/>
          <w:szCs w:val="20"/>
          <w:color w:val="auto"/>
        </w:rPr>
      </w:pPr>
      <w:r>
        <w:rPr>
          <w:rFonts w:ascii="Courier New" w:cs="Courier New" w:eastAsia="Courier New" w:hAnsi="Courier New"/>
          <w:sz w:val="14"/>
          <w:szCs w:val="14"/>
          <w:color w:val="auto"/>
        </w:rPr>
        <w:t>STATEMENTS OF CHANGES IN SHAREHOLDERS' EQUITY (DOLLARS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620" w:type="dxa"/>
            <w:vAlign w:val="bottom"/>
            <w:gridSpan w:val="3"/>
            <w:vMerge w:val="restart"/>
          </w:tcPr>
          <w:p>
            <w:pPr>
              <w:jc w:val="right"/>
              <w:ind w:right="587"/>
              <w:spacing w:after="0"/>
              <w:rPr>
                <w:sz w:val="20"/>
                <w:szCs w:val="20"/>
                <w:color w:val="auto"/>
              </w:rPr>
            </w:pPr>
            <w:r>
              <w:rPr>
                <w:rFonts w:ascii="Courier New" w:cs="Courier New" w:eastAsia="Courier New" w:hAnsi="Courier New"/>
                <w:sz w:val="15"/>
                <w:szCs w:val="15"/>
                <w:color w:val="auto"/>
              </w:rPr>
              <w:t>ORDINARY SHARES</w:t>
            </w:r>
          </w:p>
        </w:tc>
        <w:tc>
          <w:tcPr>
            <w:tcW w:w="126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ADDITIONAL</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PROCEEDS</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2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ON</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262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PAID-IN</w:t>
            </w:r>
          </w:p>
        </w:tc>
        <w:tc>
          <w:tcPr>
            <w:tcW w:w="1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ACCOUNT OF</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SHARES</w:t>
            </w:r>
          </w:p>
        </w:tc>
        <w:tc>
          <w:tcPr>
            <w:tcW w:w="36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AMOUNT</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CAPITAL</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SHARE CAPITAL</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52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2004</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52,996,097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13,150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427,881</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16,428</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CHANGES DURING NINE-MONTH PERIOD (UNAUDITED):</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2,399,124</w:t>
            </w:r>
          </w:p>
        </w:tc>
        <w:tc>
          <w:tcPr>
            <w:tcW w:w="360" w:type="dxa"/>
            <w:vAlign w:val="bottom"/>
          </w:tcPr>
          <w:p>
            <w:pPr>
              <w:spacing w:after="0"/>
              <w:rPr>
                <w:sz w:val="22"/>
                <w:szCs w:val="22"/>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539</w:t>
            </w:r>
          </w:p>
        </w:tc>
        <w:tc>
          <w:tcPr>
            <w:tcW w:w="300" w:type="dxa"/>
            <w:vAlign w:val="bottom"/>
          </w:tcPr>
          <w:p>
            <w:pPr>
              <w:spacing w:after="0"/>
              <w:rPr>
                <w:sz w:val="22"/>
                <w:szCs w:val="22"/>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16,196</w:t>
            </w:r>
          </w:p>
        </w:tc>
        <w:tc>
          <w:tcPr>
            <w:tcW w:w="400" w:type="dxa"/>
            <w:vAlign w:val="bottom"/>
          </w:tcPr>
          <w:p>
            <w:pPr>
              <w:spacing w:after="0"/>
              <w:rPr>
                <w:sz w:val="22"/>
                <w:szCs w:val="22"/>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(16,428)</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COSTS -</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11,444,500</w:t>
            </w:r>
          </w:p>
        </w:tc>
        <w:tc>
          <w:tcPr>
            <w:tcW w:w="360" w:type="dxa"/>
            <w:vAlign w:val="bottom"/>
          </w:tcPr>
          <w:p>
            <w:pPr>
              <w:spacing w:after="0"/>
              <w:rPr>
                <w:sz w:val="14"/>
                <w:szCs w:val="14"/>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2,550</w:t>
            </w:r>
          </w:p>
        </w:tc>
        <w:tc>
          <w:tcPr>
            <w:tcW w:w="300" w:type="dxa"/>
            <w:vAlign w:val="bottom"/>
          </w:tcPr>
          <w:p>
            <w:pPr>
              <w:spacing w:after="0"/>
              <w:rPr>
                <w:sz w:val="14"/>
                <w:szCs w:val="14"/>
                <w:color w:val="auto"/>
              </w:rPr>
            </w:pP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72,536</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PUBLIC OFFERING</w:t>
            </w: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95,250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645</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0"/>
                <w:szCs w:val="20"/>
                <w:color w:val="auto"/>
              </w:rPr>
            </w:pPr>
            <w:r>
              <w:rPr>
                <w:rFonts w:ascii="Courier New" w:cs="Courier New" w:eastAsia="Courier New" w:hAnsi="Courier New"/>
                <w:sz w:val="15"/>
                <w:szCs w:val="15"/>
                <w:color w:val="auto"/>
              </w:rPr>
              <w:t>LOSS FOR THE PERIOD</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52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BALANCE - SEPTEMBER 30, 2004 (UNAUDITED)</w:t>
            </w:r>
          </w:p>
        </w:tc>
        <w:tc>
          <w:tcPr>
            <w:tcW w:w="130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520" w:type="dxa"/>
            <w:vAlign w:val="bottom"/>
            <w:vMerge w:val="continue"/>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66,934,971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16,260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517,258</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452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2003</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44,735,532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11,294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400,808</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CHANGES DURING NINE-MONTH PERIOD (UNAUDITED):</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145</w:t>
            </w: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5,343,614</w:t>
            </w:r>
          </w:p>
        </w:tc>
        <w:tc>
          <w:tcPr>
            <w:tcW w:w="360" w:type="dxa"/>
            <w:vAlign w:val="bottom"/>
          </w:tcPr>
          <w:p>
            <w:pPr>
              <w:spacing w:after="0"/>
              <w:rPr>
                <w:sz w:val="14"/>
                <w:szCs w:val="14"/>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1,185</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COSTS</w:t>
            </w: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14,692</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0"/>
                <w:szCs w:val="20"/>
                <w:color w:val="auto"/>
              </w:rPr>
            </w:pPr>
            <w:r>
              <w:rPr>
                <w:rFonts w:ascii="Courier New" w:cs="Courier New" w:eastAsia="Courier New" w:hAnsi="Courier New"/>
                <w:sz w:val="15"/>
                <w:szCs w:val="15"/>
                <w:color w:val="auto"/>
              </w:rPr>
              <w:t>LOSS FOR THE PERIOD</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52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BALANCE - SEPTEMBER 30, 2003 (UNAUDITED)</w:t>
            </w:r>
          </w:p>
        </w:tc>
        <w:tc>
          <w:tcPr>
            <w:tcW w:w="130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520" w:type="dxa"/>
            <w:vAlign w:val="bottom"/>
            <w:vMerge w:val="continue"/>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50,079,146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12,479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415,645</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4520" w:type="dxa"/>
            <w:vAlign w:val="bottom"/>
          </w:tcPr>
          <w:p>
            <w:pPr>
              <w:ind w:left="800"/>
              <w:spacing w:after="0"/>
              <w:rPr>
                <w:sz w:val="20"/>
                <w:szCs w:val="20"/>
                <w:color w:val="auto"/>
              </w:rPr>
            </w:pPr>
            <w:r>
              <w:rPr>
                <w:rFonts w:ascii="Courier New" w:cs="Courier New" w:eastAsia="Courier New" w:hAnsi="Courier New"/>
                <w:sz w:val="15"/>
                <w:szCs w:val="15"/>
                <w:color w:val="auto"/>
              </w:rPr>
              <w:t>BALANCE - JULY 1, 2004</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66,894,593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16,251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517,041</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 (UNAUDITED):</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40,378</w:t>
            </w:r>
          </w:p>
        </w:tc>
        <w:tc>
          <w:tcPr>
            <w:tcW w:w="360" w:type="dxa"/>
            <w:vAlign w:val="bottom"/>
          </w:tcPr>
          <w:p>
            <w:pPr>
              <w:spacing w:after="0"/>
              <w:rPr>
                <w:sz w:val="22"/>
                <w:szCs w:val="22"/>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300" w:type="dxa"/>
            <w:vAlign w:val="bottom"/>
          </w:tcPr>
          <w:p>
            <w:pPr>
              <w:spacing w:after="0"/>
              <w:rPr>
                <w:sz w:val="22"/>
                <w:szCs w:val="22"/>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217</w:t>
            </w: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0"/>
                <w:szCs w:val="20"/>
                <w:color w:val="auto"/>
              </w:rPr>
            </w:pPr>
            <w:r>
              <w:rPr>
                <w:rFonts w:ascii="Courier New" w:cs="Courier New" w:eastAsia="Courier New" w:hAnsi="Courier New"/>
                <w:sz w:val="15"/>
                <w:szCs w:val="15"/>
                <w:color w:val="auto"/>
              </w:rPr>
              <w:t>LOSS FOR THE PERIOD</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52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BALANCE - SEPTEMBER 30, 2004 (UNAUDITED)</w:t>
            </w:r>
          </w:p>
        </w:tc>
        <w:tc>
          <w:tcPr>
            <w:tcW w:w="130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520" w:type="dxa"/>
            <w:vAlign w:val="bottom"/>
            <w:vMerge w:val="continue"/>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66,934,971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16,260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517,258</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4520" w:type="dxa"/>
            <w:vAlign w:val="bottom"/>
          </w:tcPr>
          <w:p>
            <w:pPr>
              <w:ind w:left="800"/>
              <w:spacing w:after="0"/>
              <w:rPr>
                <w:sz w:val="20"/>
                <w:szCs w:val="20"/>
                <w:color w:val="auto"/>
              </w:rPr>
            </w:pPr>
            <w:r>
              <w:rPr>
                <w:rFonts w:ascii="Courier New" w:cs="Courier New" w:eastAsia="Courier New" w:hAnsi="Courier New"/>
                <w:sz w:val="15"/>
                <w:szCs w:val="15"/>
                <w:color w:val="auto"/>
              </w:rPr>
              <w:t>BALANCE - JULY 1, 2003</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49,241,064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12,291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413,334</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 (UNAUDITED):</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838,082</w:t>
            </w:r>
          </w:p>
        </w:tc>
        <w:tc>
          <w:tcPr>
            <w:tcW w:w="360" w:type="dxa"/>
            <w:vAlign w:val="bottom"/>
          </w:tcPr>
          <w:p>
            <w:pPr>
              <w:spacing w:after="0"/>
              <w:rPr>
                <w:sz w:val="22"/>
                <w:szCs w:val="22"/>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w:t>
            </w:r>
          </w:p>
        </w:tc>
        <w:tc>
          <w:tcPr>
            <w:tcW w:w="300" w:type="dxa"/>
            <w:vAlign w:val="bottom"/>
          </w:tcPr>
          <w:p>
            <w:pPr>
              <w:spacing w:after="0"/>
              <w:rPr>
                <w:sz w:val="22"/>
                <w:szCs w:val="22"/>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2,311</w:t>
            </w: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0"/>
                <w:szCs w:val="20"/>
                <w:color w:val="auto"/>
              </w:rPr>
            </w:pPr>
            <w:r>
              <w:rPr>
                <w:rFonts w:ascii="Courier New" w:cs="Courier New" w:eastAsia="Courier New" w:hAnsi="Courier New"/>
                <w:sz w:val="15"/>
                <w:szCs w:val="15"/>
                <w:color w:val="auto"/>
              </w:rPr>
              <w:t>LOSS FOR THE PERIOD</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52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BALANCE - SEPTEMBER 30, 2003 (UNAUDITED)</w:t>
            </w:r>
          </w:p>
        </w:tc>
        <w:tc>
          <w:tcPr>
            <w:tcW w:w="130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520" w:type="dxa"/>
            <w:vAlign w:val="bottom"/>
            <w:vMerge w:val="continue"/>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50,079,146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12,479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415,645</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452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2003</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44,735,532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11,294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400,808</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CHANGES DURING 2003:</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145</w:t>
            </w: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4,205</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FACILITY AGREEMENT WITH THE BANKS</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8,260,565</w:t>
            </w:r>
          </w:p>
        </w:tc>
        <w:tc>
          <w:tcPr>
            <w:tcW w:w="360" w:type="dxa"/>
            <w:vAlign w:val="bottom"/>
          </w:tcPr>
          <w:p>
            <w:pPr>
              <w:spacing w:after="0"/>
              <w:rPr>
                <w:sz w:val="14"/>
                <w:szCs w:val="14"/>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1,856</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COSTS</w:t>
            </w: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22,723</w:t>
            </w:r>
          </w:p>
        </w:tc>
        <w:tc>
          <w:tcPr>
            <w:tcW w:w="400" w:type="dxa"/>
            <w:vAlign w:val="bottom"/>
          </w:tcPr>
          <w:p>
            <w:pPr>
              <w:spacing w:after="0"/>
              <w:rPr>
                <w:sz w:val="14"/>
                <w:szCs w:val="14"/>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16,428</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52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BALANCE - DECEMBER 31, 2003</w:t>
            </w:r>
          </w:p>
        </w:tc>
        <w:tc>
          <w:tcPr>
            <w:tcW w:w="130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520" w:type="dxa"/>
            <w:vAlign w:val="bottom"/>
            <w:vMerge w:val="continue"/>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52,996,097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13,150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427,881</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16,428</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SHAREHOLDER</w:t>
      </w:r>
    </w:p>
    <w:p>
      <w:pPr>
        <w:sectPr>
          <w:pgSz w:w="11900" w:h="16838" w:orient="portrait"/>
          <w:cols w:equalWidth="0" w:num="1">
            <w:col w:w="10239"/>
          </w:cols>
          <w:pgMar w:left="220" w:top="598" w:right="1440"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RECEIVABLES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AND</w:t>
            </w:r>
          </w:p>
        </w:tc>
        <w:tc>
          <w:tcPr>
            <w:tcW w:w="1400" w:type="dxa"/>
            <w:vAlign w:val="bottom"/>
            <w:gridSpan w:val="2"/>
            <w:vMerge w:val="restart"/>
          </w:tcPr>
          <w:p>
            <w:pPr>
              <w:ind w:left="120"/>
              <w:spacing w:after="0"/>
              <w:rPr>
                <w:sz w:val="20"/>
                <w:szCs w:val="20"/>
                <w:color w:val="auto"/>
              </w:rPr>
            </w:pPr>
            <w:r>
              <w:rPr>
                <w:rFonts w:ascii="Courier New" w:cs="Courier New" w:eastAsia="Courier New" w:hAnsi="Courier New"/>
                <w:sz w:val="15"/>
                <w:szCs w:val="15"/>
                <w:color w:val="auto"/>
              </w:rPr>
              <w:t>ACCUMULATED</w:t>
            </w:r>
          </w:p>
        </w:tc>
        <w:tc>
          <w:tcPr>
            <w:tcW w:w="300" w:type="dxa"/>
            <w:vAlign w:val="bottom"/>
          </w:tcPr>
          <w:p>
            <w:pPr>
              <w:spacing w:after="0"/>
              <w:rPr>
                <w:sz w:val="14"/>
                <w:szCs w:val="14"/>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4"/>
              </w:rPr>
              <w:t>TREASURY</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UNEARNED</w:t>
            </w:r>
          </w:p>
        </w:tc>
        <w:tc>
          <w:tcPr>
            <w:tcW w:w="14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COMPENSATION</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DEFICIT</w:t>
            </w:r>
          </w:p>
        </w:tc>
        <w:tc>
          <w:tcPr>
            <w:tcW w:w="3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STOCK</w:t>
            </w: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438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(218,904)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(9,072)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229,457</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CHANGES DURING NINE-MONTH PERIOD (UNAUDITED):</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COSTS -</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75,086</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PUBLIC OFFERING</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(114,435)</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28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0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(114,435)</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w w:val="98"/>
              </w:rPr>
              <w:t>BALANCE - SEPTEMBER 30, 2004 (UNAUDITED)</w:t>
            </w:r>
          </w:p>
        </w:tc>
        <w:tc>
          <w:tcPr>
            <w:tcW w:w="1280" w:type="dxa"/>
            <w:vAlign w:val="bottom"/>
            <w:gridSpan w:val="2"/>
            <w:vMerge w:val="continue"/>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vMerge w:val="continue"/>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(333,339)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191,081</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438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(104,643)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(9,072)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298,334</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CHANGES DURING NINE-MONTH PERIOD (UNAUDITED):</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145</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COSTS</w:t>
            </w:r>
          </w:p>
        </w:tc>
        <w:tc>
          <w:tcPr>
            <w:tcW w:w="480" w:type="dxa"/>
            <w:vAlign w:val="bottom"/>
          </w:tcPr>
          <w:p>
            <w:pPr>
              <w:spacing w:after="0"/>
              <w:rPr>
                <w:sz w:val="14"/>
                <w:szCs w:val="14"/>
                <w:color w:val="auto"/>
              </w:rPr>
            </w:pPr>
          </w:p>
        </w:tc>
        <w:tc>
          <w:tcPr>
            <w:tcW w:w="8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15,877</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(68,266)</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28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0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(68,266)</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w w:val="98"/>
              </w:rPr>
              <w:t>BALANCE - SEPTEMBER 30, 2003 (UNAUDITED)</w:t>
            </w:r>
          </w:p>
        </w:tc>
        <w:tc>
          <w:tcPr>
            <w:tcW w:w="1280" w:type="dxa"/>
            <w:vAlign w:val="bottom"/>
            <w:gridSpan w:val="2"/>
            <w:vMerge w:val="continue"/>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vMerge w:val="continue"/>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(172,909)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246,117</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4380" w:type="dxa"/>
            <w:vAlign w:val="bottom"/>
          </w:tcPr>
          <w:p>
            <w:pPr>
              <w:ind w:left="800"/>
              <w:spacing w:after="0"/>
              <w:rPr>
                <w:sz w:val="20"/>
                <w:szCs w:val="20"/>
                <w:color w:val="auto"/>
              </w:rPr>
            </w:pPr>
            <w:r>
              <w:rPr>
                <w:rFonts w:ascii="Courier New" w:cs="Courier New" w:eastAsia="Courier New" w:hAnsi="Courier New"/>
                <w:sz w:val="15"/>
                <w:szCs w:val="15"/>
                <w:color w:val="auto"/>
              </w:rPr>
              <w:t>BALANCE - JULY 1, 2004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(293,927)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(9,072)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230,267</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 (UNAUDITED):</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(39,412)</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28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0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(39,412)</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w w:val="98"/>
              </w:rPr>
              <w:t>BALANCE - SEPTEMBER 30, 2004 (UNAUDITED)</w:t>
            </w:r>
          </w:p>
        </w:tc>
        <w:tc>
          <w:tcPr>
            <w:tcW w:w="1280" w:type="dxa"/>
            <w:vAlign w:val="bottom"/>
            <w:gridSpan w:val="2"/>
            <w:vMerge w:val="continue"/>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vMerge w:val="continue"/>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(333,339)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191,081</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4380" w:type="dxa"/>
            <w:vAlign w:val="bottom"/>
          </w:tcPr>
          <w:p>
            <w:pPr>
              <w:ind w:left="800"/>
              <w:spacing w:after="0"/>
              <w:rPr>
                <w:sz w:val="20"/>
                <w:szCs w:val="20"/>
                <w:color w:val="auto"/>
              </w:rPr>
            </w:pPr>
            <w:r>
              <w:rPr>
                <w:rFonts w:ascii="Courier New" w:cs="Courier New" w:eastAsia="Courier New" w:hAnsi="Courier New"/>
                <w:sz w:val="15"/>
                <w:szCs w:val="15"/>
                <w:color w:val="auto"/>
              </w:rPr>
              <w:t>BALANCE - JULY 1, 2003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(135,823)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(9,072)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280,704</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 (UNAUDITED):</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(37,086)</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2,499</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28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0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(37,086)</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w w:val="98"/>
              </w:rPr>
              <w:t>BALANCE - SEPTEMBER 30, 2003 (UNAUDITED)</w:t>
            </w:r>
          </w:p>
        </w:tc>
        <w:tc>
          <w:tcPr>
            <w:tcW w:w="1280" w:type="dxa"/>
            <w:vAlign w:val="bottom"/>
            <w:gridSpan w:val="2"/>
            <w:vMerge w:val="continue"/>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vMerge w:val="continue"/>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(172,909)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246,117</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438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(104,643)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(9,072)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298,334</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CHANGES DURING 2003:</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145</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4,205</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FACILITY AGREEMENT WITH THE BANKS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24,579</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480" w:type="dxa"/>
            <w:vAlign w:val="bottom"/>
          </w:tcPr>
          <w:p>
            <w:pPr>
              <w:spacing w:after="0"/>
              <w:rPr>
                <w:sz w:val="14"/>
                <w:szCs w:val="14"/>
                <w:color w:val="auto"/>
              </w:rPr>
            </w:pPr>
          </w:p>
        </w:tc>
        <w:tc>
          <w:tcPr>
            <w:tcW w:w="8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(114,261)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28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0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(114,261)</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BALANCE - DECEMBER 31, 2003</w:t>
            </w:r>
          </w:p>
        </w:tc>
        <w:tc>
          <w:tcPr>
            <w:tcW w:w="1280" w:type="dxa"/>
            <w:vAlign w:val="bottom"/>
            <w:gridSpan w:val="2"/>
            <w:vMerge w:val="continue"/>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vMerge w:val="continue"/>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(218,904)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229,457</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ectPr>
          <w:pgSz w:w="11900" w:h="16838" w:orient="portrait"/>
          <w:cols w:equalWidth="0" w:num="1">
            <w:col w:w="10239"/>
          </w:cols>
          <w:pgMar w:left="220" w:top="114" w:right="1440" w:bottom="693" w:gutter="0" w:footer="0" w:header="0"/>
        </w:sectPr>
      </w:pP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114" w:right="1440" w:bottom="693" w:gutter="0" w:footer="0" w:header="0"/>
          <w:type w:val="continuous"/>
        </w:sectPr>
      </w:pPr>
    </w:p>
    <w:bookmarkStart w:id="15" w:name="page16"/>
    <w:bookmarkEnd w:id="15"/>
    <w:p>
      <w:pPr>
        <w:jc w:val="center"/>
        <w:ind w:right="44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CONDENSED CONSOLIDATED STATEMENTS OF CASH FLOWS</w:t>
      </w:r>
    </w:p>
    <w:tbl>
      <w:tblPr>
        <w:tblLayout w:type="fixed"/>
        <w:tblInd w:w="0" w:type="dxa"/>
        <w:tblCellMar>
          <w:top w:w="0" w:type="dxa"/>
          <w:left w:w="0" w:type="dxa"/>
          <w:bottom w:w="0" w:type="dxa"/>
          <w:right w:w="0" w:type="dxa"/>
        </w:tblCellMar>
      </w:tblPr>
      <w:tr>
        <w:trPr>
          <w:trHeight w:val="245"/>
        </w:trPr>
        <w:tc>
          <w:tcPr>
            <w:tcW w:w="6180" w:type="dxa"/>
            <w:vAlign w:val="bottom"/>
          </w:tcPr>
          <w:p>
            <w:pPr>
              <w:ind w:left="880"/>
              <w:spacing w:after="0"/>
              <w:rPr>
                <w:sz w:val="20"/>
                <w:szCs w:val="20"/>
                <w:color w:val="auto"/>
              </w:rPr>
            </w:pPr>
            <w:r>
              <w:rPr>
                <w:rFonts w:ascii="Courier New" w:cs="Courier New" w:eastAsia="Courier New" w:hAnsi="Courier New"/>
                <w:sz w:val="15"/>
                <w:szCs w:val="15"/>
                <w:color w:val="auto"/>
                <w:w w:val="97"/>
              </w:rPr>
              <w:t>(DOLLARS IN THOUSANDS, EXCEPT SHARE DATA AND PER SHARE DATA)</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8"/>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3"/>
          </w:tcPr>
          <w:p>
            <w:pPr>
              <w:jc w:val="center"/>
              <w:ind w:right="147"/>
              <w:spacing w:after="0"/>
              <w:rPr>
                <w:sz w:val="20"/>
                <w:szCs w:val="20"/>
                <w:color w:val="auto"/>
              </w:rPr>
            </w:pPr>
            <w:r>
              <w:rPr>
                <w:rFonts w:ascii="Courier New" w:cs="Courier New" w:eastAsia="Courier New" w:hAnsi="Courier New"/>
                <w:sz w:val="15"/>
                <w:szCs w:val="15"/>
                <w:color w:val="auto"/>
                <w:w w:val="96"/>
              </w:rPr>
              <w:t>NINE MONTHS ENDED</w:t>
            </w:r>
          </w:p>
        </w:tc>
        <w:tc>
          <w:tcPr>
            <w:tcW w:w="220" w:type="dxa"/>
            <w:vAlign w:val="bottom"/>
          </w:tcPr>
          <w:p>
            <w:pPr>
              <w:spacing w:after="0"/>
              <w:rPr>
                <w:sz w:val="24"/>
                <w:szCs w:val="24"/>
                <w:color w:val="auto"/>
              </w:rPr>
            </w:pPr>
          </w:p>
        </w:tc>
        <w:tc>
          <w:tcPr>
            <w:tcW w:w="19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w w:val="96"/>
              </w:rPr>
              <w:t>THREE MONTHS ENDED</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5"/>
              </w:rPr>
              <w:t>YEAR ENDED</w:t>
            </w:r>
          </w:p>
        </w:tc>
        <w:tc>
          <w:tcPr>
            <w:tcW w:w="0" w:type="dxa"/>
            <w:vAlign w:val="bottom"/>
          </w:tcPr>
          <w:p>
            <w:pPr>
              <w:spacing w:after="0"/>
              <w:rPr>
                <w:sz w:val="1"/>
                <w:szCs w:val="1"/>
                <w:color w:val="auto"/>
              </w:rPr>
            </w:pPr>
          </w:p>
        </w:tc>
      </w:tr>
      <w:tr>
        <w:trPr>
          <w:trHeight w:val="168"/>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SEPTEMBER 30,</w:t>
            </w:r>
          </w:p>
        </w:tc>
        <w:tc>
          <w:tcPr>
            <w:tcW w:w="220" w:type="dxa"/>
            <w:vAlign w:val="bottom"/>
          </w:tcPr>
          <w:p>
            <w:pPr>
              <w:spacing w:after="0"/>
              <w:rPr>
                <w:sz w:val="14"/>
                <w:szCs w:val="14"/>
                <w:color w:val="auto"/>
              </w:rPr>
            </w:pPr>
          </w:p>
        </w:tc>
        <w:tc>
          <w:tcPr>
            <w:tcW w:w="192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SEPTEMBER 30,</w:t>
            </w:r>
          </w:p>
        </w:tc>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0" w:type="dxa"/>
            <w:vAlign w:val="bottom"/>
          </w:tcPr>
          <w:p>
            <w:pPr>
              <w:spacing w:after="0"/>
              <w:rPr>
                <w:sz w:val="1"/>
                <w:szCs w:val="1"/>
                <w:color w:val="auto"/>
              </w:rPr>
            </w:pPr>
          </w:p>
        </w:tc>
      </w:tr>
      <w:tr>
        <w:trPr>
          <w:trHeight w:val="168"/>
        </w:trPr>
        <w:tc>
          <w:tcPr>
            <w:tcW w:w="6180" w:type="dxa"/>
            <w:vAlign w:val="bottom"/>
          </w:tcPr>
          <w:p>
            <w:pPr>
              <w:spacing w:after="0"/>
              <w:rPr>
                <w:sz w:val="14"/>
                <w:szCs w:val="14"/>
                <w:color w:val="auto"/>
              </w:rPr>
            </w:pPr>
          </w:p>
        </w:tc>
        <w:tc>
          <w:tcPr>
            <w:tcW w:w="218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21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7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4"/>
              </w:rPr>
              <w:t>2003</w:t>
            </w:r>
          </w:p>
        </w:tc>
        <w:tc>
          <w:tcPr>
            <w:tcW w:w="0" w:type="dxa"/>
            <w:vAlign w:val="bottom"/>
          </w:tcPr>
          <w:p>
            <w:pPr>
              <w:spacing w:after="0"/>
              <w:rPr>
                <w:sz w:val="1"/>
                <w:szCs w:val="1"/>
                <w:color w:val="auto"/>
              </w:rPr>
            </w:pPr>
          </w:p>
        </w:tc>
      </w:tr>
      <w:tr>
        <w:trPr>
          <w:trHeight w:val="168"/>
        </w:trPr>
        <w:tc>
          <w:tcPr>
            <w:tcW w:w="618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220" w:type="dxa"/>
            <w:vAlign w:val="bottom"/>
          </w:tcPr>
          <w:p>
            <w:pPr>
              <w:spacing w:after="0"/>
              <w:rPr>
                <w:sz w:val="14"/>
                <w:szCs w:val="14"/>
                <w:color w:val="auto"/>
              </w:rPr>
            </w:pPr>
          </w:p>
        </w:tc>
        <w:tc>
          <w:tcPr>
            <w:tcW w:w="192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1"/>
                <w:szCs w:val="21"/>
                <w:color w:val="auto"/>
              </w:rPr>
            </w:pPr>
          </w:p>
        </w:tc>
        <w:tc>
          <w:tcPr>
            <w:tcW w:w="218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21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180" w:type="dxa"/>
            <w:vAlign w:val="bottom"/>
          </w:tcPr>
          <w:p>
            <w:pPr>
              <w:ind w:left="440"/>
              <w:spacing w:after="0"/>
              <w:rPr>
                <w:sz w:val="20"/>
                <w:szCs w:val="20"/>
                <w:color w:val="auto"/>
              </w:rPr>
            </w:pPr>
            <w:r>
              <w:rPr>
                <w:rFonts w:ascii="Courier New" w:cs="Courier New" w:eastAsia="Courier New" w:hAnsi="Courier New"/>
                <w:sz w:val="15"/>
                <w:szCs w:val="15"/>
                <w:color w:val="auto"/>
              </w:rPr>
              <w:t>LOSS FOR THE PERIOD</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$(114,435)</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(68,266)</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(39,412)</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(37,086)</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$(114,261)</w:t>
            </w: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LOSS FOR THE PERIOD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 NET CASH PROVIDED BY (USED IN) OPERATING ACTIVITIES: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1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86,188</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30,386</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30,782</w:t>
            </w:r>
          </w:p>
        </w:tc>
        <w:tc>
          <w:tcPr>
            <w:tcW w:w="26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21,508</w:t>
            </w:r>
          </w:p>
        </w:tc>
        <w:tc>
          <w:tcPr>
            <w:tcW w:w="26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54,611</w:t>
            </w:r>
          </w:p>
        </w:tc>
        <w:tc>
          <w:tcPr>
            <w:tcW w:w="0" w:type="dxa"/>
            <w:vAlign w:val="bottom"/>
          </w:tcPr>
          <w:p>
            <w:pPr>
              <w:spacing w:after="0"/>
              <w:rPr>
                <w:sz w:val="1"/>
                <w:szCs w:val="1"/>
                <w:color w:val="auto"/>
              </w:rPr>
            </w:pPr>
          </w:p>
        </w:tc>
      </w:tr>
      <w:tr>
        <w:trPr>
          <w:trHeight w:val="168"/>
        </w:trPr>
        <w:tc>
          <w:tcPr>
            <w:tcW w:w="61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EFFECT OF INDEXATION AND TRANSLATION ON</w:t>
            </w:r>
          </w:p>
        </w:tc>
        <w:tc>
          <w:tcPr>
            <w:tcW w:w="12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(280)</w:t>
            </w:r>
          </w:p>
        </w:tc>
        <w:tc>
          <w:tcPr>
            <w:tcW w:w="22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(1,055)</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86</w:t>
            </w: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(1,055)</w:t>
            </w: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(878)</w:t>
            </w:r>
          </w:p>
        </w:tc>
        <w:tc>
          <w:tcPr>
            <w:tcW w:w="0" w:type="dxa"/>
            <w:vAlign w:val="bottom"/>
          </w:tcPr>
          <w:p>
            <w:pPr>
              <w:spacing w:after="0"/>
              <w:rPr>
                <w:sz w:val="1"/>
                <w:szCs w:val="1"/>
                <w:color w:val="auto"/>
              </w:rPr>
            </w:pPr>
          </w:p>
        </w:tc>
      </w:tr>
      <w:tr>
        <w:trPr>
          <w:trHeight w:val="168"/>
        </w:trPr>
        <w:tc>
          <w:tcPr>
            <w:tcW w:w="61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OTHER EXPENSE (INCOME), NET</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68"/>
        </w:trPr>
        <w:tc>
          <w:tcPr>
            <w:tcW w:w="61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2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(14,330)</w:t>
            </w:r>
          </w:p>
        </w:tc>
        <w:tc>
          <w:tcPr>
            <w:tcW w:w="22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(1,846)</w:t>
            </w:r>
          </w:p>
        </w:tc>
        <w:tc>
          <w:tcPr>
            <w:tcW w:w="22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(6,848)</w:t>
            </w: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(3,861)</w:t>
            </w: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(4,175)</w:t>
            </w:r>
          </w:p>
        </w:tc>
        <w:tc>
          <w:tcPr>
            <w:tcW w:w="0" w:type="dxa"/>
            <w:vAlign w:val="bottom"/>
          </w:tcPr>
          <w:p>
            <w:pPr>
              <w:spacing w:after="0"/>
              <w:rPr>
                <w:sz w:val="1"/>
                <w:szCs w:val="1"/>
                <w:color w:val="auto"/>
              </w:rPr>
            </w:pPr>
          </w:p>
        </w:tc>
      </w:tr>
      <w:tr>
        <w:trPr>
          <w:trHeight w:val="168"/>
        </w:trPr>
        <w:tc>
          <w:tcPr>
            <w:tcW w:w="61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TRADE ACCOUNTS RECEIVABLE</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DECREASE (INCREASE) IN OTHER RECEIVABLES</w:t>
            </w:r>
          </w:p>
        </w:tc>
        <w:tc>
          <w:tcPr>
            <w:tcW w:w="12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(1,382)</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782</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1,786</w:t>
            </w:r>
          </w:p>
        </w:tc>
        <w:tc>
          <w:tcPr>
            <w:tcW w:w="26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1,431</w:t>
            </w:r>
          </w:p>
        </w:tc>
        <w:tc>
          <w:tcPr>
            <w:tcW w:w="26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1,264</w:t>
            </w:r>
          </w:p>
        </w:tc>
        <w:tc>
          <w:tcPr>
            <w:tcW w:w="0" w:type="dxa"/>
            <w:vAlign w:val="bottom"/>
          </w:tcPr>
          <w:p>
            <w:pPr>
              <w:spacing w:after="0"/>
              <w:rPr>
                <w:sz w:val="1"/>
                <w:szCs w:val="1"/>
                <w:color w:val="auto"/>
              </w:rPr>
            </w:pPr>
          </w:p>
        </w:tc>
      </w:tr>
      <w:tr>
        <w:trPr>
          <w:trHeight w:val="168"/>
        </w:trPr>
        <w:tc>
          <w:tcPr>
            <w:tcW w:w="61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AND OTHER CURRENT ASSETS</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(10,989)</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(3,897)</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(4,659)</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(3,783)</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(6,221)</w:t>
            </w:r>
          </w:p>
        </w:tc>
        <w:tc>
          <w:tcPr>
            <w:tcW w:w="0" w:type="dxa"/>
            <w:vAlign w:val="bottom"/>
          </w:tcPr>
          <w:p>
            <w:pPr>
              <w:spacing w:after="0"/>
              <w:rPr>
                <w:sz w:val="1"/>
                <w:szCs w:val="1"/>
                <w:color w:val="auto"/>
              </w:rPr>
            </w:pPr>
          </w:p>
        </w:tc>
      </w:tr>
      <w:tr>
        <w:trPr>
          <w:trHeight w:val="168"/>
        </w:trPr>
        <w:tc>
          <w:tcPr>
            <w:tcW w:w="61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(DECREASE) IN TRADE ACCOUNTS PAYABLE</w:t>
            </w: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4,765</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68"/>
        </w:trPr>
        <w:tc>
          <w:tcPr>
            <w:tcW w:w="61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(DECREASE) IN OTHER CURRENT LIABILITIES</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1,285</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1,467</w:t>
            </w:r>
          </w:p>
        </w:tc>
        <w:tc>
          <w:tcPr>
            <w:tcW w:w="0" w:type="dxa"/>
            <w:vAlign w:val="bottom"/>
          </w:tcPr>
          <w:p>
            <w:pPr>
              <w:spacing w:after="0"/>
              <w:rPr>
                <w:sz w:val="1"/>
                <w:szCs w:val="1"/>
                <w:color w:val="auto"/>
              </w:rPr>
            </w:pPr>
          </w:p>
        </w:tc>
      </w:tr>
      <w:tr>
        <w:trPr>
          <w:trHeight w:val="168"/>
        </w:trPr>
        <w:tc>
          <w:tcPr>
            <w:tcW w:w="61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(DECREASE) IN OTHER LONG-TERM LIABILITIES</w:t>
            </w: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463</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(508)</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w:t>
            </w:r>
          </w:p>
        </w:tc>
        <w:tc>
          <w:tcPr>
            <w:tcW w:w="0" w:type="dxa"/>
            <w:vAlign w:val="bottom"/>
          </w:tcPr>
          <w:p>
            <w:pPr>
              <w:spacing w:after="0"/>
              <w:rPr>
                <w:sz w:val="1"/>
                <w:szCs w:val="1"/>
                <w:color w:val="auto"/>
              </w:rPr>
            </w:pPr>
          </w:p>
        </w:tc>
      </w:tr>
      <w:tr>
        <w:trPr>
          <w:trHeight w:val="168"/>
        </w:trPr>
        <w:tc>
          <w:tcPr>
            <w:tcW w:w="618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1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INCREASE (DECREASE) IN LONG-TERM LIABILITY</w:t>
            </w:r>
          </w:p>
        </w:tc>
        <w:tc>
          <w:tcPr>
            <w:tcW w:w="12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(51,040)</w:t>
            </w:r>
          </w:p>
        </w:tc>
        <w:tc>
          <w:tcPr>
            <w:tcW w:w="22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(37,296)</w:t>
            </w:r>
          </w:p>
        </w:tc>
        <w:tc>
          <w:tcPr>
            <w:tcW w:w="220" w:type="dxa"/>
            <w:vAlign w:val="bottom"/>
          </w:tcPr>
          <w:p>
            <w:pPr>
              <w:spacing w:after="0"/>
              <w:rPr>
                <w:sz w:val="21"/>
                <w:szCs w:val="21"/>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(19,010)</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(21,874)</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(66,779)</w:t>
            </w:r>
          </w:p>
        </w:tc>
        <w:tc>
          <w:tcPr>
            <w:tcW w:w="0" w:type="dxa"/>
            <w:vAlign w:val="bottom"/>
          </w:tcPr>
          <w:p>
            <w:pPr>
              <w:spacing w:after="0"/>
              <w:rPr>
                <w:sz w:val="1"/>
                <w:szCs w:val="1"/>
                <w:color w:val="auto"/>
              </w:rPr>
            </w:pPr>
          </w:p>
        </w:tc>
      </w:tr>
      <w:tr>
        <w:trPr>
          <w:trHeight w:val="91"/>
        </w:trPr>
        <w:tc>
          <w:tcPr>
            <w:tcW w:w="6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19,438</w:t>
            </w:r>
          </w:p>
        </w:tc>
        <w:tc>
          <w:tcPr>
            <w:tcW w:w="220" w:type="dxa"/>
            <w:vAlign w:val="bottom"/>
          </w:tcPr>
          <w:p>
            <w:pPr>
              <w:spacing w:after="0"/>
              <w:rPr>
                <w:sz w:val="7"/>
                <w:szCs w:val="7"/>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(326)</w:t>
            </w:r>
          </w:p>
        </w:tc>
        <w:tc>
          <w:tcPr>
            <w:tcW w:w="220" w:type="dxa"/>
            <w:vAlign w:val="bottom"/>
          </w:tcPr>
          <w:p>
            <w:pPr>
              <w:spacing w:after="0"/>
              <w:rPr>
                <w:sz w:val="7"/>
                <w:szCs w:val="7"/>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19,942</w:t>
            </w:r>
          </w:p>
        </w:tc>
        <w:tc>
          <w:tcPr>
            <w:tcW w:w="2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(326)</w:t>
            </w:r>
          </w:p>
        </w:tc>
        <w:tc>
          <w:tcPr>
            <w:tcW w:w="26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(899)</w:t>
            </w:r>
          </w:p>
        </w:tc>
        <w:tc>
          <w:tcPr>
            <w:tcW w:w="0" w:type="dxa"/>
            <w:vAlign w:val="bottom"/>
          </w:tcPr>
          <w:p>
            <w:pPr>
              <w:spacing w:after="0"/>
              <w:rPr>
                <w:sz w:val="1"/>
                <w:szCs w:val="1"/>
                <w:color w:val="auto"/>
              </w:rPr>
            </w:pPr>
          </w:p>
        </w:tc>
      </w:tr>
      <w:tr>
        <w:trPr>
          <w:trHeight w:val="168"/>
        </w:trPr>
        <w:tc>
          <w:tcPr>
            <w:tcW w:w="61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IN RESPECT OF CUSTOMERS' ADVANCES, NET</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vMerge w:val="restart"/>
          </w:tcPr>
          <w:p>
            <w:pPr>
              <w:ind w:left="1500"/>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(31,602)</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(37,622)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932</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(22,200)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(67,678)</w:t>
            </w: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1"/>
                <w:szCs w:val="21"/>
                <w:color w:val="auto"/>
              </w:rPr>
            </w:pP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180" w:type="dxa"/>
            <w:vAlign w:val="bottom"/>
          </w:tcPr>
          <w:p>
            <w:pPr>
              <w:ind w:left="440"/>
              <w:spacing w:after="0"/>
              <w:rPr>
                <w:sz w:val="20"/>
                <w:szCs w:val="20"/>
                <w:color w:val="auto"/>
              </w:rPr>
            </w:pPr>
            <w:r>
              <w:rPr>
                <w:rFonts w:ascii="Courier New" w:cs="Courier New" w:eastAsia="Courier New" w:hAnsi="Courier New"/>
                <w:sz w:val="15"/>
                <w:szCs w:val="15"/>
                <w:color w:val="auto"/>
              </w:rPr>
              <w:t>DECREASE IN DESIGNATED CASH, SHORT-TERM AND LONG-TERM</w:t>
            </w:r>
          </w:p>
        </w:tc>
        <w:tc>
          <w:tcPr>
            <w:tcW w:w="120" w:type="dxa"/>
            <w:vAlign w:val="bottom"/>
          </w:tcPr>
          <w:p>
            <w:pPr>
              <w:spacing w:after="0"/>
              <w:rPr>
                <w:sz w:val="22"/>
                <w:szCs w:val="22"/>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7,380</w:t>
            </w:r>
          </w:p>
        </w:tc>
        <w:tc>
          <w:tcPr>
            <w:tcW w:w="220" w:type="dxa"/>
            <w:vAlign w:val="bottom"/>
          </w:tcPr>
          <w:p>
            <w:pPr>
              <w:spacing w:after="0"/>
              <w:rPr>
                <w:sz w:val="22"/>
                <w:szCs w:val="22"/>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49,627</w:t>
            </w:r>
          </w:p>
        </w:tc>
        <w:tc>
          <w:tcPr>
            <w:tcW w:w="220" w:type="dxa"/>
            <w:vAlign w:val="bottom"/>
          </w:tcPr>
          <w:p>
            <w:pPr>
              <w:spacing w:after="0"/>
              <w:rPr>
                <w:sz w:val="22"/>
                <w:szCs w:val="22"/>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5,687</w:t>
            </w:r>
          </w:p>
        </w:tc>
        <w:tc>
          <w:tcPr>
            <w:tcW w:w="260" w:type="dxa"/>
            <w:vAlign w:val="bottom"/>
          </w:tcPr>
          <w:p>
            <w:pPr>
              <w:spacing w:after="0"/>
              <w:rPr>
                <w:sz w:val="22"/>
                <w:szCs w:val="22"/>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854</w:t>
            </w:r>
          </w:p>
        </w:tc>
        <w:tc>
          <w:tcPr>
            <w:tcW w:w="26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14,341</w:t>
            </w:r>
          </w:p>
        </w:tc>
        <w:tc>
          <w:tcPr>
            <w:tcW w:w="0" w:type="dxa"/>
            <w:vAlign w:val="bottom"/>
          </w:tcPr>
          <w:p>
            <w:pPr>
              <w:spacing w:after="0"/>
              <w:rPr>
                <w:sz w:val="1"/>
                <w:szCs w:val="1"/>
                <w:color w:val="auto"/>
              </w:rPr>
            </w:pPr>
          </w:p>
        </w:tc>
      </w:tr>
      <w:tr>
        <w:trPr>
          <w:trHeight w:val="168"/>
        </w:trPr>
        <w:tc>
          <w:tcPr>
            <w:tcW w:w="6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INTEREST-BEARING DEPOSITS, NET</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(131,622)</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(143,975)</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(51,335)</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(40,311)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(179,310)</w:t>
            </w: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23,945</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27,839</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11,443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33,811</w:t>
            </w: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w:t>
            </w: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(702)</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(17,502)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(1,005)</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(22,098)</w:t>
            </w: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 DEPOSITS, NET</w:t>
            </w: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10,500</w:t>
            </w:r>
          </w:p>
        </w:tc>
        <w:tc>
          <w:tcPr>
            <w:tcW w:w="0" w:type="dxa"/>
            <w:vAlign w:val="bottom"/>
          </w:tcPr>
          <w:p>
            <w:pPr>
              <w:spacing w:after="0"/>
              <w:rPr>
                <w:sz w:val="1"/>
                <w:szCs w:val="1"/>
                <w:color w:val="auto"/>
              </w:rPr>
            </w:pPr>
          </w:p>
        </w:tc>
      </w:tr>
      <w:tr>
        <w:trPr>
          <w:trHeight w:val="168"/>
        </w:trPr>
        <w:tc>
          <w:tcPr>
            <w:tcW w:w="6180" w:type="dxa"/>
            <w:vAlign w:val="bottom"/>
            <w:vMerge w:val="restart"/>
          </w:tcPr>
          <w:p>
            <w:pPr>
              <w:ind w:left="1500"/>
              <w:spacing w:after="0"/>
              <w:rPr>
                <w:sz w:val="20"/>
                <w:szCs w:val="20"/>
                <w:color w:val="auto"/>
              </w:rPr>
            </w:pPr>
            <w:r>
              <w:rPr>
                <w:rFonts w:ascii="Courier New" w:cs="Courier New" w:eastAsia="Courier New" w:hAnsi="Courier New"/>
                <w:sz w:val="15"/>
                <w:szCs w:val="15"/>
                <w:color w:val="auto"/>
              </w:rPr>
              <w:t>NET CASH USED IN INVESTING ACTIVITIES</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(100,860)</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(75,827)</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(34,170)</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(27,359)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(142,534)</w:t>
            </w: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1"/>
                <w:szCs w:val="21"/>
                <w:color w:val="auto"/>
              </w:rPr>
            </w:pP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18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SHARES, NET</w:t>
            </w:r>
          </w:p>
        </w:tc>
        <w:tc>
          <w:tcPr>
            <w:tcW w:w="1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75,225</w:t>
            </w:r>
          </w:p>
        </w:tc>
        <w:tc>
          <w:tcPr>
            <w:tcW w:w="2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15,810</w:t>
            </w:r>
          </w:p>
        </w:tc>
        <w:tc>
          <w:tcPr>
            <w:tcW w:w="2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w:t>
            </w:r>
          </w:p>
        </w:tc>
        <w:tc>
          <w:tcPr>
            <w:tcW w:w="26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24,375</w:t>
            </w: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66,000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97,000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36,000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(13,000)</w:t>
            </w: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EXERCISE OF SHARE OPTIONS</w:t>
            </w: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LONG-TERM DEBT, NET</w:t>
            </w:r>
          </w:p>
        </w:tc>
        <w:tc>
          <w:tcPr>
            <w:tcW w:w="1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187,000</w:t>
            </w:r>
          </w:p>
        </w:tc>
        <w:tc>
          <w:tcPr>
            <w:tcW w:w="0" w:type="dxa"/>
            <w:vAlign w:val="bottom"/>
          </w:tcPr>
          <w:p>
            <w:pPr>
              <w:spacing w:after="0"/>
              <w:rPr>
                <w:sz w:val="1"/>
                <w:szCs w:val="1"/>
                <w:color w:val="auto"/>
              </w:rPr>
            </w:pPr>
          </w:p>
        </w:tc>
      </w:tr>
      <w:tr>
        <w:trPr>
          <w:trHeight w:val="168"/>
        </w:trPr>
        <w:tc>
          <w:tcPr>
            <w:tcW w:w="6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 CONNECTION WITH RE-BORROWING</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vMerge w:val="restart"/>
          </w:tcPr>
          <w:p>
            <w:pPr>
              <w:ind w:left="150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141,891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109,810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36,000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214,803</w:t>
            </w: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1"/>
                <w:szCs w:val="21"/>
                <w:color w:val="auto"/>
              </w:rPr>
            </w:pP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180" w:type="dxa"/>
            <w:vAlign w:val="bottom"/>
          </w:tcPr>
          <w:p>
            <w:pPr>
              <w:ind w:left="98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9,429</w:t>
            </w:r>
          </w:p>
        </w:tc>
        <w:tc>
          <w:tcPr>
            <w:tcW w:w="220" w:type="dxa"/>
            <w:vAlign w:val="bottom"/>
          </w:tcPr>
          <w:p>
            <w:pPr>
              <w:spacing w:after="0"/>
              <w:rPr>
                <w:sz w:val="22"/>
                <w:szCs w:val="22"/>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(3,639)</w:t>
            </w:r>
          </w:p>
        </w:tc>
        <w:tc>
          <w:tcPr>
            <w:tcW w:w="2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2,762</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(8,059)</w:t>
            </w:r>
          </w:p>
        </w:tc>
        <w:tc>
          <w:tcPr>
            <w:tcW w:w="26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4,591</w:t>
            </w:r>
          </w:p>
        </w:tc>
        <w:tc>
          <w:tcPr>
            <w:tcW w:w="0" w:type="dxa"/>
            <w:vAlign w:val="bottom"/>
          </w:tcPr>
          <w:p>
            <w:pPr>
              <w:spacing w:after="0"/>
              <w:rPr>
                <w:sz w:val="1"/>
                <w:szCs w:val="1"/>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PERIOD</w:t>
            </w:r>
          </w:p>
        </w:tc>
        <w:tc>
          <w:tcPr>
            <w:tcW w:w="1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12,448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7,857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19,115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12,277</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7,857</w:t>
            </w: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1"/>
                <w:szCs w:val="21"/>
                <w:color w:val="auto"/>
              </w:rPr>
            </w:pP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180" w:type="dxa"/>
            <w:vAlign w:val="bottom"/>
          </w:tcPr>
          <w:p>
            <w:pPr>
              <w:ind w:left="980"/>
              <w:spacing w:after="0"/>
              <w:rPr>
                <w:sz w:val="20"/>
                <w:szCs w:val="20"/>
                <w:color w:val="auto"/>
              </w:rPr>
            </w:pPr>
            <w:r>
              <w:rPr>
                <w:rFonts w:ascii="Courier New" w:cs="Courier New" w:eastAsia="Courier New" w:hAnsi="Courier New"/>
                <w:sz w:val="15"/>
                <w:szCs w:val="15"/>
                <w:color w:val="auto"/>
              </w:rPr>
              <w:t>CASH AND CASH EQUIVALENTS - END OF PERIOD</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12,448</w:t>
            </w: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1"/>
                <w:szCs w:val="21"/>
                <w:color w:val="auto"/>
              </w:rPr>
            </w:pP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180" w:type="dxa"/>
            <w:vAlign w:val="bottom"/>
          </w:tcPr>
          <w:p>
            <w:pPr>
              <w:ind w:left="440"/>
              <w:spacing w:after="0"/>
              <w:rPr>
                <w:sz w:val="20"/>
                <w:szCs w:val="20"/>
                <w:color w:val="auto"/>
              </w:rPr>
            </w:pPr>
            <w:r>
              <w:rPr>
                <w:rFonts w:ascii="Courier New" w:cs="Courier New" w:eastAsia="Courier New" w:hAnsi="Courier New"/>
                <w:sz w:val="15"/>
                <w:szCs w:val="15"/>
                <w:color w:val="auto"/>
              </w:rPr>
              <w:t>INVESTMENTS IN PROPERTY AND EQUIPMENT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30,612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33,054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17,160</w:t>
            </w:r>
          </w:p>
        </w:tc>
        <w:tc>
          <w:tcPr>
            <w:tcW w:w="0" w:type="dxa"/>
            <w:vAlign w:val="bottom"/>
          </w:tcPr>
          <w:p>
            <w:pPr>
              <w:spacing w:after="0"/>
              <w:rPr>
                <w:sz w:val="1"/>
                <w:szCs w:val="1"/>
                <w:color w:val="auto"/>
              </w:rPr>
            </w:pPr>
          </w:p>
        </w:tc>
      </w:tr>
      <w:tr>
        <w:trPr>
          <w:trHeight w:val="245"/>
        </w:trPr>
        <w:tc>
          <w:tcPr>
            <w:tcW w:w="61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STOCK-BASED COMPENSATION RELATED TO</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180" w:type="dxa"/>
            <w:vAlign w:val="bottom"/>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4,205</w:t>
            </w:r>
          </w:p>
        </w:tc>
        <w:tc>
          <w:tcPr>
            <w:tcW w:w="0" w:type="dxa"/>
            <w:vAlign w:val="bottom"/>
          </w:tcPr>
          <w:p>
            <w:pPr>
              <w:spacing w:after="0"/>
              <w:rPr>
                <w:sz w:val="1"/>
                <w:szCs w:val="1"/>
                <w:color w:val="auto"/>
              </w:rPr>
            </w:pPr>
          </w:p>
        </w:tc>
      </w:tr>
      <w:tr>
        <w:trPr>
          <w:trHeight w:val="168"/>
        </w:trPr>
        <w:tc>
          <w:tcPr>
            <w:tcW w:w="6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FACILITY AGREEMENT WITH THE BANKS</w:t>
            </w:r>
          </w:p>
        </w:tc>
        <w:tc>
          <w:tcPr>
            <w:tcW w:w="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INVESTMENTS IN OTHER ASSETS</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80" w:type="dxa"/>
            <w:vAlign w:val="bottom"/>
            <w:vMerge w:val="continue"/>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3,153</w:t>
            </w: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1"/>
                <w:szCs w:val="21"/>
                <w:color w:val="auto"/>
              </w:rPr>
            </w:pP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180" w:type="dxa"/>
            <w:vAlign w:val="bottom"/>
          </w:tcPr>
          <w:p>
            <w:pPr>
              <w:ind w:left="440"/>
              <w:spacing w:after="0"/>
              <w:rPr>
                <w:sz w:val="20"/>
                <w:szCs w:val="20"/>
                <w:color w:val="auto"/>
              </w:rPr>
            </w:pPr>
            <w:r>
              <w:rPr>
                <w:rFonts w:ascii="Courier New" w:cs="Courier New" w:eastAsia="Courier New" w:hAnsi="Courier New"/>
                <w:sz w:val="15"/>
                <w:szCs w:val="15"/>
                <w:color w:val="auto"/>
              </w:rPr>
              <w:t>CASH PAID DURING THE PERIOD FOR INTEREST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15,674</w:t>
            </w:r>
          </w:p>
        </w:tc>
        <w:tc>
          <w:tcPr>
            <w:tcW w:w="0" w:type="dxa"/>
            <w:vAlign w:val="bottom"/>
          </w:tcPr>
          <w:p>
            <w:pPr>
              <w:spacing w:after="0"/>
              <w:rPr>
                <w:sz w:val="1"/>
                <w:szCs w:val="1"/>
                <w:color w:val="auto"/>
              </w:rPr>
            </w:pPr>
          </w:p>
        </w:tc>
      </w:tr>
      <w:tr>
        <w:trPr>
          <w:trHeight w:val="168"/>
        </w:trPr>
        <w:tc>
          <w:tcPr>
            <w:tcW w:w="61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CASH PAID DURING THE PERIOD FOR INCOME TAXES</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80" w:type="dxa"/>
            <w:vAlign w:val="bottom"/>
            <w:vMerge w:val="continue"/>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w:t>
            </w: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1"/>
                <w:szCs w:val="21"/>
                <w:color w:val="auto"/>
              </w:rPr>
            </w:pP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ectPr>
          <w:pgSz w:w="11900" w:h="16838" w:orient="portrait"/>
          <w:cols w:equalWidth="0" w:num="1">
            <w:col w:w="11540"/>
          </w:cols>
          <w:pgMar w:left="220" w:top="598" w:right="139" w:bottom="0" w:gutter="0" w:footer="0" w:header="0"/>
        </w:sectPr>
      </w:pPr>
    </w:p>
    <w:bookmarkStart w:id="16" w:name="page17"/>
    <w:bookmarkEnd w:id="16"/>
    <w:p>
      <w:pPr>
        <w:ind w:left="2020"/>
        <w:spacing w:after="0"/>
        <w:rPr>
          <w:sz w:val="20"/>
          <w:szCs w:val="20"/>
          <w:color w:val="auto"/>
        </w:rPr>
      </w:pPr>
      <w:r>
        <w:rPr>
          <w:rFonts w:ascii="Courier New" w:cs="Courier New" w:eastAsia="Courier New" w:hAnsi="Courier New"/>
          <w:sz w:val="14"/>
          <w:szCs w:val="14"/>
          <w:color w:val="auto"/>
        </w:rPr>
        <w:t>- 5 -</w:t>
      </w:r>
    </w:p>
    <w:p>
      <w:pPr>
        <w:sectPr>
          <w:pgSz w:w="11900" w:h="16838" w:orient="portrait"/>
          <w:cols w:equalWidth="0" w:num="1">
            <w:col w:w="9019"/>
          </w:cols>
          <w:pgMar w:left="1440" w:top="284" w:right="1440" w:bottom="1440" w:gutter="0" w:footer="0" w:header="0"/>
        </w:sectPr>
      </w:pPr>
    </w:p>
    <w:bookmarkStart w:id="17" w:name="page18"/>
    <w:bookmarkEnd w:id="17"/>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2004</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w:t>
      </w:r>
    </w:p>
    <w:p>
      <w:pPr>
        <w:spacing w:after="0" w:line="166" w:lineRule="exact"/>
        <w:rPr>
          <w:sz w:val="20"/>
          <w:szCs w:val="20"/>
          <w:color w:val="auto"/>
        </w:rPr>
      </w:pPr>
    </w:p>
    <w:p>
      <w:pPr>
        <w:ind w:left="880" w:right="3399" w:hanging="433"/>
        <w:spacing w:after="0" w:line="267"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condensed interim consolidated financial statements as of September 30, 2004 and for the nine months and three months then ended ("interim financial statements") of Tower Semiconductor Ltd.</w:t>
      </w:r>
    </w:p>
    <w:p>
      <w:pPr>
        <w:spacing w:after="0" w:line="1" w:lineRule="exact"/>
        <w:rPr>
          <w:rFonts w:ascii="Courier New" w:cs="Courier New" w:eastAsia="Courier New" w:hAnsi="Courier New"/>
          <w:sz w:val="14"/>
          <w:szCs w:val="14"/>
          <w:color w:val="auto"/>
        </w:rPr>
      </w:pPr>
    </w:p>
    <w:p>
      <w:pPr>
        <w:ind w:left="880" w:right="3239"/>
        <w:spacing w:after="0" w:line="2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subsidiary should be read in conjunction with the audited consolidated financial statements of the Company and subsidiary as of December 31, 2003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73" w:lineRule="exact"/>
        <w:rPr>
          <w:rFonts w:ascii="Courier New" w:cs="Courier New" w:eastAsia="Courier New" w:hAnsi="Courier New"/>
          <w:sz w:val="14"/>
          <w:szCs w:val="14"/>
          <w:color w:val="auto"/>
        </w:rPr>
      </w:pPr>
    </w:p>
    <w:p>
      <w:pPr>
        <w:ind w:left="880" w:right="3239" w:hanging="433"/>
        <w:spacing w:after="0" w:line="26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financial statements have been prepared in conformity with generally accepted accounting principles ("GAAP") in Israel, which, as applicable to these interim financial statements, differ in certain respects from GAAP in the United States of America ("U.S. GAAP"), as indicated in Note 5.</w:t>
      </w:r>
    </w:p>
    <w:p>
      <w:pPr>
        <w:spacing w:after="0" w:line="74" w:lineRule="exact"/>
        <w:rPr>
          <w:rFonts w:ascii="Courier New" w:cs="Courier New" w:eastAsia="Courier New" w:hAnsi="Courier New"/>
          <w:sz w:val="15"/>
          <w:szCs w:val="15"/>
          <w:color w:val="auto"/>
        </w:rPr>
      </w:pPr>
    </w:p>
    <w:p>
      <w:pPr>
        <w:ind w:left="880" w:right="331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principles applied in the preparation of these interim financial statements are consistent with those principles applied in the preparation of the most recent annual audited financial statements.</w:t>
      </w:r>
    </w:p>
    <w:p>
      <w:pPr>
        <w:spacing w:after="0" w:line="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OPERATIONS OF NEW FABRICATION FACILITY</w:t>
      </w:r>
    </w:p>
    <w:p>
      <w:pPr>
        <w:spacing w:after="0" w:line="166" w:lineRule="exact"/>
        <w:rPr>
          <w:rFonts w:ascii="Courier New" w:cs="Courier New" w:eastAsia="Courier New" w:hAnsi="Courier New"/>
          <w:sz w:val="15"/>
          <w:szCs w:val="15"/>
          <w:color w:val="auto"/>
        </w:rPr>
      </w:pPr>
    </w:p>
    <w:p>
      <w:pPr>
        <w:ind w:left="880" w:right="3239"/>
        <w:spacing w:after="0" w:line="27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 200-millimeter wafers. The Company has entered into several related agreements and other arrangements and has completed public and private financing deals, which, as of the approval date of the interim financial statements, have provided an aggregate of $1,226,100 of financing for Fab 2.</w:t>
      </w:r>
    </w:p>
    <w:p>
      <w:pPr>
        <w:spacing w:after="0" w:line="76" w:lineRule="exact"/>
        <w:rPr>
          <w:rFonts w:ascii="Courier New" w:cs="Courier New" w:eastAsia="Courier New" w:hAnsi="Courier New"/>
          <w:sz w:val="15"/>
          <w:szCs w:val="15"/>
          <w:color w:val="auto"/>
        </w:rPr>
      </w:pPr>
    </w:p>
    <w:p>
      <w:pPr>
        <w:ind w:left="880" w:right="331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Fab 2 project is a complex undertaking, which entails substantial risks and uncertainties. For further details concerning the Fab 2 project and related agreements, some of which were amended several times, risks and uncertainties, see Note 13A to the 2003 audited consolidated financial statements. For further details concerning expected non-compliance with certain of the financial ratios and covenants under the Facility Agreement and the Company's plans for settling this non-compliance and its estimation that achieving satisfactory arrangement with the Banks is probable, see Note 3D below.</w:t>
      </w:r>
    </w:p>
    <w:p>
      <w:pPr>
        <w:spacing w:after="0" w:line="87" w:lineRule="exact"/>
        <w:rPr>
          <w:rFonts w:ascii="Courier New" w:cs="Courier New" w:eastAsia="Courier New" w:hAnsi="Courier New"/>
          <w:sz w:val="15"/>
          <w:szCs w:val="15"/>
          <w:color w:val="auto"/>
        </w:rPr>
      </w:pPr>
    </w:p>
    <w:p>
      <w:pPr>
        <w:ind w:left="880" w:right="33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2003, in which Fab 2's construction was substantially completed, the Company began commercial production and shipment of wafers to its customers utilizing the 0.18 micron process technology. With the commencement of Fab 2 operations, the Company began to depreciate and amortize Fab 2 assets, as well as to expense most of the ongoing direct costs related to the construction and equipping of Fab 2 and the transfer of the Fab 2 technology that had been previously capitalized.</w:t>
      </w:r>
    </w:p>
    <w:p>
      <w:pPr>
        <w:spacing w:after="0" w:line="8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766" w:right="1440" w:bottom="1440" w:gutter="0" w:footer="0" w:header="0"/>
        </w:sectPr>
      </w:pPr>
    </w:p>
    <w:bookmarkStart w:id="18" w:name="page19"/>
    <w:bookmarkEnd w:id="18"/>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2004</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MAJOR CUSTOMERS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to major customers as a percentage of total sales were as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62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6"/>
              </w:rPr>
              <w:t>Nine months ended</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September 30,</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2004</w:t>
            </w:r>
          </w:p>
        </w:tc>
        <w:tc>
          <w:tcPr>
            <w:tcW w:w="16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6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w w:val="88"/>
              </w:rPr>
              <w:t>2003</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(unaudited)</w:t>
            </w:r>
          </w:p>
        </w:tc>
        <w:tc>
          <w:tcPr>
            <w:tcW w:w="0" w:type="dxa"/>
            <w:vAlign w:val="bottom"/>
          </w:tcPr>
          <w:p>
            <w:pPr>
              <w:spacing w:after="0"/>
              <w:rPr>
                <w:sz w:val="1"/>
                <w:szCs w:val="1"/>
                <w:color w:val="auto"/>
              </w:rPr>
            </w:pPr>
          </w:p>
        </w:tc>
      </w:tr>
      <w:tr>
        <w:trPr>
          <w:trHeight w:val="259"/>
        </w:trPr>
        <w:tc>
          <w:tcPr>
            <w:tcW w:w="228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620" w:type="dxa"/>
            <w:vAlign w:val="bottom"/>
          </w:tcPr>
          <w:p>
            <w:pPr>
              <w:ind w:left="1280"/>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16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6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D</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16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E</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16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customers (*)</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w:t>
            </w:r>
          </w:p>
        </w:tc>
        <w:tc>
          <w:tcPr>
            <w:tcW w:w="1620" w:type="dxa"/>
            <w:vAlign w:val="bottom"/>
          </w:tcPr>
          <w:p>
            <w:pPr>
              <w:ind w:left="136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left="880" w:right="3239" w:hanging="433"/>
        <w:spacing w:after="0" w:line="298"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sales to three different customers each of whom accounted for between 5% and 8% of sales during the nine months ended September 30, 2004, and to two different customers each of whom accounted for 2% of sales during the nine months ended September 30, 2003.</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w:t>
      </w:r>
    </w:p>
    <w:p>
      <w:pPr>
        <w:spacing w:after="0" w:line="166" w:lineRule="exact"/>
        <w:rPr>
          <w:sz w:val="20"/>
          <w:szCs w:val="20"/>
          <w:color w:val="auto"/>
        </w:rPr>
      </w:pPr>
    </w:p>
    <w:p>
      <w:pPr>
        <w:ind w:left="880" w:right="3839" w:hanging="433"/>
        <w:spacing w:after="0" w:line="34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SHARES ISSUED TO THE PRIMARY WAFER PARTNERS AND EQUITY INVESTORS</w:t>
      </w:r>
    </w:p>
    <w:p>
      <w:pPr>
        <w:spacing w:after="0" w:line="17" w:lineRule="exact"/>
        <w:rPr>
          <w:rFonts w:ascii="Courier New" w:cs="Courier New" w:eastAsia="Courier New" w:hAnsi="Courier New"/>
          <w:sz w:val="15"/>
          <w:szCs w:val="15"/>
          <w:color w:val="auto"/>
        </w:rPr>
      </w:pPr>
    </w:p>
    <w:p>
      <w:pPr>
        <w:ind w:left="88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2004, the primary Wafer Partners and Equity Investors were issued an aggregate of 2,346,786 additional Ordinary Shares of the Company in consideration for their final $16,428 committed investment made in December 2003. The shares were issued at a per share price of $7.00, a price equal to the offering price at the public offering described in Note 4A.</w:t>
      </w:r>
    </w:p>
    <w:p>
      <w:pPr>
        <w:spacing w:after="0" w:line="81"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66" w:lineRule="exact"/>
        <w:rPr>
          <w:rFonts w:ascii="Courier New" w:cs="Courier New" w:eastAsia="Courier New" w:hAnsi="Courier New"/>
          <w:sz w:val="15"/>
          <w:szCs w:val="15"/>
          <w:color w:val="auto"/>
        </w:rPr>
      </w:pPr>
    </w:p>
    <w:p>
      <w:pPr>
        <w:ind w:left="880" w:right="323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Fab 2 approved enterprise program, investments in respect of Fab 2 are to be completed by December 31, 2005, five years from the date the approval certificate was obtained. Due to the later than planned commencement of construction of Fab 2 and prevailing market conditions, the Company does not currently expect to complete Fab 2 investments by the end of 2005. Following the Company's notification to the Investment Center of its revised investment schedule contemplated in an updated plan for the construction and equipping of Fab 2, including, among other matters, its reduced rate of annual investments and lower than projected expectations for Fab 2 sales, the Company received from the Investment Center, in July 2004, an approval to said revised investment schedule.</w:t>
      </w:r>
    </w:p>
    <w:p>
      <w:pPr>
        <w:spacing w:after="0" w:line="24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39"/>
          </w:cols>
          <w:pgMar w:left="220" w:top="766" w:right="1440" w:bottom="1440" w:gutter="0" w:footer="0" w:header="0"/>
        </w:sectPr>
      </w:pPr>
    </w:p>
    <w:bookmarkStart w:id="19" w:name="page20"/>
    <w:bookmarkEnd w:id="19"/>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2004</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 (cont.)</w:t>
      </w:r>
    </w:p>
    <w:p>
      <w:pPr>
        <w:spacing w:after="0" w:line="166"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 (cont.)</w:t>
      </w:r>
    </w:p>
    <w:p>
      <w:pPr>
        <w:spacing w:after="0" w:line="166" w:lineRule="exact"/>
        <w:rPr>
          <w:rFonts w:ascii="Courier New" w:cs="Courier New" w:eastAsia="Courier New" w:hAnsi="Courier New"/>
          <w:sz w:val="15"/>
          <w:szCs w:val="15"/>
          <w:color w:val="auto"/>
        </w:rPr>
      </w:pPr>
    </w:p>
    <w:p>
      <w:pPr>
        <w:ind w:left="880" w:right="3319"/>
        <w:spacing w:after="0" w:line="28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While Israeli law currently limits the ability of the Investment Center to extend the investment period beyond five years, the Company's management estimates, based on discussions held with the Investment Center, that it is probable that satisfactory arrangements will be made to enable the extension of the investment period.</w:t>
      </w:r>
    </w:p>
    <w:p>
      <w:pPr>
        <w:spacing w:after="0" w:line="60" w:lineRule="exact"/>
        <w:rPr>
          <w:rFonts w:ascii="Courier New" w:cs="Courier New" w:eastAsia="Courier New" w:hAnsi="Courier New"/>
          <w:sz w:val="15"/>
          <w:szCs w:val="15"/>
          <w:color w:val="auto"/>
        </w:rPr>
      </w:pPr>
    </w:p>
    <w:p>
      <w:pPr>
        <w:ind w:left="880" w:right="331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approved enterprise program, the Company is eligible to receive grants of 20% of up to $1,250,000 invested in Fab 2 plant and equipment, or an aggregate of up to $250,000, of which as of the balance sheet date, an aggregate of $141,956 has been already received from the Investment Center.</w:t>
      </w:r>
    </w:p>
    <w:p>
      <w:pPr>
        <w:spacing w:after="0" w:line="7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66" w:lineRule="exact"/>
        <w:rPr>
          <w:rFonts w:ascii="Courier New" w:cs="Courier New" w:eastAsia="Courier New" w:hAnsi="Courier New"/>
          <w:sz w:val="15"/>
          <w:szCs w:val="15"/>
          <w:color w:val="auto"/>
        </w:rPr>
      </w:pPr>
    </w:p>
    <w:p>
      <w:pPr>
        <w:ind w:left="88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reported period, the Company entered into hedging transactions, primarily agreements to hedge interest rate exposure on long-term bank loans under the Facility Agreement, in the aggregate amount as of September 30, 2004 of $80,000. As of the balance sheet date, out of the total $497,000 long-term bank loans under that agreement, $292,000 is under hedging transactions.</w:t>
      </w:r>
    </w:p>
    <w:p>
      <w:pPr>
        <w:spacing w:after="0" w:line="81"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 FINANCIAL RATIOS AND COVENANTS</w:t>
      </w:r>
    </w:p>
    <w:p>
      <w:pPr>
        <w:spacing w:after="0" w:line="166" w:lineRule="exact"/>
        <w:rPr>
          <w:rFonts w:ascii="Courier New" w:cs="Courier New" w:eastAsia="Courier New" w:hAnsi="Courier New"/>
          <w:sz w:val="15"/>
          <w:szCs w:val="15"/>
          <w:color w:val="auto"/>
        </w:rPr>
      </w:pPr>
    </w:p>
    <w:p>
      <w:pPr>
        <w:ind w:left="880" w:right="323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According to the Facility Agreement with the Banks, the Company is obligated to comply with certain financial ratios and covenants. As of the balance sheet date, the Company was in full compliance with all these financial ratios and covenants. Due to the recent and current slow-down in the semiconductor markets, management currently estimates that the Company may not comply with certain of the financial ratios and covenants. The Company is currently in the process of preparing an updated working-plan for 2005 for Fab 2, which will be based on prevailing and the Company's forecast of market conditions. Accordingly, if required, management intends to request its Banks to agree to amend the financial ratios and covenants in order to align them with the updated Fab 2 working-plan for 2005. Management estimates that it is probable that satisfactory arrangements with the Banks will be achieved. According to the Facility Agreement, satisfying the financial ratios and covenants is a material provision. Achieving arrangements with the Banks is material for the continuation of equipping, operating and construction of Fab 2.</w:t>
      </w:r>
    </w:p>
    <w:p>
      <w:pPr>
        <w:spacing w:after="0" w:line="84" w:lineRule="exact"/>
        <w:rPr>
          <w:rFonts w:ascii="Courier New" w:cs="Courier New" w:eastAsia="Courier New" w:hAnsi="Courier New"/>
          <w:sz w:val="15"/>
          <w:szCs w:val="15"/>
          <w:color w:val="auto"/>
        </w:rPr>
      </w:pPr>
    </w:p>
    <w:p>
      <w:pPr>
        <w:ind w:left="880" w:right="3239"/>
        <w:spacing w:after="0" w:line="27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Facility Agreement provides that if, as a result of any default, the Banks were to accelerate the Company's obligations, the Company would be obligated, among other matters, to immediately repay all loans made by the Banks (which as of the balance sheet date amounted to $497,000), and the Banks would be entitled to exercise the remedies available to them under the Facility Agreement, including enforcement of their lien against all the Company's assets.</w:t>
      </w:r>
    </w:p>
    <w:p>
      <w:pPr>
        <w:spacing w:after="0" w:line="2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766" w:right="1440" w:bottom="1440" w:gutter="0" w:footer="0" w:header="0"/>
        </w:sectPr>
      </w:pPr>
    </w:p>
    <w:bookmarkStart w:id="20" w:name="page21"/>
    <w:bookmarkEnd w:id="20"/>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2004</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OTHER RECENT DEVELOPMENTS</w:t>
      </w:r>
    </w:p>
    <w:p>
      <w:pPr>
        <w:spacing w:after="0" w:line="166" w:lineRule="exact"/>
        <w:rPr>
          <w:sz w:val="20"/>
          <w:szCs w:val="20"/>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OFFERING COMPLETED IN THE FIRST QUARTER OF 2004</w:t>
      </w:r>
    </w:p>
    <w:p>
      <w:pPr>
        <w:spacing w:after="0" w:line="166" w:lineRule="exact"/>
        <w:rPr>
          <w:rFonts w:ascii="Courier New" w:cs="Courier New" w:eastAsia="Courier New" w:hAnsi="Courier New"/>
          <w:sz w:val="15"/>
          <w:szCs w:val="15"/>
          <w:color w:val="auto"/>
        </w:rPr>
      </w:pPr>
    </w:p>
    <w:p>
      <w:pPr>
        <w:ind w:left="88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first quarter of 2004, the Company completed a public offering of its Ordinary Shares at a price of $7.00 per share. Following the offering, and including the partial exercise of an over-allotment option the Company granted the underwriters, the Company issued 11,444,500 of its Ordinary Shares, in consideration for gross proceeds of $80,112 (net of related costs - $75,086).</w:t>
      </w:r>
    </w:p>
    <w:p>
      <w:pPr>
        <w:spacing w:after="0" w:line="81"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SILICONIX</w:t>
      </w:r>
    </w:p>
    <w:p>
      <w:pPr>
        <w:spacing w:after="0" w:line="166" w:lineRule="exact"/>
        <w:rPr>
          <w:rFonts w:ascii="Courier New" w:cs="Courier New" w:eastAsia="Courier New" w:hAnsi="Courier New"/>
          <w:sz w:val="15"/>
          <w:szCs w:val="15"/>
          <w:color w:val="auto"/>
        </w:rPr>
      </w:pPr>
    </w:p>
    <w:p>
      <w:pPr>
        <w:ind w:left="880" w:right="323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2004, the Company and chip maker Siliconix incorporated, an 80% owned subsidiary of Vishay Intertechnology Inc., entered into a definitive long-term foundry agreement for semiconductor manufacturing. Pursuant to the agreement, Siliconix will place with the Company orders valued at approximately $200,000 for the purchase of wafers to be manufactured in the Company's Fab 1 over a seven to ten year period. Approximately $53,000 of that amount will be delivered over an initial three year period starting after the completion of the transfer of Siliconix's technology to Fab 1. According to the agreement, in August 2004 Siliconix advanced the Company $20,000 to be used primarily for the purchase of additional equipment required to satisfy Siliconix's orders. The advanced amount will be credited towards the purchase price of wafers. The unused remaining balance of the $20,000 ($18,352 as of September 30, 2004) is included in designated cash and short-term interest-bearing deposits in the consolidated balance sheet.</w:t>
      </w:r>
    </w:p>
    <w:p>
      <w:pPr>
        <w:spacing w:after="0" w:line="95"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66" w:lineRule="exact"/>
        <w:rPr>
          <w:rFonts w:ascii="Courier New" w:cs="Courier New" w:eastAsia="Courier New" w:hAnsi="Courier New"/>
          <w:sz w:val="15"/>
          <w:szCs w:val="15"/>
          <w:color w:val="auto"/>
        </w:rPr>
      </w:pPr>
    </w:p>
    <w:p>
      <w:pPr>
        <w:ind w:left="880" w:right="323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2004, the United States District Court dismissed the class action filed by certain of the Company's shareholders in the United States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In September 2004, one of the lead plaintiffs filed a notice of appeal of the decision dismissing the complaint. As of the approval date of the interim financial statements such an appeal was not submitted. The Company believes that the complaint is without merit and is vigorously contesting it.</w:t>
      </w:r>
    </w:p>
    <w:p>
      <w:pPr>
        <w:spacing w:after="0" w:line="200" w:lineRule="exact"/>
        <w:rPr>
          <w:rFonts w:ascii="Courier New" w:cs="Courier New" w:eastAsia="Courier New" w:hAnsi="Courier New"/>
          <w:sz w:val="15"/>
          <w:szCs w:val="15"/>
          <w:color w:val="auto"/>
        </w:rPr>
      </w:pPr>
    </w:p>
    <w:p>
      <w:pPr>
        <w:spacing w:after="0" w:line="21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39"/>
          </w:cols>
          <w:pgMar w:left="220" w:top="766" w:right="1440" w:bottom="1440" w:gutter="0" w:footer="0" w:header="0"/>
        </w:sectPr>
      </w:pPr>
    </w:p>
    <w:bookmarkStart w:id="21" w:name="page22"/>
    <w:bookmarkEnd w:id="21"/>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2004</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OTHER RECENT DEVELOPMENTS (cont.)</w:t>
      </w:r>
    </w:p>
    <w:p>
      <w:pPr>
        <w:spacing w:after="0" w:line="166"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66" w:lineRule="exact"/>
        <w:rPr>
          <w:rFonts w:ascii="Courier New" w:cs="Courier New" w:eastAsia="Courier New" w:hAnsi="Courier New"/>
          <w:sz w:val="15"/>
          <w:szCs w:val="15"/>
          <w:color w:val="auto"/>
        </w:rPr>
      </w:pPr>
    </w:p>
    <w:p>
      <w:pPr>
        <w:ind w:left="1320" w:right="3499" w:hanging="436"/>
        <w:spacing w:after="0" w:line="273" w:lineRule="auto"/>
        <w:tabs>
          <w:tab w:leader="none" w:pos="13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SHARE OPTION PLANS - The net increase to the total outstanding options under the Company's various employee share option plans during the nine-month period ended September 30, 2004, amounted to 1,322,296 options.</w:t>
      </w:r>
    </w:p>
    <w:p>
      <w:pPr>
        <w:spacing w:after="0" w:line="67" w:lineRule="exact"/>
        <w:rPr>
          <w:rFonts w:ascii="Courier New" w:cs="Courier New" w:eastAsia="Courier New" w:hAnsi="Courier New"/>
          <w:sz w:val="15"/>
          <w:szCs w:val="15"/>
          <w:color w:val="auto"/>
        </w:rPr>
      </w:pPr>
    </w:p>
    <w:p>
      <w:pPr>
        <w:ind w:left="1320" w:right="3239" w:hanging="436"/>
        <w:spacing w:after="0" w:line="245" w:lineRule="auto"/>
        <w:tabs>
          <w:tab w:leader="none" w:pos="13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FOR DIRECTORS - As of the approval date of the interim financial statements, the Audit Committee and the Board of Directors of the Company approved a new share option plan pursuant to which the Company's directors may be granted options to purchase up to 2,600,000 Ordinary Shares of the Company. The plan calls for initial grants of 40,000 options to each new director appointed to the Board of Directors following September 2004, and additional grants of 20,000 options per annum to each member of the Board of Directors, shall be made. According to the plan the exercise price will be equal to the market price of the Company's shares on each grant date. Options granted under the plan will vest twelve months after the date of grant and will be exercisable for a period that ends at the earlier of ten years from the date of grant or three years after termination of service.</w:t>
      </w:r>
    </w:p>
    <w:p>
      <w:pPr>
        <w:spacing w:after="0" w:line="89" w:lineRule="exact"/>
        <w:rPr>
          <w:rFonts w:ascii="Courier New" w:cs="Courier New" w:eastAsia="Courier New" w:hAnsi="Courier New"/>
          <w:sz w:val="15"/>
          <w:szCs w:val="15"/>
          <w:color w:val="auto"/>
        </w:rPr>
      </w:pPr>
    </w:p>
    <w:p>
      <w:pPr>
        <w:ind w:left="1320" w:right="3319"/>
        <w:spacing w:after="0" w:line="27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the approval date of the interim financial statements, the Board of Directors of the Company approved an extension of the exercise period of the outstanding options held by directors of the Company under the existing directors' share option plan (280,000 options), in the case of a director's termination of service from the Board of Directors. The exercise period was extended from ninety days following the date of termination to three years following the date of termination.</w:t>
      </w:r>
    </w:p>
    <w:p>
      <w:pPr>
        <w:spacing w:after="0" w:line="70" w:lineRule="exact"/>
        <w:rPr>
          <w:rFonts w:ascii="Courier New" w:cs="Courier New" w:eastAsia="Courier New" w:hAnsi="Courier New"/>
          <w:sz w:val="15"/>
          <w:szCs w:val="15"/>
          <w:color w:val="auto"/>
        </w:rPr>
      </w:pPr>
    </w:p>
    <w:p>
      <w:pPr>
        <w:ind w:left="1320" w:right="3579"/>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new directors' share option plan and the extension of the existing plan are subject to the approval of the Company's shareholders.</w:t>
      </w:r>
    </w:p>
    <w:p>
      <w:pPr>
        <w:spacing w:after="0" w:line="5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ORDINARY SHARES</w:t>
      </w:r>
    </w:p>
    <w:p>
      <w:pPr>
        <w:spacing w:after="0" w:line="166" w:lineRule="exact"/>
        <w:rPr>
          <w:rFonts w:ascii="Courier New" w:cs="Courier New" w:eastAsia="Courier New" w:hAnsi="Courier New"/>
          <w:sz w:val="15"/>
          <w:szCs w:val="15"/>
          <w:color w:val="auto"/>
        </w:rPr>
      </w:pPr>
    </w:p>
    <w:p>
      <w:pPr>
        <w:ind w:left="880" w:right="331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2004, the Board of Directors of the Company approved an increase in the Company's authorized ordinary shares from 150,000,000 shares to 250,000,000 shares. The increase is subject to the approval of the Company's shareholders.</w:t>
      </w:r>
    </w:p>
    <w:p>
      <w:pPr>
        <w:spacing w:after="0" w:line="236"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39"/>
          </w:cols>
          <w:pgMar w:left="220" w:top="598" w:right="1440" w:bottom="1440" w:gutter="0" w:footer="0" w:header="0"/>
        </w:sectPr>
      </w:pPr>
    </w:p>
    <w:bookmarkStart w:id="22" w:name="page23"/>
    <w:bookmarkEnd w:id="22"/>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2004</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w:t>
      </w:r>
    </w:p>
    <w:p>
      <w:pPr>
        <w:spacing w:after="0" w:line="166" w:lineRule="exact"/>
        <w:rPr>
          <w:sz w:val="20"/>
          <w:szCs w:val="20"/>
          <w:color w:val="auto"/>
        </w:rPr>
      </w:pPr>
    </w:p>
    <w:p>
      <w:pPr>
        <w:ind w:left="440" w:right="3239"/>
        <w:spacing w:after="0" w:line="273" w:lineRule="auto"/>
        <w:rPr>
          <w:sz w:val="20"/>
          <w:szCs w:val="20"/>
          <w:color w:val="auto"/>
        </w:rPr>
      </w:pPr>
      <w:r>
        <w:rPr>
          <w:rFonts w:ascii="Courier New" w:cs="Courier New" w:eastAsia="Courier New" w:hAnsi="Courier New"/>
          <w:sz w:val="15"/>
          <w:szCs w:val="15"/>
          <w:color w:val="auto"/>
        </w:rPr>
        <w:t>With regard to the Company's interim financial statements, the material differences between GAAP in Israel and in the U.S. relate to the following. See G below for the presentation of the Company's unaudited balance sheet as of September 30, 2004 in accordance with U.S. GAAP.</w:t>
      </w:r>
    </w:p>
    <w:p>
      <w:pPr>
        <w:spacing w:after="0" w:line="68" w:lineRule="exact"/>
        <w:rPr>
          <w:sz w:val="20"/>
          <w:szCs w:val="20"/>
          <w:color w:val="auto"/>
        </w:rPr>
      </w:pPr>
    </w:p>
    <w:p>
      <w:pPr>
        <w:ind w:left="880" w:right="4099" w:hanging="433"/>
        <w:spacing w:after="0" w:line="344"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DESIGNATED CASH AND SHORT-TERM AND LONG-TERM INTEREST-BEARING DEPOSITS</w:t>
      </w:r>
    </w:p>
    <w:p>
      <w:pPr>
        <w:spacing w:after="0" w:line="17"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the Company's designated cash, short-term and long-term interest-bearing deposits should be excluded from current assets and long-term investments and presented separately as a non-current asset. Accordingly, as of September 30, 2004, $36,576 and $4,934 were reclassified, respectively, from current assets and long-term investments to a long-term asset (as of December 31, 2003 - $44,042 and $4,848, respectively).</w:t>
      </w:r>
    </w:p>
    <w:p>
      <w:pPr>
        <w:spacing w:after="0" w:line="81"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66" w:lineRule="exact"/>
        <w:rPr>
          <w:rFonts w:ascii="Courier New" w:cs="Courier New" w:eastAsia="Courier New" w:hAnsi="Courier New"/>
          <w:sz w:val="15"/>
          <w:szCs w:val="15"/>
          <w:color w:val="auto"/>
        </w:rPr>
      </w:pPr>
    </w:p>
    <w:p>
      <w:pPr>
        <w:ind w:left="88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as of September 30, 2004 an amount of $16,553 was reclassified from other long-term liabilities to long-term investments (as of December 31, 2003 - $14,607).</w:t>
      </w:r>
    </w:p>
    <w:p>
      <w:pPr>
        <w:spacing w:after="0" w:line="81"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66" w:lineRule="exact"/>
        <w:rPr>
          <w:rFonts w:ascii="Courier New" w:cs="Courier New" w:eastAsia="Courier New" w:hAnsi="Courier New"/>
          <w:sz w:val="15"/>
          <w:szCs w:val="15"/>
          <w:color w:val="auto"/>
        </w:rPr>
      </w:pPr>
    </w:p>
    <w:p>
      <w:pPr>
        <w:ind w:left="880" w:right="32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September 30, 2004 would have resulted in: an increase in other long-term liabilities in the amount of $6,282; a decrease in other comprehensive loss for the nine months ended September 30, 2004 in the net amount of $4,634; an accumulated other comprehensive loss component of equity balance as of September 30, 2004 in the amount of $11,263; and in a decrease of $4,951 in property and equipment, net as of September 30, 2004.</w:t>
      </w:r>
    </w:p>
    <w:p>
      <w:pPr>
        <w:spacing w:after="0" w:line="200" w:lineRule="exact"/>
        <w:rPr>
          <w:rFonts w:ascii="Courier New" w:cs="Courier New" w:eastAsia="Courier New" w:hAnsi="Courier New"/>
          <w:sz w:val="15"/>
          <w:szCs w:val="15"/>
          <w:color w:val="auto"/>
        </w:rPr>
      </w:pPr>
    </w:p>
    <w:p>
      <w:pPr>
        <w:spacing w:after="0" w:line="22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766" w:right="1440" w:bottom="1440" w:gutter="0" w:footer="0" w:header="0"/>
        </w:sectPr>
      </w:pPr>
    </w:p>
    <w:bookmarkStart w:id="23" w:name="page24"/>
    <w:bookmarkEnd w:id="23"/>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2004</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66" w:lineRule="exact"/>
        <w:rPr>
          <w:rFonts w:ascii="Courier New" w:cs="Courier New" w:eastAsia="Courier New" w:hAnsi="Courier New"/>
          <w:sz w:val="15"/>
          <w:szCs w:val="15"/>
          <w:color w:val="auto"/>
        </w:rPr>
      </w:pPr>
    </w:p>
    <w:p>
      <w:pPr>
        <w:ind w:left="880" w:right="331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through September 30, 2004 in accordance with SFAS 123, as amended by SFAS 148, the Company's pro forma loss and loss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20" w:type="dxa"/>
            <w:vAlign w:val="bottom"/>
            <w:gridSpan w:val="3"/>
          </w:tcPr>
          <w:p>
            <w:pPr>
              <w:jc w:val="right"/>
              <w:ind w:right="567"/>
              <w:spacing w:after="0"/>
              <w:rPr>
                <w:sz w:val="20"/>
                <w:szCs w:val="20"/>
                <w:color w:val="auto"/>
              </w:rPr>
            </w:pPr>
            <w:r>
              <w:rPr>
                <w:rFonts w:ascii="Courier New" w:cs="Courier New" w:eastAsia="Courier New" w:hAnsi="Courier New"/>
                <w:sz w:val="15"/>
                <w:szCs w:val="15"/>
                <w:color w:val="auto"/>
              </w:rPr>
              <w:t>Nine months ended</w:t>
            </w:r>
          </w:p>
        </w:tc>
        <w:tc>
          <w:tcPr>
            <w:tcW w:w="440" w:type="dxa"/>
            <w:vAlign w:val="bottom"/>
          </w:tcPr>
          <w:p>
            <w:pPr>
              <w:spacing w:after="0"/>
              <w:rPr>
                <w:sz w:val="14"/>
                <w:szCs w:val="14"/>
                <w:color w:val="auto"/>
              </w:rPr>
            </w:pPr>
          </w:p>
        </w:tc>
        <w:tc>
          <w:tcPr>
            <w:tcW w:w="22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2960" w:type="dxa"/>
            <w:vAlign w:val="bottom"/>
            <w:gridSpan w:val="4"/>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6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20" w:type="dxa"/>
            <w:vAlign w:val="bottom"/>
            <w:gridSpan w:val="3"/>
          </w:tcPr>
          <w:p>
            <w:pPr>
              <w:jc w:val="right"/>
              <w:ind w:right="827"/>
              <w:spacing w:after="0" w:line="168" w:lineRule="exact"/>
              <w:rPr>
                <w:sz w:val="20"/>
                <w:szCs w:val="20"/>
                <w:color w:val="auto"/>
              </w:rPr>
            </w:pPr>
            <w:r>
              <w:rPr>
                <w:rFonts w:ascii="Courier New" w:cs="Courier New" w:eastAsia="Courier New" w:hAnsi="Courier New"/>
                <w:sz w:val="15"/>
                <w:szCs w:val="15"/>
                <w:color w:val="auto"/>
              </w:rPr>
              <w:t>September 30,</w:t>
            </w:r>
          </w:p>
        </w:tc>
        <w:tc>
          <w:tcPr>
            <w:tcW w:w="44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2960" w:type="dxa"/>
            <w:vAlign w:val="bottom"/>
            <w:gridSpan w:val="4"/>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6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2004</w:t>
            </w:r>
          </w:p>
        </w:tc>
        <w:tc>
          <w:tcPr>
            <w:tcW w:w="440" w:type="dxa"/>
            <w:vAlign w:val="bottom"/>
          </w:tcPr>
          <w:p>
            <w:pPr>
              <w:spacing w:after="0"/>
              <w:rPr>
                <w:sz w:val="14"/>
                <w:szCs w:val="14"/>
                <w:color w:val="auto"/>
              </w:rPr>
            </w:pPr>
          </w:p>
        </w:tc>
        <w:tc>
          <w:tcPr>
            <w:tcW w:w="10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1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2004</w:t>
            </w:r>
          </w:p>
        </w:tc>
        <w:tc>
          <w:tcPr>
            <w:tcW w:w="4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2003</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 as reported</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according to U.S. GAAP</w:t>
            </w:r>
          </w:p>
        </w:tc>
        <w:tc>
          <w:tcPr>
            <w:tcW w:w="148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$(114,435)</w:t>
            </w:r>
          </w:p>
        </w:tc>
        <w:tc>
          <w:tcPr>
            <w:tcW w:w="148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 (68,266)</w:t>
            </w:r>
          </w:p>
        </w:tc>
        <w:tc>
          <w:tcPr>
            <w:tcW w:w="1500" w:type="dxa"/>
            <w:vAlign w:val="bottom"/>
            <w:gridSpan w:val="2"/>
            <w:vMerge w:val="restart"/>
          </w:tcPr>
          <w:p>
            <w:pPr>
              <w:jc w:val="right"/>
              <w:ind w:right="247"/>
              <w:spacing w:after="0"/>
              <w:rPr>
                <w:sz w:val="20"/>
                <w:szCs w:val="20"/>
                <w:color w:val="auto"/>
              </w:rPr>
            </w:pPr>
            <w:r>
              <w:rPr>
                <w:rFonts w:ascii="Courier New" w:cs="Courier New" w:eastAsia="Courier New" w:hAnsi="Courier New"/>
                <w:sz w:val="15"/>
                <w:szCs w:val="15"/>
                <w:color w:val="auto"/>
              </w:rPr>
              <w:t>$ (39,412)</w:t>
            </w:r>
          </w:p>
        </w:tc>
        <w:tc>
          <w:tcPr>
            <w:tcW w:w="11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(37,086)</w:t>
            </w:r>
          </w:p>
        </w:tc>
        <w:tc>
          <w:tcPr>
            <w:tcW w:w="0" w:type="dxa"/>
            <w:vAlign w:val="bottom"/>
          </w:tcPr>
          <w:p>
            <w:pPr>
              <w:spacing w:after="0"/>
              <w:rPr>
                <w:sz w:val="1"/>
                <w:szCs w:val="1"/>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(see H below)</w:t>
            </w:r>
          </w:p>
        </w:tc>
        <w:tc>
          <w:tcPr>
            <w:tcW w:w="148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stock-based compensation</w:t>
            </w:r>
          </w:p>
        </w:tc>
        <w:tc>
          <w:tcPr>
            <w:tcW w:w="440" w:type="dxa"/>
            <w:vAlign w:val="bottom"/>
          </w:tcPr>
          <w:p>
            <w:pPr>
              <w:spacing w:after="0"/>
              <w:rPr>
                <w:sz w:val="14"/>
                <w:szCs w:val="14"/>
                <w:color w:val="auto"/>
              </w:rPr>
            </w:pP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27</w:t>
            </w:r>
          </w:p>
        </w:tc>
        <w:tc>
          <w:tcPr>
            <w:tcW w:w="440" w:type="dxa"/>
            <w:vAlign w:val="bottom"/>
          </w:tcPr>
          <w:p>
            <w:pPr>
              <w:spacing w:after="0"/>
              <w:rPr>
                <w:sz w:val="14"/>
                <w:szCs w:val="14"/>
                <w:color w:val="auto"/>
              </w:rPr>
            </w:pP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determined under APB 25</w:t>
            </w: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440" w:type="dxa"/>
            <w:vAlign w:val="bottom"/>
          </w:tcPr>
          <w:p>
            <w:pPr>
              <w:spacing w:after="0"/>
              <w:rPr>
                <w:sz w:val="14"/>
                <w:szCs w:val="14"/>
                <w:color w:val="auto"/>
              </w:rPr>
            </w:pP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(3,584)</w:t>
            </w:r>
          </w:p>
        </w:tc>
        <w:tc>
          <w:tcPr>
            <w:tcW w:w="440" w:type="dxa"/>
            <w:vAlign w:val="bottom"/>
          </w:tcPr>
          <w:p>
            <w:pPr>
              <w:spacing w:after="0"/>
              <w:rPr>
                <w:sz w:val="14"/>
                <w:szCs w:val="14"/>
                <w:color w:val="auto"/>
              </w:rPr>
            </w:pP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(7,276)</w:t>
            </w:r>
          </w:p>
        </w:tc>
        <w:tc>
          <w:tcPr>
            <w:tcW w:w="440" w:type="dxa"/>
            <w:vAlign w:val="bottom"/>
          </w:tcPr>
          <w:p>
            <w:pPr>
              <w:spacing w:after="0"/>
              <w:rPr>
                <w:sz w:val="14"/>
                <w:szCs w:val="14"/>
                <w:color w:val="auto"/>
              </w:rPr>
            </w:pP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(1,261)</w:t>
            </w:r>
          </w:p>
        </w:tc>
        <w:tc>
          <w:tcPr>
            <w:tcW w:w="4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(1,587)</w:t>
            </w:r>
          </w:p>
        </w:tc>
        <w:tc>
          <w:tcPr>
            <w:tcW w:w="0" w:type="dxa"/>
            <w:vAlign w:val="bottom"/>
          </w:tcPr>
          <w:p>
            <w:pPr>
              <w:spacing w:after="0"/>
              <w:rPr>
                <w:sz w:val="1"/>
                <w:szCs w:val="1"/>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loss</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20" w:type="dxa"/>
            <w:vAlign w:val="bottom"/>
            <w:vMerge w:val="continue"/>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$(118,019)</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(75,515)</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(40,673)</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(38,673)</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4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 according to U.S.</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(1.78)</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(1.49)</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(0.60)</w:t>
            </w:r>
          </w:p>
        </w:tc>
        <w:tc>
          <w:tcPr>
            <w:tcW w:w="4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(0.77)</w:t>
            </w:r>
          </w:p>
        </w:tc>
        <w:tc>
          <w:tcPr>
            <w:tcW w:w="0" w:type="dxa"/>
            <w:vAlign w:val="bottom"/>
          </w:tcPr>
          <w:p>
            <w:pPr>
              <w:spacing w:after="0"/>
              <w:rPr>
                <w:sz w:val="1"/>
                <w:szCs w:val="1"/>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GAAP (see I below)</w:t>
            </w: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20" w:type="dxa"/>
            <w:vAlign w:val="bottom"/>
            <w:vMerge w:val="continue"/>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(0.62)</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(0.80)</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4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39"/>
          </w:cols>
          <w:pgMar w:left="220" w:top="934" w:right="1440" w:bottom="1440" w:gutter="0" w:footer="0" w:header="0"/>
        </w:sectPr>
      </w:pPr>
    </w:p>
    <w:bookmarkStart w:id="24" w:name="page25"/>
    <w:bookmarkEnd w:id="24"/>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2004</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66" w:lineRule="exact"/>
        <w:rPr>
          <w:rFonts w:ascii="Courier New" w:cs="Courier New" w:eastAsia="Courier New" w:hAnsi="Courier New"/>
          <w:sz w:val="15"/>
          <w:szCs w:val="15"/>
          <w:color w:val="auto"/>
        </w:rPr>
      </w:pPr>
    </w:p>
    <w:p>
      <w:pPr>
        <w:ind w:left="880" w:right="323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September 30, 2004 and December 31, 2003 in the amount of $2,363 (net of $196 related issuance expenses), and a decrease in convertible debentures as of such dates in the amount of $2,559. The effect of amortization of the discount on the convertible debentures under U.S.GAAP for the nine-month and three-month periods ended September 30, 2004 would have been immaterial.</w:t>
      </w:r>
    </w:p>
    <w:p>
      <w:pPr>
        <w:spacing w:after="0" w:line="78" w:lineRule="exact"/>
        <w:rPr>
          <w:rFonts w:ascii="Courier New" w:cs="Courier New" w:eastAsia="Courier New" w:hAnsi="Courier New"/>
          <w:sz w:val="15"/>
          <w:szCs w:val="15"/>
          <w:color w:val="auto"/>
        </w:rPr>
      </w:pPr>
    </w:p>
    <w:p>
      <w:pPr>
        <w:ind w:left="880" w:right="3319" w:hanging="433"/>
        <w:spacing w:after="0" w:line="344"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PROCEEDS ON ACCOUNT OF SHARES IN ACCORDANCE WITH U.S. GAAP (SFAS 150)</w:t>
      </w:r>
    </w:p>
    <w:p>
      <w:pPr>
        <w:spacing w:after="0" w:line="17" w:lineRule="exact"/>
        <w:rPr>
          <w:rFonts w:ascii="Courier New" w:cs="Courier New" w:eastAsia="Courier New" w:hAnsi="Courier New"/>
          <w:sz w:val="15"/>
          <w:szCs w:val="15"/>
          <w:color w:val="auto"/>
        </w:rPr>
      </w:pPr>
    </w:p>
    <w:p>
      <w:pPr>
        <w:ind w:left="880" w:right="323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According to SFAS No. 150, "Accounting For Certain Financial Instruments with Characteristics of Both Liabilities and Equity", a financial instrument that embodies an unconditional obligation (as defined in that guidance), that the issuer must or may settle by issuing a variable number of its equity shares, shall be classified as a liability if, at inception, the monetary value of the obligation is based solely or predominantly on, among other matters, a fixed monetary amount known at inception. Accordingly, the $16,428 described in Note 3A, and which according to Israeli GAAP was presented as of December 31, 2003 as "Proceeds on account of share capital", were reclassified as of December 31, 2003 under SFAS 150 as "Liability in respect of variable number of shares to be issued". Such presentation for U.S. GAAP purposes was required since as of December 31, 2003, the amount of shares the Company was to issue in consideration of the aggregate of $16,428 was not determined as of such date, and was actually based on mechanisms that embody a variable number of shares. Following the issuance of shares, as described in Note 3A, the $16,428 amount is presented for U.S. GAAP purposes as well as paid in equity.</w:t>
      </w:r>
    </w:p>
    <w:p>
      <w:pPr>
        <w:spacing w:after="0" w:line="200" w:lineRule="exact"/>
        <w:rPr>
          <w:rFonts w:ascii="Courier New" w:cs="Courier New" w:eastAsia="Courier New" w:hAnsi="Courier New"/>
          <w:sz w:val="15"/>
          <w:szCs w:val="15"/>
          <w:color w:val="auto"/>
        </w:rPr>
      </w:pPr>
    </w:p>
    <w:p>
      <w:pPr>
        <w:spacing w:after="0" w:line="21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39"/>
          </w:cols>
          <w:pgMar w:left="220" w:top="934" w:right="1440" w:bottom="1440" w:gutter="0" w:footer="0" w:header="0"/>
        </w:sectPr>
      </w:pPr>
    </w:p>
    <w:bookmarkStart w:id="25" w:name="page26"/>
    <w:bookmarkEnd w:id="25"/>
    <w:p>
      <w:pPr>
        <w:spacing w:after="0" w:line="16"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4280"/>
        <w:spacing w:after="0" w:line="237" w:lineRule="auto"/>
        <w:rPr>
          <w:sz w:val="20"/>
          <w:szCs w:val="20"/>
          <w:color w:val="auto"/>
        </w:rPr>
      </w:pPr>
      <w:r>
        <w:rPr>
          <w:rFonts w:ascii="Courier New" w:cs="Courier New" w:eastAsia="Courier New" w:hAnsi="Courier New"/>
          <w:sz w:val="15"/>
          <w:szCs w:val="15"/>
          <w:color w:val="auto"/>
        </w:rPr>
        <w:t>FINANCIAL STATEMENTS AS OF SEPTEMBER 30, 2004</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G.</w:t>
        <w:tab/>
        <w:t>BALANCE SHEETS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rPr>
              <w:t>AS OF SEPTEMBER 30, 2004</w:t>
            </w:r>
          </w:p>
        </w:tc>
        <w:tc>
          <w:tcPr>
            <w:tcW w:w="120" w:type="dxa"/>
            <w:vAlign w:val="bottom"/>
          </w:tcPr>
          <w:p>
            <w:pPr>
              <w:spacing w:after="0"/>
              <w:rPr>
                <w:sz w:val="14"/>
                <w:szCs w:val="14"/>
                <w:color w:val="auto"/>
              </w:rPr>
            </w:pPr>
          </w:p>
        </w:tc>
        <w:tc>
          <w:tcPr>
            <w:tcW w:w="272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AS OF DECEMBER 31, 2003</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320" w:type="dxa"/>
            <w:vAlign w:val="bottom"/>
            <w:vMerge w:val="restart"/>
          </w:tcPr>
          <w:p>
            <w:pPr>
              <w:jc w:val="center"/>
              <w:ind w:left="267"/>
              <w:spacing w:after="0"/>
              <w:rPr>
                <w:sz w:val="20"/>
                <w:szCs w:val="20"/>
                <w:color w:val="auto"/>
              </w:rPr>
            </w:pPr>
            <w:r>
              <w:rPr>
                <w:rFonts w:ascii="Courier New" w:cs="Courier New" w:eastAsia="Courier New" w:hAnsi="Courier New"/>
                <w:sz w:val="15"/>
                <w:szCs w:val="15"/>
                <w:color w:val="auto"/>
                <w:w w:val="94"/>
              </w:rPr>
              <w:t>U.S.</w:t>
            </w:r>
          </w:p>
        </w:tc>
        <w:tc>
          <w:tcPr>
            <w:tcW w:w="120" w:type="dxa"/>
            <w:vAlign w:val="bottom"/>
          </w:tcPr>
          <w:p>
            <w:pPr>
              <w:ind w:left="40"/>
              <w:spacing w:after="0"/>
              <w:rPr>
                <w:sz w:val="20"/>
                <w:szCs w:val="20"/>
                <w:color w:val="auto"/>
              </w:rPr>
            </w:pPr>
            <w:r>
              <w:rPr>
                <w:rFonts w:ascii="Courier New" w:cs="Courier New" w:eastAsia="Courier New" w:hAnsi="Courier New"/>
                <w:sz w:val="1"/>
                <w:szCs w:val="1"/>
                <w:color w:val="auto"/>
                <w:w w:val="31"/>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2"/>
              </w:rPr>
              <w:t>AS PER</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6"/>
              </w:rPr>
              <w:t>AS PER</w:t>
            </w:r>
          </w:p>
        </w:tc>
        <w:tc>
          <w:tcPr>
            <w:tcW w:w="28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ADJUST-</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AS PER</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ADJUST-</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AS PER</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3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4"/>
              </w:rPr>
              <w:t>GAAP</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ISRAELI</w:t>
            </w: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U.S.</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ISRAELI</w:t>
            </w: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U.S.</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3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REMARK</w:t>
            </w:r>
          </w:p>
        </w:tc>
        <w:tc>
          <w:tcPr>
            <w:tcW w:w="1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MENTS</w:t>
            </w:r>
          </w:p>
        </w:tc>
        <w:tc>
          <w:tcPr>
            <w:tcW w:w="1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GAAP</w:t>
            </w:r>
          </w:p>
        </w:tc>
        <w:tc>
          <w:tcPr>
            <w:tcW w:w="1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GAAP</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MENTS</w:t>
            </w:r>
          </w:p>
        </w:tc>
        <w:tc>
          <w:tcPr>
            <w:tcW w:w="1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32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6"/>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(UNAUDITED)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80" w:type="dxa"/>
            <w:vAlign w:val="bottom"/>
            <w:gridSpan w:val="5"/>
          </w:tcPr>
          <w:p>
            <w:pPr>
              <w:jc w:val="right"/>
              <w:ind w:right="67"/>
              <w:spacing w:after="0"/>
              <w:rPr>
                <w:sz w:val="20"/>
                <w:szCs w:val="20"/>
                <w:color w:val="auto"/>
              </w:rPr>
            </w:pPr>
            <w:r>
              <w:rPr>
                <w:rFonts w:ascii="Courier New" w:cs="Courier New" w:eastAsia="Courier New" w:hAnsi="Courier New"/>
                <w:sz w:val="15"/>
                <w:szCs w:val="15"/>
                <w:color w:val="auto"/>
                <w:w w:val="97"/>
              </w:rPr>
              <w:t>-------------------------------</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spacing w:after="0"/>
              <w:rPr>
                <w:sz w:val="22"/>
                <w:szCs w:val="22"/>
                <w:color w:val="auto"/>
              </w:rPr>
            </w:pP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21,877</w:t>
            </w:r>
          </w:p>
        </w:tc>
        <w:tc>
          <w:tcPr>
            <w:tcW w:w="102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21,877</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12,448</w:t>
            </w:r>
          </w:p>
        </w:tc>
        <w:tc>
          <w:tcPr>
            <w:tcW w:w="960" w:type="dxa"/>
            <w:vAlign w:val="bottom"/>
            <w:vMerge w:val="restart"/>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12,448</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3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DESIGNATED CASH AND SHORT-TERM</w:t>
            </w:r>
          </w:p>
        </w:tc>
        <w:tc>
          <w:tcPr>
            <w:tcW w:w="1320" w:type="dxa"/>
            <w:vAlign w:val="bottom"/>
            <w:vMerge w:val="restart"/>
          </w:tcPr>
          <w:p>
            <w:pPr>
              <w:jc w:val="center"/>
              <w:ind w:left="367"/>
              <w:spacing w:after="0"/>
              <w:rPr>
                <w:sz w:val="20"/>
                <w:szCs w:val="20"/>
                <w:color w:val="auto"/>
              </w:rPr>
            </w:pPr>
            <w:r>
              <w:rPr>
                <w:rFonts w:ascii="Courier New" w:cs="Courier New" w:eastAsia="Courier New" w:hAnsi="Courier New"/>
                <w:sz w:val="15"/>
                <w:szCs w:val="15"/>
                <w:color w:val="auto"/>
                <w:w w:val="88"/>
              </w:rPr>
              <w:t>A</w:t>
            </w:r>
          </w:p>
        </w:tc>
        <w:tc>
          <w:tcPr>
            <w:tcW w:w="12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36,576</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(36,576)</w:t>
            </w:r>
          </w:p>
        </w:tc>
        <w:tc>
          <w:tcPr>
            <w:tcW w:w="12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44,042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(44,042)</w:t>
            </w:r>
          </w:p>
        </w:tc>
        <w:tc>
          <w:tcPr>
            <w:tcW w:w="14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INTEREST-BEARING DEPOSITS</w:t>
            </w: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25,961</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25,961</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11,631</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11,631</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18,385</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18,385</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11,073</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11,073</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30,371</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30,371</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19,382</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19,382</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1,243</w:t>
            </w: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1,243</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1,729</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w:t>
            </w: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rPr>
              <w:t>TOTAL CURRENT ASSETS</w:t>
            </w:r>
          </w:p>
        </w:tc>
        <w:tc>
          <w:tcPr>
            <w:tcW w:w="1320" w:type="dxa"/>
            <w:vAlign w:val="bottom"/>
          </w:tcPr>
          <w:p>
            <w:pPr>
              <w:spacing w:after="0"/>
              <w:rPr>
                <w:sz w:val="14"/>
                <w:szCs w:val="14"/>
                <w:color w:val="auto"/>
              </w:rPr>
            </w:pP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vMerge w:val="continue"/>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vMerge w:val="continue"/>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134,413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(36,576)</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97,837</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100,305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(44,042)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56,263</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LONG-TERM INVESTMENTS</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1320" w:type="dxa"/>
            <w:vAlign w:val="bottom"/>
            <w:vMerge w:val="restart"/>
          </w:tcPr>
          <w:p>
            <w:pPr>
              <w:jc w:val="center"/>
              <w:ind w:left="367"/>
              <w:spacing w:after="0"/>
              <w:rPr>
                <w:sz w:val="20"/>
                <w:szCs w:val="20"/>
                <w:color w:val="auto"/>
              </w:rPr>
            </w:pPr>
            <w:r>
              <w:rPr>
                <w:rFonts w:ascii="Courier New" w:cs="Courier New" w:eastAsia="Courier New" w:hAnsi="Courier New"/>
                <w:sz w:val="15"/>
                <w:szCs w:val="15"/>
                <w:color w:val="auto"/>
                <w:w w:val="88"/>
              </w:rPr>
              <w:t>A</w:t>
            </w:r>
          </w:p>
        </w:tc>
        <w:tc>
          <w:tcPr>
            <w:tcW w:w="12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4,934</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(4,934)</w:t>
            </w:r>
          </w:p>
        </w:tc>
        <w:tc>
          <w:tcPr>
            <w:tcW w:w="12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4,848</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(4,848)</w:t>
            </w:r>
          </w:p>
        </w:tc>
        <w:tc>
          <w:tcPr>
            <w:tcW w:w="14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132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88"/>
              </w:rPr>
              <w:t>B</w:t>
            </w: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16,553</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22,553</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6,000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14,607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20,607</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10,934</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11,619</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22,553</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10,848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9,759</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20,607</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PROPERTY AND EQUIPMENT, NET</w:t>
            </w:r>
          </w:p>
        </w:tc>
        <w:tc>
          <w:tcPr>
            <w:tcW w:w="132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C</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613,561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(4,951)</w:t>
            </w:r>
          </w:p>
        </w:tc>
        <w:tc>
          <w:tcPr>
            <w:tcW w:w="120" w:type="dxa"/>
            <w:vAlign w:val="bottom"/>
          </w:tcPr>
          <w:p>
            <w:pPr>
              <w:spacing w:after="0"/>
              <w:rPr>
                <w:sz w:val="22"/>
                <w:szCs w:val="22"/>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608,610</w:t>
            </w:r>
          </w:p>
        </w:tc>
        <w:tc>
          <w:tcPr>
            <w:tcW w:w="120" w:type="dxa"/>
            <w:vAlign w:val="bottom"/>
          </w:tcPr>
          <w:p>
            <w:pPr>
              <w:spacing w:after="0"/>
              <w:rPr>
                <w:sz w:val="22"/>
                <w:szCs w:val="22"/>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568,412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(5,947)</w:t>
            </w:r>
          </w:p>
        </w:tc>
        <w:tc>
          <w:tcPr>
            <w:tcW w:w="14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562,465</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DESIGNATED CASH AND SHORT-TERM AND</w:t>
            </w:r>
          </w:p>
        </w:tc>
        <w:tc>
          <w:tcPr>
            <w:tcW w:w="1320" w:type="dxa"/>
            <w:vAlign w:val="bottom"/>
            <w:vMerge w:val="restart"/>
          </w:tcPr>
          <w:p>
            <w:pPr>
              <w:jc w:val="center"/>
              <w:ind w:left="367"/>
              <w:spacing w:after="0"/>
              <w:rPr>
                <w:sz w:val="20"/>
                <w:szCs w:val="20"/>
                <w:color w:val="auto"/>
              </w:rPr>
            </w:pPr>
            <w:r>
              <w:rPr>
                <w:rFonts w:ascii="Courier New" w:cs="Courier New" w:eastAsia="Courier New" w:hAnsi="Courier New"/>
                <w:sz w:val="15"/>
                <w:szCs w:val="15"/>
                <w:color w:val="auto"/>
                <w:w w:val="88"/>
              </w:rPr>
              <w:t>A</w:t>
            </w:r>
          </w:p>
        </w:tc>
        <w:tc>
          <w:tcPr>
            <w:tcW w:w="120" w:type="dxa"/>
            <w:vAlign w:val="bottom"/>
          </w:tcPr>
          <w:p>
            <w:pPr>
              <w:spacing w:after="0"/>
              <w:rPr>
                <w:sz w:val="24"/>
                <w:szCs w:val="2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41,510</w:t>
            </w:r>
          </w:p>
        </w:tc>
        <w:tc>
          <w:tcPr>
            <w:tcW w:w="120" w:type="dxa"/>
            <w:vAlign w:val="bottom"/>
          </w:tcPr>
          <w:p>
            <w:pPr>
              <w:spacing w:after="0"/>
              <w:rPr>
                <w:sz w:val="24"/>
                <w:szCs w:val="2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41,510</w:t>
            </w:r>
          </w:p>
        </w:tc>
        <w:tc>
          <w:tcPr>
            <w:tcW w:w="120" w:type="dxa"/>
            <w:vAlign w:val="bottom"/>
          </w:tcPr>
          <w:p>
            <w:pPr>
              <w:spacing w:after="0"/>
              <w:rPr>
                <w:sz w:val="24"/>
                <w:szCs w:val="2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48,890</w:t>
            </w:r>
          </w:p>
        </w:tc>
        <w:tc>
          <w:tcPr>
            <w:tcW w:w="140" w:type="dxa"/>
            <w:vAlign w:val="bottom"/>
          </w:tcPr>
          <w:p>
            <w:pPr>
              <w:spacing w:after="0"/>
              <w:rPr>
                <w:sz w:val="24"/>
                <w:szCs w:val="2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48,890</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OTHER ASSETS, NET</w:t>
            </w:r>
          </w:p>
        </w:tc>
        <w:tc>
          <w:tcPr>
            <w:tcW w:w="132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E</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97,961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120" w:type="dxa"/>
            <w:vAlign w:val="bottom"/>
          </w:tcPr>
          <w:p>
            <w:pPr>
              <w:spacing w:after="0"/>
              <w:rPr>
                <w:sz w:val="22"/>
                <w:szCs w:val="22"/>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97,765</w:t>
            </w:r>
          </w:p>
        </w:tc>
        <w:tc>
          <w:tcPr>
            <w:tcW w:w="120" w:type="dxa"/>
            <w:vAlign w:val="bottom"/>
          </w:tcPr>
          <w:p>
            <w:pPr>
              <w:spacing w:after="0"/>
              <w:rPr>
                <w:sz w:val="22"/>
                <w:szCs w:val="22"/>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108,770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14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108,574</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40" w:type="dxa"/>
            <w:vAlign w:val="bottom"/>
          </w:tcPr>
          <w:p>
            <w:pPr>
              <w:ind w:left="1060"/>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spacing w:after="0"/>
              <w:rPr>
                <w:sz w:val="22"/>
                <w:szCs w:val="22"/>
                <w:color w:val="auto"/>
              </w:rPr>
            </w:pP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$ 856,869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11,406</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$ 868,275</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$ 788,335</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8,464</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$ 796,799</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22"/>
                <w:szCs w:val="22"/>
                <w:color w:val="auto"/>
              </w:rPr>
            </w:pP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61,202</w:t>
            </w:r>
          </w:p>
        </w:tc>
        <w:tc>
          <w:tcPr>
            <w:tcW w:w="102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61,202</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40,249</w:t>
            </w:r>
          </w:p>
        </w:tc>
        <w:tc>
          <w:tcPr>
            <w:tcW w:w="960" w:type="dxa"/>
            <w:vAlign w:val="bottom"/>
            <w:vMerge w:val="restart"/>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40,249</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13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9,082</w:t>
            </w: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9,082</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9,564</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9,564</w:t>
            </w: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rPr>
              <w:t>TOTAL CURRENT LIABILITIES</w:t>
            </w:r>
          </w:p>
        </w:tc>
        <w:tc>
          <w:tcPr>
            <w:tcW w:w="1320" w:type="dxa"/>
            <w:vAlign w:val="bottom"/>
          </w:tcPr>
          <w:p>
            <w:pPr>
              <w:spacing w:after="0"/>
              <w:rPr>
                <w:sz w:val="14"/>
                <w:szCs w:val="14"/>
                <w:color w:val="auto"/>
              </w:rPr>
            </w:pP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vMerge w:val="continue"/>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vMerge w:val="continue"/>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40" w:type="dxa"/>
            <w:vAlign w:val="bottom"/>
            <w:vMerge w:val="continue"/>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70,284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1"/>
                <w:szCs w:val="21"/>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70,284</w:t>
            </w:r>
          </w:p>
        </w:tc>
        <w:tc>
          <w:tcPr>
            <w:tcW w:w="120" w:type="dxa"/>
            <w:vAlign w:val="bottom"/>
          </w:tcPr>
          <w:p>
            <w:pPr>
              <w:spacing w:after="0"/>
              <w:rPr>
                <w:sz w:val="21"/>
                <w:szCs w:val="21"/>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49,813</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49,813</w:t>
            </w:r>
          </w:p>
        </w:tc>
        <w:tc>
          <w:tcPr>
            <w:tcW w:w="0" w:type="dxa"/>
            <w:vAlign w:val="bottom"/>
          </w:tcPr>
          <w:p>
            <w:pPr>
              <w:spacing w:after="0"/>
              <w:rPr>
                <w:sz w:val="1"/>
                <w:szCs w:val="1"/>
                <w:color w:val="auto"/>
              </w:rPr>
            </w:pP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497,000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497,000</w:t>
            </w: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431,000</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431,000</w:t>
            </w:r>
          </w:p>
        </w:tc>
        <w:tc>
          <w:tcPr>
            <w:tcW w:w="0" w:type="dxa"/>
            <w:vAlign w:val="bottom"/>
          </w:tcPr>
          <w:p>
            <w:pPr>
              <w:spacing w:after="0"/>
              <w:rPr>
                <w:sz w:val="1"/>
                <w:szCs w:val="1"/>
                <w:color w:val="auto"/>
              </w:rPr>
            </w:pP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132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E</w:t>
            </w:r>
          </w:p>
        </w:tc>
        <w:tc>
          <w:tcPr>
            <w:tcW w:w="1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25,643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(2,559)</w:t>
            </w: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23,084</w:t>
            </w: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25,783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(2,559)</w:t>
            </w:r>
          </w:p>
        </w:tc>
        <w:tc>
          <w:tcPr>
            <w:tcW w:w="1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23,224</w:t>
            </w:r>
          </w:p>
        </w:tc>
        <w:tc>
          <w:tcPr>
            <w:tcW w:w="0" w:type="dxa"/>
            <w:vAlign w:val="bottom"/>
          </w:tcPr>
          <w:p>
            <w:pPr>
              <w:spacing w:after="0"/>
              <w:rPr>
                <w:sz w:val="1"/>
                <w:szCs w:val="1"/>
                <w:color w:val="auto"/>
              </w:rPr>
            </w:pPr>
          </w:p>
        </w:tc>
      </w:tr>
      <w:tr>
        <w:trPr>
          <w:trHeight w:val="259"/>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65,069</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65,069</w:t>
            </w:r>
          </w:p>
        </w:tc>
        <w:tc>
          <w:tcPr>
            <w:tcW w:w="120" w:type="dxa"/>
            <w:vAlign w:val="bottom"/>
          </w:tcPr>
          <w:p>
            <w:pPr>
              <w:spacing w:after="0"/>
              <w:rPr>
                <w:sz w:val="22"/>
                <w:szCs w:val="22"/>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46,347</w:t>
            </w: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46,347</w:t>
            </w:r>
          </w:p>
        </w:tc>
        <w:tc>
          <w:tcPr>
            <w:tcW w:w="0" w:type="dxa"/>
            <w:vAlign w:val="bottom"/>
          </w:tcPr>
          <w:p>
            <w:pPr>
              <w:spacing w:after="0"/>
              <w:rPr>
                <w:sz w:val="1"/>
                <w:szCs w:val="1"/>
                <w:color w:val="auto"/>
              </w:rPr>
            </w:pPr>
          </w:p>
        </w:tc>
      </w:tr>
      <w:tr>
        <w:trPr>
          <w:trHeight w:val="245"/>
        </w:trPr>
        <w:tc>
          <w:tcPr>
            <w:tcW w:w="4340" w:type="dxa"/>
            <w:vAlign w:val="bottom"/>
          </w:tcPr>
          <w:p>
            <w:pPr>
              <w:ind w:left="700"/>
              <w:spacing w:after="0"/>
              <w:rPr>
                <w:sz w:val="20"/>
                <w:szCs w:val="20"/>
                <w:color w:val="auto"/>
              </w:rPr>
            </w:pPr>
            <w:r>
              <w:rPr>
                <w:rFonts w:ascii="Courier New" w:cs="Courier New" w:eastAsia="Courier New" w:hAnsi="Courier New"/>
                <w:sz w:val="15"/>
                <w:szCs w:val="15"/>
                <w:color w:val="auto"/>
              </w:rPr>
              <w:t>OF CUSTOMERS' ADVANCES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LIABILITY IN RESPECT OF A VARIABLE</w:t>
            </w:r>
          </w:p>
        </w:tc>
        <w:tc>
          <w:tcPr>
            <w:tcW w:w="1320" w:type="dxa"/>
            <w:vAlign w:val="bottom"/>
            <w:vMerge w:val="restart"/>
          </w:tcPr>
          <w:p>
            <w:pPr>
              <w:jc w:val="center"/>
              <w:ind w:left="367"/>
              <w:spacing w:after="0"/>
              <w:rPr>
                <w:sz w:val="20"/>
                <w:szCs w:val="20"/>
                <w:color w:val="auto"/>
              </w:rPr>
            </w:pPr>
            <w:r>
              <w:rPr>
                <w:rFonts w:ascii="Courier New" w:cs="Courier New" w:eastAsia="Courier New" w:hAnsi="Courier New"/>
                <w:sz w:val="15"/>
                <w:szCs w:val="15"/>
                <w:color w:val="auto"/>
                <w:w w:val="88"/>
              </w:rPr>
              <w:t>F</w:t>
            </w:r>
          </w:p>
        </w:tc>
        <w:tc>
          <w:tcPr>
            <w:tcW w:w="12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2"/>
                <w:szCs w:val="22"/>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16,428</w:t>
            </w:r>
          </w:p>
        </w:tc>
        <w:tc>
          <w:tcPr>
            <w:tcW w:w="14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16,428</w:t>
            </w:r>
          </w:p>
        </w:tc>
        <w:tc>
          <w:tcPr>
            <w:tcW w:w="0" w:type="dxa"/>
            <w:vAlign w:val="bottom"/>
          </w:tcPr>
          <w:p>
            <w:pPr>
              <w:spacing w:after="0"/>
              <w:rPr>
                <w:sz w:val="1"/>
                <w:szCs w:val="1"/>
                <w:color w:val="auto"/>
              </w:rPr>
            </w:pPr>
          </w:p>
        </w:tc>
      </w:tr>
      <w:tr>
        <w:trPr>
          <w:trHeight w:val="245"/>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NUMBER OF SHARES TO BE ISSUED</w:t>
            </w:r>
          </w:p>
        </w:tc>
        <w:tc>
          <w:tcPr>
            <w:tcW w:w="13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1320" w:type="dxa"/>
            <w:vAlign w:val="bottom"/>
          </w:tcPr>
          <w:p>
            <w:pPr>
              <w:ind w:left="740"/>
              <w:spacing w:after="0"/>
              <w:rPr>
                <w:sz w:val="20"/>
                <w:szCs w:val="20"/>
                <w:color w:val="auto"/>
              </w:rPr>
            </w:pPr>
            <w:r>
              <w:rPr>
                <w:rFonts w:ascii="Courier New" w:cs="Courier New" w:eastAsia="Courier New" w:hAnsi="Courier New"/>
                <w:sz w:val="15"/>
                <w:szCs w:val="15"/>
                <w:color w:val="auto"/>
              </w:rPr>
              <w:t>B, C</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7,792</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22,835</w:t>
            </w:r>
          </w:p>
        </w:tc>
        <w:tc>
          <w:tcPr>
            <w:tcW w:w="120" w:type="dxa"/>
            <w:vAlign w:val="bottom"/>
          </w:tcPr>
          <w:p>
            <w:pPr>
              <w:spacing w:after="0"/>
              <w:rPr>
                <w:sz w:val="22"/>
                <w:szCs w:val="22"/>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30,627</w:t>
            </w:r>
          </w:p>
        </w:tc>
        <w:tc>
          <w:tcPr>
            <w:tcW w:w="120" w:type="dxa"/>
            <w:vAlign w:val="bottom"/>
          </w:tcPr>
          <w:p>
            <w:pPr>
              <w:spacing w:after="0"/>
              <w:rPr>
                <w:sz w:val="22"/>
                <w:szCs w:val="22"/>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5,935</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24,527</w:t>
            </w:r>
          </w:p>
        </w:tc>
        <w:tc>
          <w:tcPr>
            <w:tcW w:w="14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30,462</w:t>
            </w: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spacing w:after="0"/>
              <w:rPr>
                <w:sz w:val="14"/>
                <w:szCs w:val="14"/>
                <w:color w:val="auto"/>
              </w:rPr>
            </w:pP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665,788</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20,276</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686,064</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558,878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38,396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597,274</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1.00 PAR VALUE -</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AUTHORIZED 150,000,000 SHARES;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ISSUED 66,934,971 AND 52,996,097</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16,260</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16,260</w:t>
            </w:r>
          </w:p>
        </w:tc>
        <w:tc>
          <w:tcPr>
            <w:tcW w:w="12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13,150</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13,150</w:t>
            </w:r>
          </w:p>
        </w:tc>
        <w:tc>
          <w:tcPr>
            <w:tcW w:w="0" w:type="dxa"/>
            <w:vAlign w:val="bottom"/>
          </w:tcPr>
          <w:p>
            <w:pPr>
              <w:spacing w:after="0"/>
              <w:rPr>
                <w:sz w:val="1"/>
                <w:szCs w:val="1"/>
                <w:color w:val="auto"/>
              </w:rPr>
            </w:pPr>
          </w:p>
        </w:tc>
      </w:tr>
      <w:tr>
        <w:trPr>
          <w:trHeight w:val="168"/>
        </w:trPr>
        <w:tc>
          <w:tcPr>
            <w:tcW w:w="4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SHARES, RESPECTIVELY</w:t>
            </w:r>
          </w:p>
        </w:tc>
        <w:tc>
          <w:tcPr>
            <w:tcW w:w="1320" w:type="dxa"/>
            <w:vAlign w:val="bottom"/>
            <w:vMerge w:val="restart"/>
          </w:tcPr>
          <w:p>
            <w:pPr>
              <w:jc w:val="center"/>
              <w:ind w:left="367"/>
              <w:spacing w:after="0"/>
              <w:rPr>
                <w:sz w:val="20"/>
                <w:szCs w:val="20"/>
                <w:color w:val="auto"/>
              </w:rPr>
            </w:pPr>
            <w:r>
              <w:rPr>
                <w:rFonts w:ascii="Courier New" w:cs="Courier New" w:eastAsia="Courier New" w:hAnsi="Courier New"/>
                <w:sz w:val="15"/>
                <w:szCs w:val="15"/>
                <w:color w:val="auto"/>
                <w:w w:val="88"/>
              </w:rPr>
              <w:t>E</w:t>
            </w: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2,363</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2,363</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517,258</w:t>
            </w: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519,621</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427,881</w:t>
            </w: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430,244</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32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88"/>
              </w:rPr>
              <w:t>F</w:t>
            </w: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16,428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1320" w:type="dxa"/>
            <w:vAlign w:val="bottom"/>
            <w:vMerge w:val="restart"/>
          </w:tcPr>
          <w:p>
            <w:pPr>
              <w:jc w:val="center"/>
              <w:ind w:left="367"/>
              <w:spacing w:after="0"/>
              <w:rPr>
                <w:sz w:val="20"/>
                <w:szCs w:val="20"/>
                <w:color w:val="auto"/>
              </w:rPr>
            </w:pPr>
            <w:r>
              <w:rPr>
                <w:rFonts w:ascii="Courier New" w:cs="Courier New" w:eastAsia="Courier New" w:hAnsi="Courier New"/>
                <w:sz w:val="15"/>
                <w:szCs w:val="15"/>
                <w:color w:val="auto"/>
                <w:w w:val="88"/>
              </w:rPr>
              <w:t>C</w:t>
            </w:r>
          </w:p>
        </w:tc>
        <w:tc>
          <w:tcPr>
            <w:tcW w:w="1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(11,263)</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(15,897)</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245"/>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ACCUMULATED OTHER COMPREHENSIVE LOSS</w:t>
            </w:r>
          </w:p>
        </w:tc>
        <w:tc>
          <w:tcPr>
            <w:tcW w:w="13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(11,263)</w:t>
            </w:r>
          </w:p>
        </w:tc>
        <w:tc>
          <w:tcPr>
            <w:tcW w:w="120" w:type="dxa"/>
            <w:vAlign w:val="bottom"/>
          </w:tcPr>
          <w:p>
            <w:pPr>
              <w:spacing w:after="0"/>
              <w:rPr>
                <w:sz w:val="21"/>
                <w:szCs w:val="21"/>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(15,897)</w:t>
            </w:r>
          </w:p>
        </w:tc>
        <w:tc>
          <w:tcPr>
            <w:tcW w:w="0" w:type="dxa"/>
            <w:vAlign w:val="bottom"/>
          </w:tcPr>
          <w:p>
            <w:pPr>
              <w:spacing w:after="0"/>
              <w:rPr>
                <w:sz w:val="1"/>
                <w:szCs w:val="1"/>
                <w:color w:val="auto"/>
              </w:rPr>
            </w:pPr>
          </w:p>
        </w:tc>
      </w:tr>
    </w:tbl>
    <w:p>
      <w:pPr>
        <w:sectPr>
          <w:pgSz w:w="11900" w:h="16854" w:orient="portrait"/>
          <w:cols w:equalWidth="0" w:num="1">
            <w:col w:w="11380"/>
          </w:cols>
          <w:pgMar w:left="220" w:top="598" w:right="29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(333,339)</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(333,309)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(218,904)</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(218,874)</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00" w:type="dxa"/>
            <w:vAlign w:val="bottom"/>
            <w:vMerge w:val="restart"/>
          </w:tcPr>
          <w:p>
            <w:pPr>
              <w:spacing w:after="0"/>
              <w:rPr>
                <w:sz w:val="20"/>
                <w:szCs w:val="20"/>
                <w:color w:val="auto"/>
              </w:rPr>
            </w:pPr>
            <w:r>
              <w:rPr>
                <w:rFonts w:ascii="Courier New" w:cs="Courier New" w:eastAsia="Courier New" w:hAnsi="Courier New"/>
                <w:sz w:val="15"/>
                <w:szCs w:val="15"/>
                <w:color w:val="auto"/>
              </w:rPr>
              <w:t>TREASURY STOCK, AT COST - 1,300,000 SHARES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200,153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191,283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238,529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(29,932)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208,597</w:t>
            </w: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0" w:type="dxa"/>
            <w:vAlign w:val="bottom"/>
          </w:tcPr>
          <w:p>
            <w:pPr>
              <w:spacing w:after="0"/>
              <w:rPr>
                <w:sz w:val="1"/>
                <w:szCs w:val="1"/>
                <w:color w:val="auto"/>
              </w:rPr>
            </w:pPr>
          </w:p>
        </w:tc>
      </w:tr>
      <w:tr>
        <w:trPr>
          <w:trHeight w:val="168"/>
        </w:trPr>
        <w:tc>
          <w:tcPr>
            <w:tcW w:w="46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SHAREHOLDERS' EQUITY</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vMerge w:val="continue"/>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vMerge w:val="continue"/>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191,081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182,211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229,457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(29,932)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199,525</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$ 856,869</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11,406</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$ 868,275</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$ 788,335</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8,464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$ 796,799</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760"/>
          </w:cols>
          <w:pgMar w:left="840" w:top="114" w:right="299" w:bottom="1440" w:gutter="0" w:footer="0" w:header="0"/>
        </w:sectPr>
      </w:pPr>
    </w:p>
    <w:bookmarkStart w:id="27" w:name="page28"/>
    <w:bookmarkEnd w:id="27"/>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2004</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66" w:lineRule="exact"/>
        <w:rPr>
          <w:rFonts w:ascii="Courier New" w:cs="Courier New" w:eastAsia="Courier New" w:hAnsi="Courier New"/>
          <w:sz w:val="15"/>
          <w:szCs w:val="15"/>
          <w:color w:val="auto"/>
        </w:rPr>
      </w:pPr>
    </w:p>
    <w:p>
      <w:pPr>
        <w:ind w:left="880" w:right="3319"/>
        <w:spacing w:after="0" w:line="32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(C above) and APB 14 (E above) would not have materially affected the results of operations for the nine-month and three-month periods ended September 30, 2004 and 2003.</w:t>
      </w:r>
    </w:p>
    <w:p>
      <w:pPr>
        <w:spacing w:after="0" w:line="3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66" w:lineRule="exact"/>
        <w:rPr>
          <w:rFonts w:ascii="Courier New" w:cs="Courier New" w:eastAsia="Courier New" w:hAnsi="Courier New"/>
          <w:sz w:val="15"/>
          <w:szCs w:val="15"/>
          <w:color w:val="auto"/>
        </w:rPr>
      </w:pPr>
    </w:p>
    <w:p>
      <w:pPr>
        <w:ind w:left="88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(SFAS 128, including the implementation of SFAS 133 and SFAS 138, and APB 14 as described in H above), the basic and diluted loss per share for the nine-month and three-month periods ended September 30, 2004 would be $1.78 and $0.60, respectively (during the corresponding periods - $1.49 and $0.77, respectively).</w:t>
      </w:r>
    </w:p>
    <w:p>
      <w:pPr>
        <w:spacing w:after="0" w:line="200" w:lineRule="exact"/>
        <w:rPr>
          <w:rFonts w:ascii="Courier New" w:cs="Courier New" w:eastAsia="Courier New" w:hAnsi="Courier New"/>
          <w:sz w:val="15"/>
          <w:szCs w:val="15"/>
          <w:color w:val="auto"/>
        </w:rPr>
      </w:pPr>
    </w:p>
    <w:p>
      <w:pPr>
        <w:spacing w:after="0" w:line="21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sectPr>
      <w:pgSz w:w="11900" w:h="16838" w:orient="portrait"/>
      <w:cols w:equalWidth="0" w:num="1">
        <w:col w:w="10239"/>
      </w:cols>
      <w:pgMar w:left="220" w:top="11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2"/>
    </w:lvl>
    <w:lvl w:ilvl="1">
      <w:lvlJc w:val="left"/>
      <w:lvlText w:val="#"/>
      <w:numFmt w:val="bullet"/>
      <w:start w:val="1"/>
    </w:lvl>
  </w:abstractNum>
  <w:abstractNum w:abstractNumId="1">
    <w:nsid w:val="515F007C"/>
    <w:multiLevelType w:val="hybridMultilevel"/>
    <w:lvl w:ilvl="0">
      <w:lvlJc w:val="left"/>
      <w:lvlText w:val="(%1)"/>
      <w:numFmt w:val="upperLetter"/>
      <w:start w:val="22"/>
    </w:lvl>
    <w:lvl w:ilvl="1">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upperLetter"/>
      <w:start w:val="1"/>
    </w:lvl>
    <w:lvl w:ilvl="1">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upperLetter"/>
      <w:start w:val="1"/>
    </w:lvl>
    <w:lvl w:ilvl="1">
      <w:lvlJc w:val="left"/>
      <w:lvlText w:val="-"/>
      <w:numFmt w:val="bullet"/>
      <w:start w:val="1"/>
    </w:lvl>
  </w:abstractNum>
  <w:abstractNum w:abstractNumId="8">
    <w:nsid w:val="66EF438D"/>
    <w:multiLevelType w:val="hybridMultilevel"/>
    <w:lvl w:ilvl="0">
      <w:lvlJc w:val="left"/>
      <w:lvlText w:val="%1."/>
      <w:numFmt w:val="upperLetter"/>
      <w:start w:val="2"/>
    </w:lvl>
    <w:lvl w:ilvl="1">
      <w:lvlJc w:val="left"/>
      <w:lvlText w:val="-"/>
      <w:numFmt w:val="bullet"/>
      <w:start w:val="1"/>
    </w:lvl>
  </w:abstractNum>
  <w:abstractNum w:abstractNumId="9">
    <w:nsid w:val="140E0F76"/>
    <w:multiLevelType w:val="hybridMultilevel"/>
    <w:lvl w:ilvl="0">
      <w:lvlJc w:val="left"/>
      <w:lvlText w:val="%1."/>
      <w:numFmt w:val="upperLetter"/>
      <w:start w:val="1"/>
    </w:lvl>
    <w:lvl w:ilvl="1">
      <w:lvlJc w:val="left"/>
      <w:lvlText w:val="-"/>
      <w:numFmt w:val="bullet"/>
      <w:start w:val="1"/>
    </w:lvl>
  </w:abstractNum>
  <w:abstractNum w:abstractNumId="10">
    <w:nsid w:val="3352255A"/>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11">
    <w:nsid w:val="109CF92E"/>
    <w:multiLevelType w:val="hybridMultilevel"/>
    <w:lvl w:ilvl="0">
      <w:lvlJc w:val="left"/>
      <w:lvlText w:val="%1."/>
      <w:numFmt w:val="upperLetter"/>
      <w:start w:val="1"/>
    </w:lvl>
    <w:lvl w:ilvl="1">
      <w:lvlJc w:val="left"/>
      <w:lvlText w:val="-"/>
      <w:numFmt w:val="bullet"/>
      <w:start w:val="1"/>
    </w:lvl>
  </w:abstractNum>
  <w:abstractNum w:abstractNumId="12">
    <w:nsid w:val="DED7263"/>
    <w:multiLevelType w:val="hybridMultilevel"/>
    <w:lvl w:ilvl="0">
      <w:lvlJc w:val="left"/>
      <w:lvlText w:val="%1."/>
      <w:numFmt w:val="upperLetter"/>
      <w:start w:val="4"/>
    </w:lvl>
  </w:abstractNum>
  <w:abstractNum w:abstractNumId="13">
    <w:nsid w:val="7FDCC233"/>
    <w:multiLevelType w:val="hybridMultilevel"/>
    <w:lvl w:ilvl="0">
      <w:lvlJc w:val="left"/>
      <w:lvlText w:val="%1."/>
      <w:numFmt w:val="upperLetter"/>
      <w:start w:val="5"/>
    </w:lvl>
    <w:lvl w:ilvl="1">
      <w:lvlJc w:val="left"/>
      <w:lvlText w:val="-"/>
      <w:numFmt w:val="bullet"/>
      <w:start w:val="1"/>
    </w:lvl>
  </w:abstractNum>
  <w:abstractNum w:abstractNumId="14">
    <w:nsid w:val="1BEFD79F"/>
    <w:multiLevelType w:val="hybridMultilevel"/>
    <w:lvl w:ilvl="0">
      <w:lvlJc w:val="left"/>
      <w:lvlText w:val="%1."/>
      <w:numFmt w:val="upperLetter"/>
      <w:start w:val="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2019-12-14T04:22:53Z</dcterms:created>
  <dcterms:modified xsi:type="dcterms:W3CDTF">2019-12-14T04:22:53Z</dcterms:modified>
</cp:coreProperties>
</file>