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Article I. FORM 6-K</w:t>
      </w:r>
    </w:p>
    <w:p>
      <w:pPr>
        <w:spacing w:after="0" w:line="253"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 the month of April 2010 (No. 4)</w:t>
      </w:r>
    </w:p>
    <w:p>
      <w:pPr>
        <w:spacing w:after="0" w:line="234"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o</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306" w:right="679" w:bottom="1440" w:gutter="0" w:footer="0" w:header="0"/>
        </w:sectPr>
      </w:pPr>
    </w:p>
    <w:bookmarkStart w:id="1" w:name="page2"/>
    <w:bookmarkEnd w:id="1"/>
    <w:p>
      <w:pPr>
        <w:ind w:right="80" w:firstLine="648"/>
        <w:spacing w:after="0" w:line="342" w:lineRule="auto"/>
        <w:rPr>
          <w:sz w:val="20"/>
          <w:szCs w:val="20"/>
          <w:color w:val="auto"/>
        </w:rPr>
      </w:pPr>
      <w:r>
        <w:rPr>
          <w:rFonts w:ascii="Arial" w:cs="Arial" w:eastAsia="Arial" w:hAnsi="Arial"/>
          <w:sz w:val="16"/>
          <w:szCs w:val="16"/>
          <w:color w:val="auto"/>
        </w:rPr>
        <w:t>On April 22, 2010, we entered into Amendment No. 3 to the Standby Equity Purchase Agreement dated August 11, 2009 between us and YA Global Master SPV Ltd., as amended by Amendment No. 1 thereto dated August 27, 2009 and Amendment No. 2 thereto dated February 4, 2010 (the “SEPA”).</w:t>
      </w:r>
    </w:p>
    <w:p>
      <w:pPr>
        <w:spacing w:after="0" w:line="15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Amendment No. 3 to the SEPA increases the amount of our ordinary shares that YA Global is committed to purchase under the SEPA, upon the terms and subject to the conditions set forth therein, by $35 million. To date an aggregate of $24,950,815 of our ordinary shares have been sold to YA Global under the SEPA. Under the terms of the SEPA, as so amended, from time to time through March 31, 2012, and at our sole and exclusive option, we may present YA Global with advance notices to purchase up to $35,049,185 of our ordinary shares.</w:t>
      </w:r>
    </w:p>
    <w:p>
      <w:pPr>
        <w:spacing w:after="0" w:line="19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Amendment No. 3 provides for the payment to YA Global of an additional commitment fee of $300,000 in connection with the amendment, of which $150,000 is payable at the time of the delivery of the next advance notice under the SEPA and the balance of which is payable nine months thereafter. Under the terms of the SEPA, we may at our option issue additional ordinary shares in payment of all or part of the additional commitment fee.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so amended, the SEPA as amended by Amendment No. 3 thereto remains in full force and effect.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No. 3 to the SEPA is attached hereto as Exhibit 99.1.</w:t>
      </w:r>
    </w:p>
    <w:p>
      <w:pPr>
        <w:spacing w:after="0" w:line="25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This Form 6-K is hereby incorporated by reference into our Registration Statement on Form F-3 (No. 333- 163196) and our other effective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18"/>
          <w:szCs w:val="18"/>
          <w:b w:val="1"/>
          <w:bCs w:val="1"/>
          <w:color w:val="auto"/>
        </w:rPr>
        <w:t>Article II. SIGNATURES</w:t>
      </w:r>
    </w:p>
    <w:p>
      <w:pPr>
        <w:spacing w:after="0" w:line="25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Nati Somekh Gilboa</w:t>
      </w:r>
    </w:p>
    <w:p>
      <w:pPr>
        <w:spacing w:after="0" w:line="2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April 23, 2010</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Nati Somekh Gilboa</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8691245</wp:posOffset>
            </wp:positionV>
            <wp:extent cx="725043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0640"/>
          </w:cols>
          <w:pgMar w:left="240" w:top="513"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3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STANDBY EQUITY PURCHASE AGREEMENT</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THIS AMENDMENT NO. 3 </w:t>
      </w:r>
      <w:r>
        <w:rPr>
          <w:rFonts w:ascii="Arial" w:cs="Arial" w:eastAsia="Arial" w:hAnsi="Arial"/>
          <w:sz w:val="18"/>
          <w:szCs w:val="18"/>
          <w:color w:val="auto"/>
        </w:rPr>
        <w:t>dated April 22, 2010 (the “</w:t>
      </w:r>
      <w:r>
        <w:rPr>
          <w:rFonts w:ascii="Arial" w:cs="Arial" w:eastAsia="Arial" w:hAnsi="Arial"/>
          <w:sz w:val="18"/>
          <w:szCs w:val="18"/>
          <w:u w:val="single" w:color="auto"/>
          <w:color w:val="auto"/>
        </w:rPr>
        <w:t>Amendment</w:t>
      </w:r>
      <w:r>
        <w:rPr>
          <w:rFonts w:ascii="Arial" w:cs="Arial" w:eastAsia="Arial" w:hAnsi="Arial"/>
          <w:sz w:val="18"/>
          <w:szCs w:val="18"/>
          <w:color w:val="auto"/>
        </w:rPr>
        <w:t>”) to the Standby Equity Purchase Agreement dated August 11, 2009, between</w:t>
      </w:r>
      <w:r>
        <w:rPr>
          <w:rFonts w:ascii="Arial" w:cs="Arial" w:eastAsia="Arial" w:hAnsi="Arial"/>
          <w:sz w:val="18"/>
          <w:szCs w:val="18"/>
          <w:b w:val="1"/>
          <w:bCs w:val="1"/>
          <w:color w:val="auto"/>
        </w:rPr>
        <w:t xml:space="preserve"> YA GLOBAL MASTER SPV LTD.</w:t>
      </w:r>
      <w:r>
        <w:rPr>
          <w:rFonts w:ascii="Arial" w:cs="Arial" w:eastAsia="Arial" w:hAnsi="Arial"/>
          <w:sz w:val="18"/>
          <w:szCs w:val="18"/>
          <w:color w:val="auto"/>
        </w:rPr>
        <w:t>, a Cayman Islands exempt limited company (the “</w:t>
      </w:r>
      <w:r>
        <w:rPr>
          <w:rFonts w:ascii="Arial" w:cs="Arial" w:eastAsia="Arial" w:hAnsi="Arial"/>
          <w:sz w:val="18"/>
          <w:szCs w:val="18"/>
          <w:u w:val="single" w:color="auto"/>
          <w:color w:val="auto"/>
        </w:rPr>
        <w:t>Investor</w:t>
      </w:r>
      <w:r>
        <w:rPr>
          <w:rFonts w:ascii="Arial" w:cs="Arial" w:eastAsia="Arial" w:hAnsi="Arial"/>
          <w:sz w:val="18"/>
          <w:szCs w:val="18"/>
          <w:color w:val="auto"/>
        </w:rPr>
        <w:t>”) and</w:t>
      </w:r>
      <w:r>
        <w:rPr>
          <w:rFonts w:ascii="Arial" w:cs="Arial" w:eastAsia="Arial" w:hAnsi="Arial"/>
          <w:sz w:val="18"/>
          <w:szCs w:val="18"/>
          <w:b w:val="1"/>
          <w:bCs w:val="1"/>
          <w:color w:val="auto"/>
        </w:rPr>
        <w:t xml:space="preserve"> TOWER SEMICONDUCTOR LTD.</w:t>
      </w:r>
      <w:r>
        <w:rPr>
          <w:rFonts w:ascii="Arial" w:cs="Arial" w:eastAsia="Arial" w:hAnsi="Arial"/>
          <w:sz w:val="18"/>
          <w:szCs w:val="18"/>
          <w:color w:val="auto"/>
        </w:rPr>
        <w:t>, 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and existing under the laws of the State of Israel (the “</w:t>
      </w:r>
      <w:r>
        <w:rPr>
          <w:rFonts w:ascii="Arial" w:cs="Arial" w:eastAsia="Arial" w:hAnsi="Arial"/>
          <w:sz w:val="18"/>
          <w:szCs w:val="18"/>
          <w:u w:val="single" w:color="auto"/>
          <w:color w:val="auto"/>
        </w:rPr>
        <w:t>Company</w:t>
      </w:r>
      <w:r>
        <w:rPr>
          <w:rFonts w:ascii="Arial" w:cs="Arial" w:eastAsia="Arial" w:hAnsi="Arial"/>
          <w:sz w:val="18"/>
          <w:szCs w:val="18"/>
          <w:color w:val="auto"/>
        </w:rPr>
        <w:t>”) as amended by Amendment No. 1 dated August 27, 2009 and Amendm ent No. 2 dated February 4, 2010 (as so amended to date,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but not defined herein shall have the meaning given thereto in the Agreement.</w:t>
      </w:r>
    </w:p>
    <w:p>
      <w:pPr>
        <w:spacing w:after="0" w:line="21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through the date hereof, the Company has issued and sold to the Investor an aggregate of $24,950,815 of shares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the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 desire to amend the Agreement to increase the amount which the Investor has agreed to provide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time to time to purchase Shares under the Agreement by $35,000,000 to an aggregate of $60,000,000.</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Investor and the Company hereby agree as follows:</w:t>
      </w:r>
    </w:p>
    <w:p>
      <w:pPr>
        <w:spacing w:after="0" w:line="18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1.09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is hereby amended and restated in its entirety to read as follows:</w:t>
      </w:r>
    </w:p>
    <w:p>
      <w:pPr>
        <w:spacing w:after="0" w:line="229" w:lineRule="exact"/>
        <w:rPr>
          <w:rFonts w:ascii="Arial" w:cs="Arial" w:eastAsia="Arial" w:hAnsi="Arial"/>
          <w:sz w:val="18"/>
          <w:szCs w:val="18"/>
          <w:color w:val="auto"/>
        </w:rPr>
      </w:pPr>
    </w:p>
    <w:p>
      <w:pPr>
        <w:ind w:left="1300" w:right="120"/>
        <w:spacing w:after="0" w:line="277" w:lineRule="auto"/>
        <w:rPr>
          <w:rFonts w:ascii="Arial" w:cs="Arial" w:eastAsia="Arial" w:hAnsi="Arial"/>
          <w:sz w:val="18"/>
          <w:szCs w:val="18"/>
          <w:color w:val="auto"/>
        </w:rPr>
      </w:pPr>
      <w:r>
        <w:rPr>
          <w:rFonts w:ascii="Arial" w:cs="Arial" w:eastAsia="Arial" w:hAnsi="Arial"/>
          <w:sz w:val="18"/>
          <w:szCs w:val="18"/>
          <w:color w:val="auto"/>
        </w:rPr>
        <w:t>Section 1.09 “</w:t>
      </w:r>
      <w:r>
        <w:rPr>
          <w:rFonts w:ascii="Arial" w:cs="Arial" w:eastAsia="Arial" w:hAnsi="Arial"/>
          <w:sz w:val="18"/>
          <w:szCs w:val="18"/>
          <w:u w:val="single" w:color="auto"/>
          <w:color w:val="auto"/>
        </w:rPr>
        <w:t>Commitment Amount</w:t>
      </w:r>
      <w:r>
        <w:rPr>
          <w:rFonts w:ascii="Arial" w:cs="Arial" w:eastAsia="Arial" w:hAnsi="Arial"/>
          <w:sz w:val="18"/>
          <w:szCs w:val="18"/>
          <w:color w:val="auto"/>
        </w:rPr>
        <w:t>” shall mean the aggregate amount of up to $60,000,000 which the Investor has agreed to provide to the Company in order to purchase the Shares pursuant to the terms and conditions of this Agreement.</w:t>
      </w:r>
    </w:p>
    <w:p>
      <w:pPr>
        <w:spacing w:after="0" w:line="197" w:lineRule="exact"/>
        <w:rPr>
          <w:rFonts w:ascii="Arial" w:cs="Arial" w:eastAsia="Arial" w:hAnsi="Arial"/>
          <w:sz w:val="18"/>
          <w:szCs w:val="18"/>
          <w:color w:val="auto"/>
        </w:rPr>
      </w:pPr>
    </w:p>
    <w:p>
      <w:pPr>
        <w:jc w:val="both"/>
        <w:ind w:left="1300" w:hanging="320"/>
        <w:spacing w:after="0" w:line="287" w:lineRule="auto"/>
        <w:tabs>
          <w:tab w:leader="none" w:pos="1300" w:val="left"/>
        </w:tabs>
        <w:numPr>
          <w:ilvl w:val="1"/>
          <w:numId w:val="1"/>
        </w:numPr>
        <w:rPr>
          <w:rFonts w:ascii="Arial" w:cs="Arial" w:eastAsia="Arial" w:hAnsi="Arial"/>
          <w:sz w:val="16"/>
          <w:szCs w:val="16"/>
          <w:color w:val="auto"/>
        </w:rPr>
      </w:pPr>
      <w:r>
        <w:rPr>
          <w:rFonts w:ascii="Arial" w:cs="Arial" w:eastAsia="Arial" w:hAnsi="Arial"/>
          <w:sz w:val="16"/>
          <w:szCs w:val="16"/>
          <w:color w:val="auto"/>
        </w:rPr>
        <w:t>In connection with this Amendment, the Investor will earn a commitment fee of $300,000, which shall be earned, due and payable by the Company as follows: (i) $150,000 shall be earned, due and payable upon the first Advance Notice Date to be made after the date of this Amendment; and (ii) $150,000 shall be due and payable on or before the 9 month anniversary of the first Advance Notice Date to be made after the date of this Amendment. The fees under this clause may be paid, at the Company’s discretion, in cash, in Ordinary Shares, or some combination thereof. If any portion of the fees are to be paid in Ordinary Shares (such shares, the “</w:t>
      </w:r>
      <w:r>
        <w:rPr>
          <w:rFonts w:ascii="Arial" w:cs="Arial" w:eastAsia="Arial" w:hAnsi="Arial"/>
          <w:sz w:val="16"/>
          <w:szCs w:val="16"/>
          <w:u w:val="single" w:color="auto"/>
          <w:color w:val="auto"/>
        </w:rPr>
        <w:t>Additional Commitment Shares</w:t>
      </w:r>
      <w:r>
        <w:rPr>
          <w:rFonts w:ascii="Arial" w:cs="Arial" w:eastAsia="Arial" w:hAnsi="Arial"/>
          <w:sz w:val="16"/>
          <w:szCs w:val="16"/>
          <w:color w:val="auto"/>
        </w:rPr>
        <w:t>”), the Company will issue to the Investor Ordinary Shares before, on, or promptly after, the applicable payment date in an amount equal to the por tion of the fees to be paid in Ordinary Shares divided by the VWAP for the Trading Day immediately prior to the applicable payment date. The Additional Commitment Shares shall be issued pursuant to the Registration Statement and shall be Free upon issuance. The fees shall be deemed paid upon the crediting of the Investor’s account or its designee’s account (including, at the election of the Investor, the Investor’s securities account with a TASE Member) with the Additional Commitment Shares, in accordance with delivery instructions provided by the Investor. Each portion of these fees shall be deemed fully earned by the Investor as of the date such portion becomes due regardless of the amount of Advances, if any, that the Company is able to, or chooses to, request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968" w:hanging="320"/>
        <w:spacing w:after="0" w:line="277" w:lineRule="auto"/>
        <w:tabs>
          <w:tab w:leader="none" w:pos="96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definition of “Shares” in Section 1.43 of the Agreement shall be deemed to include the Additional Commitment Shares in addition to the Ordinary Shares to be issued from time to time pursuant to Advances and to the Commitment Shares.</w:t>
      </w:r>
    </w:p>
    <w:p>
      <w:pPr>
        <w:spacing w:after="0" w:line="197" w:lineRule="exact"/>
        <w:rPr>
          <w:rFonts w:ascii="Arial" w:cs="Arial" w:eastAsia="Arial" w:hAnsi="Arial"/>
          <w:sz w:val="18"/>
          <w:szCs w:val="18"/>
          <w:color w:val="auto"/>
        </w:rPr>
      </w:pPr>
    </w:p>
    <w:p>
      <w:pPr>
        <w:ind w:left="968" w:hanging="320"/>
        <w:spacing w:after="0"/>
        <w:tabs>
          <w:tab w:leader="none" w:pos="968"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10.02 (a) of the Agreement is hereby amended and restated in its entirety to read as follows:</w:t>
      </w:r>
    </w:p>
    <w:p>
      <w:pPr>
        <w:spacing w:after="0" w:line="225" w:lineRule="exact"/>
        <w:rPr>
          <w:sz w:val="20"/>
          <w:szCs w:val="20"/>
          <w:color w:val="auto"/>
        </w:rPr>
      </w:pPr>
    </w:p>
    <w:p>
      <w:pPr>
        <w:ind w:left="968" w:right="60" w:firstLine="45"/>
        <w:spacing w:after="0" w:line="264" w:lineRule="auto"/>
        <w:rPr>
          <w:sz w:val="20"/>
          <w:szCs w:val="20"/>
          <w:color w:val="auto"/>
        </w:rPr>
      </w:pPr>
      <w:r>
        <w:rPr>
          <w:rFonts w:ascii="Arial" w:cs="Arial" w:eastAsia="Arial" w:hAnsi="Arial"/>
          <w:sz w:val="18"/>
          <w:szCs w:val="18"/>
          <w:color w:val="auto"/>
        </w:rPr>
        <w:t>“Unless earlier terminated as provided hereunder, this Agreement shall terminate automatically on the earliest of (i) March 31, 2012, or (ii) the date on which the Investor shall have made payment of Advances pursuant to this Agreement in the aggregate amount of the Commitment Amount.</w:t>
      </w:r>
    </w:p>
    <w:p>
      <w:pPr>
        <w:spacing w:after="0" w:line="204" w:lineRule="exact"/>
        <w:rPr>
          <w:sz w:val="20"/>
          <w:szCs w:val="20"/>
          <w:color w:val="auto"/>
        </w:rPr>
      </w:pPr>
    </w:p>
    <w:p>
      <w:pPr>
        <w:ind w:left="328" w:right="20" w:hanging="328"/>
        <w:spacing w:after="0" w:line="282"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Prospectus Supplement</w:t>
      </w:r>
      <w:r>
        <w:rPr>
          <w:rFonts w:ascii="Arial" w:cs="Arial" w:eastAsia="Arial" w:hAnsi="Arial"/>
          <w:sz w:val="18"/>
          <w:szCs w:val="18"/>
          <w:color w:val="auto"/>
        </w:rPr>
        <w:t>. The Company agrees to file a prospectus supplement to the base prospectus included as part of the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Number 333-163196) prior to issuing any additional Advance Notices to the Investor.</w:t>
      </w:r>
    </w:p>
    <w:p>
      <w:pPr>
        <w:spacing w:after="0" w:line="188"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Opinion of Counsel</w:t>
      </w:r>
      <w:r>
        <w:rPr>
          <w:rFonts w:ascii="Arial" w:cs="Arial" w:eastAsia="Arial" w:hAnsi="Arial"/>
          <w:sz w:val="18"/>
          <w:szCs w:val="18"/>
          <w:color w:val="auto"/>
        </w:rPr>
        <w:t>. The Company shall provide an updated opinion letter from counsel to the Company in the form attached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C prior to issuing any additional Advance Notices to the Investor.</w:t>
      </w:r>
    </w:p>
    <w:p>
      <w:pPr>
        <w:spacing w:after="0" w:line="188"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parties hereto acknowledge and agree that, other than as set forth in this Amendment, the Agreement remains unchanged and in full force and effect.</w:t>
      </w:r>
    </w:p>
    <w:p>
      <w:pPr>
        <w:spacing w:after="0" w:line="197"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Amendment may be executed in several counterparts, each of which will be deemed to be an original and all of which will together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389890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517" w:right="239" w:bottom="1440" w:gutter="0" w:footer="0" w:header="0"/>
        </w:sectPr>
      </w:pPr>
    </w:p>
    <w:bookmarkStart w:id="5" w:name="page6"/>
    <w:bookmarkEnd w:id="5"/>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No. 3 to be executed by the undersigned, thereunto duly authorized,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first set forth above.</w:t>
      </w:r>
    </w:p>
    <w:p>
      <w:pPr>
        <w:spacing w:after="0" w:line="18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OWER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EMICONDUCTOR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Oren Shirazi</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Oren Shirazi</w:t>
      </w:r>
    </w:p>
    <w:p>
      <w:pPr>
        <w:spacing w:after="0" w:line="9" w:lineRule="exact"/>
        <w:rPr>
          <w:sz w:val="20"/>
          <w:szCs w:val="20"/>
          <w:color w:val="auto"/>
        </w:rPr>
      </w:pPr>
    </w:p>
    <w:p>
      <w:pPr>
        <w:ind w:left="5820"/>
        <w:spacing w:after="0"/>
        <w:tabs>
          <w:tab w:leader="none" w:pos="64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Ronit Vardi</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Ronit Vardi</w:t>
      </w:r>
    </w:p>
    <w:p>
      <w:pPr>
        <w:spacing w:after="0" w:line="9" w:lineRule="exact"/>
        <w:rPr>
          <w:sz w:val="20"/>
          <w:szCs w:val="20"/>
          <w:color w:val="auto"/>
        </w:rPr>
      </w:pPr>
    </w:p>
    <w:p>
      <w:pPr>
        <w:ind w:left="5820"/>
        <w:spacing w:after="0"/>
        <w:tabs>
          <w:tab w:leader="none" w:pos="6420" w:val="left"/>
        </w:tabs>
        <w:rPr>
          <w:sz w:val="20"/>
          <w:szCs w:val="20"/>
          <w:color w:val="auto"/>
        </w:rPr>
      </w:pPr>
      <w:r>
        <w:rPr>
          <w:rFonts w:ascii="Arial" w:cs="Arial" w:eastAsia="Arial" w:hAnsi="Arial"/>
          <w:sz w:val="18"/>
          <w:szCs w:val="18"/>
          <w:color w:val="auto"/>
        </w:rPr>
        <w:t>Title:</w:t>
        <w:tab/>
        <w:t>Controller</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YA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ASTER</w:t>
      </w:r>
      <w:r>
        <w:rPr>
          <w:rFonts w:ascii="Arial" w:cs="Arial" w:eastAsia="Arial" w:hAnsi="Arial"/>
          <w:sz w:val="18"/>
          <w:szCs w:val="18"/>
          <w:b w:val="1"/>
          <w:bCs w:val="1"/>
          <w:color w:val="auto"/>
        </w:rPr>
        <w:t xml:space="preserve"> SPV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Yorkville Advisors, LLC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Angelo</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Mark Angelo</w:t>
      </w:r>
    </w:p>
    <w:p>
      <w:pPr>
        <w:spacing w:after="0" w:line="9"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Portfolio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2019-12-10T12:09:08Z</dcterms:created>
  <dcterms:modified xsi:type="dcterms:W3CDTF">2019-12-10T12:09:08Z</dcterms:modified>
</cp:coreProperties>
</file>