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month of July 2007 No. 4</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173"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173"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5"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Attached hereto and incorporated herein by reference are portions of a prospectus published in Israel and filed with the Israel Securities Authority and the Tel Aviv Stock Exchange. The prospectus relates to: (i) the registration of warrants and convertible and non-convertible debentures sold in a private placement completed by the Registrant in Israel in June 2007; and (ii) the offering to the public in Israel of units consisting of additional warrants and convertible and non-convertible debentures. The prospectus includes certain updated information regarding the Registrant. The prospectus, as attached hereto, excludes the Hebrew language portions including information regarding the securities being registered and offered pursuant to the prospectus. Summary information regarding the private placement completed by the Registrant in June 2007 and the securities being registered is included in the Registrant's press release included in the Report on Form 6-K filed by the Registrant on June 13, 2007. Summary information regarding the offering and the securities being offered is included in the Registrant's press release included in the Report on Form 6-K filed by the Registrant on July 26, 2007.</w:t>
      </w:r>
    </w:p>
    <w:p>
      <w:pPr>
        <w:spacing w:after="0" w:line="16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securities described in the prospectus from which these portions were selected were offered in Israel to residents of Israel only. The securities have not been and will not be registered under the US Securities Act of 1933, as amended, and may not be offered or sold in the United States or to US persons, absent registration or an applicable exemption from the registration requirements of such Act.</w:t>
      </w:r>
    </w:p>
    <w:p>
      <w:pPr>
        <w:spacing w:after="0" w:line="175" w:lineRule="exact"/>
        <w:rPr>
          <w:sz w:val="24"/>
          <w:szCs w:val="24"/>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This Form 6-K is being incorporated by reference into all effective Registration Statements filed by the Registrant under 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4"/>
          <w:szCs w:val="24"/>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4"/>
          <w:szCs w:val="24"/>
          <w:color w:val="auto"/>
        </w:rPr>
      </w:pPr>
    </w:p>
    <w:p>
      <w:pPr>
        <w:ind w:left="4640"/>
        <w:spacing w:after="0"/>
        <w:rPr>
          <w:sz w:val="20"/>
          <w:szCs w:val="20"/>
          <w:color w:val="auto"/>
        </w:rPr>
      </w:pPr>
      <w:r>
        <w:rPr>
          <w:rFonts w:ascii="Courier New" w:cs="Courier New" w:eastAsia="Courier New" w:hAnsi="Courier New"/>
          <w:sz w:val="15"/>
          <w:szCs w:val="15"/>
          <w:color w:val="auto"/>
        </w:rPr>
        <w:t>TOWER SEMICONDUCTOR LTD.</w:t>
      </w:r>
    </w:p>
    <w:p>
      <w:pPr>
        <w:sectPr>
          <w:pgSz w:w="11900" w:h="16899" w:orient="portrait"/>
          <w:cols w:equalWidth="0" w:num="1">
            <w:col w:w="10239"/>
          </w:cols>
          <w:pgMar w:left="220" w:top="393"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 July 26, 2007</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Nati Somekh Gilboa</w:t>
      </w:r>
    </w:p>
    <w:p>
      <w:pPr>
        <w:spacing w:after="0" w:line="237" w:lineRule="auto"/>
        <w:rPr>
          <w:sz w:val="20"/>
          <w:szCs w:val="20"/>
          <w:color w:val="auto"/>
        </w:rPr>
      </w:pPr>
      <w:r>
        <w:rPr>
          <w:rFonts w:ascii="Courier New" w:cs="Courier New" w:eastAsia="Courier New" w:hAnsi="Courier New"/>
          <w:sz w:val="15"/>
          <w:szCs w:val="15"/>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94615</wp:posOffset>
            </wp:positionV>
            <wp:extent cx="1708785" cy="562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8785" cy="562610"/>
                    </a:xfrm>
                    <a:prstGeom prst="rect">
                      <a:avLst/>
                    </a:prstGeom>
                    <a:noFill/>
                  </pic:spPr>
                </pic:pic>
              </a:graphicData>
            </a:graphic>
          </wp:anchor>
        </w:drawing>
      </w:r>
    </w:p>
    <w:p>
      <w:pPr>
        <w:spacing w:after="0" w:line="200" w:lineRule="exact"/>
        <w:rPr>
          <w:sz w:val="24"/>
          <w:szCs w:val="24"/>
          <w:color w:val="auto"/>
        </w:rPr>
      </w:pPr>
    </w:p>
    <w:p>
      <w:pPr>
        <w:sectPr>
          <w:pgSz w:w="11900" w:h="16899" w:orient="portrait"/>
          <w:cols w:equalWidth="0" w:num="2">
            <w:col w:w="3920" w:space="720"/>
            <w:col w:w="5599"/>
          </w:cols>
          <w:pgMar w:left="220" w:top="393"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SELECTED PORTIONS OF THE PROSPECTUS PUBLISHED IN ISRAEL</w:t>
      </w:r>
    </w:p>
    <w:p>
      <w:pPr>
        <w:jc w:val="center"/>
        <w:ind w:right="3139"/>
        <w:spacing w:after="0" w:line="237" w:lineRule="auto"/>
        <w:rPr>
          <w:sz w:val="20"/>
          <w:szCs w:val="20"/>
          <w:color w:val="auto"/>
        </w:rPr>
      </w:pPr>
      <w:r>
        <w:rPr>
          <w:rFonts w:ascii="Courier New" w:cs="Courier New" w:eastAsia="Courier New" w:hAnsi="Courier New"/>
          <w:sz w:val="15"/>
          <w:szCs w:val="15"/>
          <w:color w:val="auto"/>
        </w:rPr>
        <w:t>ON JULY 26, 2007 AND FILED WITH THE ISRAEL SECURITIES</w:t>
      </w:r>
    </w:p>
    <w:p>
      <w:pPr>
        <w:jc w:val="center"/>
        <w:ind w:right="3139"/>
        <w:spacing w:after="0" w:line="238" w:lineRule="auto"/>
        <w:rPr>
          <w:sz w:val="20"/>
          <w:szCs w:val="20"/>
          <w:color w:val="auto"/>
        </w:rPr>
      </w:pPr>
      <w:r>
        <w:rPr>
          <w:rFonts w:ascii="Courier New" w:cs="Courier New" w:eastAsia="Courier New" w:hAnsi="Courier New"/>
          <w:sz w:val="15"/>
          <w:szCs w:val="15"/>
          <w:color w:val="auto"/>
        </w:rPr>
        <w:t>AUTHORITY AND THE TEL AVIV STOCK EXCHANGE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ind w:left="2800"/>
              <w:spacing w:after="0"/>
              <w:rPr>
                <w:sz w:val="20"/>
                <w:szCs w:val="20"/>
                <w:color w:val="auto"/>
              </w:rPr>
            </w:pPr>
            <w:r>
              <w:rPr>
                <w:rFonts w:ascii="Courier New" w:cs="Courier New" w:eastAsia="Courier New" w:hAnsi="Courier New"/>
                <w:sz w:val="15"/>
                <w:szCs w:val="15"/>
                <w:color w:val="auto"/>
              </w:rPr>
              <w:t>TABLE OF CONTENTS</w:t>
            </w:r>
          </w:p>
        </w:tc>
        <w:tc>
          <w:tcPr>
            <w:tcW w:w="144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Forward-Looking Statements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Summary Information Regarding the Company</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Offer and Listing</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Factors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Capitalization</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Use of Proceeds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Information</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bl>
    <w:p>
      <w:pPr>
        <w:sectPr>
          <w:pgSz w:w="11900" w:h="16899" w:orient="portrait"/>
          <w:cols w:equalWidth="0" w:num="1">
            <w:col w:w="10239"/>
          </w:cols>
          <w:pgMar w:left="220" w:top="393"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 Reference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Exemption, Insurance and Indemnification of Directors and Officers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Senior Management and Employees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Where You Can Find more Information</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Matters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Experts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AS USED HEREIN OR IN ANY DOCUMENT INCORPORATED BY REFERENCE HERETO, REFERENCES TO THE "COMPANY", "TOWER SEMICONDUCTOR LTD.", "TOWER", "REGISTRANT", "WE", "US",</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OR "OUR" ARE REFERENCES TO TOWER SEMICONDUCTOR LTD. AND ITS SUBSIDIARY, EXCEPT AS THE CONTEXT OTHERWISE REQUIRES. IN ADDITION, REFERENCES TO OUR "FINANCIAL STATEMENTS" ARE TO OUR CONSOLIDATED FINANCIAL STATEMENTS EXCEPT AS THE CONTEXT OTHERWISE REQUIRES.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used herein, references to "the warrants" are references to the warrants (series W6 being registered and offered pursuant to this prospectus, "the 2007 straight debentures" are references to the debentures (series D being registered and offered pursuant to this prospects), "the 2007 convertible debentures" are references to the convertible debentures (series E being registered and offered pursuant to this prospects) and "the 2007 debentures" are references to the 2007 straight debentures and the 2007 convertible debentures.</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HAVE PREPARED OUR CONSOLIDATED FINANCIAL STATEMENTS IN UNITED STATES DOLLARS AND IN ACCORDANCE WITH GENERALLY ACCEPTED ACCOUNTING PRINCIPLES IN ISRAEL, WHICH INCLUDE A RECONCILIATION NOTE TO GENERALLY ACCEPTED ACCOUNTING PRINCIPLES IN THE UNITED STATES. ALL REFERENCES HEREIN TO "DOLLARS" OR "$" ARE TO UNITED STATES DOLLARS, AND ALL REFERENCES TO "SHEKELS" OR "NIS" ARE TO NEW ISRAELI SHEKELS.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filings with the Securities and Exchange Commission, which are filed with the Israel Securities Authority, may cause actual results or outcomes to differ materially from those expressed in forward-looking statements. You should read and interpret any forward-looking statements together with these documents.</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INFORMATION REGARDING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us and the securities being registered pursuant to this prospectus, including the risks discussed under the heading "Risk Factors". You should also read carefully the consolidated financial statements and notes thereto and the other information about us that are incorporated by reference in this prospectus, including our 2006 20-F and our Form 6-K regarding our 2006 financial results, and our Form 6-K regarding our financial results for the three-month period ended March 31, 2007, all incorporated by reference into this prospectus.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January 2001, we commenced construction of a new, state-of-the-art wafer fabrication facility, which we refer to as Fab 2, located in Migdal Haemek, Israel and adjacent to our first facility, Fab 1. Depending on the process technology and product mix, as of May 31, 2007,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w:t>
      </w:r>
    </w:p>
    <w:p>
      <w:pPr>
        <w:sectPr>
          <w:pgSz w:w="11900" w:h="16838" w:orient="portrait"/>
          <w:cols w:equalWidth="0" w:num="1">
            <w:col w:w="10239"/>
          </w:cols>
          <w:pgMar w:left="220" w:top="135" w:right="1440" w:bottom="0" w:gutter="0" w:footer="0" w:header="0"/>
        </w:sectPr>
      </w:pPr>
    </w:p>
    <w:bookmarkStart w:id="2" w:name="page3"/>
    <w:bookmarkEnd w:id="2"/>
    <w:p>
      <w:pPr>
        <w:ind w:right="3319"/>
        <w:spacing w:after="0" w:line="256" w:lineRule="auto"/>
        <w:rPr>
          <w:sz w:val="20"/>
          <w:szCs w:val="20"/>
          <w:color w:val="auto"/>
        </w:rPr>
      </w:pPr>
      <w:r>
        <w:rPr>
          <w:rFonts w:ascii="Courier New" w:cs="Courier New" w:eastAsia="Courier New" w:hAnsi="Courier New"/>
          <w:sz w:val="14"/>
          <w:szCs w:val="14"/>
          <w:color w:val="auto"/>
        </w:rPr>
        <w:t>Toshiba and other technologies that we developed and will develop independently or with development partners. Production capacity of Fab 2 as of May 31, 2007 was approximately 21,000 wafers per month. Depending on the process technology and product mix, when fully ramped-up we estimate that Fab 2 will be able to achieve capacity levels of up to approximately 40,000 wafers per month.</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manufacturing facilities and executive offices are located in the Ramat Gavriel Industrial Park, Post Office Box 619, Migdal Haemek, 23105 Israel, and our telephone number is 972-4-650-6611.</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Additional information about us and our operations may be found on our web site: www.towersemi.com. Information on our website is not incorporated by reference in this prospectus.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 AND LISTING</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Our ordinary shares are listed and traded on the NASDAQ Global Market under the symbol "TSEM." In addition, in January 2001, our ordinary shares commenced trading on the Tel Aviv Stock Exchange (TASE) under the symbol "TSEM."</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the high and low reported sales prices of the ordinary shares on the Nasdaq Global Market and Tel Aviv Stock Exchange: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NASDAQ GLOBAL MARKET</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TEL AVIV STOCK EXCHANGE</w:t>
            </w:r>
          </w:p>
        </w:tc>
      </w:tr>
      <w:tr>
        <w:trPr>
          <w:trHeight w:val="168"/>
        </w:trPr>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HIGH ($)</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LOW ($)</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HIGH (NIS)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 (NIS)</w:t>
            </w:r>
          </w:p>
        </w:tc>
      </w:tr>
      <w:tr>
        <w:trPr>
          <w:trHeight w:val="168"/>
        </w:trPr>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PERIOD</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June 2007</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1.42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May</w:t>
            </w:r>
          </w:p>
        </w:tc>
        <w:tc>
          <w:tcPr>
            <w:tcW w:w="154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w w:val="88"/>
              </w:rPr>
              <w:t>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1.52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April 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March 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February 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7.35</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January 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1.70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7.21</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2006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Second quarter 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1.42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First quarter 2007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Fourth quarter 2006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1.41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quarter 2006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1.24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Second quarter 2006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1.22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First quarter 2006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1.22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Fourth quarter 2005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quarter 2005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0.92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Second quarter 2005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1.08</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w:t>
            </w: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First quarter 2005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1.36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2006</w:t>
            </w:r>
          </w:p>
        </w:tc>
        <w:tc>
          <w:tcPr>
            <w:tcW w:w="154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1.22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2005</w:t>
            </w:r>
          </w:p>
        </w:tc>
        <w:tc>
          <w:tcPr>
            <w:tcW w:w="154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0.92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2004</w:t>
            </w:r>
          </w:p>
        </w:tc>
        <w:tc>
          <w:tcPr>
            <w:tcW w:w="154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1.62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2003</w:t>
            </w:r>
          </w:p>
        </w:tc>
        <w:tc>
          <w:tcPr>
            <w:tcW w:w="154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2.16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2002</w:t>
            </w:r>
          </w:p>
        </w:tc>
        <w:tc>
          <w:tcPr>
            <w:tcW w:w="1540" w:type="dxa"/>
            <w:vAlign w:val="bottom"/>
          </w:tcPr>
          <w:p>
            <w:pPr>
              <w:spacing w:after="0"/>
              <w:rPr>
                <w:sz w:val="14"/>
                <w:szCs w:val="14"/>
                <w:color w:val="auto"/>
              </w:rPr>
            </w:pP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8.50</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3.11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w:t>
            </w:r>
          </w:p>
        </w:tc>
      </w:tr>
      <w:tr>
        <w:trPr>
          <w:trHeight w:val="505"/>
        </w:trPr>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ORDINARY SHARES, CONVERTIBLE DEBENTURES AND OUR WARRANTS.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AFFECTING OUR BUSINESS</w:t>
      </w:r>
    </w:p>
    <w:p>
      <w:pPr>
        <w:spacing w:after="0" w:line="17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IF WE DO NOT HAVE SUFFICIENT FUNDS TO FULLY EQUIP FAB 2 AND/OR IF WE DO NOT COMPLETE THE EQUIPMENT INSTALLATION, TECHNOLOGY TRANSFER AND RAMP-UP OF PRODUCTION IN FAB 2, OUR BUSINESS WILL BE MATERIALLY ADVERSELY AFFECTED.</w:t>
      </w:r>
    </w:p>
    <w:p>
      <w:pPr>
        <w:spacing w:after="0" w:line="161"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Fab 2 production capacity as of May 31, 2007 was approximately 21,000 wafers per month. In March 2006, our board of directors approved a plan to</w:t>
      </w:r>
    </w:p>
    <w:p>
      <w:pPr>
        <w:sectPr>
          <w:pgSz w:w="11900" w:h="16838" w:orient="portrait"/>
          <w:cols w:equalWidth="0" w:num="1">
            <w:col w:w="10239"/>
          </w:cols>
          <w:pgMar w:left="220" w:top="141" w:right="1440" w:bottom="0" w:gutter="0" w:footer="0" w:header="0"/>
        </w:sectPr>
      </w:pPr>
    </w:p>
    <w:bookmarkStart w:id="3" w:name="page4"/>
    <w:bookmarkEnd w:id="3"/>
    <w:p>
      <w:pPr>
        <w:ind w:right="3239"/>
        <w:spacing w:after="0" w:line="254" w:lineRule="auto"/>
        <w:rPr>
          <w:sz w:val="20"/>
          <w:szCs w:val="20"/>
          <w:color w:val="auto"/>
        </w:rPr>
      </w:pPr>
      <w:r>
        <w:rPr>
          <w:rFonts w:ascii="Courier New" w:cs="Courier New" w:eastAsia="Courier New" w:hAnsi="Courier New"/>
          <w:sz w:val="14"/>
          <w:szCs w:val="14"/>
          <w:color w:val="auto"/>
        </w:rPr>
        <w:t>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including the approximately $40 million raised in our June 2007 private placement and the proceeds we receive from this offering.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8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May 31, 2007, we received a cumulative amount of approximately $165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December 31, 2006, we have invested approximately $150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obtain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financing sources to refund the grants we received and if we do not succeed in finding such financing sources, we may have to cease our operations.</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87"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IF OUR FUTURE OPERATIONS DO NOT INCREASE OR IF WE FAIL TO RAISE ADDITIONAL FUNDING, WE MAY BE UNABLE TO REPAY OUR DEBT ON A TIMELY BASIS.</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w:t>
      </w:r>
    </w:p>
    <w:p>
      <w:pPr>
        <w:sectPr>
          <w:pgSz w:w="11900" w:h="16838" w:orient="portrait"/>
          <w:cols w:equalWidth="0" w:num="1">
            <w:col w:w="10239"/>
          </w:cols>
          <w:pgMar w:left="220" w:top="141" w:right="1440" w:bottom="0" w:gutter="0" w:footer="0" w:header="0"/>
        </w:sectPr>
      </w:pPr>
    </w:p>
    <w:bookmarkStart w:id="4" w:name="page5"/>
    <w:bookmarkEnd w:id="4"/>
    <w:p>
      <w:pPr>
        <w:ind w:right="3239"/>
        <w:spacing w:after="0" w:line="237" w:lineRule="auto"/>
        <w:rPr>
          <w:sz w:val="20"/>
          <w:szCs w:val="20"/>
          <w:color w:val="auto"/>
        </w:rPr>
      </w:pPr>
      <w:r>
        <w:rPr>
          <w:rFonts w:ascii="Courier New" w:cs="Courier New" w:eastAsia="Courier New" w:hAnsi="Courier New"/>
          <w:sz w:val="15"/>
          <w:szCs w:val="15"/>
          <w:color w:val="auto"/>
        </w:rPr>
        <w:t>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that in the event we have liquidity problems we will be successful at negotiating price reductions and arrangements to slow down or postpone payments to our suppliers and service providers, or negotiating revised repayment schedules of our other debt, including our outstanding debentures.</w:t>
      </w:r>
    </w:p>
    <w:p>
      <w:pPr>
        <w:spacing w:after="0" w:line="174"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HAVE A HISTORY OF OPERATING LOSSES AND EXPECT TO OPERATE AT A LOSS FOR THE FORESEEABLE FUTURE; OUR FACILITIES MUST OPERATE AT HIGH UTILIZATION RATES FOR US TO REDUCE OUR LOSSES.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8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OPERATING RESULTS FLUCTUATE FROM QUARTER TO QUARTER WHICH MAKES IT DIFFICULT TO PREDICT OUR FUTURE PERFORMANCE.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5" w:lineRule="exact"/>
        <w:rPr>
          <w:sz w:val="20"/>
          <w:szCs w:val="20"/>
          <w:color w:val="auto"/>
        </w:rPr>
      </w:pPr>
    </w:p>
    <w:p>
      <w:pPr>
        <w:ind w:left="880" w:right="323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cyclical nature of both the semiconductor industry and the markets served by our customers;</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economic conditions of geographical regions where our customers and their markets are located;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87" w:lineRule="exact"/>
        <w:rPr>
          <w:sz w:val="20"/>
          <w:szCs w:val="20"/>
          <w:color w:val="auto"/>
        </w:rPr>
      </w:pPr>
    </w:p>
    <w:p>
      <w:pPr>
        <w:ind w:left="880" w:right="323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Shifts by integrated device manufacturers (IDMs) and customers between internal and outsourced production;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and supply chain management of our customers;</w:t>
      </w:r>
    </w:p>
    <w:p>
      <w:pPr>
        <w:spacing w:after="0" w:line="172"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a key customer, postponement of an order from a key customer, failure of a key customer to pay accounts receivables in a timely manner or the financial condition of our customers;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accounts receivables write-offs;</w:t>
      </w:r>
    </w:p>
    <w:p>
      <w:pPr>
        <w:spacing w:after="0" w:line="172"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rescheduling or cancellation of large orders or planned capital expenditures;</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our customers' demand for quality and timely production;</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volume of orders relative to our available production capacity;</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obtain raw materials and equipment on a timely and cost-effective basis;</w:t>
      </w:r>
    </w:p>
    <w:p>
      <w:pPr>
        <w:spacing w:after="0" w:line="173" w:lineRule="exact"/>
        <w:rPr>
          <w:rFonts w:ascii="Courier New" w:cs="Courier New" w:eastAsia="Courier New" w:hAnsi="Courier New"/>
          <w:sz w:val="15"/>
          <w:szCs w:val="15"/>
          <w:color w:val="auto"/>
        </w:rPr>
      </w:pPr>
    </w:p>
    <w:p>
      <w:pPr>
        <w:ind w:left="880" w:right="401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events or industrial accidents such as fires or explosions;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susceptibility to intellectual property rights disputes;</w:t>
      </w:r>
    </w:p>
    <w:p>
      <w:pPr>
        <w:spacing w:after="0" w:line="172" w:lineRule="exact"/>
        <w:rPr>
          <w:rFonts w:ascii="Courier New" w:cs="Courier New" w:eastAsia="Courier New" w:hAnsi="Courier New"/>
          <w:sz w:val="15"/>
          <w:szCs w:val="15"/>
          <w:color w:val="auto"/>
        </w:rPr>
      </w:pPr>
    </w:p>
    <w:p>
      <w:pPr>
        <w:ind w:left="880" w:right="409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continue with existing and to enter into new partnerships and technology and supply alliances on mutually beneficial terms;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capital expenditures exceeding planned capital expenditures;</w:t>
      </w:r>
    </w:p>
    <w:p>
      <w:pPr>
        <w:sectPr>
          <w:pgSz w:w="11900" w:h="16838" w:orient="portrait"/>
          <w:cols w:equalWidth="0" w:num="1">
            <w:col w:w="10239"/>
          </w:cols>
          <w:pgMar w:left="220" w:top="141" w:right="1440" w:bottom="0" w:gutter="0" w:footer="0" w:header="0"/>
        </w:sectPr>
      </w:pPr>
    </w:p>
    <w:bookmarkStart w:id="5" w:name="page6"/>
    <w:bookmarkEnd w:id="5"/>
    <w:p>
      <w:pPr>
        <w:ind w:left="880" w:right="3579" w:hanging="433"/>
        <w:spacing w:after="0" w:line="234"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currency rate fluctuations that may not be adequately hedged;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and short product life cycles;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for designing and the qualification of new products;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rules affecting our results.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Due to the factors noted above and other risks discussed in this section, many of which are beyond our control, you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6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LACK OF A SIGNIFICANT BACKLOG RESULTING FROM OUR CUSTOMERS NOT PLACING PURCHASE ORDERS FAR IN ADVANCE MAKES IT DIFFICULT FOR US TO FORECAST OUR REVENUES IN FUTURE PERIODS.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8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OUR SALES CYCLES MAY BE LONG AND, AS A RESULT, ORDERS RECEIVED MAY NOT MEET OUR EXPECTATIONS THAT MAY ADVERSELY AFFECT OUR OPERATING RESULTS.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8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DEMAND FOR OUR FOUNDRY SERVICES IS DEPENDENT ON THE DEMAND IN OUR CUSTOMERS' END MARKETS.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6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IF WE DO NOT MAINTAIN OUR CURRENT CUSTOMERS AND ATTRACT ADDITIONAL CUSTOMERS, OUR BUSINESS MAY BE ADVERSELY AFFECTED.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three months ended March 31, 2007, approximately 61% of our business was generated by five significant customers that contributed 33%, 11%, 7%, 5% and 5% of our revenue,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6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DEPEND ON A RELATIVELY SMALL NUMBER OF PRODUCTS FOR A SIGNIFICANT PORTION OF OUR REVENUES.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w:t>
      </w:r>
    </w:p>
    <w:p>
      <w:pPr>
        <w:sectPr>
          <w:pgSz w:w="11900" w:h="16838" w:orient="portrait"/>
          <w:cols w:equalWidth="0" w:num="1">
            <w:col w:w="10239"/>
          </w:cols>
          <w:pgMar w:left="220" w:top="141"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these products could negatively impact our financial results.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WE DO NOT RECEIVE ORDERS FROM OUR WAFER PARTNERS, WE MAY HAVE EXCESS CAPACITY.</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WE DO NOT MAINTAIN AND DEVELOP OUR TECHNOLOGY PROCESSES AND SERVICES, WE WILL LOSE CUSTOMERS AND MAY NOT BE ABLE TO ATTRACT NEW ONES.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semiconductor market is characterized by rapid change, including the following:</w:t>
      </w:r>
    </w:p>
    <w:p>
      <w:pPr>
        <w:spacing w:after="0" w:line="167"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developments;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evolving industry standards;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customer and product end user requirements;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new product introductions and enhancements;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product life cycles with declining prices as products mature.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DO NOT COMPETE EFFECTIVELY, WE WILL LOSE BUSINESS TO OUR COMPETITORS.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3" w:lineRule="exact"/>
        <w:rPr>
          <w:sz w:val="20"/>
          <w:szCs w:val="20"/>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manufacturing capacity;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and more advanced manufacturing facilities;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advanced technological capabilities;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more diverse and established customer base;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80" w:lineRule="exact"/>
        <w:rPr>
          <w:sz w:val="20"/>
          <w:szCs w:val="20"/>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financial, marketing, distribution and other resources;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better cost structure; and/or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better operational performance in cycle time and yields.</w:t>
      </w:r>
    </w:p>
    <w:p>
      <w:pPr>
        <w:spacing w:after="0" w:line="173"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WE HAVE A LARGE AMOUNT OF DEBT WHICH COULD HAVE SIGNIFICANT NEGATIVE CONSEQUENCES.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We have a large amount of long-term debt, which could have significant negative consequences. As of May 31, 2007, we had approximately $369 million of bank debt and approximately $95 million of convertible debt. Our current and future indebtedness could have significant negative consequences, including:</w:t>
      </w:r>
    </w:p>
    <w:p>
      <w:pPr>
        <w:spacing w:after="0" w:line="164" w:lineRule="exact"/>
        <w:rPr>
          <w:sz w:val="20"/>
          <w:szCs w:val="20"/>
          <w:color w:val="auto"/>
        </w:rPr>
      </w:pPr>
    </w:p>
    <w:p>
      <w:pPr>
        <w:ind w:left="880" w:right="32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dedication of a substantial portion of our expected cash flow from operations to service our indebtedness;</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vulnerability to general adverse economic and industry conditions;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additional financing;</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in planning for, or reacting to, changes in our business and the industry in which we compete;</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competitive disadvantage to less leveraged competitors</w:t>
      </w:r>
    </w:p>
    <w:p>
      <w:pPr>
        <w:sectPr>
          <w:pgSz w:w="11900" w:h="16838" w:orient="portrait"/>
          <w:cols w:equalWidth="0" w:num="1">
            <w:col w:w="10239"/>
          </w:cols>
          <w:pgMar w:left="220" w:top="135" w:right="1440" w:bottom="0" w:gutter="0" w:footer="0" w:header="0"/>
        </w:sectPr>
      </w:pPr>
    </w:p>
    <w:bookmarkStart w:id="7" w:name="page8"/>
    <w:bookmarkEnd w:id="7"/>
    <w:p>
      <w:pPr>
        <w:ind w:left="880"/>
        <w:spacing w:after="0"/>
        <w:rPr>
          <w:sz w:val="20"/>
          <w:szCs w:val="20"/>
          <w:color w:val="auto"/>
        </w:rPr>
      </w:pPr>
      <w:r>
        <w:rPr>
          <w:rFonts w:ascii="Courier New" w:cs="Courier New" w:eastAsia="Courier New" w:hAnsi="Courier New"/>
          <w:sz w:val="14"/>
          <w:szCs w:val="14"/>
          <w:color w:val="auto"/>
        </w:rPr>
        <w:t>and competitors that have better access to capital resources; and/or</w:t>
      </w:r>
    </w:p>
    <w:p>
      <w:pPr>
        <w:spacing w:after="0" w:line="178" w:lineRule="exact"/>
        <w:rPr>
          <w:sz w:val="20"/>
          <w:szCs w:val="20"/>
          <w:color w:val="auto"/>
        </w:rPr>
      </w:pPr>
    </w:p>
    <w:p>
      <w:pPr>
        <w:ind w:left="880" w:right="357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affecting our ability to make interest payments and other required debt service on our indebtedness.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IF WE FAIL TO SATISFY THE COVENANTS SET FORTH IN OUR AMENDED CREDIT FACILITY, OUR BANKS WILL BE ABLE TO CALL OUR LOANS.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8"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ISRAELI BANKING LAWS MAY IMPOSE RESTRICTIONS ON THE TOTAL DEBT THAT WE MAY BORROW FROM OUR BANKS.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87"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IF WE EXPERIENCE DIFFICULTY IN ACHIEVING ACCEPTABLE DEVICE YIELDS, PRODUCT PERFORMANCE AND DELIVERY TIMES AS A RESULT OF MANUFACTURING PROBLEMS, OUR BUSINESS WILL BE ADVERSELY AFFECTED.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WE ARE UNABLE TO PURCHASE EQUIPMENT AND RAW MATERIALS, WE MAY NOT BE ABLE TO MANUFACTURE OUR PRODUCTS IN A TIMELY FASHION, WHICH MAY RESULT IN A LOSS OF EXISTING AND POTENTIAL NEW CUSTOMERS.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EXPOSURE TO INFLATION AND CURRENCY EXCHANGE AND INTEREST RATE FLUCTUATIONS MAY INCREASE OUR COST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 In addition, the devaluation of the US dollar against the NIS raises our US dollar costs of operation, which is denominated in NIS.</w:t>
      </w:r>
    </w:p>
    <w:p>
      <w:pPr>
        <w:spacing w:after="0" w:line="17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w:t>
      </w:r>
    </w:p>
    <w:p>
      <w:pPr>
        <w:sectPr>
          <w:pgSz w:w="11900" w:h="16838" w:orient="portrait"/>
          <w:cols w:equalWidth="0" w:num="1">
            <w:col w:w="10239"/>
          </w:cols>
          <w:pgMar w:left="220" w:top="14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facility as provided for in the credit facility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WE DEPEND ON INTELLECTUAL PROPERTY RIGHTS OF THIRD PARTIES AND FAILURE TO MAINTAIN OR ACQUIRE LICENSES COULD HARM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FAILURE TO COMPLY WITH THE INTELLECTUAL PROPERTY RIGHTS OF THIRD PARTIES OR TO DEFEND OUR INTELLECTUAL PROPERTY RIGHTS COULD HARM OUR BUSINESS.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69"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negotiating cross-license agreements;</w:t>
      </w:r>
    </w:p>
    <w:p>
      <w:pPr>
        <w:spacing w:after="0" w:line="172"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seeking to acquire licenses to the allegedly infringed patents, which may not be available on commercially reasonable terms, if at all;</w:t>
      </w:r>
    </w:p>
    <w:p>
      <w:pPr>
        <w:spacing w:after="0" w:line="159"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discontinuing use of certain process technologies, architectures, or designs, which could cause us to stop manufacturing certain integrated circuits if we were unable to design around the allegedly infringed patents;</w:t>
      </w:r>
    </w:p>
    <w:p>
      <w:pPr>
        <w:spacing w:after="0" w:line="17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fighting the matter in court and paying substantial monetary damages in the event we lose; or</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develop non-infringing technologies, which may not be feasible.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March 31, 2007, we held 61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74"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WE COULD BE SERIOUSLY HARMED BY FAILURE TO COMPLY WITH ENVIRONMENTAL REGULATIONS.</w:t>
      </w:r>
    </w:p>
    <w:p>
      <w:pPr>
        <w:sectPr>
          <w:pgSz w:w="11900" w:h="16838" w:orient="portrait"/>
          <w:cols w:equalWidth="0" w:num="1">
            <w:col w:w="10239"/>
          </w:cols>
          <w:pgMar w:left="220" w:top="135" w:right="1440" w:bottom="0" w:gutter="0" w:footer="0" w:header="0"/>
        </w:sectPr>
      </w:pPr>
    </w:p>
    <w:bookmarkStart w:id="9" w:name="page10"/>
    <w:bookmarkEnd w:id="9"/>
    <w:p>
      <w:pPr>
        <w:ind w:right="3399" w:firstLine="437"/>
        <w:spacing w:after="0" w:line="236" w:lineRule="auto"/>
        <w:rPr>
          <w:sz w:val="20"/>
          <w:szCs w:val="20"/>
          <w:color w:val="auto"/>
        </w:rPr>
      </w:pPr>
      <w:r>
        <w:rPr>
          <w:rFonts w:ascii="Courier New" w:cs="Courier New" w:eastAsia="Courier New" w:hAnsi="Courier New"/>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7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ARE SUBJECT TO THE RISK OF LOSS DUE TO FIRE BECAUSE THE MATERIALS WE USE IN OUR MANUFACTURING PROCESSES ARE HIGHLY FLAMMABLE.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PRODUCT RETURNS COULD HARM OUR BUSINESS.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MAY BE REQUIRED TO REPAY GRANTS TO THE INVESTMENT CENTER THAT WE RECEIVED IN CONNECTION WITH FAB 1.</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with the Investment Center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SUBJECT TO RISKS RELATED TO OUR INTERNATIONAL OPERATIONS.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have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880" w:right="3239" w:hanging="433"/>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comply with foreign government regulation;</w:t>
      </w:r>
    </w:p>
    <w:p>
      <w:pPr>
        <w:spacing w:after="0" w:line="172"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geopolitical risks such as political and economic instability, potential hostilities and changes in diplomatic and trade relationships;</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 affecting the countries in which we conduct our business;</w:t>
      </w:r>
    </w:p>
    <w:p>
      <w:pPr>
        <w:spacing w:after="0" w:line="173"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reduced sales to our customers or interruption in our manufacturing processes in Asia Pacific that may arise from regional issues in Asia;</w:t>
      </w:r>
    </w:p>
    <w:p>
      <w:pPr>
        <w:spacing w:after="0" w:line="159" w:lineRule="exact"/>
        <w:rPr>
          <w:rFonts w:ascii="Courier New" w:cs="Courier New" w:eastAsia="Courier New" w:hAnsi="Courier New"/>
          <w:sz w:val="14"/>
          <w:szCs w:val="14"/>
          <w:color w:val="auto"/>
        </w:rPr>
      </w:pPr>
    </w:p>
    <w:p>
      <w:pPr>
        <w:ind w:left="880" w:right="367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imposition of regulatory requirements, tariffs, import and export restrictions and other barriers and restrictions;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tax rules and regulations;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weak protection of our intellectual property rights;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product shipments due to local customs restrictions.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OUR BUSINESS COULD SUFFER IF WE ARE UNABLE TO RETAIN AND RECRUIT QUALIFIED PERSONNEL.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RELATED TO OUR SECURITIES</w:t>
      </w:r>
    </w:p>
    <w:p>
      <w:pPr>
        <w:sectPr>
          <w:pgSz w:w="11900" w:h="16838" w:orient="portrait"/>
          <w:cols w:equalWidth="0" w:num="1">
            <w:col w:w="10239"/>
          </w:cols>
          <w:pgMar w:left="220" w:top="31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OUR STOCK PRICE MAY BE VOLATILE IN THE FUTURE.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76"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In addition, it is possible that in some future periods our operating results may be below the expectations of public market analysts and investors. In this event, the price of our securities may under perform or fall.</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8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May 31, 2007 we had approximately 122.2 million ordinary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and have outstanding securities convertible or exercisable into up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approximately 248.7 million ordinary shares including: (i) up to 26.6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issuable upon the conversion of our 2005 outstanding convertible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held by some of our major shareholders and others at a conversion</w:t>
      </w:r>
    </w:p>
    <w:p>
      <w:pPr>
        <w:spacing w:after="0" w:line="237" w:lineRule="auto"/>
        <w:rPr>
          <w:sz w:val="20"/>
          <w:szCs w:val="20"/>
          <w:color w:val="auto"/>
        </w:rPr>
      </w:pPr>
      <w:r>
        <w:rPr>
          <w:rFonts w:ascii="Courier New" w:cs="Courier New" w:eastAsia="Courier New" w:hAnsi="Courier New"/>
          <w:sz w:val="15"/>
          <w:szCs w:val="15"/>
          <w:color w:val="auto"/>
        </w:rPr>
        <w:t>rate of $1.10; (ii) 8.3 million warrants issued to our banks with an exercise</w:t>
      </w:r>
    </w:p>
    <w:p>
      <w:pPr>
        <w:spacing w:after="0" w:line="238" w:lineRule="auto"/>
        <w:rPr>
          <w:sz w:val="20"/>
          <w:szCs w:val="20"/>
          <w:color w:val="auto"/>
        </w:rPr>
      </w:pPr>
      <w:r>
        <w:rPr>
          <w:rFonts w:ascii="Courier New" w:cs="Courier New" w:eastAsia="Courier New" w:hAnsi="Courier New"/>
          <w:sz w:val="15"/>
          <w:szCs w:val="15"/>
          <w:color w:val="auto"/>
        </w:rPr>
        <w:t>price of $1.21; (iii) 24.3 million warrants with an exercise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$1.70; (iv) up to 24.2 million ordinary shares issuable upon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our 2006 outstanding convertible debentures at a conversion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approximately $2.00; (v) 9.4 million warrants with an exercise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$2.04; (vi) 5.2 million warrants with an exercise price of approximately $2.3;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(vii) 30.7 million employee and director options with a weighted 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 of $1.86 (including options granted to our CEO). Additionally,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2006, we issued equity equivalent capital notes to our banks and to</w:t>
      </w:r>
    </w:p>
    <w:p>
      <w:pPr>
        <w:spacing w:after="0" w:line="237" w:lineRule="auto"/>
        <w:rPr>
          <w:sz w:val="20"/>
          <w:szCs w:val="20"/>
          <w:color w:val="auto"/>
        </w:rPr>
      </w:pPr>
      <w:r>
        <w:rPr>
          <w:rFonts w:ascii="Courier New" w:cs="Courier New" w:eastAsia="Courier New" w:hAnsi="Courier New"/>
          <w:sz w:val="15"/>
          <w:szCs w:val="15"/>
          <w:color w:val="auto"/>
        </w:rPr>
        <w:t>Israel Corp., which are convertible for no additional consideration, into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52 million and 65.8 million of our ordinary shares, respectively.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Furthermore, 10,320,198 additional ordinary shares (which shares are covered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prospectus) are issuable upon the conversion or exercise of securities</w:t>
      </w:r>
    </w:p>
    <w:p>
      <w:pPr>
        <w:spacing w:after="0" w:line="237" w:lineRule="auto"/>
        <w:rPr>
          <w:sz w:val="20"/>
          <w:szCs w:val="20"/>
          <w:color w:val="auto"/>
        </w:rPr>
      </w:pPr>
      <w:r>
        <w:rPr>
          <w:rFonts w:ascii="Courier New" w:cs="Courier New" w:eastAsia="Courier New" w:hAnsi="Courier New"/>
          <w:sz w:val="15"/>
          <w:szCs w:val="15"/>
          <w:color w:val="auto"/>
        </w:rPr>
        <w:t>covered by this prospectus.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May 31, 2007, we had issued approximately 6 million of our ordinary shares to SanDisk Corporation and approximately 2.6 million ordinary shares to Alliance Semiconductor upon conversion of approximately $14 million of wafer credits. We expect that up to approximately $2.7 million of these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audit committee and board of directors and shareholders approved the grant of options to our CEO, such that during the 24 month period ending in May 2008, the CEO will hold options to purchase shares that represent 4% of our shares on a fully diluted basis. Our board of directors further approved the allocation of additional options to be made available for grant to our employees if the total number of employee options, including the options to our CEO, during a 24 month period ending in May 2008 will represent less than 8% of our shares on a fully diluted basis.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we obtain Investment Center approval for an expansion plan (see "If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Center will not approve our request for a new expansion</w:t>
      </w:r>
    </w:p>
    <w:p>
      <w:pPr>
        <w:spacing w:after="0" w:line="237" w:lineRule="auto"/>
        <w:rPr>
          <w:sz w:val="20"/>
          <w:szCs w:val="20"/>
          <w:color w:val="auto"/>
        </w:rPr>
      </w:pPr>
      <w:r>
        <w:rPr>
          <w:rFonts w:ascii="Courier New" w:cs="Courier New" w:eastAsia="Courier New" w:hAnsi="Courier New"/>
          <w:sz w:val="15"/>
          <w:szCs w:val="15"/>
          <w:color w:val="auto"/>
        </w:rPr>
        <w:t>program,..."), we will still need to raise considerable additional funds from</w:t>
      </w:r>
    </w:p>
    <w:p>
      <w:pPr>
        <w:spacing w:after="0" w:line="238" w:lineRule="auto"/>
        <w:rPr>
          <w:sz w:val="20"/>
          <w:szCs w:val="20"/>
          <w:color w:val="auto"/>
        </w:rPr>
      </w:pPr>
      <w:r>
        <w:rPr>
          <w:rFonts w:ascii="Courier New" w:cs="Courier New" w:eastAsia="Courier New" w:hAnsi="Courier New"/>
          <w:sz w:val="15"/>
          <w:szCs w:val="15"/>
          <w:color w:val="auto"/>
        </w:rPr>
        <w:t>other sources to finance the ramp-up of Fab 2 to exceed capacity of 24,000</w:t>
      </w:r>
    </w:p>
    <w:p>
      <w:pPr>
        <w:spacing w:after="0" w:line="237" w:lineRule="auto"/>
        <w:rPr>
          <w:sz w:val="20"/>
          <w:szCs w:val="20"/>
          <w:color w:val="auto"/>
        </w:rPr>
      </w:pPr>
      <w:r>
        <w:rPr>
          <w:rFonts w:ascii="Courier New" w:cs="Courier New" w:eastAsia="Courier New" w:hAnsi="Courier New"/>
          <w:sz w:val="15"/>
          <w:szCs w:val="15"/>
          <w:color w:val="auto"/>
        </w:rPr>
        <w:t>wafers per month, should we decide to further increase Fab 2's capacity, for</w:t>
      </w:r>
    </w:p>
    <w:p>
      <w:pPr>
        <w:spacing w:after="0" w:line="238" w:lineRule="auto"/>
        <w:rPr>
          <w:sz w:val="20"/>
          <w:szCs w:val="20"/>
          <w:color w:val="auto"/>
        </w:rPr>
      </w:pPr>
      <w:r>
        <w:rPr>
          <w:rFonts w:ascii="Courier New" w:cs="Courier New" w:eastAsia="Courier New" w:hAnsi="Courier New"/>
          <w:sz w:val="15"/>
          <w:szCs w:val="15"/>
          <w:color w:val="auto"/>
        </w:rPr>
        <w:t>which we currently estimate we would need to raise approximately up to $120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to fully ramp-up Fab 2, including the approximately $40 million raised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June 2007 private placement and the proceeds we may receive from this</w:t>
      </w:r>
    </w:p>
    <w:p>
      <w:pPr>
        <w:spacing w:after="0" w:line="237" w:lineRule="auto"/>
        <w:rPr>
          <w:sz w:val="20"/>
          <w:szCs w:val="20"/>
          <w:color w:val="auto"/>
        </w:rPr>
      </w:pPr>
      <w:r>
        <w:rPr>
          <w:rFonts w:ascii="Courier New" w:cs="Courier New" w:eastAsia="Courier New" w:hAnsi="Courier New"/>
          <w:sz w:val="15"/>
          <w:szCs w:val="15"/>
          <w:color w:val="auto"/>
        </w:rPr>
        <w:t>offering.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connection with these financings, we may issue shares or securities convertible into shares, which may materially dilute the holdings of our current shareholders.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8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MARKET SALES OF LARGE AMOUNTS OF OUR SHARES ELIGIBLE FOR FUTURE SALE MAY LOWER THE PRICE OF OUR ORDINARY SHARES.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Of our approximately 122.2 million outstanding ordinary shares as of May 31, 2007, approximately 59.2 million are freely tradable and held by non-affiliates under US securities laws. In addition, certain of our affiliates</w:t>
      </w:r>
    </w:p>
    <w:p>
      <w:pPr>
        <w:sectPr>
          <w:pgSz w:w="11900" w:h="16838" w:orient="portrait"/>
          <w:cols w:equalWidth="0" w:num="1">
            <w:col w:w="10239"/>
          </w:cols>
          <w:pgMar w:left="220" w:top="135" w:right="1440" w:bottom="0" w:gutter="0" w:footer="0" w:header="0"/>
        </w:sectPr>
      </w:pPr>
    </w:p>
    <w:bookmarkStart w:id="11" w:name="page12"/>
    <w:bookmarkEnd w:id="11"/>
    <w:p>
      <w:pPr>
        <w:ind w:right="3239"/>
        <w:spacing w:after="0" w:line="254" w:lineRule="auto"/>
        <w:rPr>
          <w:sz w:val="20"/>
          <w:szCs w:val="20"/>
          <w:color w:val="auto"/>
        </w:rPr>
      </w:pPr>
      <w:r>
        <w:rPr>
          <w:rFonts w:ascii="Courier New" w:cs="Courier New" w:eastAsia="Courier New" w:hAnsi="Courier New"/>
          <w:sz w:val="14"/>
          <w:szCs w:val="14"/>
          <w:color w:val="auto"/>
        </w:rPr>
        <w:t>(Israel Corp., SanDisk Corporation, Alliance Semiconductor, and Macronix International) hold approximately 44.2 million of our shares, of which (i) approximately 3.3 million are registered for resale and are therefore freely tradable under US securities laws, (ii) approximately 37.1 million are currently eligible for sale subject to the time, volume and manner of sale limitations of Rule 144 promulgated under the US Securities Act of 1933, as amended, and (iii) approximately 3.8 million shares held by SanDisk Corporation, will become eligible for sale subject to the volume and manner of sale limitations of Rule 144 during 2007and 2008. Shares held by these affiliates are subject to the share transfer restrictions set forth in the shareholders agreement to which they are a party and which remain in effect through January 2008. As of May 31, 2007 up to approximately 26.6 million additional shares issuable upon the conversion of our 2005 convertible debentures are held by non-affiliates or are registered for resale and are therefore freely tradable under US securities laws. In addition, approximately (i) 9.2 million shares issuable upon the exercise of warrants we granted to our banks and (ii) approximately 18.8 million shares issued in our March 2007 private placement, as well as approximately 28.2 million shares issuable upon exercise of warrants issued in such transaction, are registered for resale and are therefore freely tradable under US securities laws. The additional up to: (i) approximately 29.7 million shares issuable upon the conversion and/or exercise of the securities sold in our June 2006 public offering in Israel (ii) approximately 5.2 million shares issuable upon exercise of warrants sold in private placements completed in November 2006, and (iii) the additional ordinary shares (which shares are covered by this prospectus) which are issuable upon the conversion or exercise of securities covered by this prospectus, are freely tradeable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tradeable under US securities laws.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34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OUR PRINCIPAL SHAREHOLDERS COLLECTIVELY OWN A CONTROLLING INTEREST IN US AND WILL BE ABLE TO EXERCISE THEIR VOTING RIGHTS IN WAYS WHICH MAY BE ADVERSE TO THE INTERESTS OF OUR OTHER SHAREHOLDERS.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May 31, 2007 our major wafer partners and Israel Corp. collectively owned approximately 36% of our outstanding shares. In the event Israel Corp. would exercise its equity convertible capital notes, our major wafer partners and Israel Corp. would collectively own approximately 58.5%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8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PAYMENT OF THE REDEMPTION AMOUNT ON ACCOUNT OF OUR OUTSTANDING DEBENTURES IS SUBORDINATED TO OUR INDEBTEDNESS TO OUR BANKS AND OBLIGATIONS TO SECURED CREDITORS.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$165 million in grants received as of May 31,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credit facility agreement.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INCUR ADDITIONAL INDEBTEDNESS.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Although we are limited by the covenants in our credit facility agreement with our banks, we could enter into certain transactions that would increase the amount of our outstanding indebtedness. If new indebtedness is added to our current indebtedness levels, the related risks that we now face could intensify.</w:t>
      </w:r>
    </w:p>
    <w:p>
      <w:pPr>
        <w:spacing w:after="0" w:line="164"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PRICE OF OUR ORDINARY SHARES MAY DECLINE AFTER THE WARRANTS ARE EXERCISED INTO OUR ORDINARY SHARES OR AFTER THE 2007 CONVERTIBLE DEBENTURES ARE CONVERTED</w:t>
      </w:r>
    </w:p>
    <w:p>
      <w:pPr>
        <w:sectPr>
          <w:pgSz w:w="11900" w:h="16838" w:orient="portrait"/>
          <w:cols w:equalWidth="0" w:num="1">
            <w:col w:w="10239"/>
          </w:cols>
          <w:pgMar w:left="220" w:top="141"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INTO OUR ORDINARY SHARES.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cannot assure you that the public trading market price of our ordinary shares will not decline after the warrants are exercised into our ordinary shares or after the 2007 convertible debentures are converted into our ordinary shares. If the prevailing market price were to decline below the exercise price of our warrants or the conversion price of the 2007 convertible debentures then you may not be able to sell your ordinary shares at a price equal to or greater than the exercise price or the conversion price, as the case may be.</w:t>
      </w:r>
    </w:p>
    <w:p>
      <w:pPr>
        <w:spacing w:after="0" w:line="16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CONVERSION PRICE OF THE 2007 CONVERTIBLE DEBENTURES OR THE EXERCISE PRICE OF THE WARRANTS ARE NOT AN INDICATION OF OUR PRESENT OR FUTURE VALUE.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company's objective in establishing the terms of the 2007 convertible debentures and the warrants covered by this prospectus was to reflect recent trading prices and to raise the targeted proceeds. In establishing the commercial terms, including the conversion price and exercise price, we considered the following factors: the strategic alternatives available to us for raising capital, the market price of our ordinary shares, pricing of similar transactions, the effect on our existing securities, our business prospects and general conditions in the securities markets. The conversion and exercise prices however, do not necessarily bear any relationship to our past or expected future results of operations, book value of our results, cash flows, current financial condition, or any other established criteria for value.</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You should not consider the conversion price of the 2007 convertible debentures or the exercise price of the warrants covered by this prospectus as an indication of our present or future value.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87"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2007 DEBENTURES AND THE WARRANTS ARE NEW ISSUANCES OF SECURITIES FOR WHICH THERE HAS BEEN NO PRIOR PUBLIC TRADING MARKET, AND WE CANNOT ASSURE YOU THAT AN ACTIVE TRADING MARKET WILL DEVELOP FOR THESE SECURITIES.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2007 debentures and the warrants will be listed for trade on the Tel-Aviv Stock Exchange. However, there has been no prior market for such securities. We cannot predict whether an active trading market for the securities will develop or, if such market develops, how liquid it will be. If an active trading market for the securities does not develop, the market price and liquidity of such securities may be adversely affected.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RELATED TO OUR OPERATIONS IN ISRAEL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INSTABILITY IN ISRAEL MAY HARM OUR BUSINESS.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of our manufacturing facilities and our corporate and some of our sales offices are located in Israel. Accordingly, political, economic and military conditions in Israel may directly affect our business.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34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OPERATIONS MAY BE NEGATIVELY AFFECTED BY THE OBLIGATIONS OF OUR PERSONNEL TO PERFORM MILITARY SERVICE.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OPERATIONS MAY BE AFFECTED BY NEGATIVE ECONOMIC CONDITIONS IN ISRAEL.</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w:t>
      </w:r>
    </w:p>
    <w:p>
      <w:pPr>
        <w:sectPr>
          <w:pgSz w:w="11900" w:h="16838" w:orient="portrait"/>
          <w:cols w:equalWidth="0" w:num="1">
            <w:col w:w="10239"/>
          </w:cols>
          <w:pgMar w:left="220" w:top="135" w:right="1440" w:bottom="0" w:gutter="0" w:footer="0" w:header="0"/>
        </w:sectPr>
      </w:pPr>
    </w:p>
    <w:bookmarkStart w:id="13" w:name="page14"/>
    <w:bookmarkEnd w:id="13"/>
    <w:p>
      <w:pPr>
        <w:ind w:right="3239"/>
        <w:spacing w:after="0" w:line="236" w:lineRule="auto"/>
        <w:rPr>
          <w:sz w:val="20"/>
          <w:szCs w:val="20"/>
          <w:color w:val="auto"/>
        </w:rPr>
      </w:pPr>
      <w:r>
        <w:rPr>
          <w:rFonts w:ascii="Courier New" w:cs="Courier New" w:eastAsia="Courier New" w:hAnsi="Courier New"/>
          <w:sz w:val="15"/>
          <w:szCs w:val="15"/>
          <w:color w:val="auto"/>
        </w:rPr>
        <w:t>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8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THE EXEMPTION ALLOWING US TO OPERATE OUR MANUFACTURING FACILITIES SEVEN DAYS A WEEK IS NOT RENEWED, OUR BUSINESS WILL BE ADVERSELY AFFECTED.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77"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IF WE ARE CONSIDERED TO BE A PASSIVE FOREIGN INVESTMENT COMPANY, EITHER PRESENTLY OR IN THE FUTURE, US HOLDERS WILL BE SUBJECT TO ADVERSE US TAX CONSEQUENCES.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200" w:lineRule="exact"/>
        <w:rPr>
          <w:sz w:val="20"/>
          <w:szCs w:val="20"/>
          <w:color w:val="auto"/>
        </w:rPr>
      </w:pPr>
    </w:p>
    <w:p>
      <w:pPr>
        <w:spacing w:after="0" w:line="316"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IT MAY BE DIFFICULT TO ENFORCE A US JUDGMENT AGAINST US, OUR OFFICERS AND DIRECTORS AND SOME OF THE EXPERTS NAMED IN THIS PROSPECTUS OR TO ASSERT US SECURITIES LAW CLAIMS IN ISRAEL.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Our ratio of earnings to fixed charges in accordance with Israeli GAAP for the periods presented are as follows: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THREE MONTHS</w:t>
      </w:r>
    </w:p>
    <w:p>
      <w:pPr>
        <w:ind w:left="2800"/>
        <w:spacing w:after="0" w:line="237" w:lineRule="auto"/>
        <w:rPr>
          <w:sz w:val="20"/>
          <w:szCs w:val="20"/>
          <w:color w:val="auto"/>
        </w:rPr>
      </w:pPr>
      <w:r>
        <w:rPr>
          <w:rFonts w:ascii="Courier New" w:cs="Courier New" w:eastAsia="Courier New" w:hAnsi="Courier New"/>
          <w:sz w:val="15"/>
          <w:szCs w:val="15"/>
          <w:color w:val="auto"/>
        </w:rPr>
        <w:t>ENDED MARCH 31,</w:t>
      </w:r>
    </w:p>
    <w:p>
      <w:pPr>
        <w:ind w:left="2900"/>
        <w:spacing w:after="0" w:line="238" w:lineRule="auto"/>
        <w:rPr>
          <w:sz w:val="20"/>
          <w:szCs w:val="20"/>
          <w:color w:val="auto"/>
        </w:rPr>
      </w:pPr>
      <w:r>
        <w:rPr>
          <w:rFonts w:ascii="Courier New" w:cs="Courier New" w:eastAsia="Courier New" w:hAnsi="Courier New"/>
          <w:sz w:val="15"/>
          <w:szCs w:val="15"/>
          <w:color w:val="auto"/>
        </w:rPr>
        <w:t>(UNAUDITED)</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0" w:gutter="0" w:footer="0" w:header="0"/>
        </w:sectPr>
      </w:pP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279"/>
        <w:spacing w:after="0" w:line="235" w:lineRule="auto"/>
        <w:rPr>
          <w:sz w:val="20"/>
          <w:szCs w:val="20"/>
          <w:color w:val="auto"/>
        </w:rPr>
      </w:pPr>
      <w:r>
        <w:rPr>
          <w:rFonts w:ascii="Courier New" w:cs="Courier New" w:eastAsia="Courier New" w:hAnsi="Courier New"/>
          <w:sz w:val="15"/>
          <w:szCs w:val="15"/>
          <w:color w:val="auto"/>
        </w:rPr>
        <w:t>YEAR ENDED DECEMBER 31, -------------------------------------------- 2006      2005       2004      2003     2002 ----      ----       ----      ----     ----</w:t>
      </w:r>
    </w:p>
    <w:p>
      <w:pPr>
        <w:spacing w:after="0" w:line="7" w:lineRule="exact"/>
        <w:rPr>
          <w:sz w:val="20"/>
          <w:szCs w:val="20"/>
          <w:color w:val="auto"/>
        </w:rPr>
      </w:pPr>
    </w:p>
    <w:p>
      <w:pPr>
        <w:sectPr>
          <w:pgSz w:w="11900" w:h="16838" w:orient="portrait"/>
          <w:cols w:equalWidth="0" w:num="2">
            <w:col w:w="3600" w:space="520"/>
            <w:col w:w="611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Ratio of earnings to fixed</w:t>
      </w:r>
    </w:p>
    <w:p>
      <w:pPr>
        <w:sectPr>
          <w:pgSz w:w="11900" w:h="16838" w:orient="portrait"/>
          <w:cols w:equalWidth="0" w:num="1">
            <w:col w:w="10239"/>
          </w:cols>
          <w:pgMar w:left="220" w:top="141"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__(2)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__(4)</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Courier New" w:cs="Courier New" w:eastAsia="Courier New" w:hAnsi="Courier New"/>
          <w:sz w:val="15"/>
          <w:szCs w:val="15"/>
          <w:color w:val="auto"/>
        </w:rPr>
        <w:t>__(5)</w:t>
      </w:r>
      <w:r>
        <w:rPr>
          <w:sz w:val="20"/>
          <w:szCs w:val="20"/>
          <w:color w:val="auto"/>
        </w:rPr>
        <w:tab/>
      </w:r>
      <w:r>
        <w:rPr>
          <w:rFonts w:ascii="Courier New" w:cs="Courier New" w:eastAsia="Courier New" w:hAnsi="Courier New"/>
          <w:sz w:val="14"/>
          <w:szCs w:val="14"/>
          <w:color w:val="auto"/>
        </w:rPr>
        <w:t>__(6)</w:t>
      </w:r>
    </w:p>
    <w:p>
      <w:pPr>
        <w:spacing w:after="0" w:line="173" w:lineRule="exact"/>
        <w:rPr>
          <w:sz w:val="20"/>
          <w:szCs w:val="20"/>
          <w:color w:val="auto"/>
        </w:rPr>
      </w:pPr>
    </w:p>
    <w:p>
      <w:pPr>
        <w:sectPr>
          <w:pgSz w:w="11900" w:h="16838" w:orient="portrait"/>
          <w:cols w:equalWidth="0" w:num="6">
            <w:col w:w="2520" w:space="720"/>
            <w:col w:w="440" w:space="440"/>
            <w:col w:w="440" w:space="440"/>
            <w:col w:w="440" w:space="520"/>
            <w:col w:w="440" w:space="440"/>
            <w:col w:w="33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0" w:gutter="0" w:footer="0" w:header="0"/>
          <w:type w:val="continuous"/>
        </w:sectPr>
      </w:pPr>
    </w:p>
    <w:bookmarkStart w:id="14" w:name="page15"/>
    <w:bookmarkEnd w:id="14"/>
    <w:p>
      <w:pPr>
        <w:ind w:left="440" w:right="96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$35.5 million for the three months ended March 31, 2007.</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$167.0 million in 2006.</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$201.7 million in 2005.</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$134.2 million in 2004.</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$127.3 million in 2003.</w:t>
      </w:r>
    </w:p>
    <w:p>
      <w:pPr>
        <w:spacing w:after="0" w:line="173" w:lineRule="exact"/>
        <w:rPr>
          <w:rFonts w:ascii="Courier New" w:cs="Courier New" w:eastAsia="Courier New" w:hAnsi="Courier New"/>
          <w:sz w:val="15"/>
          <w:szCs w:val="15"/>
          <w:color w:val="auto"/>
        </w:rPr>
      </w:pPr>
    </w:p>
    <w:p>
      <w:pPr>
        <w:ind w:left="440" w:right="96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$63.7 million in 2002.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THREE MONTHS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ENDED</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31, 2007</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2005</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(UNAUDITED)</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EARNINGS (LOSSES):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Losses before income taxes</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(37,391)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(86,928)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(203,082)</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Gain on debt restructuring</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(80,071)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Amortization of capitalized</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1,851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5,654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4,206</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Interest capitalized (d)</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(5,692)</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(2,793)</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4"/>
                <w:szCs w:val="24"/>
                <w:color w:val="auto"/>
              </w:rPr>
            </w:pP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(35,540)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(167,037)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(201,669)</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Amortization of expenses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related to indebtedness (b)</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4,589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523</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Interest expenses (c)</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8,048</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39,264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32,360</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Interest capitalized (d)</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2,793</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9,890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49,545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35,676</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EARNINGS (LOSSES), AS ADJUSTED</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(25,650)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(117,492)</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(165,993)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505"/>
        </w:trPr>
        <w:tc>
          <w:tcPr>
            <w:tcW w:w="316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87" w:lineRule="exact"/>
        <w:rPr>
          <w:sz w:val="20"/>
          <w:szCs w:val="20"/>
          <w:color w:val="auto"/>
        </w:rPr>
      </w:pPr>
    </w:p>
    <w:p>
      <w:pPr>
        <w:ind w:left="440" w:right="96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$35.5 million for the three months ended March 31, 2007.</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$167.0 million in 2006.</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$201.7 million in 2005.</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$134.2 million in 2004.</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$127.3 million in 2003.</w:t>
      </w:r>
    </w:p>
    <w:p>
      <w:pPr>
        <w:spacing w:after="0" w:line="173" w:lineRule="exact"/>
        <w:rPr>
          <w:rFonts w:ascii="Courier New" w:cs="Courier New" w:eastAsia="Courier New" w:hAnsi="Courier New"/>
          <w:sz w:val="15"/>
          <w:szCs w:val="15"/>
          <w:color w:val="auto"/>
        </w:rPr>
      </w:pPr>
    </w:p>
    <w:p>
      <w:pPr>
        <w:ind w:left="440" w:right="960"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as adjusted were inadequate to cover fixed charges by $63.7 million in 2002.</w:t>
      </w:r>
    </w:p>
    <w:p>
      <w:pPr>
        <w:spacing w:after="0" w:line="173" w:lineRule="exact"/>
        <w:rPr>
          <w:sz w:val="20"/>
          <w:szCs w:val="20"/>
          <w:color w:val="auto"/>
        </w:rPr>
      </w:pPr>
    </w:p>
    <w:p>
      <w:pPr>
        <w:ind w:left="440" w:right="620"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amortization of deferred financing charges in connection with obtaining long-term bank loans which are comprised mainly of stock-based compensation related to warrants issued to banks.</w:t>
      </w:r>
    </w:p>
    <w:p>
      <w:pPr>
        <w:spacing w:after="0" w:line="173" w:lineRule="exact"/>
        <w:rPr>
          <w:rFonts w:ascii="Courier New" w:cs="Courier New" w:eastAsia="Courier New" w:hAnsi="Courier New"/>
          <w:sz w:val="15"/>
          <w:szCs w:val="15"/>
          <w:color w:val="auto"/>
        </w:rPr>
      </w:pPr>
    </w:p>
    <w:p>
      <w:pPr>
        <w:ind w:left="440" w:right="880"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amortization of convertible debentures discount and deferred issuance expenses.</w:t>
      </w:r>
    </w:p>
    <w:p>
      <w:pPr>
        <w:spacing w:after="0" w:line="173" w:lineRule="exact"/>
        <w:rPr>
          <w:rFonts w:ascii="Courier New" w:cs="Courier New" w:eastAsia="Courier New" w:hAnsi="Courier New"/>
          <w:sz w:val="15"/>
          <w:szCs w:val="15"/>
          <w:color w:val="auto"/>
        </w:rPr>
      </w:pPr>
    </w:p>
    <w:p>
      <w:pPr>
        <w:ind w:left="440" w:right="440" w:hanging="430"/>
        <w:spacing w:after="0" w:line="25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mainly, the effective interest of long-term loans based on their terms and the effect of hedge agreements with knock-out and knock-in features and interest expenses in relation to convertible debentures.</w:t>
      </w:r>
    </w:p>
    <w:p>
      <w:pPr>
        <w:spacing w:after="0" w:line="161" w:lineRule="exact"/>
        <w:rPr>
          <w:rFonts w:ascii="Courier New" w:cs="Courier New" w:eastAsia="Courier New" w:hAnsi="Courier New"/>
          <w:sz w:val="14"/>
          <w:szCs w:val="14"/>
          <w:color w:val="auto"/>
        </w:rPr>
      </w:pPr>
    </w:p>
    <w:p>
      <w:pPr>
        <w:ind w:left="440" w:right="620"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(137,768)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(114,261)</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(51,402)</w:t>
            </w:r>
          </w:p>
        </w:tc>
      </w:tr>
      <w:tr>
        <w:trPr>
          <w:trHeight w:val="336"/>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505"/>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3,557</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954</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(14,042)</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(12,300)</w:t>
            </w:r>
          </w:p>
        </w:tc>
      </w:tr>
      <w:tr>
        <w:trPr>
          <w:trHeight w:val="168"/>
        </w:trPr>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(134,211)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(127,349)</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(63,702)</w:t>
            </w:r>
          </w:p>
        </w:tc>
      </w:tr>
      <w:tr>
        <w:trPr>
          <w:trHeight w:val="168"/>
        </w:trPr>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524</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271</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26,582</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7,891</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708</w:t>
            </w:r>
          </w:p>
        </w:tc>
      </w:tr>
      <w:tr>
        <w:trPr>
          <w:trHeight w:val="336"/>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14,042</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12,300</w:t>
            </w:r>
          </w:p>
        </w:tc>
      </w:tr>
      <w:tr>
        <w:trPr>
          <w:trHeight w:val="168"/>
        </w:trPr>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27,106</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22,204</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13,008</w:t>
            </w:r>
          </w:p>
        </w:tc>
      </w:tr>
      <w:tr>
        <w:trPr>
          <w:trHeight w:val="168"/>
        </w:trPr>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(107,105)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(105,145)</w:t>
            </w:r>
          </w:p>
        </w:tc>
        <w:tc>
          <w:tcPr>
            <w:tcW w:w="11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(50,694)</w:t>
            </w:r>
          </w:p>
        </w:tc>
      </w:tr>
      <w:tr>
        <w:trPr>
          <w:trHeight w:val="168"/>
        </w:trPr>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2">
            <w:col w:w="7360" w:space="440"/>
            <w:col w:w="3740"/>
          </w:cols>
          <w:pgMar w:left="220" w:top="141" w:right="139"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our long-term debt, convertible debentures and capitalization as of May 31, 2007 on an actual basis and, on an as adjusted basis to give effect to the issuance of the securities covered by this prospectus after deducting estimated expenses. For the purposes of this table we have assumed we will issue total of 490 units and that each unit will be sold at the minimum price of NIS 489,437.5 per unit and a U.S. dollar/NIS exchange rate of 4.033. As of May 31, 2007, we had 122,195,333 ordinary shares outstanding. This table does not take into account the proceeds from the exercise of the warrants, the issuance of shares issuable upon the exercise of the warrants and the issuance of shares issuable upon the conversion of the 2007 convertible debentures and was prepared in accordance with the Israeli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ACTUAL</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68"/>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(US dollars in thousands)</w:t>
            </w:r>
          </w:p>
        </w:tc>
      </w:tr>
      <w:tr>
        <w:trPr>
          <w:trHeight w:val="336"/>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Current maturities of convertibles debentures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6,937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6,937</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360,059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360,059</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Debentures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24,773</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Convertible debentures excluding current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maturities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60,233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91,299</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customers' advances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40,604</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22,012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23,606</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 equity (deficit):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Ordinary Shares, NIS 1.00 par value per share;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800,000,000 authorized shares, 123,495,333</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issued shares* and 122,195,333 outstanding</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29,283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29,283</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586,265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586,265</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notes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176,401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176,401</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component of convertible debentures and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cumulative stock based compensation</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26,989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26,989</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(721,969)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(721,969)</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Treasury stock, 1,300,000 shares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87,897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87,897</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659,945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717,770</w:t>
            </w:r>
          </w:p>
        </w:tc>
      </w:tr>
      <w:tr>
        <w:trPr>
          <w:trHeight w:val="505"/>
        </w:trPr>
        <w:tc>
          <w:tcPr>
            <w:tcW w:w="140" w:type="dxa"/>
            <w:vAlign w:val="bottom"/>
          </w:tcPr>
          <w:p>
            <w:pPr>
              <w:spacing w:after="0"/>
              <w:rPr>
                <w:sz w:val="24"/>
                <w:szCs w:val="24"/>
                <w:color w:val="auto"/>
              </w:rPr>
            </w:pPr>
          </w:p>
        </w:tc>
        <w:tc>
          <w:tcPr>
            <w:tcW w:w="4200" w:type="dxa"/>
            <w:vAlign w:val="bottom"/>
          </w:tcPr>
          <w:p>
            <w:pPr>
              <w:ind w:left="3280"/>
              <w:spacing w:after="0"/>
              <w:rPr>
                <w:sz w:val="20"/>
                <w:szCs w:val="20"/>
                <w:color w:val="auto"/>
              </w:rPr>
            </w:pPr>
            <w:r>
              <w:rPr>
                <w:rFonts w:ascii="Courier New" w:cs="Courier New" w:eastAsia="Courier New" w:hAnsi="Courier New"/>
                <w:sz w:val="15"/>
                <w:szCs w:val="15"/>
                <w:color w:val="auto"/>
              </w:rPr>
              <w:t>21</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50"/>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0" w:type="dxa"/>
            <w:vAlign w:val="bottom"/>
          </w:tcPr>
          <w:p>
            <w:pPr>
              <w:ind w:left="300"/>
              <w:spacing w:after="0"/>
              <w:rPr>
                <w:sz w:val="20"/>
                <w:szCs w:val="20"/>
                <w:color w:val="auto"/>
              </w:rPr>
            </w:pPr>
            <w:r>
              <w:rPr>
                <w:rFonts w:ascii="Courier New" w:cs="Courier New" w:eastAsia="Courier New" w:hAnsi="Courier New"/>
                <w:sz w:val="15"/>
                <w:szCs w:val="15"/>
                <w:color w:val="auto"/>
              </w:rPr>
              <w:t>Includes 1,300,000 treasury shares.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information set forth on an actual basis in the foregoing table excludes the following securities as of May 31, 2007:</w:t>
      </w:r>
    </w:p>
    <w:p>
      <w:pPr>
        <w:spacing w:after="0" w:line="173" w:lineRule="exact"/>
        <w:rPr>
          <w:sz w:val="20"/>
          <w:szCs w:val="20"/>
          <w:color w:val="auto"/>
        </w:rPr>
      </w:pPr>
    </w:p>
    <w:p>
      <w:pPr>
        <w:ind w:left="880" w:right="339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15.9 million ordinary shares issuable upon exercise of options granted to employees and directors at a weighted average exercise price of $2.10;</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14,958,408 ordinary shares issuable upon exercise of options granted to our Chief Executive Officer at a weighted average exercise price of $1.59;</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9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1,348,527 ordinary shares issuable upon conversion of unsecured, subordinated convertible debentures, net, that we issued in January 2002, which are convertible through December 31, 2008;</w:t>
      </w:r>
    </w:p>
    <w:p>
      <w:pPr>
        <w:spacing w:after="0" w:line="173" w:lineRule="exact"/>
        <w:rPr>
          <w:rFonts w:ascii="Courier New" w:cs="Courier New" w:eastAsia="Courier New" w:hAnsi="Courier New"/>
          <w:sz w:val="15"/>
          <w:szCs w:val="15"/>
          <w:color w:val="auto"/>
        </w:rPr>
      </w:pPr>
    </w:p>
    <w:p>
      <w:pPr>
        <w:ind w:left="880" w:right="3399" w:hanging="433"/>
        <w:spacing w:after="0" w:line="258"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896,596 ordinary shares issuable upon exercise of warrants issued to our banks in connection with our credit facility with an exercise price of $6.17 per share exercisable until September 2011;</w:t>
      </w:r>
    </w:p>
    <w:p>
      <w:pPr>
        <w:spacing w:after="0" w:line="161"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8,264,464 ordinary shares issuable upon exercise of warrants we issued to our banks with an exercise price of $1.21 in connection with the July 2005 amendment to our facility agreement exercisable until September 2011;</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9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26,560,388 ordinary shares issuable upon conversion of our debentures convertible until December 2011, pursuant to the prospectus dated December 15, 2005;</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105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117,763,158 ordinary shares issuable upon conversion of the equity equivalent convertible capital notes we issued to our banks and to Israel Corp., in September 2006;</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5,481,000 ordinary shares issuable upon exercise of warrants issued in our June 2006 public offering in Israel with an exercise price of NIS 7.40 per share and exercisable until June 2009;</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5,227,500 ordinary shares issuable upon exercise of warrants sold in our private placements completed in November 2006, with an exercise price of approximately $2.28 per share and exercisable until December 2010;</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24,232,464 ordinary shares issuable upon conversion of our debentures convertible until December 2011, issued pursuant to our June 2006 public offering in Israel; and</w:t>
      </w:r>
    </w:p>
    <w:p>
      <w:pPr>
        <w:sectPr>
          <w:pgSz w:w="11900" w:h="16838" w:orient="portrait"/>
          <w:cols w:equalWidth="0" w:num="1">
            <w:col w:w="10239"/>
          </w:cols>
          <w:pgMar w:left="220" w:top="135" w:right="1440" w:bottom="0" w:gutter="0" w:footer="0" w:header="0"/>
        </w:sectPr>
      </w:pPr>
    </w:p>
    <w:bookmarkStart w:id="16" w:name="page17"/>
    <w:bookmarkEnd w:id="16"/>
    <w:p>
      <w:pPr>
        <w:ind w:left="880" w:right="3579" w:hanging="433"/>
        <w:spacing w:after="0" w:line="234" w:lineRule="auto"/>
        <w:tabs>
          <w:tab w:leader="none" w:pos="9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28,207,796 ordinary shares issuable upon exercise of the warrants issued in our March 2007 private placement.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May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and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intend to use the net proceeds from this offering towards the further ramp-up and deployment of Fab 2 and for related corporate purposes. We will receive proceeds from the sale of the securities covered by this prospectus. We will not receive any proceeds from the sale of the ordinary shares issuable upon exercise of the warrants or from the sale of the ordinary shares issuable upon conversion of the 2007 convertible debentures; however we will receive the exercise price if any of the warrants are exercised. We will receive approximately $5.8 million if all of the warrants covered by this prospectus are exercised to shares. We intend to use the net proceeds received from the exercise of the warrants towards the further ramp-up and deployment of Fab 2 and for related corporate purposes. We have agreed to bear all expenses relating to the registration of the securities registered pursuant to this prospectus.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 CAPITAL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 Our Board of Directors is authorized to declare dividends, although our bank covenants currently in effect prohibit the payment of dividends on our ordinary shares, unless such payments are approved by our banks.</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87"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quorum required for a meeting of shareholders is at least two shareholders present, in person or by proxy, within half an hour of the time</w:t>
      </w:r>
    </w:p>
    <w:p>
      <w:pPr>
        <w:sectPr>
          <w:pgSz w:w="11900" w:h="16838" w:orient="portrait"/>
          <w:cols w:equalWidth="0" w:num="1">
            <w:col w:w="10239"/>
          </w:cols>
          <w:pgMar w:left="220" w:top="141" w:right="1440" w:bottom="0" w:gutter="0" w:footer="0" w:header="0"/>
        </w:sectPr>
      </w:pPr>
    </w:p>
    <w:bookmarkStart w:id="17" w:name="page18"/>
    <w:bookmarkEnd w:id="17"/>
    <w:p>
      <w:pPr>
        <w:ind w:right="3239"/>
        <w:spacing w:after="0" w:line="236" w:lineRule="auto"/>
        <w:rPr>
          <w:sz w:val="20"/>
          <w:szCs w:val="20"/>
          <w:color w:val="auto"/>
        </w:rPr>
      </w:pPr>
      <w:r>
        <w:rPr>
          <w:rFonts w:ascii="Courier New" w:cs="Courier New" w:eastAsia="Courier New" w:hAnsi="Courier New"/>
          <w:sz w:val="15"/>
          <w:szCs w:val="15"/>
          <w:color w:val="auto"/>
        </w:rPr>
        <w:t>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75"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Our registration number at the Israeli Registrar of Companies is 52-004199-7.</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objective stated in our articles of association is to engage in any lawful activity.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8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May 31, 2007, 122,195,333of our ordinary shares were outstanding. The above numbers of outstanding ordinary shares do not include 1.3 million treasury shares held by us through a trustee.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 a summary of our securities which are convertible or exercisable into our ordinary shares, see "Capitalization" above.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Companies Law also restricts our ability to declare dividends. We can only distribute dividends from profits (as defined in the Companies Law), provided that there is no reasonable suspicion that the dividend distribution will prevent us from meeting our existing and future expected obligations as they come due.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are allowed to "incorporate by reference" the information we file with the Israel Securities Authority (ISA) on the Magna system, which means that we can disclose important information to you by referring to those documents. The information incorporated by reference is considered to be part of this prospectus. References to documents filed by us are references to such forms as filed with the Israel Securities Authority on the Magna system. We incorporate by reference the documents listed below:</w:t>
      </w:r>
    </w:p>
    <w:p>
      <w:pPr>
        <w:spacing w:after="0" w:line="176" w:lineRule="exact"/>
        <w:rPr>
          <w:sz w:val="20"/>
          <w:szCs w:val="20"/>
          <w:color w:val="auto"/>
        </w:rPr>
      </w:pPr>
    </w:p>
    <w:p>
      <w:pPr>
        <w:jc w:val="both"/>
        <w:ind w:left="880" w:right="323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20-F for the year ended December 31, 2006, filed on June 25, 2007, to the extent the information in that report has not been updated or superseded by this prospectus;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Form 6-K dated May 2007 No. 2 (filed on May 2, 2007).</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Form 6-K dated July 2007 No.3 (filed on July 16, 2007).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w:t>
      </w:r>
    </w:p>
    <w:p>
      <w:pPr>
        <w:spacing w:after="0" w:line="1"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972-4-650-6611. Copies of these filings may also be accessed at our website, www.towersemi.com. Click on "Investor Relations" and then "Filings."</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 copy of this prospectus, our memorandum of association and our articles of association, are available for inspection at our offices at Hamada Avenue, Ramat Gavriel Industrial Park, Migdal Haemek, Israel and on the Israel Securities Authority's Magna website, www.magna.isa.gov.il.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ordinary shares are listed on the Tel Aviv Stock Exchange. However, because our ordinary shares are also listed on the NASDAQ Global Market, we are exempt from certain of the reporting obligations specified in Chapter Six of the Israel Securities Law, 1968, that would otherwise by applicable to a company whose securities are listed for trade on the Tel Aviv Stock Exchange, provided that a copy of each report submitted or published in accordance with applicable United States law or that we publish or circulate to holders of our registered securities is filed with the Israel Securities Authority and the Tel Aviv Stock Exchange within the time specified under Israeli law.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EXEMPTION, INSURANCE AND INDEMNIFICATION OF DIRECTORS AND OFFICERS</w:t>
      </w:r>
    </w:p>
    <w:p>
      <w:pPr>
        <w:sectPr>
          <w:pgSz w:w="11900" w:h="16838" w:orient="portrait"/>
          <w:cols w:equalWidth="0" w:num="1">
            <w:col w:w="10239"/>
          </w:cols>
          <w:pgMar w:left="220" w:top="141" w:right="1440" w:bottom="0" w:gutter="0" w:footer="0" w:header="0"/>
        </w:sectPr>
      </w:pPr>
    </w:p>
    <w:bookmarkStart w:id="18" w:name="page19"/>
    <w:bookmarkEnd w:id="18"/>
    <w:p>
      <w:pPr>
        <w:ind w:right="3499" w:firstLine="437"/>
        <w:spacing w:after="0" w:line="261" w:lineRule="auto"/>
        <w:rPr>
          <w:sz w:val="20"/>
          <w:szCs w:val="20"/>
          <w:color w:val="auto"/>
        </w:rPr>
      </w:pPr>
      <w:r>
        <w:rPr>
          <w:rFonts w:ascii="Courier New" w:cs="Courier New" w:eastAsia="Courier New" w:hAnsi="Courier New"/>
          <w:sz w:val="14"/>
          <w:szCs w:val="14"/>
          <w:color w:val="auto"/>
        </w:rPr>
        <w:t>The Israeli Companies Law-1999, or the Companies Law, provides that a company may include in its articles of association provisions allowing it to:</w:t>
      </w:r>
    </w:p>
    <w:p>
      <w:pPr>
        <w:spacing w:after="0" w:line="160" w:lineRule="exact"/>
        <w:rPr>
          <w:sz w:val="20"/>
          <w:szCs w:val="20"/>
          <w:color w:val="auto"/>
        </w:rPr>
      </w:pPr>
    </w:p>
    <w:p>
      <w:pPr>
        <w:ind w:left="440" w:right="3239" w:hanging="430"/>
        <w:spacing w:after="0" w:line="254"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 defined in the Companies Law).</w:t>
      </w:r>
    </w:p>
    <w:p>
      <w:pPr>
        <w:spacing w:after="0" w:line="173" w:lineRule="exact"/>
        <w:rPr>
          <w:rFonts w:ascii="Courier New" w:cs="Courier New" w:eastAsia="Courier New" w:hAnsi="Courier New"/>
          <w:sz w:val="14"/>
          <w:szCs w:val="14"/>
          <w:color w:val="auto"/>
        </w:rPr>
      </w:pPr>
    </w:p>
    <w:p>
      <w:pPr>
        <w:ind w:left="440" w:right="3499"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 contract to insure the liability of an office holder of the company by reason of acts or omissions committed in his capacity as an office holder of the company with respect to the following:</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of his duty of care to the company or any other person;</w:t>
      </w:r>
    </w:p>
    <w:p>
      <w:pPr>
        <w:spacing w:after="0" w:line="172" w:lineRule="exact"/>
        <w:rPr>
          <w:rFonts w:ascii="Courier New" w:cs="Courier New" w:eastAsia="Courier New" w:hAnsi="Courier New"/>
          <w:sz w:val="15"/>
          <w:szCs w:val="15"/>
          <w:color w:val="auto"/>
        </w:rPr>
      </w:pPr>
    </w:p>
    <w:p>
      <w:pPr>
        <w:ind w:left="880" w:right="3239" w:hanging="433"/>
        <w:spacing w:after="0" w:line="258" w:lineRule="auto"/>
        <w:tabs>
          <w:tab w:leader="none" w:pos="8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his fiduciary duty to the company to the extent he acted in good faith and had a reasonable basis to believe that the act or omission would not prejudice the interests of the company; and</w:t>
      </w:r>
    </w:p>
    <w:p>
      <w:pPr>
        <w:spacing w:after="0" w:line="161"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monetary liabilities or obligations which may be imposed upon him in favor of other persons.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280"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 an office holder of the company for:</w:t>
      </w:r>
    </w:p>
    <w:p>
      <w:pPr>
        <w:spacing w:after="0" w:line="172"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163"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65"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75" w:lineRule="exact"/>
        <w:rPr>
          <w:sz w:val="20"/>
          <w:szCs w:val="20"/>
          <w:color w:val="auto"/>
        </w:rPr>
      </w:pPr>
    </w:p>
    <w:p>
      <w:pPr>
        <w:ind w:left="880" w:right="3239" w:hanging="433"/>
        <w:spacing w:after="0" w:line="255"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sub-sections 3(b) and 3(c) above.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75"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breach of his fiduciary duty, except to the extent described above;</w:t>
      </w:r>
    </w:p>
    <w:p>
      <w:pPr>
        <w:spacing w:after="0" w:line="177"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breach of his duty of care, if such breach was done intentionally, recklessly or with disregard of the circumstances of the breach or its consequences;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 or omission done with the intent to unlawfully realize personal gain; 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fine or monetary settlement imposed upon him.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87"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ectPr>
          <w:pgSz w:w="11900" w:h="16838" w:orient="portrait"/>
          <w:cols w:equalWidth="0" w:num="1">
            <w:col w:w="10239"/>
          </w:cols>
          <w:pgMar w:left="220" w:top="310" w:right="1440" w:bottom="0" w:gutter="0" w:footer="0" w:header="0"/>
        </w:sectPr>
      </w:pPr>
    </w:p>
    <w:bookmarkStart w:id="19" w:name="page20"/>
    <w:bookmarkEnd w:id="19"/>
    <w:p>
      <w:pPr>
        <w:ind w:right="3239" w:firstLine="437"/>
        <w:spacing w:after="0" w:line="256" w:lineRule="auto"/>
        <w:rPr>
          <w:sz w:val="20"/>
          <w:szCs w:val="20"/>
          <w:color w:val="auto"/>
        </w:rPr>
      </w:pPr>
      <w:r>
        <w:rPr>
          <w:rFonts w:ascii="Courier New" w:cs="Courier New" w:eastAsia="Courier New" w:hAnsi="Courier New"/>
          <w:sz w:val="14"/>
          <w:szCs w:val="14"/>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SENIOR MANAGEMENT AND EMPLOYEES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Set forth below is information regarding the members of our administrative, supervisory or management bodies and our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SENIOR MANAGEMENT</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AGE</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Russell C. Ellwanger</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52</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Oren Shirazi</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37</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Acting Chief Financial Officer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Dudu Vidan</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46</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and Fab 2 Manager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Dr. Itzhak Edrei</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47</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Senior Vice President of Product Lines and Sales</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Rafi Nave</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57</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Technology Officer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Ephie Koltin</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45</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and Fab 1 Manager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Dalit Dahan</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39</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Human Resources</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Shimon Dahan</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44</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Manufacturing Services</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Nati Somekh Gilboa</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32</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Secretary and General Counsel</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Rafi Mor</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43</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of Business Development</w:t>
            </w:r>
          </w:p>
        </w:tc>
      </w:tr>
      <w:tr>
        <w:trPr>
          <w:trHeight w:val="505"/>
        </w:trPr>
        <w:tc>
          <w:tcPr>
            <w:tcW w:w="206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AGE</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Dov Moran</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51</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Russell C. Ellwanger</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52</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Yossi Rosen</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67</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Dr. Eli Harari</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62</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Miin Wu</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58</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Nir Gilad</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50</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Kalman Kaufman</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62</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Independent 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Hans Rohrer</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57</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Independent and External 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Miri Katz</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56</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Independent and External Director</w:t>
            </w:r>
          </w:p>
        </w:tc>
      </w:tr>
    </w:tbl>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DUDU VIDAN was appointed Vice President and Fab 2 Manager in April 2007, having served previously as Vice President and Fab 1 Manager since August 2005, as Fab2 production manager since March 2003 and as Fab2 tool installation manager since March 2001. Previously, Mr. Vidan was employed by MDF, serving as plant manager, and Carcom Aviation Products serving as production manager. Mr. Vidan served as a Naval Reserve Lt. Colonel in the Israel Defense Forces. Mr. Vidan holds a B.Sc. in Industrial and Management Engineering from the Technion - Israel Institute of Technology.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DR. ITZHAK EDREI was appointed Senior Vice President of Product Lines and Sales in August 2005 after serving as Vice President of Research and Development since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RAFI NAVE was appointed Chief Technology Officer in August 2005 after serving as Vice President of Customer Services since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w:t>
      </w:r>
    </w:p>
    <w:p>
      <w:pPr>
        <w:sectPr>
          <w:pgSz w:w="11900" w:h="16838" w:orient="portrait"/>
          <w:cols w:equalWidth="0" w:num="1">
            <w:col w:w="10239"/>
          </w:cols>
          <w:pgMar w:left="220" w:top="310"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Institute of Technology.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EPHIE KOLTIN was appointed Vice President and Fab 1 Manager in April 2007, having served previously as Vice President of Business Development since August 2005, as Vice President, General Foundry and Mixed Signal Technology since 2003 and as Senior Director, FAB2 Process Engineering since 2000. From 1996-1999, Mr. Koltin served in several senior positions as Director, NVM Technology, CIS technology and ERS manager, Fab 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DALIT DAHAN was appointed Vice President of Human Resources in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SHIMON DAHAN was appointed Vice President of Manufacturing Services in January 2006, having served previously as Test &amp; MTG manager since August 2005 and prior to that as Research and Development Operation Manager from November 2000. Prior to that, Mr. Dahan was employed by National Semiconductor in various capacities. Mr. Dahan holds a bachelors degree in Political Science from Haifa University, and an MBA from the University of Derby.</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8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NATI SOMEKH GILBOA was appointed as Corporate Secretary and General Counsel in March 2005, has served as our Associate General Counsel since May 2004. From 2001 to 2004, Ms. Somekh Gilboa was employed by Goldsobel &amp; Kirshen, Adv. Ms.</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Somekh Gilboa holds an LL.M. and J.D. from Boston University and a B.A. from Johns Hopkins University. She is a member of the Israeli Bar Association and the New York bar.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RAFI MOR was appointed Vice President of Business Development since April 2007, having served previously as Vice President and Fab 2 Manager since August 2005, as Fab 1 Manager since August 2003 and Senior Director and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DOV MORAN has served as Chairman of the Board since December 2006. Mr. Moran was a founder of M-Systems and served as a director, President, Chief Executive Officer and Chairman of the Board of Directors of M-Systems from 1989 until September 2006. From 1984 to 1989, Mr. Moran was an independent consultant in the computer industry. Mr. Moran holds a B.Sc. in Computers and Electronic Engineering from the Technion Israel Institute of Technology.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YOSSI ROSEN has served as a director and Chairman of the Stock Option and Compensation Committee since February 2005. From November 30, 1998 until May 2007, Mr. Rosen served as the President and CEO of The Israel Corporation. Mr. Rosen is Chairman of the Board of Directors of Israel Chemicals Ltd., a member of the Board of Directors and Executive Committee of ZIM Integrated Shipping Services, Chairman of the Board of Dead Sea Magnesium Ltd. and a director of Oil Refineries Ltd. Mr. Rosen holds a BA in Economics from the Hebrew University of Jerusalem and an MA in Business Management from the Hebrew University of Jerusalem.</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DR. ELI HARARI has served as a director since January 2001. Dr. Harari serves on the Stock Option and Compensation Committee. Dr. Harari served as Chairman and Chief Executive Officer of SanDisk Corporation from its inception in 1988 until June and currently has served as Chief Executive Officer and Chairman of the Board of SanDisk since June 2006.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MIIN WU has served as a director since January 2001. Mr. Wu serves as President and Chief Executive Officer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KALMAN KAUFMAN has served as a director and as a member of our Audit Committee since August 2005.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66"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HANS ROHRER has been a director and member of the Audit Committee since April 2002. Since May 2002, Mr. Rohrer has served as President and Chief</w:t>
      </w:r>
    </w:p>
    <w:p>
      <w:pPr>
        <w:sectPr>
          <w:pgSz w:w="11900" w:h="16838" w:orient="portrait"/>
          <w:cols w:equalWidth="0" w:num="1">
            <w:col w:w="10239"/>
          </w:cols>
          <w:pgMar w:left="220" w:top="135" w:right="1440" w:bottom="0" w:gutter="0" w:footer="0" w:header="0"/>
        </w:sectPr>
      </w:pPr>
    </w:p>
    <w:bookmarkStart w:id="21" w:name="page22"/>
    <w:bookmarkEnd w:id="21"/>
    <w:p>
      <w:pPr>
        <w:ind w:right="3239"/>
        <w:spacing w:after="0" w:line="236" w:lineRule="auto"/>
        <w:rPr>
          <w:sz w:val="20"/>
          <w:szCs w:val="20"/>
          <w:color w:val="auto"/>
        </w:rPr>
      </w:pPr>
      <w:r>
        <w:rPr>
          <w:rFonts w:ascii="Courier New" w:cs="Courier New" w:eastAsia="Courier New" w:hAnsi="Courier New"/>
          <w:sz w:val="15"/>
          <w:szCs w:val="15"/>
          <w:color w:val="auto"/>
        </w:rPr>
        <w:t>Executive Officer of Acuid Corporation. From 1999 to 2002, Mr. Rohrer served as President of Taiwan Semiconductor Manufacturing Company -- Europe (TSMC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MIRI KATZ has served as a director and member of the Audit Committee and the Stock Option and Compensation Committee since January 2007. Since 2007, Ms. Katz has been a member of the board of directors of Itamar Medical Ltd. Ms. Katz has been a member of the board of trustees of The Hebrew University of Jerusalem and a member of its Committee for Academic Policy, the Audit Committee and the Constitution Committee since 2004. Ms. Katz has been of counsel at Ophir Katz &amp;Co. and has served as a director of The Caesarea Foundation and The Caesarea Edmond Benjamin de Rothschild Development Corporation Ltd. since 2003. From 1997-2002, Ms. Katz served as the chairperson of the Israel Securities Authority. Ms. Katz holds an LL.B. from The Hebrew University of Jerusalem.</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NIR GILAD has served as a director since May 2007. Mr. Gilad has served as Chief Executive Officer of Israel Corp. since_ June 2007; he previously served as Vice-Chief Executive Officer of the Israel Corporation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139" w:firstLine="437"/>
        <w:spacing w:after="0" w:line="237" w:lineRule="auto"/>
        <w:rPr>
          <w:sz w:val="20"/>
          <w:szCs w:val="20"/>
          <w:color w:val="auto"/>
        </w:rPr>
      </w:pPr>
      <w:r>
        <w:rPr>
          <w:rFonts w:ascii="Courier New" w:cs="Courier New" w:eastAsia="Courier New" w:hAnsi="Courier New"/>
          <w:sz w:val="15"/>
          <w:szCs w:val="15"/>
          <w:color w:val="auto"/>
        </w:rPr>
        <w:t>We are required to file reports and other information with the SEC under the Securities Exchange Act of 1934 and the regulations thereunder applicable to foreign private issuers. You may read and copy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U.S. Securities and Exchange Commission's Internet site at "http://www.sec.gov.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You may also find our reports filed with the Israel Securities Authority on the Magna site whose address is "http://www.magna.isa.gov.il".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validity of the securities covered by this prospectus will be passed upon for us by Yigal Arnon &amp; Co., our Israeli counsel. See Chapter 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audited consolidated financial statements incorporated in this prospectus by reference from our Annual Report on Form 20-F for the year ended December 31, 2006,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8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We have not authorized any person to provide you with different information. If anyone provides you with different or inconsistent information, you should not rely on it. We are not making an offer to sell the securities in any jurisdiction where the offer or sale is not permitted. The information in this prospectus is accurate only as of the date on the front cover of this prospectus. Our business, financial condition, results of operations and prospects may have changed.</w:t>
      </w:r>
    </w:p>
    <w:p>
      <w:pPr>
        <w:sectPr>
          <w:pgSz w:w="11900" w:h="16838" w:orient="portrait"/>
          <w:cols w:equalWidth="0" w:num="1">
            <w:col w:w="10239"/>
          </w:cols>
          <w:pgMar w:left="220" w:top="141" w:right="1440" w:bottom="708"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sectPr>
      <w:pgSz w:w="11900" w:h="16838" w:orient="portrait"/>
      <w:cols w:equalWidth="0" w:num="1">
        <w:col w:w="10239"/>
      </w:cols>
      <w:pgMar w:left="220" w:top="141" w:right="1440" w:bottom="7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o"/>
      <w:numFmt w:val="bullet"/>
      <w:start w:val="1"/>
    </w:lvl>
  </w:abstractNum>
  <w:abstractNum w:abstractNumId="4">
    <w:nsid w:val="140E0F76"/>
    <w:multiLevelType w:val="hybridMultilevel"/>
    <w:lvl w:ilvl="0">
      <w:lvlJc w:val="left"/>
      <w:lvlText w:val="o"/>
      <w:numFmt w:val="bullet"/>
      <w:start w:val="1"/>
    </w:lvl>
  </w:abstractNum>
  <w:abstractNum w:abstractNumId="5">
    <w:nsid w:val="3352255A"/>
    <w:multiLevelType w:val="hybridMultilevel"/>
    <w:lvl w:ilvl="0">
      <w:lvlJc w:val="left"/>
      <w:lvlText w:val="o"/>
      <w:numFmt w:val="bullet"/>
      <w:start w:val="1"/>
    </w:lvl>
  </w:abstractNum>
  <w:abstractNum w:abstractNumId="6">
    <w:nsid w:val="109CF92E"/>
    <w:multiLevelType w:val="hybridMultilevel"/>
    <w:lvl w:ilvl="0">
      <w:lvlJc w:val="left"/>
      <w:lvlText w:val="o"/>
      <w:numFmt w:val="bullet"/>
      <w:start w:val="1"/>
    </w:lvl>
  </w:abstractNum>
  <w:abstractNum w:abstractNumId="7">
    <w:nsid w:val="DED7263"/>
    <w:multiLevelType w:val="hybridMultilevel"/>
    <w:lvl w:ilvl="0">
      <w:lvlJc w:val="left"/>
      <w:lvlText w:val="o"/>
      <w:numFmt w:val="bullet"/>
      <w:start w:val="1"/>
    </w:lvl>
  </w:abstractNum>
  <w:abstractNum w:abstractNumId="8">
    <w:nsid w:val="7FDCC233"/>
    <w:multiLevelType w:val="hybridMultilevel"/>
    <w:lvl w:ilvl="0">
      <w:lvlJc w:val="left"/>
      <w:lvlText w:val="o"/>
      <w:numFmt w:val="bullet"/>
      <w:start w:val="1"/>
    </w:lvl>
  </w:abstractNum>
  <w:abstractNum w:abstractNumId="9">
    <w:nsid w:val="1BEFD79F"/>
    <w:multiLevelType w:val="hybridMultilevel"/>
    <w:lvl w:ilvl="0">
      <w:lvlJc w:val="left"/>
      <w:lvlText w:val="o"/>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lowerRoman"/>
      <w:start w:val="12"/>
    </w:lvl>
  </w:abstractNum>
  <w:abstractNum w:abstractNumId="15">
    <w:nsid w:val="431BD7B7"/>
    <w:multiLevelType w:val="hybridMultilevel"/>
    <w:lvl w:ilvl="0">
      <w:lvlJc w:val="left"/>
      <w:lvlText w:val="o"/>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3"/>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2019-12-14T04:21:06Z</dcterms:created>
  <dcterms:modified xsi:type="dcterms:W3CDTF">2019-12-14T04:21:06Z</dcterms:modified>
</cp:coreProperties>
</file>