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For the month of May 2022 No.4</w:t>
      </w:r>
    </w:p>
    <w:p>
      <w:pPr>
        <w:spacing w:after="0" w:line="2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Commission File Number 0-24790</w:t>
      </w:r>
    </w:p>
    <w:p>
      <w:pPr>
        <w:spacing w:after="0" w:line="2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53" w:lineRule="exact"/>
        <w:rPr>
          <w:sz w:val="24"/>
          <w:szCs w:val="24"/>
          <w:color w:val="auto"/>
        </w:rPr>
      </w:pPr>
    </w:p>
    <w:p>
      <w:pPr>
        <w:jc w:val="center"/>
        <w:ind w:right="-17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32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____</w:t>
      </w:r>
    </w:p>
    <w:p>
      <w:pPr>
        <w:spacing w:after="0" w:line="2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sectPr>
      </w:pPr>
    </w:p>
    <w:bookmarkStart w:id="1" w:name="page2"/>
    <w:bookmarkEnd w:id="1"/>
    <w:p>
      <w:pPr>
        <w:ind w:firstLine="639"/>
        <w:spacing w:after="0" w:line="284" w:lineRule="auto"/>
        <w:rPr>
          <w:sz w:val="20"/>
          <w:szCs w:val="20"/>
          <w:color w:val="auto"/>
        </w:rPr>
      </w:pPr>
      <w:r>
        <w:rPr>
          <w:rFonts w:ascii="Times New Roman" w:cs="Times New Roman" w:eastAsia="Times New Roman" w:hAnsi="Times New Roman"/>
          <w:sz w:val="22"/>
          <w:szCs w:val="22"/>
          <w:color w:val="auto"/>
        </w:rPr>
        <w:t>On May 16, 2022, the Registrant announced its financial results for the three months ended March 31, 2022. Attached hereto is the following exhibit.</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tab/>
        <w:t>Press release dated May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firstLine="639"/>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2"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First Quarter 2022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Record revenue of $421 Million,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21 Percent Year over Year Revenue Growth</w:t>
      </w:r>
    </w:p>
    <w:p>
      <w:pPr>
        <w:spacing w:after="0" w:line="2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MIGDAL HAEMEK, ISRAEL – May 16, 2022– </w:t>
      </w:r>
      <w:r>
        <w:rPr>
          <w:rFonts w:ascii="Times New Roman" w:cs="Times New Roman" w:eastAsia="Times New Roman" w:hAnsi="Times New Roman"/>
          <w:sz w:val="22"/>
          <w:szCs w:val="22"/>
          <w:color w:val="auto"/>
        </w:rPr>
        <w:t>Tower Semiconductor (NASDAQ: TSEM &amp; TASE: TSEM) reports today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results for the first quarter ended March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of 2022 Results Overview</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Revenue </w:t>
      </w:r>
      <w:r>
        <w:rPr>
          <w:rFonts w:ascii="Times New Roman" w:cs="Times New Roman" w:eastAsia="Times New Roman" w:hAnsi="Times New Roman"/>
          <w:sz w:val="22"/>
          <w:szCs w:val="22"/>
          <w:color w:val="auto"/>
        </w:rPr>
        <w:t>for the first quarter of 2022 was $421 million, as compared to $347 million in the first quarter of 2021, reflecting 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 growth. Organic revenue for the first quarter of 2022, defined as total revenue excluding revenues from Nuvoton in the Japanese fabs and from Maxim in the San Antonio fab, grew by 29% year over year. Revenue for the fourth quarter of 2021 was $412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Gross profit </w:t>
      </w:r>
      <w:r>
        <w:rPr>
          <w:rFonts w:ascii="Times New Roman" w:cs="Times New Roman" w:eastAsia="Times New Roman" w:hAnsi="Times New Roman"/>
          <w:sz w:val="22"/>
          <w:szCs w:val="22"/>
          <w:color w:val="auto"/>
        </w:rPr>
        <w:t>for the first quarter of 2022 was $105 million, 50% higher than $70 million recorded in the first quarter of 2021.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Gross profit in the fourth quarter of 2021 was $100 million.</w:t>
      </w:r>
    </w:p>
    <w:p>
      <w:pPr>
        <w:spacing w:after="0" w:line="2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Operating profit </w:t>
      </w:r>
      <w:r>
        <w:rPr>
          <w:rFonts w:ascii="Times New Roman" w:cs="Times New Roman" w:eastAsia="Times New Roman" w:hAnsi="Times New Roman"/>
          <w:sz w:val="22"/>
          <w:szCs w:val="22"/>
          <w:color w:val="auto"/>
        </w:rPr>
        <w:t>for the first quarter of 2022 was $63 million, 94% higher than the $32 million recorded in the first quarter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2021. Operating profit in the fourth quarter of 2021 was $56 million.</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color w:val="auto"/>
        </w:rPr>
        <w:t xml:space="preserve">Net profit </w:t>
      </w:r>
      <w:r>
        <w:rPr>
          <w:rFonts w:ascii="Times New Roman" w:cs="Times New Roman" w:eastAsia="Times New Roman" w:hAnsi="Times New Roman"/>
          <w:sz w:val="22"/>
          <w:szCs w:val="22"/>
          <w:color w:val="auto"/>
        </w:rPr>
        <w:t>for the first quarter of 2022 was $54 million, or $0.50 basic and $0.49 diluted earnings per share, 91% higher than $28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recorded in the first quarter of 2021, which represented $0.26 basic and diluted earnings per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profit for the fourth quarter of 2021 was $52 million, representing $0.48 basic and $0.47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4" w:name="page5"/>
    <w:bookmarkEnd w:id="4"/>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Cash flow </w:t>
      </w:r>
      <w:r>
        <w:rPr>
          <w:rFonts w:ascii="Times New Roman" w:cs="Times New Roman" w:eastAsia="Times New Roman" w:hAnsi="Times New Roman"/>
          <w:sz w:val="22"/>
          <w:szCs w:val="22"/>
          <w:color w:val="auto"/>
        </w:rPr>
        <w:t>generated from operating activities in the first quarter of 2022 was $137 million and investment in fixed assets was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$81 million, net. During the first quarter of 2022, the company repaid $31 million of its debt.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Credit Rating</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In May 2022, Standard &amp; Poor’s Ma’alot (an Israeli rating company that is fully owned by S&amp;P Global Ratings) completed its annual rating review for the Company and decided to increase the corporate credit rating and bonds series G rating from “ilAA-“to “ilAA“, with a stable horizon.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 and Conference Call</w:t>
      </w:r>
    </w:p>
    <w:p>
      <w:pPr>
        <w:spacing w:after="0" w:line="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color w:val="auto"/>
        </w:rPr>
        <w:t>In light of the Company’s definitive agreement with Intel Corporation, as announced on February 15, 2022, the Company is not providing herewith revenue guidance for the second quarter 2022 and will not host an earnings conference call.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i w:val="1"/>
          <w:iCs w:val="1"/>
          <w:color w:val="auto"/>
        </w:rPr>
        <w:t>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w:t>
      </w:r>
    </w:p>
    <w:p>
      <w:pPr>
        <w:spacing w:after="0" w:line="7" w:lineRule="exact"/>
        <w:rPr>
          <w:sz w:val="20"/>
          <w:szCs w:val="20"/>
          <w:color w:val="auto"/>
        </w:rPr>
      </w:pPr>
    </w:p>
    <w:p>
      <w:pPr>
        <w:jc w:val="both"/>
        <w:ind w:firstLine="8"/>
        <w:spacing w:after="0" w:line="256" w:lineRule="auto"/>
        <w:tabs>
          <w:tab w:leader="none" w:pos="338"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stock-based compensation expense and (iii) amortization of acquired intangible assets. EBITDA is reconciled in the tables below from GAAP operating profit. EBITDA is not a required GAAP financial measure and may not be comparable to a similarly titled measure employed by other companies. EBITDA and the adjusted financial information presented herein and/ or prior earnings 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 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$137 million, $134 million and $87 million for the three months periods ended March 31, 2022, December 31, 2021 and March 31, 2021, respectively) less cash used for investments in property and equipment, net (in the amounts of $81 million, $86 million and $49 million for the three months periods ended March 31, 2022, December 31, 2021 and March 31, 2021,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by STMicroelectronics. For more information, please visit: </w:t>
      </w:r>
      <w:r>
        <w:rPr>
          <w:rFonts w:ascii="Times New Roman" w:cs="Times New Roman" w:eastAsia="Times New Roman" w:hAnsi="Times New Roman"/>
          <w:sz w:val="22"/>
          <w:szCs w:val="22"/>
          <w:u w:val="single" w:color="auto"/>
          <w:color w:val="auto"/>
        </w:rPr>
        <w:t>www.towersemi.com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Noit Levy | Investor Relations | +972 74 737 7556 | </w:t>
      </w:r>
      <w:r>
        <w:rPr>
          <w:rFonts w:ascii="Times New Roman" w:cs="Times New Roman" w:eastAsia="Times New Roman" w:hAnsi="Times New Roman"/>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w:t>
      </w:r>
    </w:p>
    <w:p>
      <w:pPr>
        <w:spacing w:after="0" w:line="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of orders that are lower than the customer purchase commitments, (xiv) failure to receive orders currently expected,</w:t>
      </w:r>
    </w:p>
    <w:p>
      <w:pPr>
        <w:spacing w:after="0" w:line="28" w:lineRule="exact"/>
        <w:rPr>
          <w:rFonts w:ascii="Times New Roman" w:cs="Times New Roman" w:eastAsia="Times New Roman" w:hAnsi="Times New Roman"/>
          <w:sz w:val="21"/>
          <w:szCs w:val="21"/>
          <w:color w:val="auto"/>
        </w:rPr>
      </w:pPr>
    </w:p>
    <w:p>
      <w:pPr>
        <w:jc w:val="both"/>
        <w:ind w:firstLine="8"/>
        <w:spacing w:after="0" w:line="269" w:lineRule="auto"/>
        <w:tabs>
          <w:tab w:leader="none" w:pos="44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w:t>
      </w:r>
    </w:p>
    <w:p>
      <w:pPr>
        <w:sectPr>
          <w:pgSz w:w="11900" w:h="16838" w:orient="portrait"/>
          <w:cols w:equalWidth="0" w:num="1">
            <w:col w:w="11240"/>
          </w:cols>
          <w:pgMar w:left="320" w:top="122" w:right="339" w:bottom="0" w:gutter="0" w:footer="0" w:header="0"/>
        </w:sectPr>
      </w:pPr>
    </w:p>
    <w:bookmarkStart w:id="6" w:name="page7"/>
    <w:bookmarkEnd w:id="6"/>
    <w:p>
      <w:pPr>
        <w:jc w:val="both"/>
        <w:spacing w:after="0" w:line="257" w:lineRule="auto"/>
        <w:rPr>
          <w:sz w:val="20"/>
          <w:szCs w:val="20"/>
          <w:color w:val="auto"/>
        </w:rPr>
      </w:pPr>
      <w:r>
        <w:rPr>
          <w:rFonts w:ascii="Times New Roman" w:cs="Times New Roman" w:eastAsia="Times New Roman" w:hAnsi="Times New Roman"/>
          <w:sz w:val="22"/>
          <w:szCs w:val="22"/>
          <w:color w:val="auto"/>
        </w:rPr>
        <w:t>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on TPSCo and the Company due to the purchase in 2020 of 49% of TPSCo by NTCJ (previously named PSCS) from Panasonic and due to the planned cessation of operations of Arai manufacturing factory in Japan, which is currently manufacturing products solely for NTCJ and is not serving Tower’s or TPSCo’s foundry customers, (xxxvii) industry and market impact due to the coronavirus and its potential impact on our business, operational continuity, supply chain, revenue and profitability, (xxxviii) potential security, cyber and privacy breaches, (xxxix) our ability to satisfy the covenants stipulated in our agreements with the series G bondholders (as of March 31, 2022, we are in compliance with this indenture’s covenants), (xxxx) risks associated with the transaction announced on February 15, 2022 under which Intel Corporation is to acquire the Company,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 the announcement or pendency of the transaction on business relationships, operating results and business generally, delays, disruptions or increased costs due to the integration process with the acquirer, litigation related to or resulting from the transaction, difficulties to retain key personnel and customers, diverting management’s attention from the ongoing business operations, potential negative reactions or changes to business relationships resulting from the announcement or completion of the transaction, and (xxxxi) business interruption due to fire, earthquake and other natural disasters, the security situation in Israel, global trade “war”, COVID-19 pandemic, including its impact on global supply chain to the fabs and from the fabs, power interruptions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  #  #</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i w:val="1"/>
          <w:i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p>
      <w:pPr>
        <w:ind w:left="884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March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203,484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210,930</w:t>
            </w: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402,873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363,648</w:t>
            </w: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184,539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190,068</w:t>
            </w:r>
          </w:p>
        </w:tc>
      </w:t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176,443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142,228</w:t>
            </w: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247,826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234,512</w:t>
            </w:r>
          </w:p>
        </w:tc>
      </w:tr>
      <w:tr>
        <w:trPr>
          <w:trHeight w:val="237"/>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41,629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54,817</w:t>
            </w:r>
          </w:p>
        </w:tc>
      </w:tr>
      <w:tr>
        <w:trPr>
          <w:trHeight w:val="229"/>
        </w:trPr>
        <w:tc>
          <w:tcPr>
            <w:tcW w:w="8680" w:type="dxa"/>
            <w:vAlign w:val="bottom"/>
            <w:tcBorders>
              <w:top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1,256,794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1,196,203</w:t>
            </w:r>
          </w:p>
        </w:tc>
        <w:tc>
          <w:tcPr>
            <w:tcW w:w="100" w:type="dxa"/>
            <w:vAlign w:val="bottom"/>
            <w:tcBorders>
              <w:top w:val="single" w:sz="8" w:color="CCEEFF"/>
            </w:tcBorders>
          </w:tcPr>
          <w:p>
            <w:pPr>
              <w:spacing w:after="0"/>
              <w:rPr>
                <w:sz w:val="19"/>
                <w:szCs w:val="19"/>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27,235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39,597</w:t>
            </w: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879,781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876,683</w:t>
            </w:r>
          </w:p>
        </w:tc>
      </w:tr>
      <w:tr>
        <w:trPr>
          <w:trHeight w:val="22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18,820</w:t>
            </w:r>
          </w:p>
        </w:tc>
      </w:tr>
      <w:tr>
        <w:trPr>
          <w:trHeight w:val="237"/>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DEFERRED TAX AND OTHER LONG-TERM ASSETS,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89,677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99,938</w:t>
            </w:r>
          </w:p>
        </w:tc>
      </w:tr>
      <w:tr>
        <w:trPr>
          <w:trHeight w:val="270"/>
        </w:trPr>
        <w:tc>
          <w:tcPr>
            <w:tcW w:w="8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2,270,152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2,231,241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78,165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83,868</w:t>
            </w:r>
          </w:p>
        </w:tc>
      </w:tr>
      <w:tr>
        <w:trPr>
          <w:trHeight w:val="230"/>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109,077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78,712</w:t>
            </w:r>
          </w:p>
        </w:tc>
      </w:t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49,444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39,992</w:t>
            </w:r>
          </w:p>
        </w:tc>
      </w:tr>
      <w:tr>
        <w:trPr>
          <w:trHeight w:val="236"/>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87,258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73,756</w:t>
            </w:r>
          </w:p>
        </w:tc>
      </w:tr>
      <w:tr>
        <w:trPr>
          <w:trHeight w:val="230"/>
        </w:trPr>
        <w:tc>
          <w:tcPr>
            <w:tcW w:w="8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323,944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276,328</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190,383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230,972</w:t>
            </w: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63,872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69,968</w:t>
            </w: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EMPLOYEE RELATED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14,622</w:t>
            </w:r>
          </w:p>
        </w:tc>
      </w:tr>
      <w:tr>
        <w:trPr>
          <w:trHeight w:val="237"/>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23,962</w:t>
            </w:r>
          </w:p>
        </w:tc>
      </w:tr>
      <w:tr>
        <w:trPr>
          <w:trHeight w:val="230"/>
        </w:trPr>
        <w:tc>
          <w:tcPr>
            <w:tcW w:w="8680" w:type="dxa"/>
            <w:vAlign w:val="bottom"/>
            <w:tcBorders>
              <w:top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612,495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615,852</w:t>
            </w:r>
          </w:p>
        </w:tc>
        <w:tc>
          <w:tcPr>
            <w:tcW w:w="100" w:type="dxa"/>
            <w:vAlign w:val="bottom"/>
            <w:tcBorders>
              <w:top w:val="single" w:sz="8" w:color="CCEEFF"/>
            </w:tcBorders>
          </w:tcPr>
          <w:p>
            <w:pPr>
              <w:spacing w:after="0"/>
              <w:rPr>
                <w:sz w:val="19"/>
                <w:szCs w:val="19"/>
                <w:color w:val="auto"/>
              </w:rPr>
            </w:pPr>
          </w:p>
        </w:tc>
      </w:tr>
      <w:tr>
        <w:trPr>
          <w:trHeight w:val="236"/>
        </w:trPr>
        <w:tc>
          <w:tcPr>
            <w:tcW w:w="8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1,657,657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1,615,389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2,270,152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2,231,241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36"/>
        </w:trPr>
        <w:tc>
          <w:tcPr>
            <w:tcW w:w="7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421,132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412,108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347,214</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316,501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311,935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277,400</w:t>
            </w:r>
          </w:p>
        </w:tc>
      </w:tr>
      <w:tr>
        <w:trPr>
          <w:trHeight w:val="237"/>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104,631</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100,173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69,814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22,371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20,343</w:t>
            </w:r>
          </w:p>
        </w:tc>
      </w:tr>
      <w:tr>
        <w:trPr>
          <w:trHeight w:val="237"/>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21,253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21,939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16,991</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41,571</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44,310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37,334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63,060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55,863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32,480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EXPENSE, NET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(2,133)</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(372)</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(7,842)</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60,927</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55,491</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24,638</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(5,153)</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(3,614)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5,876</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55,774</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51,877</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30,514</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(1,741)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(2,192)</w:t>
            </w:r>
          </w:p>
        </w:tc>
      </w:tr>
      <w:tr>
        <w:trPr>
          <w:trHeight w:val="270"/>
        </w:trPr>
        <w:tc>
          <w:tcPr>
            <w:tcW w:w="73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54,033</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51,739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0.26</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108,934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108,768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0.26</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110,539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110,267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left="340" w:right="2160"/>
        <w:spacing w:after="0" w:line="299"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63,060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55,863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32,480</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64,368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64,692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56,624</w:t>
            </w:r>
          </w:p>
        </w:tc>
      </w:tr>
      <w:tr>
        <w:trPr>
          <w:trHeight w:val="23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8,815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4,906</w:t>
            </w:r>
          </w:p>
        </w:tc>
      </w:tr>
      <w:tr>
        <w:trPr>
          <w:trHeight w:val="237"/>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506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133,649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129,876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94,501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210,930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211,503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211,683</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133,656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87,413</w:t>
            </w:r>
          </w:p>
        </w:tc>
      </w:tr>
      <w:tr>
        <w:trPr>
          <w:trHeight w:val="23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(80,840)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(85,947)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(49,415)</w:t>
            </w: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364</w:t>
            </w: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Debt recevied (repaid),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(30,539)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(29,375)</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(3,071)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(3,478)</w:t>
            </w: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(29,611)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(47,268)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(1,611)</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203,484</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210,930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215,581</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 h r e e  m o n t h s  e n d e d</w:t>
            </w: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55,774</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51,877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30,514</w:t>
            </w: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70,780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73,693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62,053</w:t>
            </w:r>
          </w:p>
        </w:tc>
      </w:tr>
      <w:tr>
        <w:trPr>
          <w:trHeight w:val="229"/>
        </w:trPr>
        <w:tc>
          <w:tcPr>
            <w:tcW w:w="7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Effect of exchange rate differences on debentures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(1,330)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2,353</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(3,792)</w:t>
            </w:r>
          </w:p>
        </w:tc>
      </w:tr>
      <w:tr>
        <w:trPr>
          <w:trHeight w:val="229"/>
        </w:trPr>
        <w:tc>
          <w:tcPr>
            <w:tcW w:w="7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(4,985)</w:t>
            </w:r>
          </w:p>
        </w:tc>
      </w:tr>
      <w:tr>
        <w:trPr>
          <w:trHeight w:val="230"/>
        </w:trPr>
        <w:tc>
          <w:tcPr>
            <w:tcW w:w="7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(35,181)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(6,274)</w:t>
            </w:r>
          </w:p>
        </w:tc>
      </w:tr>
      <w:tr>
        <w:trPr>
          <w:trHeight w:val="230"/>
        </w:trPr>
        <w:tc>
          <w:tcPr>
            <w:tcW w:w="7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13,874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(12,927)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7,082</w:t>
            </w:r>
          </w:p>
        </w:tc>
      </w:tr>
      <w:tr>
        <w:trPr>
          <w:trHeight w:val="229"/>
        </w:trPr>
        <w:tc>
          <w:tcPr>
            <w:tcW w:w="7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(18,328)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(16,155)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(3,407)</w:t>
            </w:r>
          </w:p>
        </w:tc>
      </w:tr>
      <w:tr>
        <w:trPr>
          <w:trHeight w:val="229"/>
        </w:trPr>
        <w:tc>
          <w:tcPr>
            <w:tcW w:w="7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30,595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(8,971)</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(9,266)</w:t>
            </w:r>
          </w:p>
        </w:tc>
      </w:tr>
      <w:tr>
        <w:trPr>
          <w:trHeight w:val="230"/>
        </w:trPr>
        <w:tc>
          <w:tcPr>
            <w:tcW w:w="7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39,029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19,340</w:t>
            </w:r>
          </w:p>
        </w:tc>
      </w:tr>
      <w:tr>
        <w:trPr>
          <w:trHeight w:val="229"/>
        </w:trPr>
        <w:tc>
          <w:tcPr>
            <w:tcW w:w="7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15,103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5,242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7,084</w:t>
            </w:r>
          </w:p>
        </w:tc>
      </w:tr>
      <w:tr>
        <w:trPr>
          <w:trHeight w:val="229"/>
        </w:trPr>
        <w:tc>
          <w:tcPr>
            <w:tcW w:w="7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331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w:t>
            </w:r>
          </w:p>
        </w:tc>
      </w:tr>
      <w:tr>
        <w:trPr>
          <w:trHeight w:val="237"/>
        </w:trPr>
        <w:tc>
          <w:tcPr>
            <w:tcW w:w="7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Deferred tax, net and other long-term liabilities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(10,829)</w:t>
            </w:r>
          </w:p>
        </w:tc>
      </w:tr>
      <w:tr>
        <w:trPr>
          <w:trHeight w:val="237"/>
        </w:trPr>
        <w:tc>
          <w:tcPr>
            <w:tcW w:w="73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136,571</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133,656</w:t>
            </w:r>
          </w:p>
        </w:tc>
        <w:tc>
          <w:tcPr>
            <w:tcW w:w="2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87,413</w:t>
            </w:r>
          </w:p>
        </w:tc>
        <w:tc>
          <w:tcPr>
            <w:tcW w:w="100" w:type="dxa"/>
            <w:vAlign w:val="bottom"/>
            <w:shd w:val="clear" w:color="auto" w:fill="CCEEFF"/>
          </w:tcPr>
          <w:p>
            <w:pPr>
              <w:spacing w:after="0"/>
              <w:rPr>
                <w:sz w:val="20"/>
                <w:szCs w:val="20"/>
                <w:color w:val="auto"/>
              </w:rPr>
            </w:pPr>
          </w:p>
        </w:tc>
      </w:tr>
      <w:tr>
        <w:trPr>
          <w:trHeight w:val="229"/>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(80,840)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(85,947)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(49,415)</w:t>
            </w:r>
          </w:p>
        </w:tc>
      </w:tr>
      <w:tr>
        <w:trPr>
          <w:trHeight w:val="236"/>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Investments in deposits, marketable securities and other assets, net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(29,611)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(47,268)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(1,611)</w:t>
            </w:r>
          </w:p>
        </w:tc>
      </w:tr>
      <w:tr>
        <w:trPr>
          <w:trHeight w:val="237"/>
        </w:trPr>
        <w:tc>
          <w:tcPr>
            <w:tcW w:w="732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(110,451)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(133,215)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(51,026)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(30,539)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(29,375)</w:t>
            </w:r>
          </w:p>
        </w:tc>
      </w:tr>
      <w:tr>
        <w:trPr>
          <w:trHeight w:val="237"/>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364</w:t>
            </w:r>
          </w:p>
        </w:tc>
      </w:tr>
      <w:tr>
        <w:trPr>
          <w:trHeight w:val="236"/>
        </w:trPr>
        <w:tc>
          <w:tcPr>
            <w:tcW w:w="732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(30,495)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(3,071)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(3,478)</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(7,446)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3,898</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210,930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211,503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211,683</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203,484</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210,930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215,581</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lowerRoman"/>
      <w:start w:val="13"/>
    </w:lvl>
  </w:abstractNum>
  <w:abstractNum w:abstractNumId="2">
    <w:nsid w:val="19495CFF"/>
    <w:multiLevelType w:val="hybridMultilevel"/>
    <w:lvl w:ilvl="0">
      <w:lvlJc w:val="left"/>
      <w:lvlText w:val="(%1)"/>
      <w:numFmt w:val="lowerRoman"/>
      <w:start w:val="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2022-05-16T06:14:02Z</dcterms:created>
  <dcterms:modified xsi:type="dcterms:W3CDTF">2022-05-16T06:14:02Z</dcterms:modified>
</cp:coreProperties>
</file>