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5,422,426.00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5,454,892.00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5,454,892.00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820"/>
          </w:cols>
          <w:pgMar w:left="320" w:top="166" w:right="5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and (9), please see Item 4. Row (11) is based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111,845,587 Ordinary Shares issued and outstanding as of May 31, 2025 (as reported by the Issuer in Exhibit 99.1 to its Report on Form 6-K filed with the Securities and Exchange Commission on June 12,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 Aba Hillel Street, Ramat Gan 52118, 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Israel</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M87915274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0980"/>
          </w:cols>
          <w:pgMar w:left="320" w:top="166" w:right="5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00"/>
        <w:spacing w:after="0" w:line="238" w:lineRule="auto"/>
        <w:rPr>
          <w:sz w:val="20"/>
          <w:szCs w:val="20"/>
          <w:color w:val="auto"/>
        </w:rPr>
      </w:pPr>
      <w:r>
        <w:rPr>
          <w:rFonts w:ascii="Times New Roman" w:cs="Times New Roman" w:eastAsia="Times New Roman" w:hAnsi="Times New Roman"/>
          <w:sz w:val="22"/>
          <w:szCs w:val="22"/>
          <w:color w:val="auto"/>
        </w:rPr>
        <w:t>Of the 5,454,892 Ordinary Shares reported in this Statement as beneficially owned by the Reporting Person, (i) 5,341,589 Ordinary Shares are held for members of the public through, among others, provident funds and/or mutual funds and/or pension funds and/or insurance policies and/or exchange traded funds, which are managed by</w:t>
      </w:r>
    </w:p>
    <w:p>
      <w:pPr>
        <w:ind w:left="920" w:hanging="912"/>
        <w:spacing w:after="0" w:line="204"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subsidiaries of the Reporting Person, each of which subsidiaries operates under independent management and makes independent voting and investment decisions, (ii) 32,466 Ordinary Shares are held by third-party client accounts managed by a subsidiary of the Reporting Person as portfolio managers, which subsidiary operates under independent management and makes independent investment decisions and has no voting power in the securities held in such client accounts, and (iii) 80,837 Ordinary Shares are beneficially held for its own account. Consequently, this Statement shall not be construed as an admission by the Reporting Person that it is the beneficial owner of more than 80,837 Ordinary Shares covered by this Statement.</w:t>
      </w:r>
    </w:p>
    <w:p>
      <w:pPr>
        <w:spacing w:after="0" w:line="2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the cover page of the Reporting Person above.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26"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the cover page of the Reporting Person above and note in Item 4 above.</w:t>
      </w:r>
    </w:p>
    <w:p>
      <w:pPr>
        <w:spacing w:after="0" w:line="287" w:lineRule="exact"/>
        <w:rPr>
          <w:sz w:val="20"/>
          <w:szCs w:val="20"/>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00" w:lineRule="exact"/>
        <w:rPr>
          <w:rFonts w:ascii="Times New Roman" w:cs="Times New Roman" w:eastAsia="Times New Roman" w:hAnsi="Times New Roman"/>
          <w:sz w:val="22"/>
          <w:szCs w:val="22"/>
          <w:color w:val="auto"/>
        </w:rPr>
      </w:pPr>
    </w:p>
    <w:p>
      <w:pPr>
        <w:spacing w:after="0" w:line="330"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the cover page of the Reporting Person above and note in Item 4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00"/>
          </w:cols>
          <w:pgMar w:left="360" w:top="126" w:right="41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20"/>
          </w:cols>
          <w:pgMar w:left="360" w:top="126" w:right="41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Harel Insurance Investments &amp; Financial Services Ltd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Alon Kaufman</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Alon Kaufman/Vice President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08/05/2025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Roman"/>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2025-08-05T07:08:37Z</dcterms:created>
  <dcterms:modified xsi:type="dcterms:W3CDTF">2025-08-05T07:08:37Z</dcterms:modified>
</cp:coreProperties>
</file>