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68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121" w:lineRule="exact"/>
        <w:rPr>
          <w:sz w:val="24"/>
          <w:szCs w:val="24"/>
          <w:color w:val="auto"/>
        </w:rPr>
      </w:pPr>
    </w:p>
    <w:p>
      <w:pPr>
        <w:ind w:left="2460"/>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117" w:lineRule="exact"/>
        <w:rPr>
          <w:sz w:val="24"/>
          <w:szCs w:val="24"/>
          <w:color w:val="auto"/>
        </w:rPr>
      </w:pPr>
    </w:p>
    <w:p>
      <w:pPr>
        <w:ind w:left="3400"/>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0" w:lineRule="exact"/>
        <w:rPr>
          <w:sz w:val="24"/>
          <w:szCs w:val="24"/>
          <w:color w:val="auto"/>
        </w:rPr>
      </w:pPr>
    </w:p>
    <w:p>
      <w:pPr>
        <w:spacing w:after="0" w:line="231" w:lineRule="exact"/>
        <w:rPr>
          <w:sz w:val="24"/>
          <w:szCs w:val="24"/>
          <w:color w:val="auto"/>
        </w:rPr>
      </w:pPr>
    </w:p>
    <w:p>
      <w:pPr>
        <w:jc w:val="center"/>
        <w:ind w:right="1999"/>
        <w:spacing w:after="0"/>
        <w:rPr>
          <w:sz w:val="20"/>
          <w:szCs w:val="20"/>
          <w:color w:val="auto"/>
        </w:rPr>
      </w:pPr>
      <w:r>
        <w:rPr>
          <w:rFonts w:ascii="Times New Roman" w:cs="Times New Roman" w:eastAsia="Times New Roman" w:hAnsi="Times New Roman"/>
          <w:sz w:val="25"/>
          <w:szCs w:val="25"/>
          <w:b w:val="1"/>
          <w:bCs w:val="1"/>
          <w:color w:val="auto"/>
        </w:rPr>
        <w:t>TOWER SEMICONDUCTOR LTD.</w:t>
      </w:r>
    </w:p>
    <w:p>
      <w:pPr>
        <w:spacing w:after="0" w:line="47" w:lineRule="exact"/>
        <w:rPr>
          <w:sz w:val="24"/>
          <w:szCs w:val="24"/>
          <w:color w:val="auto"/>
        </w:rPr>
      </w:pPr>
    </w:p>
    <w:p>
      <w:pPr>
        <w:jc w:val="center"/>
        <w:ind w:right="1999"/>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48" w:lineRule="exact"/>
        <w:rPr>
          <w:sz w:val="24"/>
          <w:szCs w:val="24"/>
          <w:color w:val="auto"/>
        </w:rPr>
      </w:pPr>
    </w:p>
    <w:p>
      <w:pPr>
        <w:jc w:val="center"/>
        <w:ind w:right="1999"/>
        <w:spacing w:after="0"/>
        <w:rPr>
          <w:sz w:val="20"/>
          <w:szCs w:val="20"/>
          <w:color w:val="auto"/>
        </w:rPr>
      </w:pPr>
      <w:r>
        <w:rPr>
          <w:rFonts w:ascii="Times New Roman" w:cs="Times New Roman" w:eastAsia="Times New Roman" w:hAnsi="Times New Roman"/>
          <w:sz w:val="18"/>
          <w:szCs w:val="18"/>
          <w:b w:val="1"/>
          <w:bCs w:val="1"/>
          <w:color w:val="auto"/>
        </w:rPr>
        <w:t>Ramat Gavriel Industrial Park</w:t>
      </w:r>
    </w:p>
    <w:p>
      <w:pPr>
        <w:spacing w:after="0" w:line="31" w:lineRule="exact"/>
        <w:rPr>
          <w:sz w:val="24"/>
          <w:szCs w:val="24"/>
          <w:color w:val="auto"/>
        </w:rPr>
      </w:pPr>
    </w:p>
    <w:p>
      <w:pPr>
        <w:jc w:val="center"/>
        <w:ind w:right="1999"/>
        <w:spacing w:after="0"/>
        <w:rPr>
          <w:sz w:val="20"/>
          <w:szCs w:val="20"/>
          <w:color w:val="auto"/>
        </w:rPr>
      </w:pPr>
      <w:r>
        <w:rPr>
          <w:rFonts w:ascii="Times New Roman" w:cs="Times New Roman" w:eastAsia="Times New Roman" w:hAnsi="Times New Roman"/>
          <w:sz w:val="18"/>
          <w:szCs w:val="18"/>
          <w:b w:val="1"/>
          <w:bCs w:val="1"/>
          <w:color w:val="auto"/>
        </w:rPr>
        <w:t>P.O. Box 619, Migdal Haemek, Israel 23105</w:t>
      </w:r>
    </w:p>
    <w:p>
      <w:pPr>
        <w:spacing w:after="0" w:line="9" w:lineRule="exact"/>
        <w:rPr>
          <w:sz w:val="24"/>
          <w:szCs w:val="24"/>
          <w:color w:val="auto"/>
        </w:rPr>
      </w:pPr>
    </w:p>
    <w:p>
      <w:pPr>
        <w:jc w:val="center"/>
        <w:ind w:right="1999"/>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99" w:lineRule="exact"/>
        <w:rPr>
          <w:sz w:val="24"/>
          <w:szCs w:val="24"/>
          <w:color w:val="auto"/>
        </w:rPr>
      </w:pPr>
    </w:p>
    <w:p>
      <w:pPr>
        <w:ind w:right="2399" w:firstLine="3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54" w:lineRule="exact"/>
        <w:rPr>
          <w:sz w:val="24"/>
          <w:szCs w:val="24"/>
          <w:color w:val="auto"/>
        </w:rPr>
      </w:pPr>
    </w:p>
    <w:p>
      <w:pPr>
        <w:jc w:val="center"/>
        <w:ind w:right="1639"/>
        <w:spacing w:after="0"/>
        <w:rPr>
          <w:sz w:val="20"/>
          <w:szCs w:val="20"/>
          <w:color w:val="auto"/>
        </w:rPr>
      </w:pPr>
      <w:r>
        <w:rPr>
          <w:rFonts w:ascii="Times New Roman" w:cs="Times New Roman" w:eastAsia="Times New Roman" w:hAnsi="Times New Roman"/>
          <w:sz w:val="18"/>
          <w:szCs w:val="18"/>
          <w:color w:val="auto"/>
        </w:rPr>
        <w:t xml:space="preserve">Form 20-F </w:t>
      </w:r>
      <w:r>
        <w:rPr>
          <w:sz w:val="1"/>
          <w:szCs w:val="1"/>
          <w:color w:val="auto"/>
        </w:rPr>
        <w:drawing>
          <wp:inline distT="0" distB="0" distL="0" distR="0">
            <wp:extent cx="85725" cy="857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85725" cy="85725"/>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Form 40-F </w:t>
      </w:r>
      <w:r>
        <w:rPr>
          <w:sz w:val="1"/>
          <w:szCs w:val="1"/>
          <w:color w:val="auto"/>
        </w:rPr>
        <w:drawing>
          <wp:inline distT="0" distB="0" distL="0" distR="0">
            <wp:extent cx="85725" cy="8572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5725" cy="85725"/>
                    </a:xfrm>
                    <a:prstGeom prst="rect">
                      <a:avLst/>
                    </a:prstGeom>
                    <a:noFill/>
                    <a:ln>
                      <a:noFill/>
                    </a:ln>
                  </pic:spPr>
                </pic:pic>
              </a:graphicData>
            </a:graphic>
          </wp:inline>
        </w:drawing>
      </w:r>
    </w:p>
    <w:p>
      <w:pPr>
        <w:spacing w:after="0" w:line="117" w:lineRule="exact"/>
        <w:rPr>
          <w:sz w:val="24"/>
          <w:szCs w:val="24"/>
          <w:color w:val="auto"/>
        </w:rPr>
      </w:pPr>
    </w:p>
    <w:p>
      <w:pPr>
        <w:ind w:right="2099" w:firstLine="36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68"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18"/>
          <w:szCs w:val="18"/>
          <w:color w:val="auto"/>
        </w:rPr>
        <w:t xml:space="preserve">Yes </w:t>
      </w:r>
      <w:r>
        <w:rPr>
          <w:sz w:val="1"/>
          <w:szCs w:val="1"/>
          <w:color w:val="auto"/>
        </w:rPr>
        <w:drawing>
          <wp:inline distT="0" distB="0" distL="0" distR="0">
            <wp:extent cx="85725" cy="8572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5725" cy="85725"/>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 </w:t>
      </w:r>
      <w:r>
        <w:rPr>
          <w:sz w:val="1"/>
          <w:szCs w:val="1"/>
          <w:color w:val="auto"/>
        </w:rPr>
        <w:drawing>
          <wp:inline distT="0" distB="0" distL="0" distR="0">
            <wp:extent cx="85725" cy="8572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5725" cy="85725"/>
                    </a:xfrm>
                    <a:prstGeom prst="rect">
                      <a:avLst/>
                    </a:prstGeom>
                    <a:noFill/>
                    <a:ln>
                      <a:noFill/>
                    </a:ln>
                  </pic:spPr>
                </pic:pic>
              </a:graphicData>
            </a:graphic>
          </wp:inline>
        </w:drawing>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296545</wp:posOffset>
            </wp:positionV>
            <wp:extent cx="656018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60185"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4" w:lineRule="exact"/>
        <w:rPr>
          <w:sz w:val="24"/>
          <w:szCs w:val="24"/>
          <w:color w:val="auto"/>
        </w:rPr>
      </w:pPr>
    </w:p>
    <w:p>
      <w:pPr>
        <w:jc w:val="both"/>
        <w:ind w:right="2179" w:firstLine="360"/>
        <w:spacing w:after="0" w:line="282" w:lineRule="auto"/>
        <w:rPr>
          <w:sz w:val="20"/>
          <w:szCs w:val="20"/>
          <w:color w:val="auto"/>
        </w:rPr>
      </w:pPr>
      <w:r>
        <w:rPr>
          <w:rFonts w:ascii="Times New Roman" w:cs="Times New Roman" w:eastAsia="Times New Roman" w:hAnsi="Times New Roman"/>
          <w:sz w:val="18"/>
          <w:szCs w:val="18"/>
          <w:color w:val="auto"/>
        </w:rPr>
        <w:t>On January 22, 2004, the Registrant pre-announced its expected financial results for the fourth quarter and year ended December 31, 2003. Attached hereto is the press release announcing the expected results.</w:t>
      </w:r>
    </w:p>
    <w:p>
      <w:pPr>
        <w:spacing w:after="0" w:line="54" w:lineRule="exact"/>
        <w:rPr>
          <w:sz w:val="24"/>
          <w:szCs w:val="24"/>
          <w:color w:val="auto"/>
        </w:rPr>
      </w:pPr>
    </w:p>
    <w:p>
      <w:pPr>
        <w:ind w:right="2239" w:firstLine="360"/>
        <w:spacing w:after="0" w:line="282" w:lineRule="auto"/>
        <w:rPr>
          <w:sz w:val="20"/>
          <w:szCs w:val="20"/>
          <w:color w:val="auto"/>
        </w:rPr>
      </w:pPr>
      <w:r>
        <w:rPr>
          <w:rFonts w:ascii="Times New Roman" w:cs="Times New Roman" w:eastAsia="Times New Roman" w:hAnsi="Times New Roman"/>
          <w:sz w:val="18"/>
          <w:szCs w:val="18"/>
          <w:color w:val="auto"/>
        </w:rPr>
        <w:t>This Form 6-K is being filed and incorporated by reference in all effective registration statements filed by the Registrant under 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255905</wp:posOffset>
            </wp:positionV>
            <wp:extent cx="656018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60185"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5" w:lineRule="exact"/>
        <w:rPr>
          <w:sz w:val="24"/>
          <w:szCs w:val="24"/>
          <w:color w:val="auto"/>
        </w:rPr>
      </w:pPr>
    </w:p>
    <w:p>
      <w:pPr>
        <w:jc w:val="center"/>
        <w:ind w:right="19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4"/>
          <w:szCs w:val="24"/>
          <w:color w:val="auto"/>
        </w:rPr>
      </w:pPr>
    </w:p>
    <w:p>
      <w:pPr>
        <w:ind w:right="2379" w:firstLine="3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4"/>
          <w:szCs w:val="24"/>
          <w:color w:val="auto"/>
        </w:rPr>
      </w:pPr>
    </w:p>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TOWER SEMICONDUCTOR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8890" cy="857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890" cy="85725"/>
                    </a:xfrm>
                    <a:prstGeom prst="rect">
                      <a:avLst/>
                    </a:prstGeom>
                    <a:noFill/>
                  </pic:spPr>
                </pic:pic>
              </a:graphicData>
            </a:graphic>
          </wp:anchor>
        </w:drawing>
      </w:r>
    </w:p>
    <w:p>
      <w:pPr>
        <w:spacing w:after="0" w:line="200" w:lineRule="exact"/>
        <w:rPr>
          <w:sz w:val="24"/>
          <w:szCs w:val="24"/>
          <w:color w:val="auto"/>
        </w:rPr>
      </w:pPr>
    </w:p>
    <w:p>
      <w:pPr>
        <w:spacing w:after="0" w:line="216" w:lineRule="exact"/>
        <w:rPr>
          <w:sz w:val="24"/>
          <w:szCs w:val="24"/>
          <w:color w:val="auto"/>
        </w:rPr>
      </w:pPr>
    </w:p>
    <w:p>
      <w:pPr>
        <w:spacing w:after="0"/>
        <w:tabs>
          <w:tab w:leader="none" w:pos="3860" w:val="left"/>
          <w:tab w:leader="none" w:pos="4400" w:val="left"/>
        </w:tabs>
        <w:rPr>
          <w:sz w:val="20"/>
          <w:szCs w:val="20"/>
          <w:color w:val="auto"/>
        </w:rPr>
      </w:pPr>
      <w:r>
        <w:rPr>
          <w:rFonts w:ascii="Times New Roman" w:cs="Times New Roman" w:eastAsia="Times New Roman" w:hAnsi="Times New Roman"/>
          <w:sz w:val="16"/>
          <w:szCs w:val="16"/>
          <w:color w:val="auto"/>
        </w:rPr>
        <w:t>Date: January 22, 2004</w:t>
      </w:r>
      <w:r>
        <w:rPr>
          <w:sz w:val="20"/>
          <w:szCs w:val="20"/>
          <w:color w:val="auto"/>
        </w:rPr>
        <w:tab/>
      </w: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6"/>
          <w:szCs w:val="16"/>
          <w:color w:val="auto"/>
        </w:rPr>
        <w:t>/s/ Amir Harel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500824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008245" cy="8890"/>
                    </a:xfrm>
                    <a:prstGeom prst="rect">
                      <a:avLst/>
                    </a:prstGeom>
                    <a:noFill/>
                  </pic:spPr>
                </pic:pic>
              </a:graphicData>
            </a:graphic>
          </wp:anchor>
        </w:drawing>
        <w:drawing>
          <wp:anchor simplePos="0" relativeHeight="251657728" behindDoc="1" locked="0" layoutInCell="0" allowOverlap="1">
            <wp:simplePos x="0" y="0"/>
            <wp:positionH relativeFrom="column">
              <wp:posOffset>2397760</wp:posOffset>
            </wp:positionH>
            <wp:positionV relativeFrom="paragraph">
              <wp:posOffset>-38735</wp:posOffset>
            </wp:positionV>
            <wp:extent cx="1714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2740660</wp:posOffset>
            </wp:positionH>
            <wp:positionV relativeFrom="paragraph">
              <wp:posOffset>-38735</wp:posOffset>
            </wp:positionV>
            <wp:extent cx="1714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7145" cy="8890"/>
                    </a:xfrm>
                    <a:prstGeom prst="rect">
                      <a:avLst/>
                    </a:prstGeom>
                    <a:noFill/>
                  </pic:spPr>
                </pic:pic>
              </a:graphicData>
            </a:graphic>
          </wp:anchor>
        </w:drawing>
      </w:r>
    </w:p>
    <w:p>
      <w:pPr>
        <w:spacing w:after="0" w:line="39"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16"/>
          <w:szCs w:val="16"/>
          <w:color w:val="auto"/>
        </w:rPr>
        <w:t>Amir Harel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2809240</wp:posOffset>
            </wp:positionH>
            <wp:positionV relativeFrom="paragraph">
              <wp:posOffset>-116205</wp:posOffset>
            </wp:positionV>
            <wp:extent cx="22809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280920" cy="8890"/>
                    </a:xfrm>
                    <a:prstGeom prst="rect">
                      <a:avLst/>
                    </a:prstGeom>
                    <a:noFill/>
                  </pic:spPr>
                </pic:pic>
              </a:graphicData>
            </a:graphic>
          </wp:anchor>
        </w:drawing>
      </w:r>
    </w:p>
    <w:p>
      <w:pPr>
        <w:spacing w:after="0" w:line="6"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16"/>
          <w:szCs w:val="16"/>
          <w:color w:val="auto"/>
        </w:rPr>
        <w:t>Chief Financial Officer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337185</wp:posOffset>
            </wp:positionV>
            <wp:extent cx="656018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560185" cy="42545"/>
                    </a:xfrm>
                    <a:prstGeom prst="rect">
                      <a:avLst/>
                    </a:prstGeom>
                    <a:noFill/>
                  </pic:spPr>
                </pic:pic>
              </a:graphicData>
            </a:graphic>
          </wp:anchor>
        </w:drawing>
        <w:drawing>
          <wp:anchor simplePos="0" relativeHeight="251657728" behindDoc="1" locked="0" layoutInCell="0" allowOverlap="1">
            <wp:simplePos x="0" y="0"/>
            <wp:positionH relativeFrom="column">
              <wp:posOffset>2397760</wp:posOffset>
            </wp:positionH>
            <wp:positionV relativeFrom="paragraph">
              <wp:posOffset>-103505</wp:posOffset>
            </wp:positionV>
            <wp:extent cx="1714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2740660</wp:posOffset>
            </wp:positionH>
            <wp:positionV relativeFrom="paragraph">
              <wp:posOffset>-103505</wp:posOffset>
            </wp:positionV>
            <wp:extent cx="1714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41275</wp:posOffset>
            </wp:positionV>
            <wp:extent cx="8890" cy="857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890" cy="8572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NEWS RELEASE</w:t>
      </w:r>
    </w:p>
    <w:p>
      <w:pPr>
        <w:spacing w:after="0" w:line="225" w:lineRule="exact"/>
        <w:rPr>
          <w:sz w:val="24"/>
          <w:szCs w:val="24"/>
          <w:color w:val="auto"/>
        </w:rPr>
      </w:pPr>
    </w:p>
    <w:p>
      <w:pPr>
        <w:jc w:val="center"/>
        <w:ind w:right="1999"/>
        <w:spacing w:after="0"/>
        <w:rPr>
          <w:sz w:val="20"/>
          <w:szCs w:val="20"/>
          <w:color w:val="auto"/>
        </w:rPr>
      </w:pPr>
      <w:r>
        <w:rPr>
          <w:rFonts w:ascii="Times New Roman" w:cs="Times New Roman" w:eastAsia="Times New Roman" w:hAnsi="Times New Roman"/>
          <w:sz w:val="17"/>
          <w:szCs w:val="17"/>
          <w:b w:val="1"/>
          <w:bCs w:val="1"/>
          <w:color w:val="auto"/>
        </w:rPr>
        <w:t>TOWER SEMICONDUCTOR LTD. PRE-ANNOUNCES FOURTH QUARTER AND 2003 EXPECTED</w:t>
      </w:r>
    </w:p>
    <w:p>
      <w:pPr>
        <w:spacing w:after="0" w:line="43" w:lineRule="exact"/>
        <w:rPr>
          <w:sz w:val="24"/>
          <w:szCs w:val="24"/>
          <w:color w:val="auto"/>
        </w:rPr>
      </w:pPr>
    </w:p>
    <w:p>
      <w:pPr>
        <w:jc w:val="center"/>
        <w:ind w:right="1999"/>
        <w:spacing w:after="0"/>
        <w:rPr>
          <w:sz w:val="20"/>
          <w:szCs w:val="20"/>
          <w:color w:val="auto"/>
        </w:rPr>
      </w:pPr>
      <w:r>
        <w:rPr>
          <w:rFonts w:ascii="Times New Roman" w:cs="Times New Roman" w:eastAsia="Times New Roman" w:hAnsi="Times New Roman"/>
          <w:sz w:val="18"/>
          <w:szCs w:val="18"/>
          <w:b w:val="1"/>
          <w:bCs w:val="1"/>
          <w:color w:val="auto"/>
        </w:rPr>
        <w:t>RESULTS</w:t>
      </w:r>
    </w:p>
    <w:p>
      <w:pPr>
        <w:spacing w:after="0" w:line="9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MIGDAL HAEMEK, Israel — January 22, 2004 — Tower Semiconductor Ltd. (NASDAQ: TSEM; TASE:</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TSEM) today announced expected results for the fourth quarter and year ended December 31, 2003.</w:t>
      </w:r>
    </w:p>
    <w:p>
      <w:pPr>
        <w:spacing w:after="0" w:line="99" w:lineRule="exact"/>
        <w:rPr>
          <w:sz w:val="24"/>
          <w:szCs w:val="24"/>
          <w:color w:val="auto"/>
        </w:rPr>
      </w:pPr>
    </w:p>
    <w:p>
      <w:pPr>
        <w:ind w:right="2519"/>
        <w:spacing w:after="0" w:line="282" w:lineRule="auto"/>
        <w:rPr>
          <w:sz w:val="20"/>
          <w:szCs w:val="20"/>
          <w:color w:val="auto"/>
        </w:rPr>
      </w:pPr>
      <w:r>
        <w:rPr>
          <w:rFonts w:ascii="Times New Roman" w:cs="Times New Roman" w:eastAsia="Times New Roman" w:hAnsi="Times New Roman"/>
          <w:sz w:val="18"/>
          <w:szCs w:val="18"/>
          <w:color w:val="auto"/>
        </w:rPr>
        <w:t>Sales for the fourth quarter of 2003 are expected to be approximately in the range of $19.5 million and $20 million. Fourth quarter loss is expected to be approximately in the range of $45 million and $47 million.</w:t>
      </w:r>
    </w:p>
    <w:p>
      <w:pPr>
        <w:spacing w:after="0" w:line="54" w:lineRule="exact"/>
        <w:rPr>
          <w:sz w:val="24"/>
          <w:szCs w:val="24"/>
          <w:color w:val="auto"/>
        </w:rPr>
      </w:pPr>
    </w:p>
    <w:p>
      <w:pPr>
        <w:jc w:val="both"/>
        <w:ind w:right="2179"/>
        <w:spacing w:after="0" w:line="266" w:lineRule="auto"/>
        <w:rPr>
          <w:sz w:val="20"/>
          <w:szCs w:val="20"/>
          <w:color w:val="auto"/>
        </w:rPr>
      </w:pPr>
      <w:r>
        <w:rPr>
          <w:rFonts w:ascii="Times New Roman" w:cs="Times New Roman" w:eastAsia="Times New Roman" w:hAnsi="Times New Roman"/>
          <w:sz w:val="18"/>
          <w:szCs w:val="18"/>
          <w:color w:val="auto"/>
        </w:rPr>
        <w:t>Sales for the year ended December 31, 2003 are expected to be approximately in the range of $61.1 million and $61.6 million. Loss for the year ended December 31, 2003 is expected to be approximately in the range of $113 million and $115 million.</w:t>
      </w:r>
    </w:p>
    <w:p>
      <w:pPr>
        <w:spacing w:after="0" w:line="6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Tower expects to release its fourth quarter and year-end results on Monday, February 2, 2004.</w:t>
      </w: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Tower Semiconductor Ltd.</w:t>
      </w:r>
    </w:p>
    <w:p>
      <w:pPr>
        <w:spacing w:after="0" w:line="121" w:lineRule="exact"/>
        <w:rPr>
          <w:sz w:val="24"/>
          <w:szCs w:val="24"/>
          <w:color w:val="auto"/>
        </w:rPr>
      </w:pPr>
    </w:p>
    <w:p>
      <w:pPr>
        <w:ind w:right="2099"/>
        <w:spacing w:after="0" w:line="255" w:lineRule="auto"/>
        <w:rPr>
          <w:sz w:val="20"/>
          <w:szCs w:val="20"/>
          <w:color w:val="auto"/>
        </w:rPr>
      </w:pPr>
      <w:r>
        <w:rPr>
          <w:rFonts w:ascii="Times New Roman" w:cs="Times New Roman" w:eastAsia="Times New Roman" w:hAnsi="Times New Roman"/>
          <w:sz w:val="18"/>
          <w:szCs w:val="18"/>
          <w:color w:val="auto"/>
        </w:rPr>
        <w:t>Tower Semiconductor Ltd. is a pure-play independent wafer foundry established in 1993. The company manufactures integrated circuits with geometries ranging from 1.0 to 0.18 microns; it also provides complementary technical services and design support. In addition to digital CMOS process technology, Tower offers advanced non-volatile memory solutions, mixed-signal and CMOS image-sensor technologies. To provide world-class customer service, the company maintains two manufacturing facilities: Fab 1 has process technologies from 1.0 to 0.35 microns and can produce up to 16,000 150mm wafers per month. Fab 2 features 0.18-micron and below process technologies, including foundry-standard technology. When complete, Fab 2 is</w:t>
      </w:r>
    </w:p>
    <w:p>
      <w:pPr>
        <w:sectPr>
          <w:pgSz w:w="11900" w:h="16838" w:orient="portrait"/>
          <w:cols w:equalWidth="0" w:num="1">
            <w:col w:w="10219"/>
          </w:cols>
          <w:pgMar w:left="240" w:top="441" w:right="1440" w:bottom="0" w:gutter="0" w:footer="0" w:header="0"/>
        </w:sectPr>
      </w:pPr>
    </w:p>
    <w:bookmarkStart w:id="1" w:name="page2"/>
    <w:bookmarkEnd w:id="1"/>
    <w:p>
      <w:pPr>
        <w:ind w:right="2240"/>
        <w:spacing w:after="0" w:line="282" w:lineRule="auto"/>
        <w:rPr>
          <w:sz w:val="20"/>
          <w:szCs w:val="20"/>
          <w:color w:val="auto"/>
        </w:rPr>
      </w:pPr>
      <w:r>
        <w:rPr>
          <w:rFonts w:ascii="Times New Roman" w:cs="Times New Roman" w:eastAsia="Times New Roman" w:hAnsi="Times New Roman"/>
          <w:sz w:val="18"/>
          <w:szCs w:val="18"/>
          <w:color w:val="auto"/>
        </w:rPr>
        <w:t>expected to offer full production capacity of 33,000 200mm wafers per month. The Tower Web site is located at www.towersemi.com.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w:t>
      </w:r>
    </w:p>
    <w:p>
      <w:pPr>
        <w:spacing w:after="0" w:line="119" w:lineRule="exact"/>
        <w:rPr>
          <w:sz w:val="20"/>
          <w:szCs w:val="20"/>
          <w:color w:val="auto"/>
        </w:rPr>
      </w:pPr>
    </w:p>
    <w:p>
      <w:pPr>
        <w:ind w:right="2100"/>
        <w:spacing w:after="0" w:line="254" w:lineRule="auto"/>
        <w:rPr>
          <w:sz w:val="20"/>
          <w:szCs w:val="20"/>
          <w:color w:val="auto"/>
        </w:rPr>
      </w:pPr>
      <w:r>
        <w:rPr>
          <w:rFonts w:ascii="Times New Roman" w:cs="Times New Roman" w:eastAsia="Times New Roman" w:hAnsi="Times New Roman"/>
          <w:sz w:val="18"/>
          <w:szCs w:val="18"/>
          <w:i w:val="1"/>
          <w:iCs w:val="1"/>
          <w:color w:val="auto"/>
        </w:rPr>
        <w:t>This press release includes forward-looking statements, which are subject to risks and uncertainties. Actual results may vary from those projected or implied by such forward-looking statements. Potential risks and uncertainties include, without limitation, risks and uncertainties associated with (i) obtaining the approval of the Israeli Investment Center to extend the five-year investment period under our Fab 2 approved enterprise program and of amendments to our modified business plan, (ii) market acceptance and competitiveness of the products to be manufactured by us for customers using these technologies, as well as obtaining additional business from new and existing customers, (iii) our ability to obtain additional financing for the Fab 2 project from equity and/or wafer partners, the Israeli Investment Center, our banks, and/or other sources, as required under the Fab 2 business plan and pursuant to our agreements with our wafer and equity partners, banks and the Israeli Investment Center, (iv) ramp-up of production at Fab 2,</w:t>
      </w:r>
    </w:p>
    <w:p>
      <w:pPr>
        <w:spacing w:after="0" w:line="400"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299085</wp:posOffset>
            </wp:positionV>
            <wp:extent cx="656018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56018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right="2100" w:firstLine="8"/>
        <w:spacing w:after="0" w:line="255" w:lineRule="auto"/>
        <w:tabs>
          <w:tab w:leader="none" w:pos="245" w:val="left"/>
        </w:tabs>
        <w:numPr>
          <w:ilvl w:val="0"/>
          <w:numId w:val="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completion of the development and/or transfer of advanced process technologies to be utilized in Fab 1 and in Fab 2, (vi) initial production difficulties we may experience in connection with the functionality of the equipment installed in Fab 2 during its early manufacturing period and (viii) conditions in the market for foundry manufacturing services and for semiconductor products generally. A more complete discussion of risks and uncertainties that may affect the accuracy of forward-looking statements included in this press release or which may otherwise affect our business is included under the heading "Risk Factors" in our most recent Annual Report on Form 20-F and Form F-3, as were filed with the Securities and Exchange Commission and the Israel Securities Authority.</w:t>
      </w:r>
    </w:p>
    <w:p>
      <w:pPr>
        <w:spacing w:after="0" w:line="79" w:lineRule="exact"/>
        <w:rPr>
          <w:rFonts w:ascii="Times New Roman" w:cs="Times New Roman" w:eastAsia="Times New Roman" w:hAnsi="Times New Roman"/>
          <w:sz w:val="18"/>
          <w:szCs w:val="18"/>
          <w:i w:val="1"/>
          <w:iCs w:val="1"/>
          <w:color w:val="auto"/>
        </w:rPr>
      </w:pPr>
    </w:p>
    <w:p>
      <w:pPr>
        <w:ind w:left="4060" w:hanging="126"/>
        <w:spacing w:after="0"/>
        <w:tabs>
          <w:tab w:leader="none" w:pos="406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8890" cy="857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890" cy="85725"/>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34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Investor Relations Contact</w:t>
            </w:r>
          </w:p>
        </w:tc>
        <w:tc>
          <w:tcPr>
            <w:tcW w:w="2700" w:type="dxa"/>
            <w:vAlign w:val="bottom"/>
          </w:tcPr>
          <w:p>
            <w:pPr>
              <w:ind w:left="380"/>
              <w:spacing w:after="0"/>
              <w:rPr>
                <w:sz w:val="20"/>
                <w:szCs w:val="20"/>
                <w:color w:val="auto"/>
              </w:rPr>
            </w:pPr>
            <w:r>
              <w:rPr>
                <w:rFonts w:ascii="Times New Roman" w:cs="Times New Roman" w:eastAsia="Times New Roman" w:hAnsi="Times New Roman"/>
                <w:sz w:val="16"/>
                <w:szCs w:val="16"/>
                <w:i w:val="1"/>
                <w:iCs w:val="1"/>
                <w:color w:val="auto"/>
              </w:rPr>
              <w:t>PR Agency Contact</w:t>
            </w:r>
          </w:p>
        </w:tc>
        <w:tc>
          <w:tcPr>
            <w:tcW w:w="526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Corporate Contact</w:t>
            </w:r>
          </w:p>
        </w:tc>
      </w:tr>
      <w:tr>
        <w:trPr>
          <w:trHeight w:val="243"/>
        </w:trPr>
        <w:tc>
          <w:tcPr>
            <w:tcW w:w="2340" w:type="dxa"/>
            <w:vAlign w:val="bottom"/>
          </w:tcPr>
          <w:p>
            <w:pPr>
              <w:spacing w:after="0"/>
              <w:rPr>
                <w:sz w:val="20"/>
                <w:szCs w:val="20"/>
                <w:color w:val="auto"/>
              </w:rPr>
            </w:pPr>
            <w:r>
              <w:rPr>
                <w:rFonts w:ascii="Times New Roman" w:cs="Times New Roman" w:eastAsia="Times New Roman" w:hAnsi="Times New Roman"/>
                <w:sz w:val="16"/>
                <w:szCs w:val="16"/>
                <w:color w:val="auto"/>
              </w:rPr>
              <w:t>Sheldon Lutch</w:t>
            </w:r>
          </w:p>
        </w:tc>
        <w:tc>
          <w:tcPr>
            <w:tcW w:w="27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Bruce Hokanson</w:t>
            </w:r>
          </w:p>
        </w:tc>
        <w:tc>
          <w:tcPr>
            <w:tcW w:w="526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Michael Axelrod</w:t>
            </w:r>
          </w:p>
        </w:tc>
      </w:tr>
      <w:tr>
        <w:trPr>
          <w:trHeight w:val="243"/>
        </w:trPr>
        <w:tc>
          <w:tcPr>
            <w:tcW w:w="2340" w:type="dxa"/>
            <w:vAlign w:val="bottom"/>
          </w:tcPr>
          <w:p>
            <w:pPr>
              <w:spacing w:after="0"/>
              <w:rPr>
                <w:sz w:val="20"/>
                <w:szCs w:val="20"/>
                <w:color w:val="auto"/>
              </w:rPr>
            </w:pPr>
            <w:r>
              <w:rPr>
                <w:rFonts w:ascii="Times New Roman" w:cs="Times New Roman" w:eastAsia="Times New Roman" w:hAnsi="Times New Roman"/>
                <w:sz w:val="16"/>
                <w:szCs w:val="16"/>
                <w:color w:val="auto"/>
              </w:rPr>
              <w:t>Fusion IR &amp; Communications</w:t>
            </w:r>
          </w:p>
        </w:tc>
        <w:tc>
          <w:tcPr>
            <w:tcW w:w="27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Loomis Group</w:t>
            </w:r>
          </w:p>
        </w:tc>
        <w:tc>
          <w:tcPr>
            <w:tcW w:w="526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Tower Semiconductor USA</w:t>
            </w:r>
          </w:p>
        </w:tc>
      </w:tr>
      <w:tr>
        <w:trPr>
          <w:trHeight w:val="243"/>
        </w:trPr>
        <w:tc>
          <w:tcPr>
            <w:tcW w:w="2340" w:type="dxa"/>
            <w:vAlign w:val="bottom"/>
          </w:tcPr>
          <w:p>
            <w:pPr>
              <w:spacing w:after="0"/>
              <w:rPr>
                <w:sz w:val="20"/>
                <w:szCs w:val="20"/>
                <w:color w:val="auto"/>
              </w:rPr>
            </w:pPr>
            <w:r>
              <w:rPr>
                <w:rFonts w:ascii="Times New Roman" w:cs="Times New Roman" w:eastAsia="Times New Roman" w:hAnsi="Times New Roman"/>
                <w:sz w:val="16"/>
                <w:szCs w:val="16"/>
                <w:color w:val="auto"/>
              </w:rPr>
              <w:t>+1 (212) 268 1816</w:t>
            </w:r>
          </w:p>
        </w:tc>
        <w:tc>
          <w:tcPr>
            <w:tcW w:w="27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+1 (360) 574 4000</w:t>
            </w:r>
          </w:p>
        </w:tc>
        <w:tc>
          <w:tcPr>
            <w:tcW w:w="526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+1 (408) 330 6871</w:t>
            </w:r>
          </w:p>
        </w:tc>
      </w:tr>
      <w:tr>
        <w:trPr>
          <w:trHeight w:val="243"/>
        </w:trPr>
        <w:tc>
          <w:tcPr>
            <w:tcW w:w="2340" w:type="dxa"/>
            <w:vAlign w:val="bottom"/>
          </w:tcPr>
          <w:p>
            <w:pPr>
              <w:spacing w:after="0"/>
              <w:rPr>
                <w:sz w:val="20"/>
                <w:szCs w:val="20"/>
                <w:color w:val="auto"/>
              </w:rPr>
            </w:pPr>
            <w:r>
              <w:rPr>
                <w:rFonts w:ascii="Times New Roman" w:cs="Times New Roman" w:eastAsia="Times New Roman" w:hAnsi="Times New Roman"/>
                <w:sz w:val="16"/>
                <w:szCs w:val="16"/>
                <w:color w:val="auto"/>
              </w:rPr>
              <w:t>sheldon@usionir.com</w:t>
            </w:r>
          </w:p>
        </w:tc>
        <w:tc>
          <w:tcPr>
            <w:tcW w:w="27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hokanson@loomisgroup.com</w:t>
            </w:r>
          </w:p>
        </w:tc>
        <w:tc>
          <w:tcPr>
            <w:tcW w:w="526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pr@towersemi.com</w:t>
            </w:r>
          </w:p>
        </w:tc>
      </w:tr>
      <w:tr>
        <w:trPr>
          <w:trHeight w:val="540"/>
        </w:trPr>
        <w:tc>
          <w:tcPr>
            <w:tcW w:w="2340" w:type="dxa"/>
            <w:vAlign w:val="bottom"/>
            <w:tcBorders>
              <w:bottom w:val="single" w:sz="8" w:color="9A9A9A"/>
            </w:tcBorders>
          </w:tcPr>
          <w:p>
            <w:pPr>
              <w:spacing w:after="0"/>
              <w:rPr>
                <w:sz w:val="24"/>
                <w:szCs w:val="24"/>
                <w:color w:val="auto"/>
              </w:rPr>
            </w:pPr>
          </w:p>
        </w:tc>
        <w:tc>
          <w:tcPr>
            <w:tcW w:w="2700" w:type="dxa"/>
            <w:vAlign w:val="bottom"/>
            <w:tcBorders>
              <w:bottom w:val="single" w:sz="8" w:color="9A9A9A"/>
            </w:tcBorders>
          </w:tcPr>
          <w:p>
            <w:pPr>
              <w:spacing w:after="0"/>
              <w:rPr>
                <w:sz w:val="24"/>
                <w:szCs w:val="24"/>
                <w:color w:val="auto"/>
              </w:rPr>
            </w:pPr>
          </w:p>
        </w:tc>
        <w:tc>
          <w:tcPr>
            <w:tcW w:w="5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6518910</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-1105535</wp:posOffset>
            </wp:positionV>
            <wp:extent cx="510286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102860" cy="8890"/>
                    </a:xfrm>
                    <a:prstGeom prst="rect">
                      <a:avLst/>
                    </a:prstGeom>
                    <a:noFill/>
                  </pic:spPr>
                </pic:pic>
              </a:graphicData>
            </a:graphic>
          </wp:anchor>
        </w:drawing>
        <w:drawing>
          <wp:anchor simplePos="0" relativeHeight="251657728" behindDoc="1" locked="0" layoutInCell="0" allowOverlap="1">
            <wp:simplePos x="0" y="0"/>
            <wp:positionH relativeFrom="column">
              <wp:posOffset>1660525</wp:posOffset>
            </wp:positionH>
            <wp:positionV relativeFrom="paragraph">
              <wp:posOffset>-1028700</wp:posOffset>
            </wp:positionV>
            <wp:extent cx="1714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3383915</wp:posOffset>
            </wp:positionH>
            <wp:positionV relativeFrom="paragraph">
              <wp:posOffset>-1028700</wp:posOffset>
            </wp:positionV>
            <wp:extent cx="1714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1660525</wp:posOffset>
            </wp:positionH>
            <wp:positionV relativeFrom="paragraph">
              <wp:posOffset>-874395</wp:posOffset>
            </wp:positionV>
            <wp:extent cx="1714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3383915</wp:posOffset>
            </wp:positionH>
            <wp:positionV relativeFrom="paragraph">
              <wp:posOffset>-874395</wp:posOffset>
            </wp:positionV>
            <wp:extent cx="1714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1660525</wp:posOffset>
            </wp:positionH>
            <wp:positionV relativeFrom="paragraph">
              <wp:posOffset>-719455</wp:posOffset>
            </wp:positionV>
            <wp:extent cx="1714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3383915</wp:posOffset>
            </wp:positionH>
            <wp:positionV relativeFrom="paragraph">
              <wp:posOffset>-719455</wp:posOffset>
            </wp:positionV>
            <wp:extent cx="1714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1660525</wp:posOffset>
            </wp:positionH>
            <wp:positionV relativeFrom="paragraph">
              <wp:posOffset>-565150</wp:posOffset>
            </wp:positionV>
            <wp:extent cx="1714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3383915</wp:posOffset>
            </wp:positionH>
            <wp:positionV relativeFrom="paragraph">
              <wp:posOffset>-565150</wp:posOffset>
            </wp:positionV>
            <wp:extent cx="1714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1660525</wp:posOffset>
            </wp:positionH>
            <wp:positionV relativeFrom="paragraph">
              <wp:posOffset>-410845</wp:posOffset>
            </wp:positionV>
            <wp:extent cx="1714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3383915</wp:posOffset>
            </wp:positionH>
            <wp:positionV relativeFrom="paragraph">
              <wp:posOffset>-410845</wp:posOffset>
            </wp:positionV>
            <wp:extent cx="1714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-325120</wp:posOffset>
            </wp:positionV>
            <wp:extent cx="8890" cy="8572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890" cy="85725"/>
                    </a:xfrm>
                    <a:prstGeom prst="rect">
                      <a:avLst/>
                    </a:prstGeom>
                    <a:noFill/>
                  </pic:spPr>
                </pic:pic>
              </a:graphicData>
            </a:graphic>
          </wp:anchor>
        </w:drawing>
      </w:r>
    </w:p>
    <w:sectPr>
      <w:pgSz w:w="11900" w:h="16838" w:orient="portrait"/>
      <w:cols w:equalWidth="0" w:num="1">
        <w:col w:w="10300"/>
      </w:cols>
      <w:pgMar w:left="240" w:top="121" w:right="1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Roman"/>
      <w:start w:val="5"/>
    </w:lvl>
    <w:lvl w:ilvl="1">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2019-12-14T03:38:29Z</dcterms:created>
  <dcterms:modified xsi:type="dcterms:W3CDTF">2019-12-14T03:38:29Z</dcterms:modified>
</cp:coreProperties>
</file>