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January 2020 No. 2</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ind w:left="900" w:right="819" w:hanging="62"/>
        <w:spacing w:after="0" w:line="366" w:lineRule="auto"/>
        <w:rPr>
          <w:sz w:val="20"/>
          <w:szCs w:val="20"/>
          <w:color w:val="auto"/>
        </w:rPr>
      </w:pPr>
      <w:r>
        <w:rPr>
          <w:rFonts w:ascii="Arial" w:cs="Arial" w:eastAsia="Arial" w:hAnsi="Arial"/>
          <w:sz w:val="22"/>
          <w:szCs w:val="22"/>
          <w:b w:val="1"/>
          <w:bCs w:val="1"/>
          <w:color w:val="auto"/>
        </w:rPr>
        <w:t>On January 23, 2020, the Registrant, Cadence, and Kyiv Polytechnic Institute (KPI) Announced the Opening of First Analog Design Lab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193675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7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Jan. 23,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732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369" w:right="499" w:bottom="1440" w:gutter="0" w:footer="0" w:header="0"/>
        </w:sectPr>
      </w:pPr>
    </w:p>
    <w:bookmarkStart w:id="3" w:name="page4"/>
    <w:bookmarkEnd w:id="3"/>
    <w:p>
      <w:pPr>
        <w:spacing w:after="0" w:line="3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1286510" cy="540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86510" cy="540385"/>
                    </a:xfrm>
                    <a:prstGeom prst="rect">
                      <a:avLst/>
                    </a:prstGeom>
                    <a:noFill/>
                  </pic:spPr>
                </pic:pic>
              </a:graphicData>
            </a:graphic>
          </wp:anchor>
        </w:drawing>
        <w:drawing>
          <wp:anchor simplePos="0" relativeHeight="251657728" behindDoc="1" locked="0" layoutInCell="0" allowOverlap="1">
            <wp:simplePos x="0" y="0"/>
            <wp:positionH relativeFrom="page">
              <wp:posOffset>3390900</wp:posOffset>
            </wp:positionH>
            <wp:positionV relativeFrom="page">
              <wp:posOffset>260350</wp:posOffset>
            </wp:positionV>
            <wp:extent cx="771525" cy="737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71525" cy="737235"/>
                    </a:xfrm>
                    <a:prstGeom prst="rect">
                      <a:avLst/>
                    </a:prstGeom>
                    <a:noFill/>
                  </pic:spPr>
                </pic:pic>
              </a:graphicData>
            </a:graphic>
          </wp:anchor>
        </w:drawing>
        <w:drawing>
          <wp:anchor simplePos="0" relativeHeight="251657728" behindDoc="1" locked="0" layoutInCell="0" allowOverlap="1">
            <wp:simplePos x="0" y="0"/>
            <wp:positionH relativeFrom="page">
              <wp:posOffset>5748655</wp:posOffset>
            </wp:positionH>
            <wp:positionV relativeFrom="page">
              <wp:posOffset>457835</wp:posOffset>
            </wp:positionV>
            <wp:extent cx="1655445" cy="334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55445" cy="334645"/>
                    </a:xfrm>
                    <a:prstGeom prst="rect">
                      <a:avLst/>
                    </a:prstGeom>
                    <a:noFill/>
                  </pic:spPr>
                </pic:pic>
              </a:graphicData>
            </a:graphic>
          </wp:anchor>
        </w:drawing>
      </w:r>
    </w:p>
    <w:p>
      <w:pPr>
        <w:spacing w:after="0"/>
        <w:tabs>
          <w:tab w:leader="none" w:pos="900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TowerJazz, Cadence, and Kyiv Polytechnic Institute (KPI) to Open First Analog Design Lab</w:t>
      </w:r>
    </w:p>
    <w:p>
      <w:pPr>
        <w:spacing w:after="0" w:line="295" w:lineRule="exact"/>
        <w:rPr>
          <w:sz w:val="20"/>
          <w:szCs w:val="20"/>
          <w:color w:val="auto"/>
        </w:rPr>
      </w:pPr>
    </w:p>
    <w:p>
      <w:pPr>
        <w:ind w:left="5040" w:right="180" w:hanging="4849"/>
        <w:spacing w:after="0" w:line="258" w:lineRule="auto"/>
        <w:rPr>
          <w:sz w:val="20"/>
          <w:szCs w:val="20"/>
          <w:color w:val="auto"/>
        </w:rPr>
      </w:pPr>
      <w:r>
        <w:rPr>
          <w:rFonts w:ascii="Arial" w:cs="Arial" w:eastAsia="Arial" w:hAnsi="Arial"/>
          <w:sz w:val="22"/>
          <w:szCs w:val="22"/>
          <w:b w:val="1"/>
          <w:bCs w:val="1"/>
          <w:i w:val="1"/>
          <w:iCs w:val="1"/>
          <w:color w:val="auto"/>
        </w:rPr>
        <w:t>The first-of-its-kind lab and corresponding program will provide unparalleled access to tools and expertise in IC design, and will enable to train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next generation of analog electrical engineering experts</w:t>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Kyiv, UA, and San Jose, CA, January 23, 2020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TowerJazz (NASDAQ/TASE: TSEM)</w:t>
      </w:r>
      <w:r>
        <w:rPr>
          <w:rFonts w:ascii="Arial" w:cs="Arial" w:eastAsia="Arial" w:hAnsi="Arial"/>
          <w:sz w:val="22"/>
          <w:szCs w:val="22"/>
          <w:color w:val="auto"/>
        </w:rPr>
        <w: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global specialty foundry leader, Igor Sikorsky </w:t>
      </w:r>
      <w:r>
        <w:rPr>
          <w:rFonts w:ascii="Arial" w:cs="Arial" w:eastAsia="Arial" w:hAnsi="Arial"/>
          <w:sz w:val="22"/>
          <w:szCs w:val="22"/>
          <w:u w:val="single" w:color="auto"/>
          <w:color w:val="auto"/>
        </w:rPr>
        <w:t>Kyiv Polytechnic Institute</w:t>
      </w:r>
      <w:r>
        <w:rPr>
          <w:rFonts w:ascii="Arial" w:cs="Arial" w:eastAsia="Arial" w:hAnsi="Arial"/>
          <w:sz w:val="22"/>
          <w:szCs w:val="22"/>
          <w:color w:val="auto"/>
        </w:rPr>
        <w:t xml:space="preserve"> (KPI), the national technical university of Ukraine, and </w:t>
      </w:r>
      <w:r>
        <w:rPr>
          <w:rFonts w:ascii="Arial" w:cs="Arial" w:eastAsia="Arial" w:hAnsi="Arial"/>
          <w:sz w:val="22"/>
          <w:szCs w:val="22"/>
          <w:u w:val="single" w:color="auto"/>
          <w:color w:val="auto"/>
        </w:rPr>
        <w:t>Cadence Design Systems,</w:t>
      </w:r>
      <w:r>
        <w:rPr>
          <w:rFonts w:ascii="Arial" w:cs="Arial" w:eastAsia="Arial" w:hAnsi="Arial"/>
          <w:sz w:val="22"/>
          <w:szCs w:val="22"/>
          <w:color w:val="auto"/>
        </w:rPr>
        <w:t xml:space="preserve"> Inc. (NASDAQ: CDNS), today announced a collaboration to open a new analog circuit design lab in Ukraine. The first-of-its-kind lab and corresponding program was formed to provide designers and high-level engineering students with unparalleled access to tools and expertise in IC design.</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lab, at the prestigious KPI University, is equipped with advanced hardware and software design tools, providing the most up-to-date setting for analog circuit designers. The collaboration between the three parties sets the grounds for the next generation of analog electrical engineering experts to perfect their skills. In addition, students gain exclusive direct access to TowerJazz’s analog process as reflected in the company’s PDK, allowing hands-on practical experience with silicon manufacturing. TowerJazz plans to sponsor and allow select students to run post-silicon projects, exposing them to a full-circle experience of the design-to-product process.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are very excited to announce the availability of this exclusive program to our students. Our collaboration with TowerJazz and Cadence allows us to enhance our academic portfolio in analog design techniques.” said Mykhaylo Zgurovsky, Rector of the National Technical University of Ukraine ‘Igor Sikorsky Kyiv Polytechnic Institute’. “We believe this activity will cultivate a profound VLSI community in Ukraine. The hardware and software of this lab will enable our higher degree students and teachers to obtain Cadence certificates in the modern analog design system.”</w:t>
      </w:r>
    </w:p>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This initiative opens up new possibilities for all levels of trainings from B.A.s, M.A.s, and up to Ph.Ds, at KPI’s Faculty of Electronics. By providing targeted training and allowing realization of academic studies projects, this program involves Igor Sikorsky KPI students in joint research projects with industry players.</w:t>
      </w:r>
    </w:p>
    <w:p>
      <w:pPr>
        <w:spacing w:after="0" w:line="239"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“We are very excited to announce our distinctive collaboration with KPI and Cadence and to be setting new grounds for design expertise. Enabling access to our state-of-the-art design enablement kits, along with Cadence leading software tools and the KPI team of experts, we can effectively train a new generation of analog designers,” said Ori Galzur, Vice President of VLSI Design Center and Design Enablement, TowerJazz. “By becoming familiar with TowerJazz’s analog PDK and process, program graduates can potentially have a gateway to joining our dedicated and experienced worldwide design enablement team.”</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“Cadence is committed to supporting academic institutions, and our work with TowerJazz and KPI is geared toward developing a lab for practical, high-level design academic studies,” said Yoon Kim, Vice President of Business Development, Head of Cadence Academic Network. “Our technology and expertise, together with the TowerJazz PDK, provide students with a modern analog academic foundation and advanced tools needed to achieve system-on-chip design excellence so these future engineers can hone the necessary skills required to succeed after graduation.”</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Grand opening ceremony will take place January 30, 2020, at the KPI campus and will feature sessions by executives from all parties.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details regarding the event, please email TowerJazz media contact: </w:t>
      </w:r>
      <w:r>
        <w:rPr>
          <w:rFonts w:ascii="Arial" w:cs="Arial" w:eastAsia="Arial" w:hAnsi="Arial"/>
          <w:sz w:val="22"/>
          <w:szCs w:val="22"/>
          <w:u w:val="single" w:color="auto"/>
          <w:color w:val="auto"/>
        </w:rPr>
        <w:t>oritsha@towersemi.com.</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information about TowerJazz’s technology, please click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information about KPI University, please click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additional information about Cadence, please click </w:t>
      </w:r>
      <w:r>
        <w:rPr>
          <w:rFonts w:ascii="Arial" w:cs="Arial" w:eastAsia="Arial" w:hAnsi="Arial"/>
          <w:sz w:val="22"/>
          <w:szCs w:val="22"/>
          <w:u w:val="single" w:color="auto"/>
          <w:color w:val="auto"/>
        </w:rPr>
        <w:t>here</w:t>
      </w:r>
      <w:r>
        <w:rPr>
          <w:rFonts w:ascii="Arial" w:cs="Arial" w:eastAsia="Arial" w:hAnsi="Arial"/>
          <w:sz w:val="22"/>
          <w:szCs w:val="22"/>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Cadence</w:t>
      </w:r>
    </w:p>
    <w:p>
      <w:pPr>
        <w:spacing w:after="0" w:line="28" w:lineRule="exact"/>
        <w:rPr>
          <w:sz w:val="20"/>
          <w:szCs w:val="20"/>
          <w:color w:val="auto"/>
        </w:rPr>
      </w:pPr>
    </w:p>
    <w:p>
      <w:pPr>
        <w:ind w:right="220"/>
        <w:spacing w:after="0" w:line="325" w:lineRule="auto"/>
        <w:rPr>
          <w:sz w:val="20"/>
          <w:szCs w:val="20"/>
          <w:color w:val="auto"/>
        </w:rPr>
      </w:pPr>
      <w:r>
        <w:rPr>
          <w:rFonts w:ascii="Arial" w:cs="Arial" w:eastAsia="Arial" w:hAnsi="Arial"/>
          <w:sz w:val="19"/>
          <w:szCs w:val="19"/>
          <w:color w:val="auto"/>
        </w:rPr>
        <w:t>Cadence enables electronic systems and semiconductor companies to create the innovative end products that are transforming the way people live, work and play. Cadence software, hardware and semiconductor IP are used by customers to deliver products to market faster. The company’s Intelligent System Design strategy helps customers develop differentiated products—from chips to</w:t>
      </w:r>
    </w:p>
    <w:p>
      <w:pPr>
        <w:sectPr>
          <w:pgSz w:w="11900" w:h="16877" w:orient="portrait"/>
          <w:cols w:equalWidth="0" w:num="1">
            <w:col w:w="11420"/>
          </w:cols>
          <w:pgMar w:left="240" w:top="1440" w:right="239" w:bottom="0" w:gutter="0" w:footer="0" w:header="0"/>
        </w:sectPr>
      </w:pPr>
    </w:p>
    <w:bookmarkStart w:id="4" w:name="page5"/>
    <w:bookmarkEnd w:id="4"/>
    <w:p>
      <w:pPr>
        <w:ind w:right="460"/>
        <w:spacing w:after="0" w:line="358" w:lineRule="auto"/>
        <w:rPr>
          <w:sz w:val="20"/>
          <w:szCs w:val="20"/>
          <w:color w:val="auto"/>
        </w:rPr>
      </w:pPr>
      <w:r>
        <w:rPr>
          <w:rFonts w:ascii="Arial" w:cs="Arial" w:eastAsia="Arial" w:hAnsi="Arial"/>
          <w:sz w:val="19"/>
          <w:szCs w:val="19"/>
          <w:color w:val="auto"/>
        </w:rPr>
        <w:t xml:space="preserve">boards to intelligent systems—in mobile, consumer, cloud, data center, automotive, aerospace, IoT, industrial and other market segments. Cadence is listed as one of Fortune Magazine's 100 Best Companies to Work For. Learn more at </w:t>
      </w:r>
      <w:r>
        <w:rPr>
          <w:rFonts w:ascii="Arial" w:cs="Arial" w:eastAsia="Arial" w:hAnsi="Arial"/>
          <w:sz w:val="19"/>
          <w:szCs w:val="19"/>
          <w:u w:val="single" w:color="auto"/>
          <w:color w:val="auto"/>
        </w:rPr>
        <w:t>cadence.com</w:t>
      </w:r>
      <w:r>
        <w:rPr>
          <w:rFonts w:ascii="Arial" w:cs="Arial" w:eastAsia="Arial" w:hAnsi="Arial"/>
          <w:sz w:val="19"/>
          <w:szCs w:val="19"/>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KPI</w:t>
      </w:r>
    </w:p>
    <w:p>
      <w:pPr>
        <w:spacing w:after="0" w:line="2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Igor Sikorsky Kyiv Polytechnic Institute is one of biggest educational establishments in Europe. It trains 25 thousand of students, postgraduates; doctorates as well as foreign student from neighbouring and far abroad countries. Every sixth student of Kyiv city is obtaining the education in KPI and every 25th professor and associate professor of Ukraine is a fellow worker of KPI, among all technical higher educational establishments of our country, every fifth faculty and chair is the faculty of chair of KPI.University has 19 faculties, 9 educational and scientific institutes, several scientific and research institutes and educational centers. It trains Bachelors, Specialists and Masters, PhD and Doctors of Science. The university has its own publishing house “Polytechnika”. It employs more than 500 professors and over 1300 associate professors. For more information, please visit </w:t>
      </w:r>
      <w:r>
        <w:rPr>
          <w:rFonts w:ascii="Arial" w:cs="Arial" w:eastAsia="Arial" w:hAnsi="Arial"/>
          <w:sz w:val="19"/>
          <w:szCs w:val="19"/>
          <w:u w:val="single" w:color="auto"/>
          <w:color w:val="auto"/>
        </w:rPr>
        <w:t>https://kpi.ua/en</w:t>
      </w:r>
      <w:r>
        <w:rPr>
          <w:rFonts w:ascii="Arial" w:cs="Arial" w:eastAsia="Arial" w:hAnsi="Arial"/>
          <w:sz w:val="19"/>
          <w:szCs w:val="19"/>
          <w:color w:val="auto"/>
        </w:rPr>
        <w:t xml:space="preserve">. The lab is located in Electronics Faculty which consists of 7 departments and 3 interdepartmental laboratories. The faculty has about 1500 students, more than 100 of them are foreigners. The teaching staff consists of 185 people, among them are 2 academicians of National Academy of Sciences, 2 corresponding members of National Academy of Sciences, 33 professors and 95 associate professors. For more information, please visit </w:t>
      </w:r>
      <w:r>
        <w:rPr>
          <w:rFonts w:ascii="Arial" w:cs="Arial" w:eastAsia="Arial" w:hAnsi="Arial"/>
          <w:sz w:val="19"/>
          <w:szCs w:val="19"/>
          <w:u w:val="single" w:color="auto"/>
          <w:color w:val="auto"/>
        </w:rPr>
        <w:t>https://fel.kpi.ua/about-the-faculty/</w:t>
      </w:r>
      <w:r>
        <w:rPr>
          <w:rFonts w:ascii="Arial" w:cs="Arial" w:eastAsia="Arial" w:hAnsi="Arial"/>
          <w:sz w:val="19"/>
          <w:szCs w:val="19"/>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21"/>
          <w:szCs w:val="21"/>
          <w:u w:val="single" w:color="auto"/>
          <w:color w:val="auto"/>
        </w:rPr>
        <w:t>www.towerjazz.com</w:t>
      </w:r>
      <w:r>
        <w:rPr>
          <w:rFonts w:ascii="Arial" w:cs="Arial" w:eastAsia="Arial" w:hAnsi="Arial"/>
          <w:sz w:val="21"/>
          <w:szCs w:val="21"/>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Regarding Forward-Looking Statements</w:t>
      </w:r>
    </w:p>
    <w:p>
      <w:pPr>
        <w:spacing w:after="0" w:line="28"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3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KPI Company Contact: </w:t>
      </w:r>
      <w:r>
        <w:rPr>
          <w:rFonts w:ascii="Arial" w:cs="Arial" w:eastAsia="Arial" w:hAnsi="Arial"/>
          <w:sz w:val="22"/>
          <w:szCs w:val="22"/>
          <w:color w:val="auto"/>
        </w:rPr>
        <w:t>Victor Kazmirenko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vk@phbme.kpi.ua</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TowerJazz Company Contact: </w:t>
      </w:r>
      <w:r>
        <w:rPr>
          <w:rFonts w:ascii="Arial" w:cs="Arial" w:eastAsia="Arial" w:hAnsi="Arial"/>
          <w:sz w:val="22"/>
          <w:szCs w:val="22"/>
          <w:color w:val="auto"/>
        </w:rPr>
        <w:t>Orit Shahar | +972-74-7377440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oritsha@towersemi.com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TowerJazz Investor Relations Contact: </w:t>
      </w:r>
      <w:r>
        <w:rPr>
          <w:rFonts w:ascii="Arial" w:cs="Arial" w:eastAsia="Arial" w:hAnsi="Arial"/>
          <w:sz w:val="22"/>
          <w:szCs w:val="22"/>
          <w:color w:val="auto"/>
        </w:rPr>
        <w:t>Noit Levi | +972-4-604-7066 |</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2020-01-23T05:05:19Z</dcterms:created>
  <dcterms:modified xsi:type="dcterms:W3CDTF">2020-01-23T05:05:19Z</dcterms:modified>
</cp:coreProperties>
</file>