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As filed with the Securities and Exchange Commission on December 14 , 2005</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333-126909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6"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6</w:t>
      </w:r>
    </w:p>
    <w:p>
      <w:pPr>
        <w:spacing w:after="0" w:line="2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ON FORM F-1</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640"/>
        <w:spacing w:after="0"/>
        <w:tabs>
          <w:tab w:leader="none" w:pos="7980" w:val="left"/>
        </w:tabs>
        <w:rPr>
          <w:sz w:val="20"/>
          <w:szCs w:val="20"/>
          <w:color w:val="auto"/>
        </w:rPr>
      </w:pPr>
      <w:r>
        <w:rPr>
          <w:rFonts w:ascii="Arial" w:cs="Arial" w:eastAsia="Arial" w:hAnsi="Arial"/>
          <w:sz w:val="18"/>
          <w:szCs w:val="18"/>
          <w:b w:val="1"/>
          <w:bCs w:val="1"/>
          <w:color w:val="auto"/>
        </w:rPr>
        <w:t>Israel</w:t>
      </w:r>
      <w:r>
        <w:rPr>
          <w:sz w:val="20"/>
          <w:szCs w:val="20"/>
          <w:color w:val="auto"/>
        </w:rPr>
        <w:tab/>
      </w: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760"/>
        <w:spacing w:after="0"/>
        <w:tabs>
          <w:tab w:leader="none" w:pos="728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No.)</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Copies of all Correspondence to:</w:t>
            </w:r>
          </w:p>
        </w:tc>
      </w:tr>
      <w:tr>
        <w:trPr>
          <w:trHeight w:val="216"/>
        </w:trPr>
        <w:tc>
          <w:tcPr>
            <w:tcW w:w="2520" w:type="dxa"/>
            <w:vAlign w:val="bottom"/>
          </w:tcPr>
          <w:p>
            <w:pPr>
              <w:jc w:val="center"/>
              <w:ind w:right="192"/>
              <w:spacing w:after="0"/>
              <w:rPr>
                <w:sz w:val="20"/>
                <w:szCs w:val="20"/>
                <w:color w:val="auto"/>
              </w:rPr>
            </w:pPr>
            <w:r>
              <w:rPr>
                <w:rFonts w:ascii="Arial" w:cs="Arial" w:eastAsia="Arial" w:hAnsi="Arial"/>
                <w:sz w:val="18"/>
                <w:szCs w:val="18"/>
                <w:b w:val="1"/>
                <w:bCs w:val="1"/>
                <w:color w:val="auto"/>
                <w:w w:val="96"/>
              </w:rPr>
              <w:t>DAVID H. SCHAPIRO, ESQ.</w:t>
            </w:r>
          </w:p>
        </w:tc>
        <w:tc>
          <w:tcPr>
            <w:tcW w:w="5360" w:type="dxa"/>
            <w:vAlign w:val="bottom"/>
          </w:tcPr>
          <w:p>
            <w:pPr>
              <w:jc w:val="center"/>
              <w:ind w:left="3172"/>
              <w:spacing w:after="0"/>
              <w:rPr>
                <w:sz w:val="20"/>
                <w:szCs w:val="20"/>
                <w:color w:val="auto"/>
              </w:rPr>
            </w:pPr>
            <w:r>
              <w:rPr>
                <w:rFonts w:ascii="Arial" w:cs="Arial" w:eastAsia="Arial" w:hAnsi="Arial"/>
                <w:sz w:val="18"/>
                <w:szCs w:val="18"/>
                <w:b w:val="1"/>
                <w:bCs w:val="1"/>
                <w:color w:val="auto"/>
                <w:w w:val="94"/>
              </w:rPr>
              <w:t>SHELDON KRAUSE, ESQ.</w:t>
            </w:r>
          </w:p>
        </w:tc>
      </w:tr>
      <w:tr>
        <w:trPr>
          <w:trHeight w:val="223"/>
        </w:trPr>
        <w:tc>
          <w:tcPr>
            <w:tcW w:w="2520" w:type="dxa"/>
            <w:vAlign w:val="bottom"/>
          </w:tcPr>
          <w:p>
            <w:pPr>
              <w:jc w:val="center"/>
              <w:ind w:right="192"/>
              <w:spacing w:after="0"/>
              <w:rPr>
                <w:sz w:val="20"/>
                <w:szCs w:val="20"/>
                <w:color w:val="auto"/>
              </w:rPr>
            </w:pPr>
            <w:r>
              <w:rPr>
                <w:rFonts w:ascii="Arial" w:cs="Arial" w:eastAsia="Arial" w:hAnsi="Arial"/>
                <w:sz w:val="18"/>
                <w:szCs w:val="18"/>
                <w:b w:val="1"/>
                <w:bCs w:val="1"/>
                <w:color w:val="auto"/>
                <w:w w:val="97"/>
              </w:rPr>
              <w:t>ARI FRIED, ESQ.</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90"/>
              </w:rPr>
              <w:t>Eilenberg &amp; Krause LLP</w:t>
            </w:r>
          </w:p>
        </w:tc>
      </w:tr>
      <w:tr>
        <w:trPr>
          <w:trHeight w:val="255"/>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93"/>
              </w:rPr>
              <w:t>Yigal Arnon &amp; Co.</w:t>
            </w:r>
          </w:p>
        </w:tc>
        <w:tc>
          <w:tcPr>
            <w:tcW w:w="5360" w:type="dxa"/>
            <w:vAlign w:val="bottom"/>
          </w:tcPr>
          <w:p>
            <w:pPr>
              <w:jc w:val="center"/>
              <w:ind w:left="3172"/>
              <w:spacing w:after="0" w:line="255"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r>
      <w:tr>
        <w:trPr>
          <w:trHeight w:val="216"/>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92"/>
              </w:rPr>
              <w:t>1 Azrieli Center</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91"/>
              </w:rPr>
              <w:t>New York, NY 10017</w:t>
            </w:r>
          </w:p>
        </w:tc>
      </w:tr>
      <w:tr>
        <w:trPr>
          <w:trHeight w:val="216"/>
        </w:trPr>
        <w:tc>
          <w:tcPr>
            <w:tcW w:w="2520" w:type="dxa"/>
            <w:vAlign w:val="bottom"/>
          </w:tcPr>
          <w:p>
            <w:pPr>
              <w:jc w:val="center"/>
              <w:ind w:right="192"/>
              <w:spacing w:after="0"/>
              <w:rPr>
                <w:sz w:val="20"/>
                <w:szCs w:val="20"/>
                <w:color w:val="auto"/>
              </w:rPr>
            </w:pPr>
            <w:r>
              <w:rPr>
                <w:rFonts w:ascii="Arial" w:cs="Arial" w:eastAsia="Arial" w:hAnsi="Arial"/>
                <w:sz w:val="18"/>
                <w:szCs w:val="18"/>
                <w:color w:val="auto"/>
                <w:w w:val="90"/>
              </w:rPr>
              <w:t>Tel Aviv, 67021 Israel</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88"/>
              </w:rPr>
              <w:t>Tel: 212-986-9700</w:t>
            </w:r>
          </w:p>
        </w:tc>
      </w:tr>
      <w:tr>
        <w:trPr>
          <w:trHeight w:val="222"/>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89"/>
              </w:rPr>
              <w:t>Tel: 972-3-608-7856</w:t>
            </w:r>
          </w:p>
        </w:tc>
        <w:tc>
          <w:tcPr>
            <w:tcW w:w="5360" w:type="dxa"/>
            <w:vAlign w:val="bottom"/>
          </w:tcPr>
          <w:p>
            <w:pPr>
              <w:spacing w:after="0"/>
              <w:rPr>
                <w:sz w:val="19"/>
                <w:szCs w:val="19"/>
                <w:color w:val="auto"/>
              </w:rPr>
            </w:pPr>
          </w:p>
        </w:tc>
      </w:tr>
    </w:tbl>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w:t>
      </w:r>
      <w:r>
        <w:rPr>
          <w:rFonts w:ascii="Arial" w:cs="Arial" w:eastAsia="Arial" w:hAnsi="Arial"/>
          <w:sz w:val="18"/>
          <w:szCs w:val="18"/>
          <w:b w:val="1"/>
          <w:bCs w:val="1"/>
          <w:color w:val="auto"/>
        </w:rPr>
        <w:t>:</w:t>
      </w:r>
      <w:r>
        <w:rPr>
          <w:rFonts w:ascii="Arial" w:cs="Arial" w:eastAsia="Arial" w:hAnsi="Arial"/>
          <w:sz w:val="18"/>
          <w:szCs w:val="18"/>
          <w:color w:val="auto"/>
        </w:rPr>
        <w:t xml:space="preserve"> From time to time after the effective date of this registration statement.</w:t>
      </w:r>
    </w:p>
    <w:p>
      <w:pPr>
        <w:spacing w:after="0" w:line="231"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174"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68" w:lineRule="exact"/>
        <w:rPr>
          <w:sz w:val="24"/>
          <w:szCs w:val="24"/>
          <w:color w:val="auto"/>
        </w:rPr>
      </w:pPr>
    </w:p>
    <w:p>
      <w:pPr>
        <w:ind w:right="6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EXPLANATORY NOTE</w:t>
      </w:r>
    </w:p>
    <w:p>
      <w:pPr>
        <w:spacing w:after="0" w:line="225" w:lineRule="exact"/>
        <w:rPr>
          <w:sz w:val="24"/>
          <w:szCs w:val="24"/>
          <w:color w:val="auto"/>
        </w:rPr>
      </w:pPr>
    </w:p>
    <w:p>
      <w:pPr>
        <w:ind w:right="200"/>
        <w:spacing w:after="0" w:line="256" w:lineRule="auto"/>
        <w:rPr>
          <w:sz w:val="20"/>
          <w:szCs w:val="20"/>
          <w:color w:val="auto"/>
        </w:rPr>
      </w:pPr>
      <w:r>
        <w:rPr>
          <w:rFonts w:ascii="Arial" w:cs="Arial" w:eastAsia="Arial" w:hAnsi="Arial"/>
          <w:sz w:val="18"/>
          <w:szCs w:val="18"/>
          <w:color w:val="auto"/>
        </w:rPr>
        <w:t>The prospectus included in this Amendment No. 6 to the Registration Statement is the form of prospectus which the Registrant intends to use after the Registration Statement has been declared effective by the Securities and Exchange Commission and any required permits have been issued by the Israeli Securities Authority. This prospectus will not be used in connection with the offer or sale of any security until such declaration has been made and such permits have been issued.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0" w:gutter="0" w:footer="0" w:header="0"/>
        </w:sectPr>
      </w:pP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PROSPECTUS</w:t>
      </w:r>
    </w:p>
    <w:p>
      <w:pPr>
        <w:sectPr>
          <w:pgSz w:w="11900" w:h="16838" w:orient="portrait"/>
          <w:cols w:equalWidth="0" w:num="1">
            <w:col w:w="11420"/>
          </w:cols>
          <w:pgMar w:left="240" w:top="314"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2927350</wp:posOffset>
            </wp:positionH>
            <wp:positionV relativeFrom="page">
              <wp:posOffset>88900</wp:posOffset>
            </wp:positionV>
            <wp:extent cx="1715135"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5135" cy="565785"/>
                    </a:xfrm>
                    <a:prstGeom prst="rect">
                      <a:avLst/>
                    </a:prstGeom>
                    <a:noFill/>
                  </pic:spPr>
                </pic:pic>
              </a:graphicData>
            </a:graphic>
          </wp:anchor>
        </w:drawing>
        <w:t>DISTRIBUTION OF RIGHTS TO PURCHASE DEBENTURES CONVERTIBLE INTO ORDINARY SHARES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are distributing transferable rights to purchase up to $50 million of U.S. dollar denominated debentures that are convertible into up to 45,454,545 of our ordinary shares to those persons that, as of 5:00 p.m., New York City time (midnight, Israel time) on the record date of December 20 , 2005 were either shareholders of our company or eligible employees holding options to purchase our ordinary shares under our share option plans that entitle option holders to participate in a rights offering. You will receive one right for each 138.98 ordinary shares and/or eligible employee options that you hold on the record date. If you hold 138 or fewer ordinary shares and/or eligible options on the record date, you will not receive any rights. Your rights will be aggregated for all the shares (and/or eligible employee options, as the case may be) that you own on the record date and then rounded down to the nearest whole number, so that you will not receive fractional rights. For example, if you own 139 shares on the record date, you will receive one right, and if you own 100,000 shares on the record date, you will receive 719 rights. Each right will entitle you to purchase, at a subscription price of $100.00, 100 U.S. dollar denominated debentures. The debentures will be convertible into our ordinary shares at a rate of one ordinary share per $ 1.10 aggregate principal amount of debentures. Each debenture is of $1.00 in principal amount, and bears annual interest at the rate of 5%. Principal, together with accrued interest, is payable in one installment on January 12 , 201 2 . The rights are exercisable during a 23-day period, beginning after 5:00 p.m., New York City time (midnight, Israel time) on December 20 , 2005 (the record date) and ending on January 12 , 200 6 at 5:00 p.m., New York City time (midnight, Israel time)</w:t>
      </w:r>
    </w:p>
    <w:p>
      <w:pPr>
        <w:spacing w:after="0" w:line="178"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payment of the principal of and interest on the debentures is subordinated to the prior payment of all amounts payable by us to Bank Hapoalim B.M. and Bank Leumi Le-Israel Ltd. under our credit facility agreement with them. The debentures are also effectively subordinated to amounts which we might owe to the Investment Center of the Israeli Ministry of Industry, Trade and Labor and to Siliconix Technology C.V., one of our customers.</w:t>
      </w:r>
    </w:p>
    <w:p>
      <w:pPr>
        <w:spacing w:after="0" w:line="16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Commencing on the first trading day on the Tel Aviv Stock Exchange after the date on which the debentures are listed for trading on the Tel Aviv Stock Exchange and until December 27 , 2011, the debentures are convertible into our ordinary shares at a conversion price of one ordinary share per $ 1.10 aggregate principal amount of debentures. The conversion price is subject to adjustment and the debentures will be subject to mandatory redemption by us in certain circumstances. For a detailed description of the debentures, see “Description of the Debentures.”</w:t>
      </w:r>
    </w:p>
    <w:p>
      <w:pPr>
        <w:spacing w:after="0" w:line="167"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Four of our major shareholders – Israel Corp., SanDisk Corporation, Alliance Semiconductor Corporation and Macronix International Co. Ltd. – have committed and are obligated to purchase an aggregate of $25.5 million of the $50 million principal amount of convertible debentures issuable upon exercise of the rights being distributed. The rights to be distributed to these major shareholders and to Quicklogic Corporation, the convertible debentures issuable upon exercise of such rights and our ordinary shares issuable upon the conversion of such debentures are not covered by the registration statement filed with the Securities and Exchange Commission of which this prospectus is a part, and are being issued in transactions pursuant to an exemption from the registration requirements of the Securities Act of 1933. These securities will be restricted securities and will not be transferable absent registration or an applicable exemption. We have agreed to register the resale of such securities by these major shareholders following the effective date of the registration statement of which this prospectus is a part.</w:t>
      </w:r>
    </w:p>
    <w:p>
      <w:pPr>
        <w:spacing w:after="0" w:line="172"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ordinary shares trade on the NASDAQ National Market under the symbol “TSEM” and on the Tel Aviv Stock Exchange in Israel under the symbol “TSEM.” The debentures will be listed on the NASDAQ Capital Market under the symbol “TSEMG” and the Tel Aviv Stock Exchange under the symbol “TSEM.C2” and may be identified on the Tel Aviv Stock Exchange as Debentures (Series B). On December 13 , 2005, the last reported sale price of our ordinary shares on the NASDAQ National Market was $1. 57 per share and on the Tel Aviv Stock Exchange was NIS 7.32 per share.</w:t>
      </w:r>
    </w:p>
    <w:p>
      <w:pPr>
        <w:spacing w:after="0" w:line="16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rights are transferable and will be listed for trading for a single day on the NASDAQ Capital Market under the symbol “TSEMR” and on the Tel Aviv Stock Exchange under the symbol “TSEM.R2". The trading day will be January 9 , 200 6 . If you hold your rights through an Israeli brokerage company that holds the rights through the nominee company of the Tel Aviv Stock Exchange, you will be considered to have instructed your broker to sell all your rights on the Tel Aviv Stock Exchange with no price limit, if you fail to give your broker instructions regarding the exercise, non-exercise or sale of the rights prior to January 9 , 200 6 .</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offering is not secured by an underwriting commitment.</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beginning on page 9 .</w:t>
      </w:r>
    </w:p>
    <w:p>
      <w:pPr>
        <w:spacing w:after="0" w:line="225" w:lineRule="exact"/>
        <w:rPr>
          <w:sz w:val="20"/>
          <w:szCs w:val="20"/>
          <w:color w:val="auto"/>
        </w:rPr>
      </w:pPr>
    </w:p>
    <w:p>
      <w:pPr>
        <w:jc w:val="both"/>
        <w:ind w:right="58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3"/>
          </w:tcPr>
          <w:p>
            <w:pPr>
              <w:ind w:left="240"/>
              <w:spacing w:after="0"/>
              <w:rPr>
                <w:sz w:val="20"/>
                <w:szCs w:val="20"/>
                <w:color w:val="auto"/>
              </w:rPr>
            </w:pPr>
            <w:r>
              <w:rPr>
                <w:rFonts w:ascii="Arial" w:cs="Arial" w:eastAsia="Arial" w:hAnsi="Arial"/>
                <w:sz w:val="18"/>
                <w:szCs w:val="18"/>
                <w:color w:val="auto"/>
                <w:w w:val="88"/>
              </w:rPr>
              <w:t>The date of this prospectus is</w:t>
            </w:r>
          </w:p>
        </w:tc>
        <w:tc>
          <w:tcPr>
            <w:tcW w:w="5400" w:type="dxa"/>
            <w:vAlign w:val="bottom"/>
            <w:gridSpan w:val="2"/>
          </w:tcPr>
          <w:p>
            <w:pPr>
              <w:jc w:val="right"/>
              <w:ind w:right="3900"/>
              <w:spacing w:after="0"/>
              <w:rPr>
                <w:sz w:val="20"/>
                <w:szCs w:val="20"/>
                <w:color w:val="auto"/>
              </w:rPr>
            </w:pPr>
            <w:r>
              <w:rPr>
                <w:rFonts w:ascii="Arial" w:cs="Arial" w:eastAsia="Arial" w:hAnsi="Arial"/>
                <w:sz w:val="18"/>
                <w:szCs w:val="18"/>
                <w:color w:val="auto"/>
                <w:w w:val="90"/>
              </w:rPr>
              <w:t>December 15 , 2005</w:t>
            </w:r>
          </w:p>
        </w:tc>
      </w:tr>
      <w:tr>
        <w:trPr>
          <w:trHeight w:val="174"/>
        </w:trPr>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60" w:type="dxa"/>
            <w:vAlign w:val="bottom"/>
            <w:gridSpan w:val="2"/>
          </w:tcPr>
          <w:p>
            <w:pPr>
              <w:spacing w:after="0"/>
              <w:rPr>
                <w:sz w:val="15"/>
                <w:szCs w:val="15"/>
                <w:color w:val="auto"/>
              </w:rPr>
            </w:pPr>
          </w:p>
        </w:tc>
        <w:tc>
          <w:tcPr>
            <w:tcW w:w="4020" w:type="dxa"/>
            <w:vAlign w:val="bottom"/>
          </w:tcPr>
          <w:p>
            <w:pPr>
              <w:spacing w:after="0"/>
              <w:rPr>
                <w:sz w:val="15"/>
                <w:szCs w:val="15"/>
                <w:color w:val="auto"/>
              </w:rPr>
            </w:pPr>
          </w:p>
        </w:tc>
      </w:tr>
      <w:tr>
        <w:trPr>
          <w:trHeight w:val="61"/>
        </w:trPr>
        <w:tc>
          <w:tcPr>
            <w:tcW w:w="9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60" w:type="dxa"/>
            <w:vAlign w:val="bottom"/>
            <w:gridSpan w:val="2"/>
            <w:shd w:val="clear" w:color="auto" w:fill="808080"/>
          </w:tcPr>
          <w:p>
            <w:pPr>
              <w:spacing w:after="0"/>
              <w:rPr>
                <w:sz w:val="5"/>
                <w:szCs w:val="5"/>
                <w:color w:val="auto"/>
              </w:rPr>
            </w:pPr>
          </w:p>
        </w:tc>
        <w:tc>
          <w:tcPr>
            <w:tcW w:w="4020" w:type="dxa"/>
            <w:vAlign w:val="bottom"/>
            <w:shd w:val="clear" w:color="auto" w:fill="808080"/>
          </w:tcPr>
          <w:p>
            <w:pPr>
              <w:spacing w:after="0"/>
              <w:rPr>
                <w:sz w:val="5"/>
                <w:szCs w:val="5"/>
                <w:color w:val="auto"/>
              </w:rPr>
            </w:pPr>
          </w:p>
        </w:tc>
      </w:tr>
      <w:tr>
        <w:trPr>
          <w:trHeight w:val="427"/>
        </w:trPr>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980" w:type="dxa"/>
            <w:vAlign w:val="bottom"/>
            <w:gridSpan w:val="4"/>
          </w:tcPr>
          <w:p>
            <w:pPr>
              <w:jc w:val="right"/>
              <w:ind w:right="4760"/>
              <w:spacing w:after="0"/>
              <w:rPr>
                <w:sz w:val="20"/>
                <w:szCs w:val="20"/>
                <w:color w:val="auto"/>
              </w:rPr>
            </w:pPr>
            <w:r>
              <w:rPr>
                <w:rFonts w:ascii="Arial" w:cs="Arial" w:eastAsia="Arial" w:hAnsi="Arial"/>
                <w:sz w:val="18"/>
                <w:szCs w:val="18"/>
                <w:b w:val="1"/>
                <w:bCs w:val="1"/>
                <w:color w:val="auto"/>
              </w:rPr>
              <w:t>TABLE OF CONTENTS</w:t>
            </w:r>
          </w:p>
        </w:tc>
      </w:tr>
      <w:tr>
        <w:trPr>
          <w:trHeight w:val="394"/>
        </w:trPr>
        <w:tc>
          <w:tcPr>
            <w:tcW w:w="60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SUMMARY</w:t>
              </w:r>
            </w:hyperlink>
          </w:p>
        </w:tc>
        <w:tc>
          <w:tcPr>
            <w:tcW w:w="54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9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602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RECENT DEVELOPMENTS</w:t>
              </w:r>
            </w:hyperlink>
          </w:p>
        </w:tc>
        <w:tc>
          <w:tcPr>
            <w:tcW w:w="5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w:t>
            </w:r>
          </w:p>
        </w:tc>
      </w:tr>
      <w:tr>
        <w:trPr>
          <w:trHeight w:val="196"/>
        </w:trPr>
        <w:tc>
          <w:tcPr>
            <w:tcW w:w="2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3900" w:type="dxa"/>
            <w:vAlign w:val="bottom"/>
            <w:gridSpan w:val="7"/>
          </w:tcPr>
          <w:p>
            <w:pPr>
              <w:spacing w:after="0"/>
              <w:rPr>
                <w:sz w:val="17"/>
                <w:szCs w:val="17"/>
                <w:color w:val="auto"/>
              </w:rPr>
            </w:pPr>
          </w:p>
        </w:tc>
        <w:tc>
          <w:tcPr>
            <w:tcW w:w="5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SPECIAL NOTE ON FORWARD-LOOKING STATEMENTS</w:t>
              </w:r>
            </w:hyperlink>
          </w:p>
        </w:tc>
        <w:tc>
          <w:tcPr>
            <w:tcW w:w="1580" w:type="dxa"/>
            <w:vAlign w:val="bottom"/>
            <w:gridSpan w:val="2"/>
          </w:tcPr>
          <w:p>
            <w:pPr>
              <w:spacing w:after="0"/>
              <w:rPr>
                <w:sz w:val="17"/>
                <w:szCs w:val="17"/>
                <w:color w:val="auto"/>
              </w:rPr>
            </w:pPr>
          </w:p>
        </w:tc>
        <w:tc>
          <w:tcPr>
            <w:tcW w:w="5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w:t>
            </w:r>
          </w:p>
        </w:tc>
      </w:tr>
      <w:tr>
        <w:trPr>
          <w:trHeight w:val="196"/>
        </w:trPr>
        <w:tc>
          <w:tcPr>
            <w:tcW w:w="6020" w:type="dxa"/>
            <w:vAlign w:val="bottom"/>
            <w:gridSpan w:val="1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RATIO OF EARNINGS TO FIXED CHARGES</w:t>
              </w:r>
            </w:hyperlink>
          </w:p>
        </w:tc>
        <w:tc>
          <w:tcPr>
            <w:tcW w:w="5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24</w:t>
            </w:r>
          </w:p>
        </w:tc>
      </w:tr>
      <w:tr>
        <w:trPr>
          <w:trHeight w:val="196"/>
        </w:trPr>
        <w:tc>
          <w:tcPr>
            <w:tcW w:w="34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CAPITALIZATION</w:t>
              </w:r>
            </w:hyperlink>
          </w:p>
        </w:tc>
        <w:tc>
          <w:tcPr>
            <w:tcW w:w="2600" w:type="dxa"/>
            <w:vAlign w:val="bottom"/>
            <w:gridSpan w:val="5"/>
          </w:tcPr>
          <w:p>
            <w:pPr>
              <w:spacing w:after="0"/>
              <w:rPr>
                <w:sz w:val="17"/>
                <w:szCs w:val="17"/>
                <w:color w:val="auto"/>
              </w:rPr>
            </w:pPr>
          </w:p>
        </w:tc>
        <w:tc>
          <w:tcPr>
            <w:tcW w:w="5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w:t>
            </w: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74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DILUTION; EFFECT OF THE RIGHTS OFFERING ON OUR OUTSTANDING SHARES, OPTIONS,</w:t>
              </w:r>
            </w:hyperlink>
          </w:p>
        </w:tc>
        <w:tc>
          <w:tcPr>
            <w:tcW w:w="4020" w:type="dxa"/>
            <w:vAlign w:val="bottom"/>
          </w:tcPr>
          <w:p>
            <w:pPr>
              <w:spacing w:after="0"/>
              <w:rPr>
                <w:sz w:val="17"/>
                <w:szCs w:val="17"/>
                <w:color w:val="auto"/>
              </w:rPr>
            </w:pPr>
          </w:p>
        </w:tc>
      </w:tr>
      <w:tr>
        <w:trPr>
          <w:trHeight w:val="196"/>
        </w:trPr>
        <w:tc>
          <w:tcPr>
            <w:tcW w:w="6020" w:type="dxa"/>
            <w:vAlign w:val="bottom"/>
            <w:gridSpan w:val="1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WARRANTS AND CONVERTIBLE SECURITIES</w:t>
              </w:r>
            </w:hyperlink>
          </w:p>
        </w:tc>
        <w:tc>
          <w:tcPr>
            <w:tcW w:w="5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w:t>
            </w:r>
          </w:p>
        </w:tc>
      </w:tr>
      <w:tr>
        <w:trPr>
          <w:trHeight w:val="196"/>
        </w:trPr>
        <w:tc>
          <w:tcPr>
            <w:tcW w:w="1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USE OF PROCEEDS</w:t>
              </w:r>
            </w:hyperlink>
          </w:p>
        </w:tc>
        <w:tc>
          <w:tcPr>
            <w:tcW w:w="2120" w:type="dxa"/>
            <w:vAlign w:val="bottom"/>
            <w:tcBorders>
              <w:top w:val="single" w:sz="8" w:color="0000EE"/>
            </w:tcBorders>
            <w:gridSpan w:val="6"/>
          </w:tcPr>
          <w:p>
            <w:pPr>
              <w:spacing w:after="0"/>
              <w:rPr>
                <w:sz w:val="17"/>
                <w:szCs w:val="17"/>
                <w:color w:val="auto"/>
              </w:rPr>
            </w:pPr>
          </w:p>
        </w:tc>
        <w:tc>
          <w:tcPr>
            <w:tcW w:w="2340" w:type="dxa"/>
            <w:vAlign w:val="bottom"/>
            <w:gridSpan w:val="3"/>
          </w:tcPr>
          <w:p>
            <w:pPr>
              <w:spacing w:after="0"/>
              <w:rPr>
                <w:sz w:val="17"/>
                <w:szCs w:val="17"/>
                <w:color w:val="auto"/>
              </w:rPr>
            </w:pPr>
          </w:p>
        </w:tc>
        <w:tc>
          <w:tcPr>
            <w:tcW w:w="5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w:t>
            </w:r>
          </w:p>
        </w:tc>
      </w:tr>
      <w:tr>
        <w:trPr>
          <w:trHeight w:val="196"/>
        </w:trPr>
        <w:tc>
          <w:tcPr>
            <w:tcW w:w="6020" w:type="dxa"/>
            <w:vAlign w:val="bottom"/>
            <w:gridSpan w:val="1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THE RIGHTS OFFERING</w:t>
              </w:r>
            </w:hyperlink>
          </w:p>
        </w:tc>
        <w:tc>
          <w:tcPr>
            <w:tcW w:w="5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20"/>
        </w:trPr>
        <w:tc>
          <w:tcPr>
            <w:tcW w:w="154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r>
      <w:tr>
        <w:trPr>
          <w:trHeight w:val="196"/>
        </w:trPr>
        <w:tc>
          <w:tcPr>
            <w:tcW w:w="6020" w:type="dxa"/>
            <w:vAlign w:val="bottom"/>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THE DEBENTURES</w:t>
              </w:r>
            </w:hyperlink>
          </w:p>
        </w:tc>
        <w:tc>
          <w:tcPr>
            <w:tcW w:w="5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35</w:t>
            </w:r>
          </w:p>
        </w:tc>
      </w:tr>
      <w:tr>
        <w:trPr>
          <w:trHeight w:val="196"/>
        </w:trPr>
        <w:tc>
          <w:tcPr>
            <w:tcW w:w="2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DIVIDEND POLICY</w:t>
              </w:r>
            </w:hyperlink>
          </w:p>
        </w:tc>
        <w:tc>
          <w:tcPr>
            <w:tcW w:w="3040" w:type="dxa"/>
            <w:vAlign w:val="bottom"/>
            <w:gridSpan w:val="6"/>
          </w:tcPr>
          <w:p>
            <w:pPr>
              <w:spacing w:after="0"/>
              <w:rPr>
                <w:sz w:val="17"/>
                <w:szCs w:val="17"/>
                <w:color w:val="auto"/>
              </w:rPr>
            </w:pPr>
          </w:p>
        </w:tc>
        <w:tc>
          <w:tcPr>
            <w:tcW w:w="5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r>
      <w:tr>
        <w:trPr>
          <w:trHeight w:val="20"/>
        </w:trPr>
        <w:tc>
          <w:tcPr>
            <w:tcW w:w="1540" w:type="dxa"/>
            <w:vAlign w:val="bottom"/>
            <w:gridSpan w:val="4"/>
            <w:shd w:val="clear" w:color="auto" w:fill="0000EE"/>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r>
      <w:tr>
        <w:trPr>
          <w:trHeight w:val="196"/>
        </w:trPr>
        <w:tc>
          <w:tcPr>
            <w:tcW w:w="6020" w:type="dxa"/>
            <w:vAlign w:val="bottom"/>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MATERIAL INCOME TAX CONSIDERATIONS</w:t>
              </w:r>
            </w:hyperlink>
          </w:p>
        </w:tc>
        <w:tc>
          <w:tcPr>
            <w:tcW w:w="5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r>
      <w:tr>
        <w:trPr>
          <w:trHeight w:val="20"/>
        </w:trPr>
        <w:tc>
          <w:tcPr>
            <w:tcW w:w="3560" w:type="dxa"/>
            <w:vAlign w:val="bottom"/>
            <w:gridSpan w:val="10"/>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r>
      <w:tr>
        <w:trPr>
          <w:trHeight w:val="196"/>
        </w:trPr>
        <w:tc>
          <w:tcPr>
            <w:tcW w:w="6020" w:type="dxa"/>
            <w:vAlign w:val="bottom"/>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FOREIGN EXCHANGE CONTROLS AND OTHER LIMITATIONS</w:t>
              </w:r>
            </w:hyperlink>
          </w:p>
        </w:tc>
        <w:tc>
          <w:tcPr>
            <w:tcW w:w="54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55</w:t>
            </w:r>
          </w:p>
        </w:tc>
      </w:tr>
      <w:tr>
        <w:trPr>
          <w:trHeight w:val="20"/>
        </w:trPr>
        <w:tc>
          <w:tcPr>
            <w:tcW w:w="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ectPr>
          <w:pgSz w:w="11900" w:h="16838" w:orient="portrait"/>
          <w:cols w:equalWidth="0" w:num="1">
            <w:col w:w="11420"/>
          </w:cols>
          <w:pgMar w:left="240" w:top="1239"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00" w:type="dxa"/>
            <w:vAlign w:val="bottom"/>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DESCRIPTION OF SHARE CAPITAL</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690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39">
              <w:r>
                <w:rPr>
                  <w:rFonts w:ascii="Arial" w:cs="Arial" w:eastAsia="Arial" w:hAnsi="Arial"/>
                  <w:sz w:val="18"/>
                  <w:szCs w:val="18"/>
                  <w:color w:val="0000EE"/>
                  <w:w w:val="93"/>
                </w:rPr>
                <w:t>UNDERTAKING TO REFRAIN FROM ACTIONS NOT DISCLOSED IN THIS PROSPECTUS</w:t>
              </w:r>
            </w:hyperlink>
          </w:p>
        </w:tc>
        <w:tc>
          <w:tcPr>
            <w:tcW w:w="300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9900" w:type="dxa"/>
            <w:vAlign w:val="bottom"/>
            <w:gridSpan w:val="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MATTERS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EXPERTS</w:t>
              </w:r>
            </w:hyperlink>
          </w:p>
        </w:tc>
        <w:tc>
          <w:tcPr>
            <w:tcW w:w="660" w:type="dxa"/>
            <w:vAlign w:val="bottom"/>
            <w:tcBorders>
              <w:top w:val="single" w:sz="8" w:color="0000EE"/>
            </w:tcBorders>
          </w:tcPr>
          <w:p>
            <w:pPr>
              <w:spacing w:after="0"/>
              <w:rPr>
                <w:sz w:val="17"/>
                <w:szCs w:val="17"/>
                <w:color w:val="auto"/>
              </w:rPr>
            </w:pPr>
          </w:p>
        </w:tc>
        <w:tc>
          <w:tcPr>
            <w:tcW w:w="8480" w:type="dxa"/>
            <w:vAlign w:val="bottom"/>
            <w:gridSpan w:val="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9900" w:type="dxa"/>
            <w:vAlign w:val="bottom"/>
            <w:gridSpan w:val="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ENFORCEABILITY OF CIVIL LIABILITIES AND AGENT FOR SERVICE OF PROCESS IN THE UNITED STATES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4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THE ISRAEL SECURITIES AUTHORITY EXEMPTION</w:t>
              </w:r>
            </w:hyperlink>
          </w:p>
        </w:tc>
        <w:tc>
          <w:tcPr>
            <w:tcW w:w="4400" w:type="dxa"/>
            <w:vAlign w:val="bottom"/>
            <w:tcBorders>
              <w:top w:val="single" w:sz="8" w:color="0000EE"/>
            </w:tcBorders>
            <w:gridSpan w:val="3"/>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10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WHERE YOU CAN FIND MORE INFORMATION; INCORPORATION OF INFORMATION BY REFERENCE</w:t>
              </w:r>
            </w:hyperlink>
          </w:p>
        </w:tc>
        <w:tc>
          <w:tcPr>
            <w:tcW w:w="1800" w:type="dxa"/>
            <w:vAlign w:val="bottom"/>
            <w:gridSpan w:val="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240030</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References to “Israel Corporation” or “Israel Corp.” include its wholly-owned subsidiary Israel Corporation Technologies (ICTech) Ltd. (“ICTech”).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This section answers in summary form some questions you may have about us and this rights offering. You should read the entire prospectus carefully.</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QUESTIONS AND ANSWERS ABOUT TOWER SEMICONDUCTOR LTD.</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do we do?</w:t>
      </w:r>
    </w:p>
    <w:p>
      <w:pPr>
        <w:spacing w:after="0" w:line="31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0.18-micron, while our 0.13-micron technology is expected to be ready for production by the end of 2005.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January 2001, we commenced construction of a new, state-of-the-art wafer fabrication facility, which we refer to as Fab 2, located in Migdal Haemek, Israel and adjacent to our first facility, Fab 1. Depending on the process technology and product mix, as of September 30, 2005, Fab 1 is able to achieve capacity levels of approximately 16,000 wafers per month.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at the end of September 2005 was 14,600 wafers per month. We currently expect to have production capacity of 15,400 wafers per month by the end of 2005, of which approximately 800 wafers per month are expected to be in 0.13-micron. Depending on the process technology and product mix, when fully ramped-up we estimate that Fab 2 will be able to achieve capacity levels of up to 36,000 wafers per month.</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 are we located?</w:t>
      </w:r>
    </w:p>
    <w:p>
      <w:pPr>
        <w:spacing w:after="0" w:line="31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 can you find more information about us?</w:t>
      </w:r>
    </w:p>
    <w:p>
      <w:pPr>
        <w:spacing w:after="0" w:line="312"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 xml:space="preserve">Additional information about us and our operations may be found at our web site: </w:t>
      </w:r>
      <w:r>
        <w:rPr>
          <w:rFonts w:ascii="Arial" w:cs="Arial" w:eastAsia="Arial" w:hAnsi="Arial"/>
          <w:sz w:val="18"/>
          <w:szCs w:val="18"/>
          <w:u w:val="single" w:color="auto"/>
          <w:color w:val="auto"/>
        </w:rPr>
        <w:t>www.towersemi.com</w:t>
      </w:r>
      <w:r>
        <w:rPr>
          <w:rFonts w:ascii="Arial" w:cs="Arial" w:eastAsia="Arial" w:hAnsi="Arial"/>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QUESTIONS AND ANSWERS ABOUT THE RIGHTS OFFERING</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is an offering of rights to purchase convertible debentures?</w:t>
      </w:r>
    </w:p>
    <w:p>
      <w:pPr>
        <w:spacing w:after="0" w:line="23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 offering of rights to purchase convertible debentures is an opportunity for our shareholders to purchase debentures convertible into our ordinary shares in an amount proportional to each shareholder’s existing interest in our ordinary shares. We are also distributing rights to our eligible employees who hold options under our share option plans that entitle option holders to participate in this offering.</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securities may be purchased under each right?</w:t>
      </w:r>
    </w:p>
    <w:p>
      <w:pPr>
        <w:spacing w:after="0" w:line="299" w:lineRule="exact"/>
        <w:rPr>
          <w:sz w:val="20"/>
          <w:szCs w:val="20"/>
          <w:color w:val="auto"/>
        </w:rPr>
      </w:pPr>
    </w:p>
    <w:p>
      <w:pPr>
        <w:ind w:right="260" w:firstLine="351"/>
        <w:spacing w:after="0" w:line="370" w:lineRule="auto"/>
        <w:rPr>
          <w:sz w:val="20"/>
          <w:szCs w:val="20"/>
          <w:color w:val="auto"/>
        </w:rPr>
      </w:pPr>
      <w:r>
        <w:rPr>
          <w:rFonts w:ascii="Arial" w:cs="Arial" w:eastAsia="Arial" w:hAnsi="Arial"/>
          <w:sz w:val="15"/>
          <w:szCs w:val="15"/>
          <w:color w:val="auto"/>
        </w:rPr>
        <w:t>Each right entitles the holder to purchase, at a price of $100.00, one hundred U.S. dollar denominated debentures. Each debenture is of $1.00 in principal amount. The debentures will be convertible into our ordinary shares at a rate of one ordinary share per $ 1.10 aggregate principal amount of debentures.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rights will you receive?</w:t>
      </w:r>
    </w:p>
    <w:p>
      <w:pPr>
        <w:sectPr>
          <w:pgSz w:w="11900" w:h="16838" w:orient="portrait"/>
          <w:cols w:equalWidth="0" w:num="1">
            <w:col w:w="11380"/>
          </w:cols>
          <w:pgMar w:left="240" w:top="108" w:right="279" w:bottom="0" w:gutter="0" w:footer="0" w:header="0"/>
        </w:sectPr>
      </w:pPr>
    </w:p>
    <w:bookmarkStart w:id="3" w:name="page4"/>
    <w:bookmarkEnd w:id="3"/>
    <w:p>
      <w:pPr>
        <w:ind w:right="20" w:firstLine="351"/>
        <w:spacing w:after="0" w:line="288" w:lineRule="auto"/>
        <w:rPr>
          <w:sz w:val="20"/>
          <w:szCs w:val="20"/>
          <w:color w:val="auto"/>
        </w:rPr>
      </w:pPr>
      <w:r>
        <w:rPr>
          <w:rFonts w:ascii="Arial" w:cs="Arial" w:eastAsia="Arial" w:hAnsi="Arial"/>
          <w:sz w:val="16"/>
          <w:szCs w:val="16"/>
          <w:color w:val="auto"/>
        </w:rPr>
        <w:t>Each person who, at the close of business at 5:00 p.m., New York City time (midnight, Israel time), on December 20 , 2005 (the record date), owns our ordinary shares and/or options under our employee share option plans that entitle option holders to participate in this offering will receive, at no charge, one right for each 138.98 ordinary shares and/or eligible options owned on the record date. The 138.98 ratio was derived by dividing the sum of the total number of our issued and outstanding ordinary shares and the number of options that entitle their holders to participate in the rights offering by the dollar amount being offered in the rights offering, multiplied by the subscription price. If you hold 138 or fewer ordinary shares and/or eligible options on the record date, you will not receive any rights. Your rights will be aggregated for all the shares (and/or eligible employee options, as the case may be) that you own on the record date and then rounded down to the nearest whole number, so that you will not receive fractional rights. For example, if you own 139 shares on the record date, you will receive one right, and if you own 100,000 shares on the record date, you will receive 719 rights. When you exercise a right, you choose to purchase the number of debentures that the right entitles you to purchase.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securities are being offered upon exercise of the rights?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One right entitles its holder to purchase, at a price of $100.00, one hundred debentures convertible into our ordinary shares. Each debenture is of $1.00 in principal amount. The debentures will be convertible into our ordinary shares at a rate of one ordinary share per $ 1.10 aggregate principal amount of debentures. When you exercise a right, you choose to purchase the number of debentures that the right entitles you to purchase. You may exercise all of your rights or a portion of your total rights, or you may choose not to exercise any of your rights. In addition, you may sell the rights on either the NASDAQ Capital Market or the Tel Aviv Stock Exchange, during one single trading day, on January 9 , 200 6 . You may pay us the subscription price either in U.S. dollars, or if you are an Israeli resident, in New Israeli Shekels according to the U.S. dollar/NIS representative exchange rate published by the Bank of Israel on the day before payment of the subscription price.</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principal and interest be paid?</w:t>
      </w:r>
    </w:p>
    <w:p>
      <w:pPr>
        <w:spacing w:after="0" w:line="31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debentures will bear interest at the rate per annum of 5%. Principal of the debentures is payable, together with accrued interest, in one installment on January 12 , 201 2 . On January 12, 2012 , the cumulative interest rate on the debentures will be 34.0096%. Instruments representing the debentures will be issued in denominations of $1.00 and integral multiples thereof.</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Interest will initially accrue from the date following the last day rights may be exercised ( January 13 , 200 6 ), and will be computed on the basis of a 365-day year.</w:t>
      </w:r>
    </w:p>
    <w:p>
      <w:pPr>
        <w:spacing w:after="0" w:line="186"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Accrued interest will not be payable upon conversion of the debentures into our ordinary shares and you will lose your right to any accrued interest upon conversion of the debentures into our ordinary shares.</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payment of interest on and principal of the debentures may be postponed (with interest continuing to accrue at the rate of 5% per annum) under the terms of our bank credit facility agreement (See “Description of the Debentures – Subordination of Debentures”).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may the debentures be converted?</w:t>
      </w:r>
    </w:p>
    <w:p>
      <w:pPr>
        <w:spacing w:after="0" w:line="312"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Commencing on the first Tel Aviv Stock Exchange trading day after the date on which the debentures are listed for trading on the Tel Aviv Stock Exchange and until December 27 , 2011 (inclusive) but if such date is not a trading day on the Tel Aviv Stock Exchange, then the last date to convert the debentures will be the first trading day on the Tel Aviv Stock Exchange after such date), the debentures are convertible into our ordinary shares at a conversion price of one ordinary share per $ 1.10 aggregate principal amount of debentures. We will not issue fractional shares upon conversion of the debentures. We will round down the number of shares issuable upon conversion of the debentures to the nearest whole number and will not pay any cash adjustment in lieu of fractional shares.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Could the conversion price be adjusted and under what circumstances?</w:t>
      </w:r>
    </w:p>
    <w:p>
      <w:pPr>
        <w:spacing w:after="0" w:line="231" w:lineRule="exact"/>
        <w:rPr>
          <w:sz w:val="20"/>
          <w:szCs w:val="20"/>
          <w:color w:val="auto"/>
        </w:rPr>
      </w:pPr>
    </w:p>
    <w:p>
      <w:pPr>
        <w:ind w:right="480" w:firstLine="345"/>
        <w:spacing w:after="0" w:line="268" w:lineRule="auto"/>
        <w:rPr>
          <w:sz w:val="20"/>
          <w:szCs w:val="20"/>
          <w:color w:val="auto"/>
        </w:rPr>
      </w:pPr>
      <w:r>
        <w:rPr>
          <w:rFonts w:ascii="Arial" w:cs="Arial" w:eastAsia="Arial" w:hAnsi="Arial"/>
          <w:sz w:val="18"/>
          <w:szCs w:val="18"/>
          <w:color w:val="auto"/>
        </w:rPr>
        <w:t>Yes. The conversion price will be adjusted if either of the two scenarios described under “Description of the Debentures – Conversion of Debentures – Adjustment to Conversion Price Following a Future Financing” occurs.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conversion price is also subject to customary adjustments following certain events such as the issuance of our capital stock as a dividend (bonus shares), subdivisions, combinations and reclassifications of our ordinary shares and future rights offerings.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Must I convert the debentures I hold into ordinary shares?</w:t>
      </w:r>
    </w:p>
    <w:p>
      <w:pPr>
        <w:spacing w:after="0" w:line="31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No. However, accrued interest will not be payable by us upon the conversion of the debentures into our ordinary shares and you will lose your right to any accrued interest upon conversion of the debentures into our ordinary shares.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the debentures be mandatorily redeemed prior to their maturity date?</w:t>
      </w:r>
    </w:p>
    <w:p>
      <w:pPr>
        <w:spacing w:after="0" w:line="312" w:lineRule="exact"/>
        <w:rPr>
          <w:sz w:val="20"/>
          <w:szCs w:val="20"/>
          <w:color w:val="auto"/>
        </w:rPr>
      </w:pPr>
    </w:p>
    <w:p>
      <w:pPr>
        <w:ind w:right="320" w:firstLine="345"/>
        <w:spacing w:after="0" w:line="268" w:lineRule="auto"/>
        <w:rPr>
          <w:sz w:val="20"/>
          <w:szCs w:val="20"/>
          <w:color w:val="auto"/>
        </w:rPr>
      </w:pPr>
      <w:r>
        <w:rPr>
          <w:rFonts w:ascii="Arial" w:cs="Arial" w:eastAsia="Arial" w:hAnsi="Arial"/>
          <w:sz w:val="18"/>
          <w:szCs w:val="18"/>
          <w:color w:val="auto"/>
        </w:rPr>
        <w:t>Yes. We may at our option announce the early redemption of the debentures or part thereof, subject to the conditions described under “Description of the Debentures – Optional Early Redemption of Debentures - Early Redemption at the Discretion of the Company.”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Will the debentures be listed for trading?</w:t>
      </w:r>
    </w:p>
    <w:p>
      <w:pPr>
        <w:spacing w:after="0" w:line="299"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Yes. The debentures will be listed on the NASDAQ Capital Market under the symbol “TSEMG” and the Tel Aviv Stock Exchange under the symbol “TSEM.C2” and may be identified on the Tel Aviv Stock Exchange as Debentures (Series B).</w:t>
      </w:r>
    </w:p>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Are the debentures subordinated to our current indebtedness?</w:t>
      </w:r>
    </w:p>
    <w:p>
      <w:pPr>
        <w:sectPr>
          <w:pgSz w:w="11900" w:h="16838" w:orient="portrait"/>
          <w:cols w:equalWidth="0" w:num="1">
            <w:col w:w="11400"/>
          </w:cols>
          <w:pgMar w:left="240" w:top="131" w:right="259" w:bottom="208" w:gutter="0" w:footer="0" w:header="0"/>
        </w:sectPr>
      </w:pPr>
    </w:p>
    <w:bookmarkStart w:id="4" w:name="page5"/>
    <w:bookmarkEnd w:id="4"/>
    <w:p>
      <w:pPr>
        <w:ind w:left="360"/>
        <w:spacing w:after="0"/>
        <w:rPr>
          <w:sz w:val="20"/>
          <w:szCs w:val="20"/>
          <w:color w:val="auto"/>
        </w:rPr>
      </w:pPr>
      <w:r>
        <w:rPr>
          <w:rFonts w:ascii="Arial" w:cs="Arial" w:eastAsia="Arial" w:hAnsi="Arial"/>
          <w:sz w:val="15"/>
          <w:szCs w:val="15"/>
          <w:color w:val="auto"/>
        </w:rPr>
        <w:t>Yes. The payment of the principal of and interest on the debentures is subordinated to the prior payment of all amounts payable by us to Bank Hapoalim B.M</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Bank Leumi Le-Israel Ltd. under our credit facility agreement with them. Our indebtedness to our banks was $510.4 million as of September 30, 2005,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$518.1 million as of October 31, 2005. Payment of the principal and interest on the debentures is also effectively subordinated to our current and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to two secured creditors: the Investment Center of the Israeli Ministry of Industry, Trade and Labor, to whom we may have obligations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$156.7 million in grants received through September 30, 2005 under the “Approved Enterprise” program, and Siliconix Technology C.V., one of our customers,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has a first ranking charge on a bank account into which Siliconix deposited in 2004, $20 million for the purchase of equipment and other expenses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performance of our obligations under our agreement with Siliconix (of which as of September 30, 2005, there is a balance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and over the equipment which has been or which may be subsequently purchased with such funds. As a result, upon any distribution to our creditors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liquidation or reorganization or similar proceedings, these senior and secured creditors will be entitled to be paid in full before any payment may be made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debentures. There may not be sufficient assets remaining to pay amounts due on any or all of the debentures then outstanding. In addition, if 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date of principal or interest on the debentures there exists an “Event of Default” under the facility agreement, the dates for payment of interest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on the debentures may be postponed, depending on various scenarios under the facility agreement. If, in such event, we reach an agreement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banks (with respect to rescheduling our debt to the banks), the debenture holders may be bound thereby. The terms of the Indenture permit the Co-Trustees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initiate legal proceedings against us only in a limited number of cases, and always provided that advance notice is given to us and to the banks. (See “Description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Debentures – Subordination of Debentures”).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40" w:firstLine="341"/>
        <w:spacing w:after="0" w:line="332" w:lineRule="auto"/>
        <w:rPr>
          <w:sz w:val="20"/>
          <w:szCs w:val="20"/>
          <w:color w:val="auto"/>
        </w:rPr>
      </w:pPr>
      <w:r>
        <w:rPr>
          <w:rFonts w:ascii="Arial" w:cs="Arial" w:eastAsia="Arial" w:hAnsi="Arial"/>
          <w:sz w:val="16"/>
          <w:szCs w:val="16"/>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Why are we engaging in a rights offering?</w:t>
      </w:r>
    </w:p>
    <w:p>
      <w:pPr>
        <w:spacing w:after="0" w:line="31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July 2005, we entered into an amendment to the credit facility agreement with our banks. The amendment provides, among other things, for financing from our banks in the amount of up to an additional approximately $30 million under our credit facility agreement, subject to a similar amount being raised by us from investors through the issuance of shares or convertible debentures. Our four major shareholders have committed to invest an aggregate of $25.5 million in a rights offering towards this funding requirement through the purchase of debentures convertible into our ordinary shares. We are engaging in this rights offering in order to afford all of our shareholders (and eligible employees) the opportunity to purchase our securities on the same terms as our four major shareholders. We are also engaging in this rights offering to provide our company with an opportunity to raise funds towards our other fundraising obligation to our banks to raise an additional $26 million by June 30, 2006, and to provide us with an opportunity to raise additional capital for the ramp up and operations of Fab 2.</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were the subscription price, the conversion price and the minimum denomination of the debentures set?</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Based on the guidelines of this rights offering that were approved by the audit committee of our board of directors, our board of directors set all of the terms and conditions of the rights offering, including the subscription price, conversion price and the minimum denomination of the debentures. Our board of directors’ objective in establishing the subscription price, conversion price and the minimum denomination of the debentures was to reflect recent trading prices of our ordinary shares, raise the targeted proceeds and provide all of our shareholders with a reasonable opportunity to make an additional investment in our company. The audit committee of our board of directors consulted with a financial advisor in order to assist in the determination of the commercial terms. In establishing the commercial terms, including the subscription price, the conversion price and the minimum denomination of the debentures, our board of directors and its audit committee considered the following factors: the strategic alternatives available to us for raising capital, the market price of our ordinary shares, the pro rata nature of the offering, pricing and terms of similar transactions, the advice of the financial advisor, our business prospects and general conditions in the securities markets. The subscription price, conversion price and minimum denomination of the debentures, however, do not necessarily bear any relationship to our past or expected future results of operations, cash flows, current financial condition, or any other established criteria for value. Our board of directors believes that the minimum denomination of the debentures presents you with the ability to manage your investment in us following the exercise of your rights. For example, you may convert a relatively small portion of your aggregate investment into our shares, sell another relatively small portion of your debentures and continue to hold debentures.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long will the rights offering last?</w:t>
      </w:r>
    </w:p>
    <w:p>
      <w:pPr>
        <w:spacing w:after="0" w:line="312" w:lineRule="exact"/>
        <w:rPr>
          <w:sz w:val="20"/>
          <w:szCs w:val="20"/>
          <w:color w:val="auto"/>
        </w:rPr>
      </w:pPr>
    </w:p>
    <w:p>
      <w:pPr>
        <w:ind w:firstLine="345"/>
        <w:spacing w:after="0" w:line="290" w:lineRule="auto"/>
        <w:rPr>
          <w:sz w:val="20"/>
          <w:szCs w:val="20"/>
          <w:color w:val="auto"/>
        </w:rPr>
      </w:pPr>
      <w:r>
        <w:rPr>
          <w:rFonts w:ascii="Arial" w:cs="Arial" w:eastAsia="Arial" w:hAnsi="Arial"/>
          <w:sz w:val="16"/>
          <w:szCs w:val="16"/>
          <w:color w:val="auto"/>
        </w:rPr>
        <w:t>You will be able to exercise your rights only during a limited period. The rights are exercisable during a 23-day period, beginning after 5:00 p.m. New York City time (midnight, Israel time) on December 20 , 2005 (the record date) and ending at 5:00 p.m. New York City time (midnight, Israel time) on January 12 , 200 6 (the rights expiration date). If you hold your shares through a broker, dealer or other nominee (including through members of the Tel Aviv Stock Exchange), you will be required to comply with the procedural requirements of such nominee, including the procedures relating to the last time by which you may be required to provide notice of your intention to exercise your rights (which may be earlier than the final expiration date of the rights), as well as other procedural requirements described under the heading “The Rights Offering.” If you do not exercise your rights by the date and in accordance with the procedures applicable to you, your ability to exercise the rights and purchase the debentures will expire.</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do you exercise your rights?</w:t>
      </w:r>
    </w:p>
    <w:p>
      <w:pPr>
        <w:spacing w:after="0" w:line="31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Promptly after the date of this prospectus, we will send a rights certificate to each holder of our ordinary shares that is registered on our shareholder registry maintained at American Stock Transfer &amp; Trust Co., the transfer agent for our ordinary shares. The rights certificate will evidence the number of rights applicable to each holder and will be accompanied by a copy of this prospectus.</w:t>
      </w:r>
    </w:p>
    <w:p>
      <w:pPr>
        <w:spacing w:after="0" w:line="19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If you are a record holder of our ordinary shares and you wish to exercise your rights, you should complete the exercise form on the back of the rights certificate and send the certificate (or a notice of guaranteed delivery), accompanied by the subscription price following the record date, to the offices of American Stock Transfer &amp; Trust Co., as our Rights Agent, to the attention of: Reorganization Department, to be received no later than the expiration date of the rights. The rights will expire on January 12, 2006 , at 5:00 p.m. New York time, (midnight, Israel time). You may make your payment to American Stock Transfer by wire transfer or cashier’s check or a money order drawn on a bank located in the United States payable to the order of “American Stock Transfer &amp; Trust Co., as Rights Agent.” Payment made to American Stock Transfer &amp; Trust Co. must be in U.S. dollars. We may agree to accept other forms of payment if requested and agreed to by us prior to payment.</w:t>
      </w:r>
    </w:p>
    <w:p>
      <w:pPr>
        <w:sectPr>
          <w:pgSz w:w="11900" w:h="16838" w:orient="portrait"/>
          <w:cols w:equalWidth="0" w:num="1">
            <w:col w:w="11420"/>
          </w:cols>
          <w:pgMar w:left="240" w:top="131" w:right="239" w:bottom="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5" w:name="page6"/>
    <w:bookmarkEnd w:id="5"/>
    <w:p>
      <w:pPr>
        <w:ind w:right="20" w:firstLine="351"/>
        <w:spacing w:after="0" w:line="254" w:lineRule="auto"/>
        <w:rPr>
          <w:sz w:val="20"/>
          <w:szCs w:val="20"/>
          <w:color w:val="auto"/>
        </w:rPr>
      </w:pPr>
      <w:r>
        <w:rPr>
          <w:rFonts w:ascii="Arial" w:cs="Arial" w:eastAsia="Arial" w:hAnsi="Arial"/>
          <w:sz w:val="18"/>
          <w:szCs w:val="18"/>
          <w:color w:val="auto"/>
        </w:rPr>
        <w:t>If you are a record holder of rights that resides in Israel, you may exercise your rights by delivering the completed exercise form on the back of the rights certificate to our offices in Migdal Haemek, Israel, following the record date, accompanied by evidence of a wire transfer or a cashier’s check or a money order drawn on a bank located in Israel payable to Tower Semiconductor Ltd. Payment to us must be either in New Israeli Shekels in accordance with the representative exchange rate published by the Bank of Israel on the day before payment of the subscription price. The completed exercise form and payment must be delivered to us by midnight Israel time on January 12, 2006 (the rights expiration date). Israeli record holders of rights may pay us in U.S. dollars if requested and we agree to such payment.</w:t>
      </w:r>
    </w:p>
    <w:p>
      <w:pPr>
        <w:spacing w:after="0" w:line="198"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If you are a beneficial owner of our ordinary shares and hold them through a broker, dealer or other nominee (including a member of the Tel Aviv Stock Exchange), see “What should you do if you want to participate in this rights offering, but your shares are held in the name of your broker, dealer or other nominee?” If you are a holder of eligible employee options that entitle you to receive rights, see “What should you do if you are entitled to participate in this rights offering as holder of employee options?"</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do you transfer your rights?</w:t>
      </w:r>
    </w:p>
    <w:p>
      <w:pPr>
        <w:spacing w:after="0" w:line="31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you are a record holder of our ordinary shares and wish to transfer your rights to another person, you may do so by completing the transfer form on the back of your certificate and submitting it to American Stock Transfer &amp; Trust Co., as Rights Agent, prior to January 9, 2006 . If you wish to sell your rights on the NASDAQ Capital Market or the Tel Aviv Stock Exchange, you should independently engage a broker to execute this sale on your behalf. The rights will be listed for trading on these exchanges during their regular trading hours for one day only on January 9 , 200 6 . In connection with our September 2002 rights offering which was conducted simultaneously on NASDAQ and the Tel Aviv Stock Exchange, in which we offered shares and warrants to purchase our shares, the rights were listed for trading on NASDAQ, although no bid or asked prices were ever quoted by any market makers and there was no trading.</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After you exercise your rights, can you change your mind?</w:t>
      </w:r>
    </w:p>
    <w:p>
      <w:pPr>
        <w:spacing w:after="0" w:line="31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No. You cannot revoke the exercise of your rights, even if you later learn information about us that you consider to be unfavorable. You should not send the completed exercise form on the back of the rights certificate unless you are certain that you wish to purchase the debentures.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Is exercising your rights risky?</w:t>
      </w:r>
    </w:p>
    <w:p>
      <w:pPr>
        <w:spacing w:after="0" w:line="312"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Yes. The exercise of your rights involves substantial risks. Exercising your rights means buying additional securities, and you should carefully consider this purchase as you would do with respect to any other debt or equity investments. Among other things, you should carefully consider the risks described under “Risk Factors.”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Do you have to exercise your rights?</w:t>
      </w:r>
    </w:p>
    <w:p>
      <w:pPr>
        <w:spacing w:after="0" w:line="312"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No. However, if you do not exercise your rights and other shareholders do and then convert their debentures into ordinary shares, the percentage of our ordinary shares that you own will diminish, and your voting and other rights will be diluted.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you sell or give away your rights?</w:t>
      </w:r>
    </w:p>
    <w:p>
      <w:pPr>
        <w:spacing w:after="0" w:line="299" w:lineRule="exact"/>
        <w:rPr>
          <w:sz w:val="20"/>
          <w:szCs w:val="20"/>
          <w:color w:val="auto"/>
        </w:rPr>
      </w:pPr>
    </w:p>
    <w:p>
      <w:pPr>
        <w:jc w:val="both"/>
        <w:ind w:right="80" w:firstLine="345"/>
        <w:spacing w:after="0" w:line="298" w:lineRule="auto"/>
        <w:rPr>
          <w:sz w:val="20"/>
          <w:szCs w:val="20"/>
          <w:color w:val="auto"/>
        </w:rPr>
      </w:pPr>
      <w:r>
        <w:rPr>
          <w:rFonts w:ascii="Arial" w:cs="Arial" w:eastAsia="Arial" w:hAnsi="Arial"/>
          <w:sz w:val="16"/>
          <w:szCs w:val="16"/>
          <w:color w:val="auto"/>
        </w:rPr>
        <w:t>Yes. You may transfer or sell, at any time prior to the expiration date ( January 12, 2006 , at 5:00 p.m. New York time, midnight, Israel time), all or a portion of the rights. You are responsible for all commissions, fees and other expenses, including brokerage commissions and transfer taxes, incurred in connection with the purchase or sale of rights. The unexercised rights will be listed for trading on the NASDAQ Capital Market and on the Tel Aviv Stock Exchange for one day only on January 9, 2006 . For further details regarding trading in our rights, please see “The Rights Offering—Transferability of Rights.”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Some of the tax consequences of selling your rights for certain U.S. and Israeli shareholders are described herein under the heading “Material Income Tax Considerations.” You are, however, advised to seek specific tax advice from your personal tax advisor, as this prospectus does not summarize all tax consequences arising under U.S. state tax laws, tax laws outside of the U.S. and Israel or any tax laws relating to special tax circumstances or particular types of taxpayers.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are the federal income tax and Israeli income tax consequences of exercising your rights?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receipt and exercise of your rights are intended to be nontaxable; however, no ruling from the U.S. Internal Revenue Service or the Israeli Income Tax Authority will be sought. Therefore, you should seek specific tax advice from your personal tax advisor.</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Either the receipt of rights under our employee share option plans or the sale and exercise of rights received under our employee share option plans will be taxable in the U.S. (see “Material Income Tax Considerations–United States Tax Considerations”).The receipt of rights under our employee share option plans is not taxable in Israel, however, the sale and exercise of rights received under our employee share option plans are taxable in Israel (see “Material Income Tax Considerations–Israeli Tax Considerations”). We have requested a ruling from the Israeli Tax Authority providing that the exercise of rights received under our employee share option plans will not be taxed and that the employee will only be taxed upon the sale of the debentures or the sale of the shares issued pursuant to the conversion of the debentures. We cannot assure you that we will receive a favorable ruling from the Israeli Tax Authority or whether such ruling will be provided in a timely manner.</w:t>
      </w:r>
    </w:p>
    <w:p>
      <w:pPr>
        <w:spacing w:after="0" w:line="17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Disclosure of the material income tax consequences in the United States resulting from the distribution of the rights to a U.S. holder, and related transactions by the U.S. holder, including the exercise or expiration of rights, the conversion of debentures and the disposition of rights, debentures or ordinary shares issuable upon conversion of the debentures is included under “Material Income Tax Considerations–United States Tax Considerations”. We have received an opinion of special U.S. tax counsel, Roberts &amp; Holland LLP, regarding the material federal income tax consequences. This prospectus does not conclusively summarize tax consequences arising under U.S. state tax laws, tax laws outside of the U.S. and Israel or any tax laws relating to special tax circumstances or particular types of taxpayers.</w:t>
      </w:r>
    </w:p>
    <w:p>
      <w:pPr>
        <w:sectPr>
          <w:pgSz w:w="11900" w:h="16838" w:orient="portrait"/>
          <w:cols w:equalWidth="0" w:num="1">
            <w:col w:w="11420"/>
          </w:cols>
          <w:pgMar w:left="240" w:top="131" w:right="239" w:bottom="40" w:gutter="0" w:footer="0" w:header="0"/>
        </w:sectPr>
      </w:pPr>
    </w:p>
    <w:bookmarkStart w:id="6" w:name="page7"/>
    <w:bookmarkEnd w:id="6"/>
    <w:p>
      <w:pPr>
        <w:ind w:left="360"/>
        <w:spacing w:after="0"/>
        <w:rPr>
          <w:sz w:val="20"/>
          <w:szCs w:val="20"/>
          <w:color w:val="auto"/>
        </w:rPr>
      </w:pPr>
      <w:r>
        <w:rPr>
          <w:rFonts w:ascii="Arial" w:cs="Arial" w:eastAsia="Arial" w:hAnsi="Arial"/>
          <w:sz w:val="18"/>
          <w:szCs w:val="18"/>
          <w:b w:val="1"/>
          <w:bCs w:val="1"/>
          <w:color w:val="auto"/>
        </w:rPr>
        <w:t>What happens if you choose not to exercise your rights?</w:t>
      </w:r>
    </w:p>
    <w:p>
      <w:pPr>
        <w:spacing w:after="0" w:line="299" w:lineRule="exact"/>
        <w:rPr>
          <w:sz w:val="20"/>
          <w:szCs w:val="20"/>
          <w:color w:val="auto"/>
        </w:rPr>
      </w:pPr>
    </w:p>
    <w:p>
      <w:pPr>
        <w:ind w:firstLine="345"/>
        <w:spacing w:after="0" w:line="287" w:lineRule="auto"/>
        <w:rPr>
          <w:sz w:val="20"/>
          <w:szCs w:val="20"/>
          <w:color w:val="auto"/>
        </w:rPr>
      </w:pPr>
      <w:r>
        <w:rPr>
          <w:rFonts w:ascii="Arial" w:cs="Arial" w:eastAsia="Arial" w:hAnsi="Arial"/>
          <w:sz w:val="16"/>
          <w:szCs w:val="16"/>
          <w:color w:val="auto"/>
        </w:rPr>
        <w:t>You will retain your current number of ordinary shares even if you do not exercise your rights. However, if you do not exercise your rights and other shareholders and/or eligible employee option holders who receive rights do and then convert their debentures into ordinary shares, the percentage of our ordinary shares that you own will diminish, and your voting and other rights will be diluted. For example, if only our major shareholders – Israel Corp., SanDisk Corporation, Alliance Semiconductor Corporation and Macronix International Co. Ltd., – exercise rights which they have committed to exercise for the purchase of an aggregate of $25.5 million principal amount of convertible debentures, and assuming the conversion of the $25.5 million principal amount of debentures purchased by these shareholders into our ordinary shares at a conversion price of $ 1.10 per share, the percentage of our ordinary shares held collectively by these major shareholders will increase from approximately 63% to approximately 72. 6 % (the percentage of our ordinary shares held by Israel Corp. will increase from approximately 21.3% to approximately 3 6 %), and the percentage of our ordinary shares held by our other shareholders will decrease from approximately 37% to approximately 27. 4 %. None of these major shareholders have indicated whether or not they intend to convert the debentures purchased by them in this rights offering.</w:t>
      </w:r>
    </w:p>
    <w:p>
      <w:pPr>
        <w:spacing w:after="0" w:line="17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you hold our shares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 and you do not provide notice of your exercise of the rights or give any other instructions by the time determined by your broker on January 9, 2006 (the rights trading day), under the rules of the Tel Aviv Stock Exchange, you will be considered to have provided an instruction to sell all your rights on the Tel Aviv Stock Exchange with no price limit.</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Has our board of directors made a recommendation regarding this offering?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Our board of directors makes no recommendation to you about whether you should exercise any rights.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What should you do if you want to participate in this rights offering, but your shares are held in the name of your broker, dealer or other nominee?</w:t>
      </w:r>
    </w:p>
    <w:p>
      <w:pPr>
        <w:spacing w:after="0" w:line="266"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If you are a beneficial owner of our ordinary shares and hold them through a broker, dealer or other nominee (including a member of the Tel Aviv Stock Exchange), you should expect your broker, dealer or other nominee to notify you of this rights offering and the procedures for exercising or transferring your rights. If you wish to exercise your rights, you will need to have your broker, dealer or other nominee act for you. To indicate your decision with respect to your rights, you should complete and return to your broker, dealer or other nominee the form provided to you accompanied by the subscription payment payable to your broker, dealer or other nominee. You should receive this form from your broker, custodian bank or other nominee. If you are a beneficial owner of our ordinary shares and hold them through a broker, dealer or other nominee (including a member of the Tel Aviv Stock Exchange), you should NOT return your exercise form or transfer the subscription payment directly to us. Your broker, dealer or other nominee will execute the exercise of your rights through the appropriate facilities. However, if you own your shares through a member of the Tel Aviv Stock Exchange, the rules of the Tel Aviv Stock Exchange provide that if no contrary instructions have been received from you by the time determined by your broker on January 9, 2006 (the rights trading day), you will be considered to have instructed your broker to sell all your rights on the Tel Aviv Stock Exchange with no price limit.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should you do if you are entitled to participate in this rights offering as a holder of eligible employee options?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you are a holder of employee options that entitle you to receive rights, you may receive upon request a copy of this prospectus from our Human Resources Department. The transfer and exercise of the rights granted to you by virtue of our employee share option plans are taxable (see “Material Income Tax Considerations–Israeli Tax Considerations”). As we are required to withhold the taxes that may apply to you if you exercise or transfer your rights, you must adhere to the procedures described under “The Rights Offering – Employee Option Holders.”</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fees or charges apply if you exercise your rights?</w:t>
      </w:r>
    </w:p>
    <w:p>
      <w:pPr>
        <w:spacing w:after="0" w:line="29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are not charging any fee or sales commission to issue rights to you and we are not charging any fee or sales commission, other than the subscription price, to issue the debentures if you exercise your rights. If you exercise your rights through a broker, dealer or other nominee, you are responsible for paying any fees that may be charged thereby.</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this rights offering affect the price of our ordinary shares on the Tel Aviv Stock Exchange and on NASDAQ?</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NASDAQ will not reduce the opening price of the ordinary shares at the opening of trading on the NASDAQ Ex-day, which is the first day that our ordinary shares will trade on NASDAQ without entitlement to receive the rights. The NASDAQ Ex-day will be the first trading day on NASDAQ following the record date; the NASDAQ Ex-day for the rights offering will, therefore, be December 21, 2005 . In accordance with the rules of the Tel Aviv Stock Exchange, the Tel Aviv Stock Exchange will not reduce the opening price of the ordinary shares at the opening of trading on the Tel Aviv Stock Exchange Ex-day, which is the first day that our ordinary shares will trade on the Tel Aviv Stock Exchange following the record date; the Tel Aviv Stock Exchange Ex-day for the rights offering will, therefore, be December 21 , 2005.</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When will you receive your new securities?</w:t>
      </w:r>
    </w:p>
    <w:p>
      <w:pPr>
        <w:spacing w:after="0" w:line="299"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If you exercise your rights in this rights offering and the Rights Agent has received your duly completed exercise form and your payment has cleared, your purchase of debentures will be effected at 5:00 p.m., New York City time (midnight, Israel time) on January 12, 2006 (the rights expiration date), and you will receive certificates representing the debentures purchased upon exercise of the rights as soon as practicable thereafter. Brokers may be unwilling to sell your debentures until you have received certificates representing your debentures. Trading in the debentures on the Tel Aviv Stock Exchange and NASDAQ will commence as soon as practicable after the rights expiration date ( January 12, 2006 ) in accordance with their respective rules.</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we withdraw the rights offering?</w:t>
      </w:r>
    </w:p>
    <w:p>
      <w:pPr>
        <w:spacing w:after="0" w:line="299" w:lineRule="exact"/>
        <w:rPr>
          <w:sz w:val="20"/>
          <w:szCs w:val="20"/>
          <w:color w:val="auto"/>
        </w:rPr>
      </w:pPr>
    </w:p>
    <w:p>
      <w:pPr>
        <w:ind w:right="120" w:firstLine="345"/>
        <w:spacing w:after="0" w:line="332" w:lineRule="auto"/>
        <w:rPr>
          <w:sz w:val="20"/>
          <w:szCs w:val="20"/>
          <w:color w:val="auto"/>
        </w:rPr>
      </w:pPr>
      <w:r>
        <w:rPr>
          <w:rFonts w:ascii="Arial" w:cs="Arial" w:eastAsia="Arial" w:hAnsi="Arial"/>
          <w:sz w:val="16"/>
          <w:szCs w:val="16"/>
          <w:color w:val="auto"/>
        </w:rPr>
        <w:t>Yes. Our board of directors may withdraw the rights offering in its sole discretion at any time prior to 5:00 p.m. New York City time (midnight, Israel time) on December 20 , 2005 (the record date), for any reason (including, without limitation, a change in the market price of our ordinary shares).</w:t>
      </w:r>
    </w:p>
    <w:p>
      <w:pPr>
        <w:sectPr>
          <w:pgSz w:w="11900" w:h="16838" w:orient="portrait"/>
          <w:cols w:equalWidth="0" w:num="1">
            <w:col w:w="11400"/>
          </w:cols>
          <w:pgMar w:left="240" w:top="125" w:right="259" w:bottom="0" w:gutter="0" w:footer="0" w:header="0"/>
        </w:sectPr>
      </w:pPr>
    </w:p>
    <w:bookmarkStart w:id="7" w:name="page8"/>
    <w:bookmarkEnd w:id="7"/>
    <w:p>
      <w:pPr>
        <w:ind w:left="360"/>
        <w:spacing w:after="0"/>
        <w:rPr>
          <w:sz w:val="20"/>
          <w:szCs w:val="20"/>
          <w:color w:val="auto"/>
        </w:rPr>
      </w:pPr>
      <w:r>
        <w:rPr>
          <w:rFonts w:ascii="Arial" w:cs="Arial" w:eastAsia="Arial" w:hAnsi="Arial"/>
          <w:sz w:val="18"/>
          <w:szCs w:val="18"/>
          <w:b w:val="1"/>
          <w:bCs w:val="1"/>
          <w:color w:val="auto"/>
        </w:rPr>
        <w:t>How much money will we receive from the rights offering?</w:t>
      </w:r>
    </w:p>
    <w:p>
      <w:pPr>
        <w:spacing w:after="0" w:line="29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amount of gross proceeds from the rights offering depends on the number of rights that are exercised and, consequently, on the number of debentures convertible into our ordinary shares that are purchased. We will receive gross proceeds of $25.5 million from the purchase of convertible debentures by our four major shareholders as described under “The Rights Offering – Committed Purchases.” If all the rights are exercised, we will receive gross proceeds of $50 million.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Members of our management have not provided us with any indication as to whether they will exercise rights to be granted to them.</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we use the proceeds from the rights offering?</w:t>
      </w:r>
    </w:p>
    <w:p>
      <w:pPr>
        <w:spacing w:after="0" w:line="29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will use the proceeds generated from the exercise of rights in this rights offering towards the further ramp-up and deployment of Fab 2 and for marketing expenses for the sale of our products and services as well as for general corporate purposes, including working capital.</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shares will be outstanding after the rights offering if all the debentures are converted?</w:t>
      </w:r>
    </w:p>
    <w:p>
      <w:pPr>
        <w:spacing w:after="0" w:line="231"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As of the date of this prospectus, 66,932,056, of our ordinary shares were issued and outstanding. The issuance of debentures under this rights offering will not directly affect the number of our outstanding ordinary shares. However, the number of ordinary shares that will be outstanding after the conversion of the debentures depends on the number of rights that are exercised, as well as the conversion price. If all the rights are exercised in full, and assuming that all of the debentures are converted into ordinary shares at a conversion price of one ordinary share per each $ 1.10 of outstanding principal of debentures, 112,386,601 of our ordinary shares will be outstanding.</w:t>
      </w:r>
    </w:p>
    <w:p>
      <w:pPr>
        <w:spacing w:after="0" w:line="197"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If no debentures are purchased other than the $25.5 million of debentures which our four major shareholders have committed to purchase and all such debentures are converted into ordinary shares at a conversion price of $ 1.10 per share, 90,113,874 of our ordinary shares will be outstanding.</w:t>
      </w:r>
    </w:p>
    <w:p>
      <w:pPr>
        <w:spacing w:after="0" w:line="13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above numbers do not take into account any adjustment to the conversion price or the exercise or conversion of other outstanding options, warrants or other rights to purchase our ordinary shares.</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 DEVELOPMENTS</w:t>
      </w:r>
    </w:p>
    <w:p>
      <w:pPr>
        <w:spacing w:after="0" w:line="29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July 2005, we entered into an amendment to the credit facility agreement with our banks, which closed in August 2005. The amendment provides for financing from our banks in the amount of up to approximately $30 million, subject to a similar amount being raised by us from investors through the issuance of shares or convertible debentures. In connection with the amendment, our four major shareholders have agreed to invest an aggregate of $25.5 million towards this funding requirement in a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amendment to the credit facility agreement contains the following material terms: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 may draw down up to $23.5 million through the end of March 2006, $21.1 million of which has been drawn down to date.</w:t>
      </w:r>
    </w:p>
    <w:p>
      <w:pPr>
        <w:spacing w:after="0" w:line="252" w:lineRule="exact"/>
        <w:rPr>
          <w:sz w:val="20"/>
          <w:szCs w:val="20"/>
          <w:color w:val="auto"/>
        </w:rPr>
      </w:pPr>
    </w:p>
    <w:p>
      <w:pPr>
        <w:ind w:left="1160" w:right="60" w:hanging="567"/>
        <w:spacing w:after="0" w:line="255" w:lineRule="auto"/>
        <w:rPr>
          <w:sz w:val="20"/>
          <w:szCs w:val="20"/>
          <w:color w:val="auto"/>
        </w:rPr>
      </w:pPr>
      <w:r>
        <w:rPr>
          <w:rFonts w:ascii="Arial" w:cs="Arial" w:eastAsia="Arial" w:hAnsi="Arial"/>
          <w:sz w:val="18"/>
          <w:szCs w:val="18"/>
          <w:color w:val="auto"/>
        </w:rPr>
        <w:t>—We were obligated to raise at least $23.5 million through the issuance of shares or convertible debentures by October 31, 2005, which we are raising through this offering. In subsequent amendments to the credit facility agreement, this date was extended to December 31, 2005. In order for us to draw down up to an aggregate of approximately $30 million through the end of March 2006, which includes the $23.5 million currently available to us as mentioned above, we must raise an additional $6.5 million through the issuance of shares or convertible debentures by March 31, 2006.</w:t>
      </w:r>
    </w:p>
    <w:p>
      <w:pPr>
        <w:spacing w:after="0" w:line="223" w:lineRule="exact"/>
        <w:rPr>
          <w:sz w:val="20"/>
          <w:szCs w:val="20"/>
          <w:color w:val="auto"/>
        </w:rPr>
      </w:pPr>
    </w:p>
    <w:p>
      <w:pPr>
        <w:ind w:left="1160" w:right="220" w:hanging="567"/>
        <w:spacing w:after="0" w:line="268" w:lineRule="auto"/>
        <w:rPr>
          <w:sz w:val="20"/>
          <w:szCs w:val="20"/>
          <w:color w:val="auto"/>
        </w:rPr>
      </w:pPr>
      <w:r>
        <w:rPr>
          <w:rFonts w:ascii="Arial" w:cs="Arial" w:eastAsia="Arial" w:hAnsi="Arial"/>
          <w:sz w:val="18"/>
          <w:szCs w:val="18"/>
          <w:color w:val="auto"/>
        </w:rPr>
        <w:t>—Loans under the amendment are to be repaid within 12 to 15 months from the date the loan is received by us; our banks have agreed to discuss (but without any obligation on their part to agree) longer repayment schedules.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loans under the amendment bear interest at an annual rate of three-month Libor plus 2.5%.</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52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 issued warrants to our banks exercisable for 8,264,464 ordinary shares with an exercise price of $1.21 per share, one-half of which are exercisable only if and when our banks agree to reschedule the repayment dates of the loans under this amendment.</w:t>
      </w:r>
    </w:p>
    <w:p>
      <w:pPr>
        <w:spacing w:after="0" w:line="166" w:lineRule="exact"/>
        <w:rPr>
          <w:sz w:val="20"/>
          <w:szCs w:val="20"/>
          <w:color w:val="auto"/>
        </w:rPr>
      </w:pPr>
    </w:p>
    <w:p>
      <w:pPr>
        <w:ind w:left="1160" w:right="28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obligation to raise $26 million from specified sources, in addition to the $30 million described above, was postponed from December 31, 2005 to June 30, 2006 (See “Description of Debentures – Subordination of Debentures – Events of Default under the Facility Agreement”).</w:t>
      </w:r>
    </w:p>
    <w:p>
      <w:pPr>
        <w:spacing w:after="0" w:line="166" w:lineRule="exact"/>
        <w:rPr>
          <w:sz w:val="20"/>
          <w:szCs w:val="20"/>
          <w:color w:val="auto"/>
        </w:rPr>
      </w:pPr>
    </w:p>
    <w:p>
      <w:pPr>
        <w:ind w:left="1160" w:right="4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Israel Corp. invests at least $14 million through the purchase of the convertible debentures or equity, its undertaking in favor of our banks to purchase securities from us in the event we fail to raise the $26 million from specified sources by June 30, 2006 will terminate (See “Description of Debentures – Subordination of Debentures –Events of Default under the Facility Agreement”).</w:t>
      </w:r>
    </w:p>
    <w:p>
      <w:pPr>
        <w:spacing w:after="0" w:line="187" w:lineRule="exact"/>
        <w:rPr>
          <w:sz w:val="20"/>
          <w:szCs w:val="20"/>
          <w:color w:val="auto"/>
        </w:rPr>
      </w:pPr>
    </w:p>
    <w:p>
      <w:pPr>
        <w:ind w:left="1160" w:right="40" w:hanging="567"/>
        <w:spacing w:after="0" w:line="268" w:lineRule="auto"/>
        <w:rPr>
          <w:sz w:val="20"/>
          <w:szCs w:val="20"/>
          <w:color w:val="auto"/>
        </w:rPr>
      </w:pPr>
      <w:r>
        <w:rPr>
          <w:rFonts w:ascii="Arial" w:cs="Arial" w:eastAsia="Arial" w:hAnsi="Arial"/>
          <w:sz w:val="18"/>
          <w:szCs w:val="18"/>
          <w:color w:val="auto"/>
        </w:rPr>
        <w:t>—Israel Corp.‘s undertaking in favor of our banks to purchase securities from us in the event we fail to raise the $26 million from specified sources by June 30, 2006 was extended from June 30, 2006 to December 31, 2006.</w:t>
      </w:r>
    </w:p>
    <w:p>
      <w:pPr>
        <w:spacing w:after="0" w:line="212" w:lineRule="exact"/>
        <w:rPr>
          <w:sz w:val="20"/>
          <w:szCs w:val="20"/>
          <w:color w:val="auto"/>
        </w:rPr>
      </w:pPr>
    </w:p>
    <w:p>
      <w:pPr>
        <w:ind w:left="1160" w:right="220" w:hanging="567"/>
        <w:spacing w:after="0" w:line="268" w:lineRule="auto"/>
        <w:rPr>
          <w:sz w:val="20"/>
          <w:szCs w:val="20"/>
          <w:color w:val="auto"/>
        </w:rPr>
      </w:pPr>
      <w:r>
        <w:rPr>
          <w:rFonts w:ascii="Arial" w:cs="Arial" w:eastAsia="Arial" w:hAnsi="Arial"/>
          <w:sz w:val="18"/>
          <w:szCs w:val="18"/>
          <w:color w:val="auto"/>
        </w:rPr>
        <w:t>—We must comply with updated financial ratios and covenants through September 30, 2006, which relate to periodic sales and periodic earnings before interest, taxes, depreciation and amortization (EBITDA).</w:t>
      </w:r>
    </w:p>
    <w:p>
      <w:pPr>
        <w:sectPr>
          <w:pgSz w:w="11900" w:h="16838" w:orient="portrait"/>
          <w:cols w:equalWidth="0" w:num="1">
            <w:col w:w="11380"/>
          </w:cols>
          <w:pgMar w:left="240" w:top="125" w:right="279" w:bottom="54"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9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debentures that are convertible into our ordinary shares.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Affecting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raise the funds required by the amendment to our credit facility agreement, we may not be able to maintain our operations.</w:t>
      </w:r>
    </w:p>
    <w:p>
      <w:pPr>
        <w:spacing w:after="0" w:line="25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accordance with the July 2005 amendment to our credit facility agreement, which was subsequently further amended, in addition to $26 million which we are required to raise by the end of June 2006, we are required to raise $23.5 million by December 31, 2005, and an additional $6.5 million by March 31, 2006 through sales of equity or convertible debentures. If we are unable to raise the $23.5 million amount described above, we do not expect to have adequate liquidity to meet our short-term activities and liabilities during the next two to four months and may have to cease our operations. If we raise the $23.5 million and the $6.5 million amounts in accordance with our amended facility agreement, we will still need to raise additional funds in order to finance our short-term activities and liabilities in 2006, at least until we achieve positive cash flows from our operations. (For a description of the material terms of the July 2005 amendment to our credit facility agreement, see “Recent Developments” above.)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If we do not complete the equipment installation, technology transfer and ramp-up of production in Fab 2, our business will be materially adversely affected.</w:t>
      </w:r>
    </w:p>
    <w:p>
      <w:pPr>
        <w:spacing w:after="0" w:line="180"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color w:val="auto"/>
        </w:rPr>
        <w:t>Fab 2 production capacity at the end of September 2005 was 14,600 200-mm wafers per month and we currently expect to have production capacity of 15,400 wafers per month by the end of 2005. Depending on the process technology and product mix, when fully ramped-up we estimate that Fab 2 will be able to achieve capacity levels of up to 36,000 wafers per month. We have not completed the acquisition, installation, equipping and financing necessary in order for production at our Fab 2 facility to reach such levels. Our determination as to the timing of the increase in Fab 2‘s production levels is dependent on prevailing and forecasted market conditions and our ability to fund these increases. We need to complete the qualification process of the 0.13-micron technology transferred from Freescale Semiconductor, Inc. (formerly Motorola, Inc.) to Fab 2 and develop new process technologies for Fab 2 in order to suit our customers’ needs. The ramp-up of Fab 2 is a substantial and complex project.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have sufficient funds to fully equip Fab 2, our business will be materially adversely affected.</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Fab 2‘s cost is estimated to be approximately $1.5 billion, including costs of construction, equipment, installation, libraries, intellectual property, technology transfers and other related ramp-up and pre-operation costs. However, the actual total cost of Fab 2 may exceed our estimates. If we cannot successfully raise sufficient funding to complete the ramp-up and to fund other related costs, we will be required to scale back our equipment purchases and capacity forecasts, and, as a result, we will not fully utilize the substantial investment made in constructing Fab 2, which will adversely affect our financial results.</w:t>
      </w:r>
    </w:p>
    <w:p>
      <w:pPr>
        <w:spacing w:after="0" w:line="16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If the Investment Center will not approve our request for a new expansion program, we would be required to seek alternative financing sources to complete the ramp-up of Fab 2, which may not be available. Our expected failure not to complete investments in the amount of $1.25 billion by the end of 2005, may result in the Investment Center requiring us to repay all or a portion of the grants already received, and if we are unable to refund such grants, we may have to close our operations.</w:t>
      </w:r>
    </w:p>
    <w:p>
      <w:pPr>
        <w:spacing w:after="0" w:line="196"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In connection with Fab 2, we received approval for grants and tax benefits from the Investment Center of the government of Israel under its Approved Enterprise Program. Under the terms of the approval, we are eligible to receive grants of 20% of up to $1.25 billion invested in Fab 2 plant and equipment, or an aggregate of up to $250 million. As of September 30, 2005, we received $156.7 million in grants from the Investment Center. Our eligibility to receive grants is with respect to investments in Fab 2 plant and equipment made by the end of 2005. We do not expect to complete investments in the amount of $1.25 billion by the end of 2005,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Any failure by us to meet the conditions of our grants may result in the cancellation of all or a portion of our grants to be received and tax benefits and in the Investment Center requiring us to repay all or a portion of grants already received.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on January 1, 2006. In 2005, at the Investment Center’s request, we submitted a revised business plan to the Investment Center for the period commencing on January 1, 2006. Currently, we cannot estimate when the Investment Center will conclude its review of our revised business plan, when we will receive a formal response to our request for a new expansion program to commence on January 1, 2006 or if the Investment Center will approve our request. If the Investment Center will not approve our request for a new expansion program, we would be required to seek alternative financing sources to complete the ramp-up of Fab 2,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alternative financing sources to refund the grants we received and if we do not succeed in finding such alternative financing sources, we may have to close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future operations do not increase or if we fail to raise additional funding, we may be unable to repay our debt on a timely basis.</w:t>
      </w:r>
    </w:p>
    <w:p>
      <w:pPr>
        <w:spacing w:after="0" w:line="231" w:lineRule="exact"/>
        <w:rPr>
          <w:sz w:val="20"/>
          <w:szCs w:val="20"/>
          <w:color w:val="auto"/>
        </w:rPr>
      </w:pPr>
    </w:p>
    <w:p>
      <w:pPr>
        <w:jc w:val="both"/>
        <w:ind w:right="140" w:firstLine="348"/>
        <w:spacing w:after="0" w:line="298" w:lineRule="auto"/>
        <w:rPr>
          <w:sz w:val="20"/>
          <w:szCs w:val="20"/>
          <w:color w:val="auto"/>
        </w:rPr>
      </w:pPr>
      <w:r>
        <w:rPr>
          <w:rFonts w:ascii="Arial" w:cs="Arial" w:eastAsia="Arial" w:hAnsi="Arial"/>
          <w:sz w:val="16"/>
          <w:szCs w:val="16"/>
          <w:color w:val="auto"/>
        </w:rPr>
        <w:t>We may from time to time lack liquidity to finance our ramp up of Fab 2. Accordingly, there is no assurance that our future operations will increase or that we will succeed in raising the additional funding required for the completion of the ramp up of Fab 2. As a result, we may be unable to repay on time or repay at all our short-term and long-term debt consisting mainly of trade accounts payable, bank debt and convertible debentures. If we foresee that we will be unable to secure additional financing, we may have to revise our anticipated operations, or even cease our operations. We cannot assure you we will be successful at</w:t>
      </w:r>
    </w:p>
    <w:p>
      <w:pPr>
        <w:sectPr>
          <w:pgSz w:w="11900" w:h="16838" w:orient="portrait"/>
          <w:cols w:equalWidth="0" w:num="1">
            <w:col w:w="11420"/>
          </w:cols>
          <w:pgMar w:left="240" w:top="125" w:right="239" w:bottom="0" w:gutter="0" w:footer="0" w:header="0"/>
        </w:sectPr>
      </w:pPr>
    </w:p>
    <w:bookmarkStart w:id="9" w:name="page10"/>
    <w:bookmarkEnd w:id="9"/>
    <w:p>
      <w:pPr>
        <w:ind w:right="220"/>
        <w:spacing w:after="0" w:line="268" w:lineRule="auto"/>
        <w:rPr>
          <w:sz w:val="20"/>
          <w:szCs w:val="20"/>
          <w:color w:val="auto"/>
        </w:rPr>
      </w:pPr>
      <w:r>
        <w:rPr>
          <w:rFonts w:ascii="Arial" w:cs="Arial" w:eastAsia="Arial" w:hAnsi="Arial"/>
          <w:sz w:val="18"/>
          <w:szCs w:val="18"/>
          <w:color w:val="auto"/>
        </w:rPr>
        <w:t>negotiating price reductions and arrangements to slow down or postpone payments to our suppliers and service providers when we have liquidity problems and any postponement of payments may delay our ramp-up of Fab 2 and therefore significantly harm our financial results.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8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have a history of operating losses and expect to operate at a loss for the foreseeable future; our facilities must operate at high utilization rates for us to be profitable.</w:t>
      </w:r>
    </w:p>
    <w:p>
      <w:pPr>
        <w:spacing w:after="0" w:line="18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for us to be profitable.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operate at a loss for the foreseeable future, which may adversely affect our business and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1160" w:right="400" w:hanging="567"/>
        <w:spacing w:after="0" w:line="268" w:lineRule="auto"/>
        <w:rPr>
          <w:sz w:val="20"/>
          <w:szCs w:val="20"/>
          <w:color w:val="auto"/>
        </w:rPr>
      </w:pPr>
      <w:r>
        <w:rPr>
          <w:rFonts w:ascii="Arial" w:cs="Arial" w:eastAsia="Arial" w:hAnsi="Arial"/>
          <w:sz w:val="18"/>
          <w:szCs w:val="18"/>
          <w:color w:val="auto"/>
        </w:rPr>
        <w:t>—The loss of a key customer, postponement of an order from a key customer, failure of a key customer to pay accounts receivables in a timely manner or the financial condition of our customers;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of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w:t>
      </w:r>
    </w:p>
    <w:p>
      <w:pPr>
        <w:spacing w:after="0" w:line="200" w:lineRule="exact"/>
        <w:rPr>
          <w:sz w:val="20"/>
          <w:szCs w:val="20"/>
          <w:color w:val="auto"/>
        </w:rPr>
      </w:pPr>
    </w:p>
    <w:p>
      <w:pPr>
        <w:spacing w:after="0" w:line="268"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w:t>
      </w:r>
    </w:p>
    <w:p>
      <w:pPr>
        <w:spacing w:after="0" w:line="133"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ectPr>
          <w:pgSz w:w="11900" w:h="16838" w:orient="portrait"/>
          <w:cols w:equalWidth="0" w:num="1">
            <w:col w:w="11420"/>
          </w:cols>
          <w:pgMar w:left="240" w:top="131" w:right="239" w:bottom="0" w:gutter="0" w:footer="0" w:header="0"/>
        </w:sectPr>
      </w:pPr>
    </w:p>
    <w:bookmarkStart w:id="10" w:name="page11"/>
    <w:bookmarkEnd w:id="10"/>
    <w:p>
      <w:pPr>
        <w:spacing w:after="0" w:line="12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cycles may be long and, as a result, orders received may not meet our expectations which may adversely affect our operating results.</w:t>
      </w:r>
    </w:p>
    <w:p>
      <w:pPr>
        <w:spacing w:after="0" w:line="2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dependent on the demand in our customers’ end markets.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attract additional customers, our business may be adversely affected.</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For the nine months ended September 30, 2005, approximately 56% of our business was generated by five significant customers that contributed 23%, 12%, 11%, 5%, and 5% of our revenues, respectively. We expect to continue to receive a significant portion of our revenue from a limited number of customers in 2005. Loss or cancellation of business from, or decreases in, the sales volume or sales prices to our significant customers, could seriously harm our financial results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small number of products for a significant portion of our revenues.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receive orders from our wafer partners we may have excess capacity.</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not be able to attract new ones.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evolving industry standards;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at all or in a timely manner.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we will lose business to our competitors.</w:t>
      </w:r>
    </w:p>
    <w:p>
      <w:pPr>
        <w:spacing w:after="0" w:line="231" w:lineRule="exact"/>
        <w:rPr>
          <w:sz w:val="20"/>
          <w:szCs w:val="20"/>
          <w:color w:val="auto"/>
        </w:rPr>
      </w:pPr>
    </w:p>
    <w:p>
      <w:pPr>
        <w:jc w:val="both"/>
        <w:ind w:right="460" w:firstLine="348"/>
        <w:spacing w:after="0" w:line="306" w:lineRule="auto"/>
        <w:rPr>
          <w:sz w:val="20"/>
          <w:szCs w:val="20"/>
          <w:color w:val="auto"/>
        </w:rPr>
      </w:pPr>
      <w:r>
        <w:rPr>
          <w:rFonts w:ascii="Arial" w:cs="Arial" w:eastAsia="Arial" w:hAnsi="Arial"/>
          <w:sz w:val="16"/>
          <w:szCs w:val="16"/>
          <w:color w:val="auto"/>
        </w:rPr>
        <w:t>The semiconductor foundry industry is highly competitive. We compete with more than ten independent dedicated foundries, the majority of which are located in Asia-Pacific, including new foundries based in Taiwan, China, Korea and Malaysia, and with over 20 integrated semiconductor and end-product manufacturers that allocate a portion of their manufacturing capacity to foundry operations. The foundries with which we compete benefit from their close</w:t>
      </w:r>
    </w:p>
    <w:p>
      <w:pPr>
        <w:sectPr>
          <w:pgSz w:w="11900" w:h="16958" w:orient="portrait"/>
          <w:cols w:equalWidth="0" w:num="1">
            <w:col w:w="11420"/>
          </w:cols>
          <w:pgMar w:left="240" w:top="131" w:right="239" w:bottom="0" w:gutter="0" w:footer="0" w:header="0"/>
        </w:sectPr>
      </w:pPr>
    </w:p>
    <w:bookmarkStart w:id="11" w:name="page12"/>
    <w:bookmarkEnd w:id="11"/>
    <w:p>
      <w:pPr>
        <w:ind w:right="600"/>
        <w:spacing w:after="0" w:line="268" w:lineRule="auto"/>
        <w:rPr>
          <w:sz w:val="20"/>
          <w:szCs w:val="20"/>
          <w:color w:val="auto"/>
        </w:rPr>
      </w:pPr>
      <w:r>
        <w:rPr>
          <w:rFonts w:ascii="Arial" w:cs="Arial" w:eastAsia="Arial" w:hAnsi="Arial"/>
          <w:sz w:val="18"/>
          <w:szCs w:val="18"/>
          <w:color w:val="auto"/>
        </w:rPr>
        <w:t>proximity to other companies involved in the design and manufacture of integrated circuits, or ICs. Many of our competitors may have one or more of the following competitive advantages over 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large amount of debt which could have significant negative consequences.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a large amount of long-term debt, which could have significant negative consequences. As of October 31, 2005, we had $518.1 million of bank debt and approximately $25.7 million of debt in connection with our issuance of convertible debentures in January 2002. In addition, the debentures that may be issued in connection with this rights offering will increase our amount of long-term debt. Our current and future indebtedness could have significant negative consequences, including:</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placing us at a competitive disadvantage to less leveraged competitors and competitors that have better access to capital resources;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satisfy the covenants set forth in our amended credit facility, our banks will be able to call our loans.</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credit facility, under which we have drawn down $518.1 million to date, requires that we comply with certain financial, capital raising and production milestone covenants. In the July 2005 amendment to our credit facility agreement, our banks agreed to amend our financial ratios and covenants through the third quarter of 2006. (For a description of the material terms of the July 2005 amendment to our credit facility agreement, see “Recent Developments” above.) Should we fail to comply with our revised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banking laws may impose restrictions on the total debt that we may borrow from our banks.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Pursuant to an amendment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provides for limits on amounts that banks may lend to borrowers or groups of borrowers. Should our banks exceed these limitations, they may limit our ability to borrow other money in the future and may require us to return some or all of our outstanding borrowings (which were $518.1 million as of October 31, 2005), which may have a material adverse effect on our business, financial condition and results of operations.</w:t>
      </w:r>
    </w:p>
    <w:p>
      <w:pPr>
        <w:spacing w:after="0" w:line="19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we experience difficulty in achieving acceptable device yields, product performance and delivery times as a result of manufacturing problems, our business will be adversely affected.</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16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ectPr>
          <w:pgSz w:w="11900" w:h="16838" w:orient="portrait"/>
          <w:cols w:equalWidth="0" w:num="1">
            <w:col w:w="11420"/>
          </w:cols>
          <w:pgMar w:left="240" w:top="131" w:right="239" w:bottom="0" w:gutter="0" w:footer="0" w:header="0"/>
        </w:sectPr>
      </w:pPr>
    </w:p>
    <w:bookmarkStart w:id="12" w:name="page13"/>
    <w:bookmarkEnd w:id="12"/>
    <w:p>
      <w:pPr>
        <w:ind w:right="40" w:firstLine="348"/>
        <w:spacing w:after="0" w:line="291" w:lineRule="auto"/>
        <w:rPr>
          <w:sz w:val="20"/>
          <w:szCs w:val="20"/>
          <w:color w:val="auto"/>
        </w:rPr>
      </w:pPr>
      <w:r>
        <w:rPr>
          <w:rFonts w:ascii="Arial" w:cs="Arial" w:eastAsia="Arial" w:hAnsi="Arial"/>
          <w:sz w:val="16"/>
          <w:szCs w:val="16"/>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currency exchange and interest rate fluctuations may increase our cost of operations.</w:t>
      </w:r>
    </w:p>
    <w:p>
      <w:pPr>
        <w:spacing w:after="0" w:line="23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Almost all of our cash generated from operations and from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94"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61"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operating and financing activities.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depend on third party intellectual property in order for us to provide foundry and design services to our clients. If problems or delays arise with respect to the timely development, quality and provision of such intellectual property to us, our customers’ design and production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defend our intellectual property rights could harm our business.</w:t>
      </w:r>
    </w:p>
    <w:p>
      <w:pPr>
        <w:spacing w:after="0" w:line="25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ability to compete successfully depends on our ability to operate without infringing on the proprietary rights of others and defend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 One of these agreements expires at the end of 2005, and if we are unable to extend or renew it on similar terms, we may have to agree to less favorable terms or consider other alternatives, including designing around certain processes.</w:t>
      </w:r>
    </w:p>
    <w:p>
      <w:pPr>
        <w:spacing w:after="0" w:line="172"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and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As of September 30, 2005, we held 54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ectPr>
          <w:pgSz w:w="11900" w:h="16838" w:orient="portrait"/>
          <w:cols w:equalWidth="0" w:num="1">
            <w:col w:w="11420"/>
          </w:cols>
          <w:pgMar w:left="240" w:top="131" w:right="239" w:bottom="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3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312"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repay grants to the Israel Investment Center that we received in connection with Fab 1.</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Since 2003, we have made substantial sales to customers located in Asia-Pacific and in Europe. Because of our international operations, we are vulnerable to the following risks:</w:t>
      </w:r>
    </w:p>
    <w:p>
      <w:pPr>
        <w:spacing w:after="0" w:line="186" w:lineRule="exact"/>
        <w:rPr>
          <w:sz w:val="20"/>
          <w:szCs w:val="20"/>
          <w:color w:val="auto"/>
        </w:rPr>
      </w:pPr>
    </w:p>
    <w:p>
      <w:pPr>
        <w:ind w:left="1160" w:right="48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general geopolitical risks such as political and economic instability, potential hostilities and changes in diplomatic and trade relationships;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 such as the earthquakes experienced in China, Japan and Taiwan;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reduced sales to our customers or interruption in our manufacturing processes in Asia Pacific that may arise from regional issues in Asia;</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new executive officers are unable to fully transition into their new positions, our company may be adversely affected.</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made several changes to our senior management team in recent months. If our new executive officers are unable to fully transition into their new positions, or if such transition is significantly delayed, our company may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are unable to retain and recruit qualified personnel.</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Ordinary Shares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in the future.</w:t>
      </w:r>
    </w:p>
    <w:p>
      <w:pPr>
        <w:sectPr>
          <w:pgSz w:w="11900" w:h="16838" w:orient="portrait"/>
          <w:cols w:equalWidth="0" w:num="1">
            <w:col w:w="11400"/>
          </w:cols>
          <w:pgMar w:left="240" w:top="125" w:right="259" w:bottom="0" w:gutter="0" w:footer="0" w:header="0"/>
        </w:sectPr>
      </w:pPr>
    </w:p>
    <w:bookmarkStart w:id="14" w:name="page15"/>
    <w:bookmarkEnd w:id="14"/>
    <w:p>
      <w:pPr>
        <w:ind w:right="12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8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Issuance of additional shares pursuant to our Fab 2 financing arrangements and options granted to our Fab 2 building contractor, employees and directors may dilute the interest of our shareholders.</w:t>
      </w:r>
    </w:p>
    <w:p>
      <w:pPr>
        <w:spacing w:after="0" w:line="180" w:lineRule="exact"/>
        <w:rPr>
          <w:sz w:val="20"/>
          <w:szCs w:val="20"/>
          <w:color w:val="auto"/>
        </w:rPr>
      </w:pPr>
    </w:p>
    <w:p>
      <w:pPr>
        <w:ind w:right="220" w:firstLine="351"/>
        <w:spacing w:after="0" w:line="312" w:lineRule="auto"/>
        <w:rPr>
          <w:sz w:val="20"/>
          <w:szCs w:val="20"/>
          <w:color w:val="auto"/>
        </w:rPr>
      </w:pPr>
      <w:r>
        <w:rPr>
          <w:rFonts w:ascii="Arial" w:cs="Arial" w:eastAsia="Arial" w:hAnsi="Arial"/>
          <w:sz w:val="15"/>
          <w:szCs w:val="15"/>
          <w:color w:val="auto"/>
        </w:rPr>
        <w:t>In connection with Fab 2, we have issued as of October 31, 2005, 54,638,047 ordinary shares to our wafer and equity partners and other shareholders. In January 2001, we issued warrants to our banks exercisable into 400,000 ordinary shares with an exercise price of $6.20. In December 2003, we issued to our banks and to one of our shareholders warrants exercisable into 896,596 and 58,906 ordinary shares, respectively, with an exercise price of $6.17. In addition, in connection with the July 2005 amendment to our credit facility agreement, we issued warrants to our banks exercisable into 8,264,464 ordinary shares with an exercise price of $1.21, one-half of which shall only be exercisable if our banks agree to reschedule the repayment dates of the loans to be made available to us under the July 2005 amendment. Up to approximately 8.5 million additional ordinary shares may be issued upon the conversion of our outstanding convertible debentures and upon exercise of warrants held by some of our shareholders and others, our debenture holders and our Fab 2 contractor.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addition, as of September 30, 2005, we had outstanding employee and directors options to purchase up to approximately 13.2 million shares at a weighted average exercise price of $4.19.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relevant quarter. As of October 31, 2005, we had issued 1,286,574 of our ordinary shares to SanDisk Corporation and 62,849 ordinary shares to Alliance Semiconductor upon conversion of $2.33 million of wafer credits. As of October 31, 2005, an aggregate of $37.8 million of credits issued to our three major wafer partners were outstanding.</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addition, we need to raise significant additional funds from other sources to finance our short-term activities and liabilities and negative cash flows from operations, as well as to complete the ramp-up of Fab 2. We are regularly engaged in discussions with potential investors in order to attract them to make investments in our company. No understandings have been 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sales of large amounts of our shares eligible for future sale may lower the price of our ordinary shares.</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Of our 66,932,056 outstanding ordinary shares as of October 31, 2005, 24,656,189 are freely tradable and held by non-affiliates, and an additional 41,905 shares held by non-affiliates are eligible for sale pursuant to Rule 144 under the Securities Act of 1933, subject to the time, volume and manner of sale limitations of Rule 144. In addition, certain of our affiliates (Israel Corp., SanDisk Corporation, Alliance Semiconductor, and Macronix International) hold 42,233,962 of our shares, of which 4,086,037 are registered for resale and are therefore freely tradable and 36,915,665 are currently eligible for sale subject to the time, volume and manner of sale limitations of Rule 144. On December 2, 2005, Alliance Semiconductor filed a Form 144 with the Securities and Exchange Commission to sell 662,860 of our shares. An additional 1,232,260 shares held by SanDisk Corporation will become eligible for sale subject to the time, volume and manner of sale limitations of Rule 144 during 2005 and 2006. Shares held by these affiliates are subject to the share transfer restrictions set forth in the shareholders agreement to which they are a party and which remain in effect through January 2008.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17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principal shareholders collectively own a controlling interest in us and will be able to exercise their interest in ways which may be adverse to your interests.</w:t>
      </w:r>
    </w:p>
    <w:p>
      <w:pPr>
        <w:spacing w:after="0" w:line="18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wafer partners and Israel Corp. collectively own approximately 63%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the Rights Offering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do not exercise all of your rights, you may suffer significant dilution of your percentage ownership of our ordinary shares.</w:t>
      </w:r>
    </w:p>
    <w:p>
      <w:pPr>
        <w:spacing w:after="0" w:line="231" w:lineRule="exact"/>
        <w:rPr>
          <w:sz w:val="20"/>
          <w:szCs w:val="20"/>
          <w:color w:val="auto"/>
        </w:rPr>
      </w:pPr>
    </w:p>
    <w:p>
      <w:pPr>
        <w:jc w:val="both"/>
        <w:ind w:firstLine="348"/>
        <w:spacing w:after="0" w:line="314" w:lineRule="auto"/>
        <w:rPr>
          <w:sz w:val="20"/>
          <w:szCs w:val="20"/>
          <w:color w:val="auto"/>
        </w:rPr>
      </w:pPr>
      <w:r>
        <w:rPr>
          <w:rFonts w:ascii="Arial" w:cs="Arial" w:eastAsia="Arial" w:hAnsi="Arial"/>
          <w:sz w:val="15"/>
          <w:szCs w:val="15"/>
          <w:color w:val="auto"/>
        </w:rPr>
        <w:t>This rights offering is designed to enable us to raise capital while allowing all shareholders on the record date to invest in our company. The interests of all shareholders, including those who exercise all of the rights we are distributing will be diluted to the extent that the eligible employee option holders exercise the rights being granted to them and convert the debentures purchased thereunder into our ordinary shares. In connection with the July 2005 amendment to our credit facility agreement, two of our major shareholders have committed and are obligated to exercise all or some of the rights distributed to them. Israel Corp., which as of the date of this prospectus owns approximately 21.3% of our outstanding share capital on a non-diluted basis, has committed and is obligated to exercise 100% of its rights for the purchase of approximately $10.26 million of debentures. SanDisk Corporation, which as of the date of this prospectus owns approximately</w:t>
      </w:r>
    </w:p>
    <w:p>
      <w:pPr>
        <w:sectPr>
          <w:pgSz w:w="11900" w:h="16838" w:orient="portrait"/>
          <w:cols w:equalWidth="0" w:num="1">
            <w:col w:w="11420"/>
          </w:cols>
          <w:pgMar w:left="240" w:top="131" w:right="239" w:bottom="0" w:gutter="0" w:footer="0" w:header="0"/>
        </w:sectPr>
      </w:pPr>
    </w:p>
    <w:bookmarkStart w:id="15" w:name="page16"/>
    <w:bookmarkEnd w:id="15"/>
    <w:p>
      <w:pPr>
        <w:ind w:right="20"/>
        <w:spacing w:after="0" w:line="286" w:lineRule="auto"/>
        <w:rPr>
          <w:sz w:val="20"/>
          <w:szCs w:val="20"/>
          <w:color w:val="auto"/>
        </w:rPr>
      </w:pPr>
      <w:r>
        <w:rPr>
          <w:rFonts w:ascii="Arial" w:cs="Arial" w:eastAsia="Arial" w:hAnsi="Arial"/>
          <w:sz w:val="16"/>
          <w:szCs w:val="16"/>
          <w:color w:val="auto"/>
        </w:rPr>
        <w:t>15.3% of our outstanding share capital on a non-diluted basis, has committed and is obligated to exercise approximately 47.6% of its rights for the purchase of $3.5 million of debentures. In addition, Alliance Semiconductor and Macronix International Co. Ltd., which as of the date of this prospectus own approximately 13.4% and 13.1%, respectively, of our outstanding share capital on a non-diluted basis, have committed to exercise approximately 15.5% and 15.8%, respectively, of their rights, for the purchase of $1 million each of debentures. If, prior to the record date, Alliance Semiconductor were to sell 662,860 of our shares further to its filing of a Form 144 with the Securities and Exchange Commission on December 2, 2005 for the sale of 662,860 shares, it will own approximately 12.4% of our outstanding share capital as of the record date, and its commitment to purchase $1 million of debentures would reflect an exercise of approximately 16.7% of its total rights. In addition, SanDisk Corporation, Alliance Semiconductor, Macronix International Co. Ltd. and Quicklogic Corporation have agreed to transfer to Israel Corp. a portion of their unexercised rights, which Israel Corp. has committed and is obligated to exercise, such that Israel Corp. will purchase an aggregate of $20 million in debentures (including the $10.26 million referred to above). To the extent that you do not exercise your rights, but rights are exercised by other shareholders and/or eligible employee option holders who receive rights in this rights offering and the debentures purchased thereunder are converted into our ordinary shares, your percentage ownership of our expanded equity and voting rights will be diluted.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payment of principal of and interest on the debentures is subordinated to our indebtedness to our banks and obligations to secured creditors.</w:t>
      </w:r>
    </w:p>
    <w:p>
      <w:pPr>
        <w:spacing w:after="0" w:line="254"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The payment of the principal of and interest on the debentures is subordinated to the prior payment of all amounts payable by us to Bank Hapoalim B.M and Bank Leumi Le-Israel Ltd. under our credit facility agreement with them, to any obligations to the Investment Center of the Israeli Ministry of Industry, Trade and Labor related to $156.7 million in grants received through September 30, 2005 under the Investment Center’s “Approved Enterprise” program, and to a first ranking charge in favor of Siliconix Technology C.V., on one of our bank accounts in which Siliconix Technology C.V. deposited in 2004 $20 million for the purchase of equipment and other expenses in connection with the performance of our obligations under our agreement with Siliconix (of which as of September 30, 2005, there is a balance of approximately $10 million) and over the equipment which has been or which may be subsequently purchased with such funds. As a result, upon any distribution to our creditors in liquidation or reorganization or similar proceedings, these secured creditors will be entitled to be paid in full before any payment may be made with respect to the debentures issuable under this prospectus. In any of these circumstances, we may not have sufficient assets remaining to pay amounts due on any or all of the debentures then outstanding. In addition, if on a payment date of the principal of or interest on the debentures, an “Event of Default” exists under our facility agreement, the dates for payment of interest and principal on the debentures may be postponed, depending on various scenarios under the facility agreement. If, in such event, we reach an agreement with the banks (with respect to rescheduling our debt to the banks), the debenture holders may be bound thereby. The terms of the Indenture permit the Co-Trustees to initiate legal proceedings against us only in a limited number of cases, and always provided that an advance notice is given to us and to the banks (see “Description of the Debentures – Subordination of Debentures”).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including indebtedness that would be senior to our debentures.</w:t>
      </w:r>
    </w:p>
    <w:p>
      <w:pPr>
        <w:spacing w:after="0" w:line="231"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 If new indebtedness is added to our current indebtedness levels, the related risks that we now face could intensify.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ordinary shares may decline after debentures are converted into our ordinary shares.</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cannot assure you that the public trading market price of our ordinary shares will not decline after you elect to convert your debentures. If the prevailing market price were to decline below the conversion price of our debentures then you may not be able to sell your ordinary shares at a price equal to or greater than the conversion price.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Once you exercise your rights, you may not revoke the exercise.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Once you exercise your rights, you may not revoke the exercise, even if less than all of the rights that we are offering are actually exercised.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Neither the subscription price nor the conversion price of the debentures is an indication of our present or future value.</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board of directors set all of the terms and conditions of the rights offering, including the subscription price and conversion price. Our company's objective in establishing the subscription price and conversion price was to reflect recent trading prices, raise the targeted proceeds and provide all of our shareholders with a reasonable opportunity to make an additional investment in our company. We consulted with a financial advisor in order to assist in the determination of the commercial terms. In establishing the commercial terms, including the subscription price and conversion price, our board of directors and its audit committee considered the following factors: the strategic alternatives available to us for raising capital, the market price of our ordinary shares, the pro rata nature of the offering, pricing of similar transactions, the advice of the financial advisor, our business prospects and general conditions in the securities markets. The subscription price and conversion price, however, do not necessarily bear any relationship to our past or expected future results of operations, cash flows, current financial condition, or any other established criteria for value.</w:t>
      </w:r>
    </w:p>
    <w:p>
      <w:pPr>
        <w:spacing w:after="0" w:line="172"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Neither the subscription price nor the conversion price necessarily bears any relationship to the book value of our assets, past operations, cash flow, losses or financial condition. You should not consider either the subscription price for the rights nor the conversion price of the debentures as an indication of our present or future value.</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299" w:lineRule="exact"/>
        <w:rPr>
          <w:sz w:val="20"/>
          <w:szCs w:val="20"/>
          <w:color w:val="auto"/>
        </w:rPr>
      </w:pPr>
    </w:p>
    <w:p>
      <w:pPr>
        <w:ind w:right="580" w:firstLine="341"/>
        <w:spacing w:after="0" w:line="268" w:lineRule="auto"/>
        <w:rPr>
          <w:sz w:val="20"/>
          <w:szCs w:val="20"/>
          <w:color w:val="auto"/>
        </w:rPr>
      </w:pPr>
      <w:r>
        <w:rPr>
          <w:rFonts w:ascii="Arial" w:cs="Arial" w:eastAsia="Arial" w:hAnsi="Arial"/>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firstLine="351"/>
        <w:spacing w:after="0" w:line="370" w:lineRule="auto"/>
        <w:rPr>
          <w:sz w:val="20"/>
          <w:szCs w:val="20"/>
          <w:color w:val="auto"/>
        </w:rPr>
      </w:pPr>
      <w:r>
        <w:rPr>
          <w:rFonts w:ascii="Arial" w:cs="Arial" w:eastAsia="Arial" w:hAnsi="Arial"/>
          <w:sz w:val="15"/>
          <w:szCs w:val="15"/>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w:t>
      </w:r>
    </w:p>
    <w:p>
      <w:pPr>
        <w:sectPr>
          <w:pgSz w:w="11900" w:h="16838" w:orient="portrait"/>
          <w:cols w:equalWidth="0" w:num="1">
            <w:col w:w="11420"/>
          </w:cols>
          <w:pgMar w:left="240" w:top="131" w:right="239" w:bottom="0" w:gutter="0" w:footer="0" w:header="0"/>
        </w:sectPr>
      </w:pPr>
    </w:p>
    <w:bookmarkStart w:id="16" w:name="page17"/>
    <w:bookmarkEnd w:id="16"/>
    <w:p>
      <w:pPr>
        <w:spacing w:after="0" w:line="287" w:lineRule="auto"/>
        <w:rPr>
          <w:sz w:val="20"/>
          <w:szCs w:val="20"/>
          <w:color w:val="auto"/>
        </w:rPr>
      </w:pPr>
      <w:r>
        <w:rPr>
          <w:rFonts w:ascii="Arial" w:cs="Arial" w:eastAsia="Arial" w:hAnsi="Arial"/>
          <w:sz w:val="16"/>
          <w:szCs w:val="16"/>
          <w:color w:val="auto"/>
        </w:rPr>
        <w:t>has entered into various agreements with Egypt, Jordan and the Palestinian Authority, Israel has been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have no impact on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personnel to perform military service.</w:t>
      </w:r>
    </w:p>
    <w:p>
      <w:pPr>
        <w:spacing w:after="0" w:line="231" w:lineRule="exact"/>
        <w:rPr>
          <w:sz w:val="20"/>
          <w:szCs w:val="20"/>
          <w:color w:val="auto"/>
        </w:rPr>
      </w:pPr>
    </w:p>
    <w:p>
      <w:pPr>
        <w:jc w:val="both"/>
        <w:ind w:right="100" w:firstLine="351"/>
        <w:spacing w:after="0" w:line="255" w:lineRule="auto"/>
        <w:rPr>
          <w:sz w:val="20"/>
          <w:szCs w:val="20"/>
          <w:color w:val="auto"/>
        </w:rPr>
      </w:pPr>
      <w:r>
        <w:rPr>
          <w:rFonts w:ascii="Arial" w:cs="Arial" w:eastAsia="Arial" w:hAnsi="Arial"/>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recent years, Israel has experienced periods of recession in economic activity, resulting in low growth rates and growing unemployment. Our operations could be adversely affected if the economic conditions in Israel deteriorate. In addition, due to significant economic measures proposed by the Israeli government, there have been several general strikes and work stoppages in 2003 and 2004, affecting all banks, airports and ports. These strikes have had an adverse effect on the Israeli economy and on business,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exemption allowing us to operate our manufacturing facilities seven days a week is not renewed, our business will be adversely affected.</w:t>
      </w:r>
    </w:p>
    <w:p>
      <w:pPr>
        <w:spacing w:after="0" w:line="25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operate our manufacturing facilities seven days a week pursuant to an exemption from the law that requires businesses in Israel to be closed from sundown on Friday through sundown on Saturday. This exemption expires on December 31, 2005.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6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pacing w:after="0" w:line="180" w:lineRule="exact"/>
        <w:rPr>
          <w:sz w:val="20"/>
          <w:szCs w:val="20"/>
          <w:color w:val="auto"/>
        </w:rPr>
      </w:pPr>
    </w:p>
    <w:p>
      <w:pPr>
        <w:ind w:right="60" w:firstLine="348"/>
        <w:spacing w:after="0" w:line="285"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may be difficult to enforce a U.S. judgment against us, our officers and directors and some of the experts named in this prospectus or to assert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claims in Israel.</w:t>
      </w:r>
    </w:p>
    <w:p>
      <w:pPr>
        <w:spacing w:after="0" w:line="219"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312" w:lineRule="exact"/>
        <w:rPr>
          <w:sz w:val="20"/>
          <w:szCs w:val="20"/>
          <w:color w:val="auto"/>
        </w:rPr>
      </w:pPr>
    </w:p>
    <w:p>
      <w:pPr>
        <w:ind w:right="180" w:firstLine="348"/>
        <w:spacing w:after="0" w:line="318" w:lineRule="auto"/>
        <w:rPr>
          <w:sz w:val="20"/>
          <w:szCs w:val="20"/>
          <w:color w:val="auto"/>
        </w:rPr>
      </w:pPr>
      <w:r>
        <w:rPr>
          <w:rFonts w:ascii="Arial" w:cs="Arial" w:eastAsia="Arial" w:hAnsi="Arial"/>
          <w:sz w:val="15"/>
          <w:szCs w:val="15"/>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w:t>
      </w:r>
    </w:p>
    <w:p>
      <w:pPr>
        <w:sectPr>
          <w:pgSz w:w="11900" w:h="16838" w:orient="portrait"/>
          <w:cols w:equalWidth="0" w:num="1">
            <w:col w:w="11400"/>
          </w:cols>
          <w:pgMar w:left="240" w:top="131" w:right="259" w:bottom="0" w:gutter="0" w:footer="0" w:header="0"/>
        </w:sectPr>
      </w:pPr>
    </w:p>
    <w:bookmarkStart w:id="17" w:name="page18"/>
    <w:bookmarkEnd w:id="17"/>
    <w:p>
      <w:pPr>
        <w:spacing w:after="0" w:line="2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although not always, include words or phrases such as the following: “will likely result,” “are expected to,” “will continue,” “is anticipated,” “estimate,” “intends,” “plans,” “projection” and “outlook.”</w:t>
      </w:r>
    </w:p>
    <w:p>
      <w:pPr>
        <w:spacing w:after="0" w:line="186" w:lineRule="exact"/>
        <w:rPr>
          <w:sz w:val="20"/>
          <w:szCs w:val="20"/>
          <w:color w:val="auto"/>
        </w:rPr>
      </w:pPr>
    </w:p>
    <w:p>
      <w:pPr>
        <w:ind w:right="340" w:firstLine="345"/>
        <w:spacing w:after="0" w:line="335" w:lineRule="auto"/>
        <w:rPr>
          <w:sz w:val="20"/>
          <w:szCs w:val="20"/>
          <w:color w:val="auto"/>
        </w:rPr>
      </w:pPr>
      <w:r>
        <w:rPr>
          <w:rFonts w:ascii="Arial" w:cs="Arial" w:eastAsia="Arial" w:hAnsi="Arial"/>
          <w:sz w:val="15"/>
          <w:szCs w:val="15"/>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42"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ratio of earnings to fixed charges in accordance with Israeli GAAP for the periods presented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Nine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September 30, 2005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gridSpan w:val="5"/>
          </w:tcPr>
          <w:p>
            <w:pPr>
              <w:ind w:left="900"/>
              <w:spacing w:after="0"/>
              <w:rPr>
                <w:sz w:val="20"/>
                <w:szCs w:val="20"/>
                <w:color w:val="auto"/>
              </w:rPr>
            </w:pPr>
            <w:r>
              <w:rPr>
                <w:rFonts w:ascii="Arial" w:cs="Arial" w:eastAsia="Arial" w:hAnsi="Arial"/>
                <w:sz w:val="14"/>
                <w:szCs w:val="14"/>
                <w:b w:val="1"/>
                <w:bCs w:val="1"/>
                <w:color w:val="auto"/>
                <w:w w:val="96"/>
              </w:rPr>
              <w:t>Year Ended December 31,</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6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2004</w:t>
            </w:r>
          </w:p>
        </w:tc>
        <w:tc>
          <w:tcPr>
            <w:tcW w:w="118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62"/>
              <w:spacing w:after="0"/>
              <w:rPr>
                <w:sz w:val="20"/>
                <w:szCs w:val="20"/>
                <w:color w:val="auto"/>
              </w:rPr>
            </w:pPr>
            <w:r>
              <w:rPr>
                <w:rFonts w:ascii="Arial" w:cs="Arial" w:eastAsia="Arial" w:hAnsi="Arial"/>
                <w:sz w:val="14"/>
                <w:szCs w:val="14"/>
                <w:b w:val="1"/>
                <w:bCs w:val="1"/>
                <w:color w:val="auto"/>
              </w:rPr>
              <w:t>2001</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16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1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1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charges</w:t>
            </w:r>
          </w:p>
        </w:tc>
        <w:tc>
          <w:tcPr>
            <w:tcW w:w="1580" w:type="dxa"/>
            <w:vAlign w:val="bottom"/>
          </w:tcPr>
          <w:p>
            <w:pPr>
              <w:jc w:val="right"/>
              <w:ind w:right="67"/>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(1)</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(2)</w:t>
            </w:r>
          </w:p>
        </w:tc>
        <w:tc>
          <w:tcPr>
            <w:tcW w:w="1180" w:type="dxa"/>
            <w:vAlign w:val="bottom"/>
            <w:gridSpan w:val="2"/>
          </w:tcPr>
          <w:p>
            <w:pPr>
              <w:jc w:val="right"/>
              <w:ind w:right="92"/>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82"/>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(5)</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35"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Earnings as adjusted were inadequate to cover fixed charges by $154.8 million for the nine months ended September 30, 2005.</w:t>
      </w:r>
    </w:p>
    <w:p>
      <w:pPr>
        <w:spacing w:after="0" w:line="7"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$134.2 million in 2004.</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$127.3 million in 2003.</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$63.7 million in 2002.</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$49.5 million in 2001.</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$3.5 million in 2000.</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2"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following table sets forth our long-term debt, convertible debentures and capitalization as of September 30, 2005 on an actual basis, on an as adjusted basis to reflect the issuance of the debentures that are convertible into our ordinary shares issuable upon exercise of the rights we are distributing (excluding the conversion of the debentures) and on an adjusted basis to reflect only the issuance of the debentures that are convertible into our ordinary shares to our four largest shareholders pursuant to their commitments to purchase an aggregate of $25.5 million principal amount of convertible debentures (excluding the conversion of the debentures).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Actual*</w:t>
            </w: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2"/>
              </w:rPr>
              <w:t>As Adjusted</w:t>
            </w:r>
            <w:r>
              <w:rPr>
                <w:rFonts w:ascii="Arial" w:cs="Arial" w:eastAsia="Arial" w:hAnsi="Arial"/>
                <w:sz w:val="22"/>
                <w:szCs w:val="22"/>
                <w:b w:val="1"/>
                <w:bCs w:val="1"/>
                <w:color w:val="auto"/>
                <w:w w:val="92"/>
                <w:vertAlign w:val="superscript"/>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0"/>
              </w:rPr>
              <w:t>As Adjusted</w:t>
            </w:r>
            <w:r>
              <w:rPr>
                <w:rFonts w:ascii="Arial" w:cs="Arial" w:eastAsia="Arial" w:hAnsi="Arial"/>
                <w:sz w:val="22"/>
                <w:szCs w:val="22"/>
                <w:b w:val="1"/>
                <w:bCs w:val="1"/>
                <w:color w:val="auto"/>
                <w:w w:val="9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1"/>
              </w:rPr>
              <w:t>(U.S. dollars in thousands)</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maturities of existing convertibles debentures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4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220" w:type="dxa"/>
            <w:vAlign w:val="bottom"/>
            <w:gridSpan w:val="2"/>
          </w:tcPr>
          <w:p>
            <w:pPr>
              <w:ind w:left="40"/>
              <w:spacing w:after="0" w:line="25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9"/>
                <w:szCs w:val="29"/>
                <w:color w:val="auto"/>
                <w:vertAlign w:val="superscript"/>
              </w:rPr>
              <w:t>(3)</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510,360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510,360</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510,360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debentures (existing)</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0"/>
              <w:spacing w:after="0"/>
              <w:rPr>
                <w:sz w:val="20"/>
                <w:szCs w:val="20"/>
                <w:color w:val="auto"/>
              </w:rPr>
            </w:pPr>
            <w:r>
              <w:rPr>
                <w:rFonts w:ascii="Arial" w:cs="Arial" w:eastAsia="Arial" w:hAnsi="Arial"/>
                <w:sz w:val="18"/>
                <w:szCs w:val="18"/>
                <w:color w:val="auto"/>
              </w:rPr>
              <w:t>Convertible debentures offered in this rights offering</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liability in respect of customer advances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Ordinary Shares, NIS 1.00 par value per share;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250,000,000 authorized shares ***, 68,007,609 issued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66,707,609 outstanding shares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521,489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521,489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521,489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Shareholders receivables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(514,582)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(514,582)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(514,582)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1,300,000 shares</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220" w:type="dxa"/>
            <w:vAlign w:val="bottom"/>
            <w:gridSpan w:val="2"/>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14,308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14,308</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688,727</w:t>
            </w: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739,694</w:t>
            </w:r>
          </w:p>
        </w:tc>
        <w:tc>
          <w:tcPr>
            <w:tcW w:w="4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1061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financial data is derived from unaudited condensed interim consolidated financial statements.</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Includes 1,300,000 treasury shares.</w:t>
      </w:r>
    </w:p>
    <w:p>
      <w:pPr>
        <w:spacing w:after="0" w:line="9" w:lineRule="exact"/>
        <w:rPr>
          <w:rFonts w:ascii="Arial" w:cs="Arial" w:eastAsia="Arial" w:hAnsi="Arial"/>
          <w:sz w:val="18"/>
          <w:szCs w:val="18"/>
          <w:color w:val="auto"/>
        </w:rPr>
      </w:pPr>
    </w:p>
    <w:p>
      <w:pPr>
        <w:ind w:left="580" w:right="240" w:hanging="581"/>
        <w:spacing w:after="0" w:line="261" w:lineRule="auto"/>
        <w:rPr>
          <w:rFonts w:ascii="Arial" w:cs="Arial" w:eastAsia="Arial" w:hAnsi="Arial"/>
          <w:sz w:val="18"/>
          <w:szCs w:val="18"/>
          <w:color w:val="auto"/>
        </w:rPr>
      </w:pPr>
      <w:r>
        <w:rPr>
          <w:rFonts w:ascii="Arial" w:cs="Arial" w:eastAsia="Arial" w:hAnsi="Arial"/>
          <w:sz w:val="18"/>
          <w:szCs w:val="18"/>
          <w:color w:val="auto"/>
        </w:rPr>
        <w:t>***In July 2005, our board of directors approved increasing our authorized share capital to 500 million ordinary shares, par value NIS 1.00 per share. This increase was approved by our shareholders in October 2005.</w:t>
      </w:r>
    </w:p>
    <w:p>
      <w:pPr>
        <w:sectPr>
          <w:pgSz w:w="11900" w:h="16859" w:orient="portrait"/>
          <w:cols w:equalWidth="0" w:num="1">
            <w:col w:w="11420"/>
          </w:cols>
          <w:pgMar w:left="240" w:top="131" w:right="239" w:bottom="0" w:gutter="0" w:footer="0" w:header="0"/>
        </w:sectPr>
      </w:pPr>
    </w:p>
    <w:bookmarkStart w:id="18" w:name="page19"/>
    <w:bookmarkEnd w:id="18"/>
    <w:p>
      <w:pPr>
        <w:spacing w:after="0" w:line="3" w:lineRule="exact"/>
        <w:rPr>
          <w:sz w:val="20"/>
          <w:szCs w:val="20"/>
          <w:color w:val="auto"/>
        </w:rPr>
      </w:pPr>
    </w:p>
    <w:p>
      <w:pPr>
        <w:ind w:left="580" w:right="60" w:hanging="572"/>
        <w:spacing w:after="0" w:line="217" w:lineRule="auto"/>
        <w:tabs>
          <w:tab w:leader="none" w:pos="58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As adjusted to reflect our issuance of $50,000,000 in principal amount of debentures convertible into our ordinary shares, assuming the exercise in full of all the rights distributed in this rights offering. The amounts as adjusted reflect the gross proceeds to be received from this rights offering.</w:t>
      </w:r>
    </w:p>
    <w:p>
      <w:pPr>
        <w:spacing w:after="0" w:line="1" w:lineRule="exact"/>
        <w:rPr>
          <w:rFonts w:ascii="Arial" w:cs="Arial" w:eastAsia="Arial" w:hAnsi="Arial"/>
          <w:sz w:val="26"/>
          <w:szCs w:val="26"/>
          <w:color w:val="auto"/>
          <w:vertAlign w:val="superscript"/>
        </w:rPr>
      </w:pPr>
    </w:p>
    <w:p>
      <w:pPr>
        <w:ind w:left="580" w:right="520" w:hanging="572"/>
        <w:spacing w:after="0" w:line="208" w:lineRule="auto"/>
        <w:tabs>
          <w:tab w:leader="none" w:pos="5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As adjusted to reflect the sale of $25,500,000 in principal amount of debentures convertible into our ordinary shares that Israel Corp.</w:t>
      </w:r>
      <w:r>
        <w:rPr>
          <w:rFonts w:ascii="Arial" w:cs="Arial" w:eastAsia="Arial" w:hAnsi="Arial"/>
          <w:sz w:val="18"/>
          <w:szCs w:val="18"/>
          <w:b w:val="1"/>
          <w:bCs w:val="1"/>
          <w:color w:val="auto"/>
        </w:rPr>
        <w:t>,</w:t>
      </w:r>
      <w:r>
        <w:rPr>
          <w:rFonts w:ascii="Arial" w:cs="Arial" w:eastAsia="Arial" w:hAnsi="Arial"/>
          <w:sz w:val="18"/>
          <w:szCs w:val="18"/>
          <w:color w:val="auto"/>
        </w:rPr>
        <w:t xml:space="preserve"> SanDisk Corporation, Alliance Semiconductor and Macronix International Co. Ltd. have committed to purchase. The amounts, as adjusted, reflect the gross proceeds to be received from this rights offering.</w:t>
      </w:r>
    </w:p>
    <w:p>
      <w:pPr>
        <w:spacing w:after="0" w:line="126" w:lineRule="exact"/>
        <w:rPr>
          <w:rFonts w:ascii="Arial" w:cs="Arial" w:eastAsia="Arial" w:hAnsi="Arial"/>
          <w:sz w:val="29"/>
          <w:szCs w:val="29"/>
          <w:color w:val="auto"/>
          <w:vertAlign w:val="superscript"/>
        </w:rPr>
      </w:pPr>
    </w:p>
    <w:p>
      <w:pPr>
        <w:ind w:left="580" w:hanging="572"/>
        <w:spacing w:after="0"/>
        <w:tabs>
          <w:tab w:leader="none" w:pos="5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The indebtedness represented by long-term debt is secured by specific and floating liens on all of our assets.</w:t>
      </w:r>
    </w:p>
    <w:p>
      <w:pPr>
        <w:spacing w:after="0" w:line="200" w:lineRule="exact"/>
        <w:rPr>
          <w:sz w:val="20"/>
          <w:szCs w:val="20"/>
          <w:color w:val="auto"/>
        </w:rPr>
      </w:pPr>
    </w:p>
    <w:p>
      <w:pPr>
        <w:spacing w:after="0" w:line="253"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information set forth on an actual basis in the foregoing table excludes 224,447 ordinary shares that we issued in October, 2005. The information excludes as of September 30, 2005: (i) 13,200,849 ordinary shares issuable upon exercise of options granted to employees and directors at a weighted average exercise price of $4.19; (ii) up to 2,697,068 ordinary shares issuable upon conversion of unsecured, subordinated convertible debentures, net that we issued in January 2002 in the amount of NIS 117.4 million (or $25.6 million, as of September 30, 2005), which are convertible through December 31, 2008; (iii) 2,211,596 ordinary shares issuable upon exercise of options exercisable through January 20, 2006 at an exercise price of NIS 42.0, linked to the Israeli Consumer Price Index (or $9.1, as of September 30, 2005); (iv) 3,594,070 ordinary shares issuable upon exercise of warrants with an exercise price of $7.50; (v) 400,000 and 896,596 ordinary shares issuable upon the exercise of warrants issued to our banks in connection with our credit facility with exercise prices of $6.20 and $6.17 per share, respectively; (vi) 58,906 ordinary shares issuable upon exercise of warrants issued to Israel Corp. in connection with the November 2003 amendment to our facility agreement with an exercise price of $6.17 per share and exercisable until December 2008; (vii) 8,264,464 ordinary shares issuable upon exercise of the warrants we issued to our banks with an exercise price of $1.21 in connection with the July 2005 amendment to our facility agreement; and (viii) $7.7 million we borrowed under our credit facility agreement in October 2005.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This information does not take into account the following potential dilutive issuances of securities pursuant to our credit facility agreement and agreements with our major wafer partners and with Israel Corp. which cannot be calculated as of the date of this prospectus since the number of shares issuable will depend upon future transactions in which we may engage: (i) ordinary shares issuable upon conversion of up to $38.2 million in wafer prepayment credits (as of September 30, 2005) which we have issued our major wafer partners; (ii) ordinary shares issuable upon exercise of warrants issued to Israel Corp. and our banks in the event that we are required by our banks to complete a rights offering in connection with the arrangements agreed to in the November 2003 amendment to our facility agreement; and (iii) ordinary shares issuable upon conversion of securities we may be required to issue in connection with a rights offering and outside investor provisions agreed to in the November 2003 amendment to our facility agreement.</w:t>
      </w:r>
    </w:p>
    <w:p>
      <w:pPr>
        <w:spacing w:after="0" w:line="23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DILUTION; EFFECT OF THE RIGHTS OFFERING ON OUR OUTSTANDING</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SHARES, OPTIONS, WARRANTS AND CONVERTIBLE SECURITIES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99" w:lineRule="exact"/>
        <w:rPr>
          <w:sz w:val="20"/>
          <w:szCs w:val="20"/>
          <w:color w:val="auto"/>
        </w:rPr>
      </w:pPr>
    </w:p>
    <w:p>
      <w:pPr>
        <w:ind w:right="20" w:firstLine="341"/>
        <w:spacing w:after="0" w:line="303" w:lineRule="auto"/>
        <w:rPr>
          <w:sz w:val="20"/>
          <w:szCs w:val="20"/>
          <w:color w:val="auto"/>
        </w:rPr>
      </w:pPr>
      <w:r>
        <w:rPr>
          <w:rFonts w:ascii="Arial" w:cs="Arial" w:eastAsia="Arial" w:hAnsi="Arial"/>
          <w:sz w:val="15"/>
          <w:szCs w:val="15"/>
          <w:color w:val="auto"/>
        </w:rPr>
        <w:t>Assuming that all of the rights we are distributing are exercised and that all the debentures are converted into our ordinary shares at a conversion price of one ordinary share per each $ 1.10 amount of outstanding principal, we will issue an additional 45,454,545 of our ordinary shares. This would represent an approximate 66% increase over our 66,932,056 issued and outstanding ordinary shares as of October 31, 2005, excluding: (i) adjustments to the conversion price,</w:t>
      </w:r>
    </w:p>
    <w:p>
      <w:pPr>
        <w:spacing w:after="0" w:line="1" w:lineRule="exact"/>
        <w:rPr>
          <w:sz w:val="20"/>
          <w:szCs w:val="20"/>
          <w:color w:val="auto"/>
        </w:rPr>
      </w:pPr>
    </w:p>
    <w:p>
      <w:pPr>
        <w:ind w:right="120" w:firstLine="8"/>
        <w:spacing w:after="0" w:line="300" w:lineRule="auto"/>
        <w:tabs>
          <w:tab w:leader="none" w:pos="258" w:val="left"/>
        </w:tabs>
        <w:numPr>
          <w:ilvl w:val="0"/>
          <w:numId w:val="14"/>
        </w:numPr>
        <w:rPr>
          <w:rFonts w:ascii="Arial" w:cs="Arial" w:eastAsia="Arial" w:hAnsi="Arial"/>
          <w:sz w:val="15"/>
          <w:szCs w:val="15"/>
          <w:color w:val="auto"/>
        </w:rPr>
      </w:pPr>
      <w:r>
        <w:rPr>
          <w:rFonts w:ascii="Arial" w:cs="Arial" w:eastAsia="Arial" w:hAnsi="Arial"/>
          <w:sz w:val="15"/>
          <w:szCs w:val="15"/>
          <w:color w:val="auto"/>
        </w:rPr>
        <w:t>shares issuable upon exercise of our outstanding options or warrants, (iii) the conversion by our wafer partners of their wafer credits into our ordinary shares, and (iv) the conversion of our convertible debentures already traded on the TASE, including all changes in the exercise price/conversion price of such securities as a result of this rights offering. As of September 30, 2005, we had 13,200,849 outstanding options under our employee and directors share option plans, of which 2,556,148 are options that entitle their holders to receive rights in this offering. If all the rights we are distributing to our eligible employees under our employee share option plans are exercised and all the debentures are converted into our ordinary shares at a conversion price of one ordinary share per each $</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1.10 amount of outstanding principal, we will issue approximately 1, 650 ,000 of our ordinary shares to our eligible employees, which represents approximately</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2. 5 % of our issued and outstanding shares.</w:t>
      </w:r>
    </w:p>
    <w:p>
      <w:pPr>
        <w:spacing w:after="0" w:line="213"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If you do not exercise your rights or if you exercise your rights but thereafter do not convert the debentures, the percentage of ordinary shares that you hold will decrease upon the conversion of the debentures issued in this rights offering into our ordinary shares by other shareholders and eligible employees.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This Rights Offering on Our Convertible Securities</w:t>
      </w:r>
    </w:p>
    <w:p>
      <w:pPr>
        <w:spacing w:after="0" w:line="299"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i w:val="1"/>
          <w:iCs w:val="1"/>
          <w:color w:val="auto"/>
        </w:rPr>
        <w:t xml:space="preserve">Employee Share Option Plans. </w:t>
      </w:r>
      <w:r>
        <w:rPr>
          <w:rFonts w:ascii="Arial" w:cs="Arial" w:eastAsia="Arial" w:hAnsi="Arial"/>
          <w:sz w:val="16"/>
          <w:szCs w:val="16"/>
          <w:color w:val="auto"/>
        </w:rPr>
        <w:t>Under our employee share option plans that were adopted prior to July 1, 2002, in the event of a rights offering, we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grant similar rights to all employees holding options on the record date (including unvested options). Accordingly, we are offering those employees holding options under these employee share option plans, one right for each 138.98 employee options held by them on the record date. Each right will entitle these persons to purchase one hundred debentures at a subscription price of $100.00. Each debenture is of $1.00 in principal amount. The debentures will be convertible into our ordinary shares at a rate of one ordinary share per $ 1.10 aggregate principal amount of debentures.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employee share option plans adopted after July 1, 2002 provide that in the event of a rights offering, new option holders will be entitled to an adjustment to the number of shares into which the options are exercisable based on the element of economic benefit of the rights offering, as such element is calculated by the Tel-Aviv Stock Exchange in accordance with its rules, (as is represented by the ratio between the price per share on the closing of trade on the Tel Aviv Stock Exchange on the record date and the Ex price determined by the Tel Aviv Stock Exchange to be the opening price on the subsequent trading day). In accordance with the rules of the Tel Aviv Stock Exchange, the Tel Aviv Stock Exchange will not set an Ex Price with respect to a rights offering of a new series of convertible debentures. Therefore, there will be no adjustment in the number of shares issuable upon exercise of the employee options as a result of this rights offering. As of September 30, 2005, we issued 10,293,425 options to our employees under these revised option plans.</w:t>
      </w:r>
    </w:p>
    <w:p>
      <w:pPr>
        <w:spacing w:after="0" w:line="172" w:lineRule="exact"/>
        <w:rPr>
          <w:sz w:val="20"/>
          <w:szCs w:val="20"/>
          <w:color w:val="auto"/>
        </w:rPr>
      </w:pPr>
    </w:p>
    <w:p>
      <w:pPr>
        <w:jc w:val="both"/>
        <w:ind w:right="120" w:firstLine="341"/>
        <w:spacing w:after="0" w:line="335" w:lineRule="auto"/>
        <w:rPr>
          <w:sz w:val="20"/>
          <w:szCs w:val="20"/>
          <w:color w:val="auto"/>
        </w:rPr>
      </w:pPr>
      <w:r>
        <w:rPr>
          <w:rFonts w:ascii="Arial" w:cs="Arial" w:eastAsia="Arial" w:hAnsi="Arial"/>
          <w:sz w:val="15"/>
          <w:szCs w:val="15"/>
          <w:color w:val="auto"/>
        </w:rPr>
        <w:t>As of September 30, 2005, we had 13,200,849 outstanding options under our employee and directors share option plans, out of which 2,556,148 are options that entitle their holders to receive rights in this offering. If all the rights we are distributing to our eligible employees under our employee share option plans are exercised and all the debentures are converted into our ordinary shares at a conversion price of one ordinary share per each $ 1.10 amount of outstanding</w:t>
      </w:r>
    </w:p>
    <w:p>
      <w:pPr>
        <w:sectPr>
          <w:pgSz w:w="11900" w:h="16842" w:orient="portrait"/>
          <w:cols w:equalWidth="0" w:num="1">
            <w:col w:w="11420"/>
          </w:cols>
          <w:pgMar w:left="240" w:top="131" w:right="239" w:bottom="0" w:gutter="0" w:footer="0" w:header="0"/>
        </w:sectPr>
      </w:pPr>
    </w:p>
    <w:bookmarkStart w:id="19" w:name="page20"/>
    <w:bookmarkEnd w:id="19"/>
    <w:p>
      <w:pPr>
        <w:spacing w:after="0" w:line="5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principal, we will issue approximately 1, 650 ,000 of our ordinary shares to our eligible employees, which represents approximately 2. 5 % of our issued and outstanding shares.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Convertible debentures and Options (Series 1)</w:t>
      </w:r>
      <w:r>
        <w:rPr>
          <w:rFonts w:ascii="Arial" w:cs="Arial" w:eastAsia="Arial" w:hAnsi="Arial"/>
          <w:sz w:val="16"/>
          <w:szCs w:val="16"/>
          <w:color w:val="auto"/>
        </w:rPr>
        <w:t>. We have a principal amount of NIS 110,579,800 ($24,049,543 as of September 30, 2005) in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debentures, which are convertible into 2,697,068 ordinary shares and 2,211,596 outstanding Options (Series 1). Both securities were issued under a prospectus published in Israel on January 15, 2002 and are traded on the Tel Aviv Stock Exchange. The debentures are convertible into our ordinary shares at a conversion price of one ordinary share per each NIS 41 principal amount of the debentures linked to the CPI. Each Option (Series 1) is exercisable into one ordinary share for an exercise price linked to the Israeli Consumer Price Index (as of September 30, 2005 NIS 42.0; $9.1). Under the terms of their issuance, in the event of a rights offering, the number of shares issuable upon conversion of the convertible debentures and upon exercise of the Options (Series 1) will be adjusted to reflect the economic benefit component in the rights offering (as is represented by the ratio between the price per share on the closing of trade on the Tel Aviv Stock Exchange on the record date and the Ex price determined by the Tel Aviv Stock Exchange to be the opening price on the subsequent trading day). In accordance with the rules of the Tel Aviv Stock Exchange, the Tel Aviv Stock Exchange will not set an Ex price with respect to a rights offering of a new series of convertible debentures. Therefore there will be no adjustment in the number of shares issuable upon exercise of the Options (Series 1) and in the number of ordinary shares issuable upon the conversion of the convertible debentures.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intend to use the net proceeds from this rights offering towards the further ramp-up and deployment of Fab 2 and for marketing expenses for the sale of our products and services as well as for general corporate purposes, including working capital. Our gross proceeds from the rights offering will depend on the number of rights that are exercised. Four of our major shareholders – Israel Corp., SanDisk Corporation, Alliance Semiconductor Corporation and Macronix International Co. Ltd – have committed and are obligated to purchase an aggregate of $25.5 million in principal amount of debentures. Other than pursuant to these commitments, there can be no assurance that any of the rights will be exercised. If all of the rights are exercised, then we will receive immediate proceeds from the sale of our debentures of $50 million, before deducting estimated expenses payable by us of approximately $1 million.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RIGHTS OFFERING</w:t>
      </w:r>
    </w:p>
    <w:p>
      <w:pPr>
        <w:spacing w:after="0" w:line="31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Before exercising any rights, you should read carefully the information set forth under “Risk Factors.” For a description of the debentures issuable in this rights offering, see “Description of the Debentures”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Rights</w:t>
      </w:r>
    </w:p>
    <w:p>
      <w:pPr>
        <w:spacing w:after="0" w:line="312"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We are distributing transferable rights to shareholders who own our ordinary shares and to eligible employees who hold options to purchase our ordinary shares, granted under certain of our share option plans, at 5:00 p.m., New York time (midnight, Israel time) on December 20 , 2005, the record date, at no cost to the shareholders and eligible employees. We will distribute to you one right for each 138.98 ordinary shares and/or employee options that you own at 5:00 p.m. New York time (midnight, Israel time) on the record date, December 20 , 2005. If you hold 138 or fewer ordinary shares and/or eligible options on the record date, you will not receive any rights. Your rights will be aggregated for all the shares (and/or eligible employee options, as the case may be) that you own on the record date and then rounded down to the nearest whole number, so that you will not receive fractional rights. For example, if you own 139 shares on the record date, you will receive one right, and if you own 100,000 shares on the record date, you will receive 719 rights. Each right will entitle you to purchase, at a subscription price of $100.00, one hundred U.S. dollar denominated debentures. Each debenture is of $1.00 in principal amount. The debentures will be convertible into our ordinary shares at a rate of one ordinary share per $ 1.10 aggregate principal amount of debentures.</w:t>
      </w:r>
    </w:p>
    <w:p>
      <w:pPr>
        <w:spacing w:after="0" w:line="17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subscription price must be paid to American Stock Transfer &amp; Trust Co., as Rights Agent, or directly to us under the procedures described herein. If you hold your shares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 the subscription price is to be paid in New Israeli Shekels according to the representative exchange rate that will be published by the Bank of Israel on the day before payment of the subscription price.</w:t>
      </w:r>
    </w:p>
    <w:p>
      <w:pPr>
        <w:spacing w:after="0" w:line="197"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rights are exercisable during a 23-day period, beginning after 5:00 p.m. New York City time (midnight, Israel time) on December 20 , 2005 (the record date) and ending at 5:00 p.m. New York City time (midnight, Israel time) on January 12 , 200 6 . We will issue to you certificates representing the debentures convertible into our ordinary shares purchased in this offering as soon as practicable after the rights expiration date ( January 12, 2006 ), provided that the Rights Agent has received your duly completed exercise form and your payment has cleared. If you hold your shares through a broker, dealer or other nominee (including through members of the Tel Aviv Stock Exchange), your time to exercise will be subject to the timing requirements of your broker, dealer or other nominee (which may be earlier than the final expiration date of the rights), in addition to other procedural requirements of your broker, dealer or other nominee, as described below.</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Fractional Entitlements</w:t>
      </w:r>
    </w:p>
    <w:p>
      <w:pPr>
        <w:spacing w:after="0" w:line="312"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rights will be aggregated for all of the ordinary shares and eligible employee options you own on the record date and then rounded down to the nearest whole number. We will neither issue fractional rights nor pay cash in lieu thereof. Subscriptions will be accepted for a whole number of rights only.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Purchases</w:t>
      </w:r>
    </w:p>
    <w:p>
      <w:pPr>
        <w:spacing w:after="0" w:line="299"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Four of our major shareholders – Israel Corp., SanDisk Corporation, Alliance Semiconductor Corporation and Macronix International Co. Ltd – have committed and are obligated to exercise all or some of their rights to purchase debentures. Israel Corp., which as of the date of this prospectus owns approximately 21.3% of our outstanding share capital on a non-diluted basis, and SanDisk Corporation, which as of the date of this prospectus owns approximately 15.3% of our outstanding share capital on a non-diluted basis, have committed, in connection with the July 2005 amendment to our credit facility agreement, and are obligated to exercise 100% and approximately 47.6%, of their rights, respectively, for the purchase of approximately $10.26 million and $3.5 million in debentures, respectively. In addition, Alliance and Macronix, which as of the date of this prospectus owned approximately 13.4% and 13.1%, respectively, of our outstanding share capital on a non-diluted basis, have committed to exercise approximately 15.5% and 15.8%, respectively, of their rights for the purchase by each of them of $1 million principal amount of debentures. If, prior to the record date, Alliance Semiconductor were to sell 662,860 of our shares further to its filing of a Form 144 with the Securities and Exchange Commission on December 2, 2005 for the sale of 662,860 shares, it will own approximately</w:t>
      </w:r>
    </w:p>
    <w:p>
      <w:pPr>
        <w:sectPr>
          <w:pgSz w:w="11900" w:h="16891" w:orient="portrait"/>
          <w:cols w:equalWidth="0" w:num="1">
            <w:col w:w="11400"/>
          </w:cols>
          <w:pgMar w:left="240" w:top="131" w:right="259" w:bottom="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12.4% of our outstanding share capital as of the record date, and its commitment to purchase $1 million of debentures would reflect an exercise of approximately</w:t>
      </w:r>
    </w:p>
    <w:p>
      <w:pPr>
        <w:spacing w:after="0" w:line="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16.7% of its total rights. In addition, SanDisk, Alliance, Macronix and Quicklogic Corporation have agreed to transfer to Israel Corp. a portion of their unexercised rights, which Israel Corp. has committed and is obligated to exercise, such that Israel Corp. will purchase an aggregate of $20 million in debentures ($10.26 million by the exercise of its own rights and approximately $9.74 million by the exercise of the rights transferred to it). Our four major shareholders together have committed and are obligated to purchase an aggregate of $25.5 million principal amount of convertible debentures. The purchase of debentures by these major shareholders will be effected at the same time as purchases of debentures which are covered by the registration statement filed with the Securities and Exchange Commission of which this prospectus is a part, and they will receive certificates representing the debentures purchased upon exercise of their rights as soon as practicable after January 12, 2006 .</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rights to be distributed to these major shareholders and to Quicklogic Corporation, the convertible debentures issuable upon exercise of such rights and our ordinary shares issuable upon the conversion of such debentures are not covered by the registration statement filed with the Securities and Exchange Commission of which this prospectus is a part, and are being issued in transactions pursuant to an exemption from the registration requirements of the Securities Act of 1933. These securities will be restricted securities and will not be transferable absent registration or an applicable exemption. We have agreed to register the resale of such securities by Israel Corp., SanDisk Corporation, Alliance Semiconductor Corporation and Macronix International Co. Ltd. following the effective date of the registration statement of which this prospectus is a part and intend to file a registration statement therefor within 30 days from the rights expiration date.</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addition to the securities obtainable upon exercise of the rights being distributed to Israel Corp., SanDisk Corporation, Alliance Semiconductor Corporation, Macronix International Co. Ltd. and Quicklogic Corporation, these major shareholders may purchase from other rights holders, either in the open market or in private transactions, securities covered by the registration statement filed with the Securities and Exchange Commission of which this prospectus is a part. The resale of any securities so purchased by the major shareholders would require either a separate resale registration or compliance with the provisions of applicable securities laws relating to the sale of a company’s securities by its affiliates. Neither the major shareholders nor Quicklogic Corporation have an arrangement in the nature of a standby or any other arrangement with us or anyone else to purchase any of the securities covered by the registration statement.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Recommendation to Rights Holders</w:t>
      </w:r>
    </w:p>
    <w:p>
      <w:pPr>
        <w:spacing w:after="0" w:line="312"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We are not making any recommendations as to whether or not you should exercise your rights. You should make your decision based on your own assessment of your best interests after reading this prospectus.</w:t>
      </w:r>
    </w:p>
    <w:p>
      <w:pPr>
        <w:spacing w:after="0" w:line="186" w:lineRule="exact"/>
        <w:rPr>
          <w:sz w:val="20"/>
          <w:szCs w:val="20"/>
          <w:color w:val="auto"/>
        </w:rPr>
      </w:pPr>
    </w:p>
    <w:p>
      <w:pPr>
        <w:ind w:right="80" w:firstLine="341"/>
        <w:spacing w:after="0" w:line="254" w:lineRule="auto"/>
        <w:rPr>
          <w:sz w:val="20"/>
          <w:szCs w:val="20"/>
          <w:color w:val="auto"/>
        </w:rPr>
      </w:pPr>
      <w:r>
        <w:rPr>
          <w:rFonts w:ascii="Arial" w:cs="Arial" w:eastAsia="Arial" w:hAnsi="Arial"/>
          <w:sz w:val="18"/>
          <w:szCs w:val="18"/>
          <w:color w:val="auto"/>
        </w:rPr>
        <w:t>As of September 30, 2005, our officers and directors as a group held an aggregate of 1,052 of our ordinary shares, held options exercisable for the purchase of 4,332,714 of our ordinary shares, (including a grant of options to our chief executive officer to purchase up to 1,325,724 shares approved by our board of directors and subsequently approved in October 2005 by our shareholders) of which 235,416 options entitle their holders to receive rights in this offering. If all the rights we are distributing to our officers and directors under this rights offering are exercised and all their debentures are converted into our ordinary shares at a conversion price of one ordinary share per each $ 1.10 amount of outstanding principal, we will issue approximately 154,454 of our ordinary shares to our officers and directors.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w:t>
      </w:r>
    </w:p>
    <w:p>
      <w:pPr>
        <w:spacing w:after="0" w:line="312"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board of directors may withdraw the rights offering in its sole discretion at any time prior to 5:00 p.m., New York City time (midnight, Israel time), on December 20 , 2005 (the record date) for any reason (including, without limitation, a change in the market price of our ordinary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Subscription Price</w:t>
      </w:r>
    </w:p>
    <w:p>
      <w:pPr>
        <w:spacing w:after="0" w:line="31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Based on the guidelines of this rights offering that were approved by the audit committee of our board of directors, our board of directors set all of the terms and conditions of the rights offering, including the subscription price. Our company's objective in establishing the subscription price was to reflect recent trading prices, raise the targeted proceeds and provide all of our shareholders with a reasonable opportunity to make an additional investment in our company. The audit committee of our board of directors consulted with a financial advisor in order to assist in the determination of the commercial terms. In establishing the commercial terms, including the subscription price, our board of directors and its audit committee considered the following factors: the strategic alternatives available to us for raising capital, the market price of our ordinary shares, the pro rata nature of the offering, pricing and terms of similar transactions, the advice of the financial advisor, our business prospects and general conditions in the securities markets. The subscription price, however, does not necessarily bear any relationship to our past or expected future results of operations, cash flows, current financial condition, or any other established criteria for value.</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subscription price should not be considered an indication of our actual value, or the actual value of our ordinary shares or our debentures. We cannot assure you that the market price of our ordinary shares will not decline during the rights offering or that the market price of our ordinary shares or the debentures will not decline after the rights offering. We also cannot assure you that you will be able to sell the ordinary shares issuable upon conversion of the debentures at a price equal to or greater than the conversion price at which your debentures may be converted. On December 13 , 2005, the last reported sale price of our ordinary shares on the NASDAQ National Market was $1. 57 per share and on the Tel Aviv Stock Exchange was NIS 7. 32 per share. We urge you to obtain a current quote for our ordinary shares before exercising your rights or converting your debentures.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Decision Will be Binding on You</w:t>
      </w:r>
    </w:p>
    <w:p>
      <w:pPr>
        <w:spacing w:after="0" w:line="312" w:lineRule="exact"/>
        <w:rPr>
          <w:sz w:val="20"/>
          <w:szCs w:val="20"/>
          <w:color w:val="auto"/>
        </w:rPr>
      </w:pPr>
    </w:p>
    <w:p>
      <w:pPr>
        <w:jc w:val="both"/>
        <w:ind w:right="160" w:firstLine="341"/>
        <w:spacing w:after="0" w:line="284" w:lineRule="auto"/>
        <w:rPr>
          <w:sz w:val="20"/>
          <w:szCs w:val="20"/>
          <w:color w:val="auto"/>
        </w:rPr>
      </w:pPr>
      <w:r>
        <w:rPr>
          <w:rFonts w:ascii="Arial" w:cs="Arial" w:eastAsia="Arial" w:hAnsi="Arial"/>
          <w:sz w:val="16"/>
          <w:szCs w:val="16"/>
          <w:color w:val="auto"/>
        </w:rPr>
        <w:t>All questions concerning the timeliness, validity, form and eligibility of any exercise of rights will be determined by us in accordance with the terms of this prospectus, and our determinations will be final and binding. In our sole discretion, we may waive any defect or irregularity, or permit a defect or irregularity to be corrected within such time as we may determine, or reject the purported exercise of any right by reason of any defect or irregularity in such exercise.</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Subscriptions will not be deemed to have been received or accepted until all irregularities have been waived or cured within such time as we determine in our sole discretion. In determining whether to waive any defect or irregularity regarding the exercise of the rights, we will consider the materiality of the defect or irregularity. If we determine that any such defect or irregularity is material then the subscription will not be deemed to have been received or accepted until such</w:t>
      </w:r>
    </w:p>
    <w:p>
      <w:pPr>
        <w:sectPr>
          <w:pgSz w:w="11900" w:h="16838" w:orient="portrait"/>
          <w:cols w:equalWidth="0" w:num="1">
            <w:col w:w="11420"/>
          </w:cols>
          <w:pgMar w:left="240" w:top="131" w:right="239" w:bottom="0" w:gutter="0" w:footer="0" w:header="0"/>
        </w:sectPr>
      </w:pPr>
    </w:p>
    <w:bookmarkStart w:id="21" w:name="page22"/>
    <w:bookmarkEnd w:id="21"/>
    <w:p>
      <w:pPr>
        <w:spacing w:after="0" w:line="259" w:lineRule="auto"/>
        <w:rPr>
          <w:sz w:val="20"/>
          <w:szCs w:val="20"/>
          <w:color w:val="auto"/>
        </w:rPr>
      </w:pPr>
      <w:r>
        <w:rPr>
          <w:rFonts w:ascii="Arial" w:cs="Arial" w:eastAsia="Arial" w:hAnsi="Arial"/>
          <w:sz w:val="18"/>
          <w:szCs w:val="18"/>
          <w:color w:val="auto"/>
        </w:rPr>
        <w:t>defect or irregularity is cured within such time as we determine in our sole discretion. We will not be under any duty to notify you of any defect or irregularity in connection with the exercise of your rights or incur any liability for failure to give such notification. However, liabilities under the U.S. federal securities laws and Israeli securities laws cannot be waived.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Revocation of Exercise of Rights</w:t>
      </w:r>
    </w:p>
    <w:p>
      <w:pPr>
        <w:spacing w:after="0" w:line="306" w:lineRule="exact"/>
        <w:rPr>
          <w:sz w:val="20"/>
          <w:szCs w:val="20"/>
          <w:color w:val="auto"/>
        </w:rPr>
      </w:pPr>
    </w:p>
    <w:p>
      <w:pPr>
        <w:ind w:right="640" w:firstLine="341"/>
        <w:spacing w:after="0" w:line="275" w:lineRule="auto"/>
        <w:rPr>
          <w:sz w:val="20"/>
          <w:szCs w:val="20"/>
          <w:color w:val="auto"/>
        </w:rPr>
      </w:pPr>
      <w:r>
        <w:rPr>
          <w:rFonts w:ascii="Arial" w:cs="Arial" w:eastAsia="Arial" w:hAnsi="Arial"/>
          <w:sz w:val="18"/>
          <w:szCs w:val="18"/>
          <w:color w:val="auto"/>
        </w:rPr>
        <w:t xml:space="preserve">After you have exercised your rights, </w:t>
      </w:r>
      <w:r>
        <w:rPr>
          <w:rFonts w:ascii="Arial" w:cs="Arial" w:eastAsia="Arial" w:hAnsi="Arial"/>
          <w:sz w:val="18"/>
          <w:szCs w:val="18"/>
          <w:b w:val="1"/>
          <w:bCs w:val="1"/>
          <w:color w:val="auto"/>
        </w:rPr>
        <w:t>you may not revoke that exercise</w:t>
      </w:r>
      <w:r>
        <w:rPr>
          <w:rFonts w:ascii="Arial" w:cs="Arial" w:eastAsia="Arial" w:hAnsi="Arial"/>
          <w:sz w:val="18"/>
          <w:szCs w:val="18"/>
          <w:color w:val="auto"/>
        </w:rPr>
        <w:t>. You should not exercise your rights unless you are certain that you wish to purchase our debentures.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Exercise of Rights for Record Holders</w:t>
      </w:r>
    </w:p>
    <w:p>
      <w:pPr>
        <w:spacing w:after="0" w:line="312"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Shortly after the date of this prospectus, we will send by registered mail or personal delivery to each holder of our ordinary shares that is registered on our shareholder registry maintained at American Stock Transfer &amp; Trust Co. a rights certificate conferring the number of rights applicable to each holder. The rights certificate will be accompanied by a copy of this prospectus, and on the back of the rights certificate will be a rights exercise form and a rights transfer form.</w:t>
      </w:r>
    </w:p>
    <w:p>
      <w:pPr>
        <w:spacing w:after="0" w:line="16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During the subscription period ending on January 12 , 200 6 , if you are a record owner of our ordinary shares, you may exercise your rights by delivering a signed exercise form on the back of your rights certificate or a notice of guaranteed delivery to American Stock Transfer &amp; Trust Co., our Rights Agent, at the address noted below together with payment in full of the subscription price for each right being exercised, by 5:00 p.m., New York City time (midnight Israel time), on January 12, 2006 . This rights offering will not be extended beyond the subscription period ending on January 12, 2006 , except as disclosed in this prospectus. We may agree to accept the exercise of rights by record owners who reside outside of Israel by delivery to us of a signed exercise form, together with payment in full of the subscription price in United States dollars or New Israeli Shekels, if requested and agreed to by us.</w:t>
      </w:r>
    </w:p>
    <w:p>
      <w:pPr>
        <w:spacing w:after="0" w:line="17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If you are a record owner and reside in Israel, you may also exercise your rights by delivering a signed exercise form on the back of your rights certificate to us at the address noted below, together with payment in full of the subscription price in New Israeli Shekels for each right being exercised, by midnight, Israel time, on January 12, 2006 . If you are a record owner who resides in Israel, we may agree to accept payments in U.S. dollars if requested and agreed to by us.</w:t>
      </w:r>
    </w:p>
    <w:p>
      <w:pPr>
        <w:spacing w:after="0" w:line="16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and American Stock Transfer &amp; Trust Co., our Rights Agent, as applicable, may refuse to accept improperly completed or delivered or unexecuted exercise forms. We and American Stock Transfer &amp; Trust Co., our Rights Agent, as applicable, must receive payment in full of the subscription price for each right being exercised together with the exercise form (or notice of guaranteed delivery).</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you are delivering your completed exercise form (or notice of guaranteed delivery) and payment for the exercise of your rights to American Stock Transfer &amp; Trust Co., our Rights Agent, please do so by mail, overnight or hand delivery to one of the following addresses: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ind w:left="580"/>
              <w:spacing w:after="0"/>
              <w:rPr>
                <w:sz w:val="20"/>
                <w:szCs w:val="20"/>
                <w:color w:val="auto"/>
              </w:rPr>
            </w:pPr>
            <w:r>
              <w:rPr>
                <w:rFonts w:ascii="Arial" w:cs="Arial" w:eastAsia="Arial" w:hAnsi="Arial"/>
                <w:sz w:val="18"/>
                <w:szCs w:val="18"/>
                <w:color w:val="auto"/>
              </w:rPr>
              <w:t>American Stock Transfer &amp; Trust Company</w:t>
            </w:r>
          </w:p>
        </w:tc>
        <w:tc>
          <w:tcPr>
            <w:tcW w:w="6780" w:type="dxa"/>
            <w:vAlign w:val="bottom"/>
          </w:tcPr>
          <w:p>
            <w:pPr>
              <w:ind w:left="1320"/>
              <w:spacing w:after="0"/>
              <w:rPr>
                <w:sz w:val="20"/>
                <w:szCs w:val="20"/>
                <w:color w:val="auto"/>
              </w:rPr>
            </w:pPr>
            <w:r>
              <w:rPr>
                <w:rFonts w:ascii="Arial" w:cs="Arial" w:eastAsia="Arial" w:hAnsi="Arial"/>
                <w:sz w:val="18"/>
                <w:szCs w:val="18"/>
                <w:color w:val="auto"/>
              </w:rPr>
              <w:t>American Stock Transfer &amp; Trust Company</w:t>
            </w:r>
          </w:p>
        </w:tc>
      </w:tr>
      <w:tr>
        <w:trPr>
          <w:trHeight w:val="216"/>
        </w:trPr>
        <w:tc>
          <w:tcPr>
            <w:tcW w:w="4640" w:type="dxa"/>
            <w:vAlign w:val="bottom"/>
          </w:tcPr>
          <w:p>
            <w:pPr>
              <w:ind w:left="580"/>
              <w:spacing w:after="0"/>
              <w:rPr>
                <w:sz w:val="20"/>
                <w:szCs w:val="20"/>
                <w:color w:val="auto"/>
              </w:rPr>
            </w:pPr>
            <w:r>
              <w:rPr>
                <w:rFonts w:ascii="Arial" w:cs="Arial" w:eastAsia="Arial" w:hAnsi="Arial"/>
                <w:sz w:val="18"/>
                <w:szCs w:val="18"/>
                <w:color w:val="auto"/>
              </w:rPr>
              <w:t>59 Maiden Lane</w:t>
            </w:r>
          </w:p>
        </w:tc>
        <w:tc>
          <w:tcPr>
            <w:tcW w:w="6780" w:type="dxa"/>
            <w:vAlign w:val="bottom"/>
          </w:tcPr>
          <w:p>
            <w:pPr>
              <w:ind w:left="1320"/>
              <w:spacing w:after="0"/>
              <w:rPr>
                <w:sz w:val="20"/>
                <w:szCs w:val="20"/>
                <w:color w:val="auto"/>
              </w:rPr>
            </w:pPr>
            <w:r>
              <w:rPr>
                <w:rFonts w:ascii="Arial" w:cs="Arial" w:eastAsia="Arial" w:hAnsi="Arial"/>
                <w:sz w:val="18"/>
                <w:szCs w:val="18"/>
                <w:color w:val="auto"/>
              </w:rPr>
              <w:t>6201 15th Avenue</w:t>
            </w:r>
          </w:p>
        </w:tc>
      </w:tr>
      <w:tr>
        <w:trPr>
          <w:trHeight w:val="216"/>
        </w:trPr>
        <w:tc>
          <w:tcPr>
            <w:tcW w:w="4640" w:type="dxa"/>
            <w:vAlign w:val="bottom"/>
          </w:tcPr>
          <w:p>
            <w:pPr>
              <w:ind w:left="580"/>
              <w:spacing w:after="0"/>
              <w:rPr>
                <w:sz w:val="20"/>
                <w:szCs w:val="20"/>
                <w:color w:val="auto"/>
              </w:rPr>
            </w:pPr>
            <w:r>
              <w:rPr>
                <w:rFonts w:ascii="Arial" w:cs="Arial" w:eastAsia="Arial" w:hAnsi="Arial"/>
                <w:sz w:val="18"/>
                <w:szCs w:val="18"/>
                <w:color w:val="auto"/>
              </w:rPr>
              <w:t>New York, New York 10038</w:t>
            </w:r>
          </w:p>
        </w:tc>
        <w:tc>
          <w:tcPr>
            <w:tcW w:w="6780" w:type="dxa"/>
            <w:vAlign w:val="bottom"/>
          </w:tcPr>
          <w:p>
            <w:pPr>
              <w:ind w:left="1320"/>
              <w:spacing w:after="0"/>
              <w:rPr>
                <w:sz w:val="20"/>
                <w:szCs w:val="20"/>
                <w:color w:val="auto"/>
              </w:rPr>
            </w:pPr>
            <w:r>
              <w:rPr>
                <w:rFonts w:ascii="Arial" w:cs="Arial" w:eastAsia="Arial" w:hAnsi="Arial"/>
                <w:sz w:val="18"/>
                <w:szCs w:val="18"/>
                <w:color w:val="auto"/>
              </w:rPr>
              <w:t>Brooklyn, New York 11219</w:t>
            </w:r>
          </w:p>
        </w:tc>
      </w:tr>
      <w:tr>
        <w:trPr>
          <w:trHeight w:val="222"/>
        </w:trPr>
        <w:tc>
          <w:tcPr>
            <w:tcW w:w="4640" w:type="dxa"/>
            <w:vAlign w:val="bottom"/>
          </w:tcPr>
          <w:p>
            <w:pPr>
              <w:ind w:left="580"/>
              <w:spacing w:after="0"/>
              <w:rPr>
                <w:sz w:val="20"/>
                <w:szCs w:val="20"/>
                <w:color w:val="auto"/>
              </w:rPr>
            </w:pPr>
            <w:r>
              <w:rPr>
                <w:rFonts w:ascii="Arial" w:cs="Arial" w:eastAsia="Arial" w:hAnsi="Arial"/>
                <w:sz w:val="18"/>
                <w:szCs w:val="18"/>
                <w:color w:val="auto"/>
              </w:rPr>
              <w:t>Attention: Reorganization Department</w:t>
            </w:r>
          </w:p>
        </w:tc>
        <w:tc>
          <w:tcPr>
            <w:tcW w:w="6780" w:type="dxa"/>
            <w:vAlign w:val="bottom"/>
          </w:tcPr>
          <w:p>
            <w:pPr>
              <w:ind w:left="1320"/>
              <w:spacing w:after="0"/>
              <w:rPr>
                <w:sz w:val="20"/>
                <w:szCs w:val="20"/>
                <w:color w:val="auto"/>
              </w:rPr>
            </w:pPr>
            <w:r>
              <w:rPr>
                <w:rFonts w:ascii="Arial" w:cs="Arial" w:eastAsia="Arial" w:hAnsi="Arial"/>
                <w:sz w:val="18"/>
                <w:szCs w:val="18"/>
                <w:color w:val="auto"/>
              </w:rPr>
              <w:t>Attention: Reorganization Department</w:t>
            </w:r>
          </w:p>
        </w:tc>
      </w:tr>
      <w:tr>
        <w:trPr>
          <w:trHeight w:val="675"/>
        </w:trPr>
        <w:tc>
          <w:tcPr>
            <w:tcW w:w="4640" w:type="dxa"/>
            <w:vAlign w:val="bottom"/>
          </w:tcPr>
          <w:p>
            <w:pPr>
              <w:spacing w:after="0"/>
              <w:rPr>
                <w:sz w:val="24"/>
                <w:szCs w:val="24"/>
                <w:color w:val="auto"/>
              </w:rPr>
            </w:pPr>
          </w:p>
        </w:tc>
        <w:tc>
          <w:tcPr>
            <w:tcW w:w="6780" w:type="dxa"/>
            <w:vAlign w:val="bottom"/>
          </w:tcPr>
          <w:p>
            <w:pPr>
              <w:ind w:left="980"/>
              <w:spacing w:after="0"/>
              <w:rPr>
                <w:sz w:val="20"/>
                <w:szCs w:val="20"/>
                <w:color w:val="auto"/>
              </w:rPr>
            </w:pPr>
            <w:r>
              <w:rPr>
                <w:rFonts w:ascii="Arial" w:cs="Arial" w:eastAsia="Arial" w:hAnsi="Arial"/>
                <w:sz w:val="18"/>
                <w:szCs w:val="18"/>
                <w:color w:val="auto"/>
              </w:rPr>
              <w:t>30</w:t>
            </w:r>
          </w:p>
        </w:tc>
      </w:tr>
      <w:tr>
        <w:trPr>
          <w:trHeight w:val="174"/>
        </w:trPr>
        <w:tc>
          <w:tcPr>
            <w:tcW w:w="4640" w:type="dxa"/>
            <w:vAlign w:val="bottom"/>
          </w:tcPr>
          <w:p>
            <w:pPr>
              <w:spacing w:after="0"/>
              <w:rPr>
                <w:sz w:val="15"/>
                <w:szCs w:val="15"/>
                <w:color w:val="auto"/>
              </w:rPr>
            </w:pPr>
          </w:p>
        </w:tc>
        <w:tc>
          <w:tcPr>
            <w:tcW w:w="6780" w:type="dxa"/>
            <w:vAlign w:val="bottom"/>
          </w:tcPr>
          <w:p>
            <w:pPr>
              <w:spacing w:after="0"/>
              <w:rPr>
                <w:sz w:val="15"/>
                <w:szCs w:val="15"/>
                <w:color w:val="auto"/>
              </w:rPr>
            </w:pPr>
          </w:p>
        </w:tc>
      </w:tr>
      <w:tr>
        <w:trPr>
          <w:trHeight w:val="61"/>
        </w:trPr>
        <w:tc>
          <w:tcPr>
            <w:tcW w:w="4640" w:type="dxa"/>
            <w:vAlign w:val="bottom"/>
            <w:shd w:val="clear" w:color="auto" w:fill="808080"/>
          </w:tcPr>
          <w:p>
            <w:pPr>
              <w:spacing w:after="0"/>
              <w:rPr>
                <w:sz w:val="5"/>
                <w:szCs w:val="5"/>
                <w:color w:val="auto"/>
              </w:rPr>
            </w:pPr>
          </w:p>
        </w:tc>
        <w:tc>
          <w:tcPr>
            <w:tcW w:w="6780" w:type="dxa"/>
            <w:vAlign w:val="bottom"/>
            <w:shd w:val="clear" w:color="auto" w:fill="808080"/>
          </w:tcPr>
          <w:p>
            <w:pPr>
              <w:spacing w:after="0"/>
              <w:rPr>
                <w:sz w:val="5"/>
                <w:szCs w:val="5"/>
                <w:color w:val="auto"/>
              </w:rPr>
            </w:pPr>
          </w:p>
        </w:tc>
      </w:tr>
    </w:tbl>
    <w:p>
      <w:pPr>
        <w:spacing w:after="0" w:line="20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Record owners who reside in Israel, and who wish to deliver their completed exercise form and subscription payment in New Israeli Shekels for the exercise of their rights directly to us, must do so by mail, overnight courier or by hand, as follows: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Ramat Gavriel Industrial Park</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Migdal Haemek 23150 Israel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Ms. Nati Somekh Gilboa</w:t>
      </w:r>
    </w:p>
    <w:p>
      <w:pPr>
        <w:spacing w:after="0" w:line="200" w:lineRule="exact"/>
        <w:rPr>
          <w:sz w:val="20"/>
          <w:szCs w:val="20"/>
          <w:color w:val="auto"/>
        </w:rPr>
      </w:pPr>
    </w:p>
    <w:p>
      <w:pPr>
        <w:spacing w:after="0" w:line="262"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Any payments to American Stock Transfer &amp; Trust Co., as Rights Agent, must be made in U.S. dollars by check drawn on a bank located in the United States and payable to “American Stock Transfer &amp; Trust Co., as Rights Agent,” or by wire transfer of funds to the account maintained by American Stock Transfer &amp; Trust Co., our Rights Agent, for this rights offering at JP Morgan Chase, 55 Water Street, New York, New York 10005, ABA No.021000021, Account No. 323-836933, reference Tower Semiconductor Ltd, Attention: Reorganization Department.</w:t>
      </w:r>
    </w:p>
    <w:p>
      <w:pPr>
        <w:spacing w:after="0" w:line="197" w:lineRule="exact"/>
        <w:rPr>
          <w:sz w:val="20"/>
          <w:szCs w:val="20"/>
          <w:color w:val="auto"/>
        </w:rPr>
      </w:pPr>
    </w:p>
    <w:p>
      <w:pPr>
        <w:jc w:val="both"/>
        <w:ind w:right="240" w:firstLine="341"/>
        <w:spacing w:after="0" w:line="303" w:lineRule="auto"/>
        <w:rPr>
          <w:sz w:val="20"/>
          <w:szCs w:val="20"/>
          <w:color w:val="auto"/>
        </w:rPr>
      </w:pPr>
      <w:r>
        <w:rPr>
          <w:rFonts w:ascii="Arial" w:cs="Arial" w:eastAsia="Arial" w:hAnsi="Arial"/>
          <w:sz w:val="15"/>
          <w:szCs w:val="15"/>
          <w:color w:val="auto"/>
        </w:rPr>
        <w:t>Any payments to us shall be made in New Israeli Shekels according to the representative exchange rate published by the Bank of Israel on the day before payment of the subscription price and shall be by wire transfer or by check drawn on a bank located in Israel, and payable to “Tower Semiconductor Ltd.” Any wire transfer to us should be made to Bank Leumi Le Israel, Haifa Main Branch, 21 Jaffa St., Haifa, Israel, Branch # 876, Account # 130300/62, Swift Code:</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LUMIILITTLV. You will choose the method of delivery of exercise forms and payment of the subscription price and will bear the risk of such election. We may agree to accept other forms of payment or payments in U.S. dollars if requested and agreed to by us.</w:t>
      </w:r>
    </w:p>
    <w:p>
      <w:pPr>
        <w:spacing w:after="0" w:line="19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IF YOU SEND YOUR COMPLETED EXERCISE FORM AND PAYMENTS BY MAIL, WE URGE YOU TO USE REGISTERED MAIL, PROPERLY INSURED, WITH RETURN RECEIPT REQUESTED, AND TO ALLOW A SUFFICIENT NUMBER OF DAYS TO ENSURE DELIVERY AND CLEARANCE OF PAYMENT PRIOR TO THE EXPIRATION DATE. WE STRONGLY URGE YOU TO PAY, OR ARRANGE FOR PAYMENT, BY MEANS OF A CHECK DRAWN ON A BANK LOCATED IN THE UNITED STATES OR IN ISRAEL. We will not consider any payment by check, other than a cashier’s check or a money order, to have been made until the check clears through the account of American Stock Transfer &amp; Trust Co., our Rights Agent, or to our account, as applicable, before the expiration date.</w:t>
      </w:r>
    </w:p>
    <w:p>
      <w:pPr>
        <w:spacing w:after="0" w:line="198"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Payments for the exercise of your rights made to American Stock Transfer &amp; Trust Co., our Rights Agent, will be held in a segregated interest bearing money market account, and will be sent to us in accordance with our written instructions.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 in the United States</w:t>
      </w:r>
    </w:p>
    <w:p>
      <w:pPr>
        <w:sectPr>
          <w:pgSz w:w="11900" w:h="16838" w:orient="portrait"/>
          <w:cols w:equalWidth="0" w:num="1">
            <w:col w:w="11420"/>
          </w:cols>
          <w:pgMar w:left="240" w:top="131" w:right="239" w:bottom="0" w:gutter="0" w:footer="0" w:header="0"/>
        </w:sectPr>
      </w:pPr>
    </w:p>
    <w:bookmarkStart w:id="22" w:name="page23"/>
    <w:bookmarkEnd w:id="22"/>
    <w:p>
      <w:pPr>
        <w:ind w:right="60" w:firstLine="351"/>
        <w:spacing w:after="0" w:line="252" w:lineRule="auto"/>
        <w:rPr>
          <w:sz w:val="20"/>
          <w:szCs w:val="20"/>
          <w:color w:val="auto"/>
        </w:rPr>
      </w:pPr>
      <w:r>
        <w:rPr>
          <w:rFonts w:ascii="Arial" w:cs="Arial" w:eastAsia="Arial" w:hAnsi="Arial"/>
          <w:sz w:val="18"/>
          <w:szCs w:val="18"/>
          <w:color w:val="auto"/>
        </w:rPr>
        <w:t>If you want to exercise your rights, but time will not permit your rights certificate to reach American Stock Transfer &amp; Trust Co., our Rights Agent, prior to 5:00 p.m., New York City time (midnight, Israel time), on January 12, 2006 , you may exercise your subscription rights if you send, and the Rights Agent receives, (1) payment in full for each right being exercised, (2) a notice of guaranteed delivery, substantially in the form provided to you with your rights certificate, from a member firm of a registered national securities exchange or a member of the National Association of Securities Dealers, Inc., or a commercial bank or trust company having an office or correspondent in the United States, and (3) your properly completed and duly executed rights certificate, including any required signature guarantees, within three NASDAQ trading days following the date of your notice of guaranteed delivery. The notice of guaranteed delivery may be delivered to the Rights Agent in the same manner as your rights certificate as set forth herein, or may be transmitted to the Rights Agent by facsimile transmission, to facsimile number 718-234-5001. You can obtain additional copies of the form of notice of guaranteed delivery by requesting them from the Rights Agent.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Rights</w:t>
      </w:r>
    </w:p>
    <w:p>
      <w:pPr>
        <w:spacing w:after="0" w:line="231"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The rights are transferable. You may sell or otherwise transfer them to others. The unexercised rights will be eligible for trading on the NASDAQ Capital Market and the Tel Aviv Stock Exchange for one day only on January 9, 2006 . If you are one of our affiliates, you may transfer your rights only if there is an effective registration statement or exemption covering such transfer under the United States securities laws.</w:t>
      </w:r>
    </w:p>
    <w:p>
      <w:pPr>
        <w:spacing w:after="0" w:line="16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Record holders wishing to transfer their rights to another person may do so by executing the rights transfer form on the back of the rights certificate and submitting it to American Stock Transfer &amp; Trust Co. prior to January 9, 2006 . Record holders wishing to sell their rights on the NASDAQ Capital Market or the Tel Aviv Stock Exchange, should independently engage a broker to execute this sale on their behalf.</w:t>
      </w:r>
    </w:p>
    <w:p>
      <w:pPr>
        <w:spacing w:after="0" w:line="194"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If no contrary instructions have been received by January 12, 2006 and your rights remain unexercised, your rights will expire. If you hold your shares through the nominee company of the Tel Aviv Stock Exchange (</w:t>
      </w:r>
      <w:r>
        <w:rPr>
          <w:rFonts w:ascii="Arial" w:cs="Arial" w:eastAsia="Arial" w:hAnsi="Arial"/>
          <w:sz w:val="16"/>
          <w:szCs w:val="16"/>
          <w:i w:val="1"/>
          <w:iCs w:val="1"/>
          <w:color w:val="auto"/>
        </w:rPr>
        <w:t>Hevra Le-Rishumim of Bank Leumi Le-Israel Ltd.</w:t>
      </w:r>
      <w:r>
        <w:rPr>
          <w:rFonts w:ascii="Arial" w:cs="Arial" w:eastAsia="Arial" w:hAnsi="Arial"/>
          <w:sz w:val="16"/>
          <w:szCs w:val="16"/>
          <w:color w:val="auto"/>
        </w:rPr>
        <w:t>), the rules of the Tel Aviv Stock Exchange provide that if no contrary instructions have been received from you by the time determined by your broker on January 9, 2006 , you will be considered to have instructed your broker to sell all your rights on the Tel Aviv Stock Exchange with no price limit.</w:t>
      </w:r>
    </w:p>
    <w:p>
      <w:pPr>
        <w:spacing w:after="0" w:line="167" w:lineRule="exact"/>
        <w:rPr>
          <w:sz w:val="20"/>
          <w:szCs w:val="20"/>
          <w:color w:val="auto"/>
        </w:rPr>
      </w:pPr>
    </w:p>
    <w:p>
      <w:pPr>
        <w:ind w:right="460" w:firstLine="345"/>
        <w:spacing w:after="0" w:line="268" w:lineRule="auto"/>
        <w:rPr>
          <w:sz w:val="20"/>
          <w:szCs w:val="20"/>
          <w:color w:val="auto"/>
        </w:rPr>
      </w:pPr>
      <w:r>
        <w:rPr>
          <w:rFonts w:ascii="Arial" w:cs="Arial" w:eastAsia="Arial" w:hAnsi="Arial"/>
          <w:sz w:val="18"/>
          <w:szCs w:val="18"/>
          <w:color w:val="auto"/>
        </w:rPr>
        <w:t>You are responsible for all commissions, fees and other expenses, including brokerage commissions and transfer taxes, incurred in connection with the purchase, sale or exercise of rights.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Ambiguities in Exercise of Rights</w:t>
      </w:r>
    </w:p>
    <w:p>
      <w:pPr>
        <w:spacing w:after="0" w:line="31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you do not specify the number of rights being exercised, or if your payment is not sufficient to pay the total subscription price for all of the debentures that you indicated you wished to purchase, you will be deemed to have exercised the maximum number of rights that could be exercised for the amount of the payment received from you. If your payment exceeds the total subscription price for all of the rights you have elected to exercise, we will promptly refund to you the balance with no interest.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Debentures</w:t>
      </w:r>
    </w:p>
    <w:p>
      <w:pPr>
        <w:spacing w:after="0" w:line="31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will issue to you notes evidencing the debentures issuable upon the exercise of the rights in this offering as soon as practicable after January 12, 2006 provided that we or the American Stock Transfer &amp; Trust Co., our Rights Agent, as applicable, has received your duly completed exercise form and your payment has cleared. Brokers may be unwilling to sell the debentures until these holders have received notes evidencing the debentures. Trading in the debentures on NASDAQ and the Tel Aviv Stock Exchange, respectively, will commence as soon as practicable after the rights expiration date ( January 12, 2006 ) in accordance with their respective rules.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 Who Are Not Record Holders</w:t>
      </w:r>
    </w:p>
    <w:p>
      <w:pPr>
        <w:spacing w:after="0" w:line="312"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If you are a beneficial owner of our ordinary shares and hold them through a broker, dealer or other nominee (including a member of the Tel Aviv Stock Exchange), you should expect your broker, dealer or other nominee to notify you of this rights offering and the procedures for exercising or transferring your rights. If you wish to exercise your rights, you will need to have your broker, dealer or other nominee act for you. To indicate your decision with respect to your rights, you should complete and return to your broker, dealer or other nominee the form provided to you accompanied by the subscription payment. You should receive this form from your broker, custodian bank or other nominee with the other rights offering materials. You should NOT return your subscription form or transfer the subscription payment directly to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Summarized below are the procedures for exercising your rights if you are a beneficial owner whose ordinary shares are held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Procedures Applicable to Holders of Shares Through the Nominee Company of the Tel Aviv Stock Exchange.</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you hold your ordinary shares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 you should expect to receive a letter regarding this rights offering from the member of the Tel Aviv Stock Exchange through which you hold your shares. In that letter, you will be requested to make ONE of the following three elections:</w:t>
      </w:r>
    </w:p>
    <w:p>
      <w:pPr>
        <w:spacing w:after="0" w:line="194" w:lineRule="exact"/>
        <w:rPr>
          <w:sz w:val="20"/>
          <w:szCs w:val="20"/>
          <w:color w:val="auto"/>
        </w:rPr>
      </w:pPr>
    </w:p>
    <w:p>
      <w:pPr>
        <w:jc w:val="both"/>
        <w:ind w:right="80" w:firstLine="359"/>
        <w:spacing w:after="0" w:line="318" w:lineRule="auto"/>
        <w:tabs>
          <w:tab w:leader="none" w:pos="907" w:val="left"/>
        </w:tabs>
        <w:numPr>
          <w:ilvl w:val="0"/>
          <w:numId w:val="15"/>
        </w:numPr>
        <w:rPr>
          <w:rFonts w:ascii="Arial" w:cs="Arial" w:eastAsia="Arial" w:hAnsi="Arial"/>
          <w:sz w:val="15"/>
          <w:szCs w:val="15"/>
          <w:color w:val="auto"/>
        </w:rPr>
      </w:pPr>
      <w:r>
        <w:rPr>
          <w:rFonts w:ascii="Arial" w:cs="Arial" w:eastAsia="Arial" w:hAnsi="Arial"/>
          <w:sz w:val="15"/>
          <w:szCs w:val="15"/>
          <w:color w:val="auto"/>
        </w:rPr>
        <w:t>Exercise your rights and subscribe for debentures that are convertible into our ordinary shares. If this alternative is elected, you may give a member of the Tel Aviv Stock Exchange through which you hold your shares an exercise notice commencing after 5:00 p.m., New York City time (midnight, Israel time), on December 20 , 2005 (the record date) and no later than the time determined by your broker on January 9, 2006 . You must attach the subscription payment to your notice. You will need to arrange with your broker the method of payment of your subscription payment. The subscription price is to be paid in New Israeli Shekels according to the representative exchange rate published by the Bank of Israel on the day before payment of the subscription price; or</w:t>
      </w:r>
    </w:p>
    <w:p>
      <w:pPr>
        <w:sectPr>
          <w:pgSz w:w="11900" w:h="16838" w:orient="portrait"/>
          <w:cols w:equalWidth="0" w:num="1">
            <w:col w:w="11400"/>
          </w:cols>
          <w:pgMar w:left="240" w:top="131" w:right="259" w:bottom="49" w:gutter="0" w:footer="0" w:header="0"/>
        </w:sectPr>
      </w:pPr>
    </w:p>
    <w:bookmarkStart w:id="23" w:name="page24"/>
    <w:bookmarkEnd w:id="23"/>
    <w:p>
      <w:pPr>
        <w:ind w:right="60" w:firstLine="359"/>
        <w:spacing w:after="0" w:line="268" w:lineRule="auto"/>
        <w:tabs>
          <w:tab w:leader="none" w:pos="9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the rights or any part of them on the Tel Aviv Stock Exchange. If you select this alternative, you may give your broker price limit instructions as to the sale of the rights; or</w:t>
      </w:r>
    </w:p>
    <w:p>
      <w:pPr>
        <w:spacing w:after="0" w:line="185" w:lineRule="exact"/>
        <w:rPr>
          <w:rFonts w:ascii="Arial" w:cs="Arial" w:eastAsia="Arial" w:hAnsi="Arial"/>
          <w:sz w:val="18"/>
          <w:szCs w:val="18"/>
          <w:color w:val="auto"/>
        </w:rPr>
      </w:pPr>
    </w:p>
    <w:p>
      <w:pPr>
        <w:ind w:left="920" w:hanging="561"/>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Refrain from exercising your rights and from selling them.</w:t>
      </w:r>
    </w:p>
    <w:p>
      <w:pPr>
        <w:spacing w:after="0" w:line="225" w:lineRule="exact"/>
        <w:rPr>
          <w:sz w:val="20"/>
          <w:szCs w:val="20"/>
          <w:color w:val="auto"/>
        </w:rPr>
      </w:pPr>
    </w:p>
    <w:p>
      <w:pPr>
        <w:ind w:right="180" w:firstLine="345"/>
        <w:spacing w:after="0" w:line="259" w:lineRule="auto"/>
        <w:rPr>
          <w:sz w:val="20"/>
          <w:szCs w:val="20"/>
          <w:color w:val="auto"/>
        </w:rPr>
      </w:pPr>
      <w:r>
        <w:rPr>
          <w:rFonts w:ascii="Arial" w:cs="Arial" w:eastAsia="Arial" w:hAnsi="Arial"/>
          <w:sz w:val="18"/>
          <w:szCs w:val="18"/>
          <w:color w:val="auto"/>
        </w:rPr>
        <w:t>Your notice should reach the member of the Tel Aviv Stock Exchange through which you hold your shares by no later than January 9, 2006 (the rights trading day) at the time determined by your broker. If notice is not received from you by such time, you will be considered to have instructed your broker to sell your rights on the Tel Aviv Stock Exchange, with no price limit.</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you hold rights and wish to transfer them to another person, you may do so by executing the rights transfer form that will be made available to you by your broker.</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rights will trade on the Tel Aviv Stock Exchange for one trading day, January 9, 2006 . Pursuant to the Tel Aviv Stock Exchange rules, if the trading of our ordinary shares or the rights is halted for a period in excess of 45 minutes, and the trading does not resume for the remainder of that day upon which the rights are traded on the Tel Aviv Stock Exchange, an additional trading day for the rights will take place, and the last day to exercise the rights will be accordingly extended. If on the day upon which the rights are traded on the Tel Aviv Stock Exchange the trading of our ordinary shares is halted, yet the cessation of trade continues for fewer than five consecutive trading days, your instructions with respect to the rights delivered to your broker shall remain in effect unless contrary instructions have been received by your broker from you. If the trading of our ordinary shares on the day upon which the rights are traded on the Tel Aviv Stock Exchange is halted for a period of more than five consecutive trading days, all prior instructions received by your broker will be cancelled.</w:t>
      </w:r>
    </w:p>
    <w:p>
      <w:pPr>
        <w:spacing w:after="0" w:line="172"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Holders of unexercised rights following the Tel Aviv Stock Exchange rights trading day may exercise them and subscribe for debentures that are convertible into our ordinary shares by notifying their broker and transferring the subscription payment. This notice must reach the broker by no later than January 12, 2006 at the time determined by the broker. If this notice is not received on time, it will not be possible to exercise these rights.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Under the Tel Aviv Stock Exchange rules, Tel Aviv Stock Exchange members must submit to the Tel Aviv Stock Exchange Clearing House a written rights exercise (subscription) notice on behalf of all their clients wishing to exercise rights no later than 9:00 a.m. Israel time (2:00 a.m., New York City time) on January 12, 2006 . The rights of holders of our ordinary shares through the nominee company of the Tel Aviv Stock Exchange will expire if the brokers of these holders do not provide an exercise notice as described above. The Tel Aviv Stock Exchange rules further require brokers to transfer, on the same date, to the Tel Aviv Stock Exchange Clearing House the subscription payments with respect to their clients’ exercised rights, and the Tel Aviv Stock Exchange Clearing House thereafter will transfer these payments to us.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Option Holders</w:t>
      </w:r>
    </w:p>
    <w:p>
      <w:pPr>
        <w:spacing w:after="0" w:line="312"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you are a holder of employee options that entitle you to receive rights, you will receive, upon request, a copy of this prospectus from our Human Resources Department. The transfer and exercise of the rights granted to you by virtue of our employee share option plans are taxable (see “Material Income Tax Considerations–Israeli Tax Considerations”). As we are required to withhold the taxes that may apply to you if you exercise or transfer your rights, you must adhere to the following procedures:</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If you wish to exercise your rights (or any part thereof), you must do so through our corporate secretary at our offices and you may not do so through our Rights Agent.</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you wish to sell your rights, you may only do so in the framework of an organized selling arrangement that we are implementing for our employees. You do not have to notify us of your wish to sell your rights. If by 5:00 p.m. (Israel time) on January 4, 2006 , we do not receive a notice from you that you wish to exercise your rights, you will be considered to have instructed us to sell your rights and we will include your rights in the organized selling arrangement. Under the organized selling arrangement, we will engage a broker to sell all the unexercised rights on the day upon which the unexercised rights will trade on the Tel Aviv Stock Exchange ( January 9, 2006 ). We will instruct the broker to use his discretion in selling the rights with the aim of maximizing the total consideration received for the rights, but we will not specify any price limits. If the broker succeeds in selling the employees’ rights (or any part thereof), he will transfer to us the total consideration received from the sale (after deducting his fees as agreed with us). We will distribute this total consideration among the employees, pro-rata to the number of their unexercised rights. We will transfer your pro-rata share to you as soon as practicable together with your monthly salary and withhold from this amount all applicable taxes. All employees’ rights that are not sold by the broker will expire.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Holders</w:t>
      </w:r>
    </w:p>
    <w:p>
      <w:pPr>
        <w:spacing w:after="0" w:line="31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If you are a broker, a trustee or a depositary for securities that holds our ordinary shares for the account of others as a nominee holder, you should notify the respective beneficial owners of such shares as soon as possible of the issuance of the rights to find out such beneficial owners’ intentions. You should obtain instructions from the beneficial owner with respect to the rights, as set forth in the instructions we have provided to you for your distribution to beneficial owners. If the beneficial owner so instructs, you should complete the appropriate subscription certificates. A nominee holder that holds shares for the account(s) of more than one beneficial owner may exercise the number of rights to which all such beneficial owners in the aggregate otherwise would have been entitled if they had been direct record holders of our ordinary shares on the record date, so long as the nominee submits the appropriate subscription certificates and certifications and proper payment to us. If you are a member of the Tel Aviv Stock Exchange, you must comply with the rules of the Tel Aviv Stock Exchange with respect to providing notices to and receiving instructions from your clients.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appointed American Stock Transfer &amp; Trust Company as Rights Agent for the rights offering.</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Rights Agent’s telephone number is 718-921-8200 and its facsimile number is 718-234-5001; Attention: Reorganization Department. We will pay the fees and specified expenses of the Rights Agent.</w:t>
      </w:r>
    </w:p>
    <w:p>
      <w:pPr>
        <w:sectPr>
          <w:pgSz w:w="11900" w:h="16838" w:orient="portrait"/>
          <w:cols w:equalWidth="0" w:num="1">
            <w:col w:w="11420"/>
          </w:cols>
          <w:pgMar w:left="240" w:top="131"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24" w:name="page25"/>
    <w:bookmarkEnd w:id="24"/>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DEBENTURES</w:t>
      </w:r>
    </w:p>
    <w:p>
      <w:pPr>
        <w:spacing w:after="0" w:line="29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debentures will be issued under an indenture to be dated as of December 15, 2005 between us and The Bank of New York and Hermetic Trust (1975) Ltd., as co-trustees. The terms of the debentures include all the terms required to be made part of the indenture under the Israel Securities Law – 1968 and the Trust Indenture Act of 1939, as amended. The debentures are subject to all the terms of the indenture, and holders of the debentures are referred to the indenture for a statement thereof.</w:t>
      </w:r>
    </w:p>
    <w:p>
      <w:pPr>
        <w:spacing w:after="0" w:line="197"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We have summarized selected provisions of the indenture below. This summary is not complete. The form of the indenture has been filed with the Israel Securities Authority, the Securities and Exchange Commission and the Israeli Registrar of Companies and will be available for review at our registered office. You should read the entire indenture for provisions that may be important to you.</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Accrual of Interest</w:t>
      </w:r>
    </w:p>
    <w:p>
      <w:pPr>
        <w:spacing w:after="0" w:line="299"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debentures will be general unsecured obligations. The debentures will bear interest at the rate per annum of 5%. Principal of the debentures is payable, together with accrued interest, in one installment (in the aggregate maximum amount of approximately $67 million, assuming the exercise of all of the rights being distributed) on January 12, , 201 2 . On January 12 , 201 2 , the cumulative interest rate on the debentures will be 34.0096%. Instruments representing the debentures will be issued in denominations of $1.00 and integral multiples thereof.</w:t>
      </w:r>
    </w:p>
    <w:p>
      <w:pPr>
        <w:spacing w:after="0" w:line="16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Interest will initially accrue from the date following the last day rights may be exercised ( January 13 , 200 6 ), and will be computed on the basis of a 365-day year. Thereafter, interest will be computed on an annual compounded basis. Accrued interest will not be payable by us upon conversion of the debentures into our ordinary shares and you will lose your right to any accrued interest upon conversion of the debentures into our ordinary shares.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w:t>
      </w:r>
    </w:p>
    <w:p>
      <w:pPr>
        <w:spacing w:after="0" w:line="299"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Commencing on the first trading day on the Tel Aviv Stock Exchange after the date on which the debentures are listed for trading on the Tel Aviv Stock Exchange and until December 27 , 2011 (inclusive) (16 days prior to the maturity date of the debentures, but if such date is not a trading day on the Tel Aviv Stock Exchange, then the last date to convert the debentures will be the first trading day on the Tel Aviv Stock Exchange after such date), the debentures are convertible into our ordinary shares at a conversion price of one ordinary share per each $ 1.10 amount of outstanding principal of the debentures. Debentures may only be converted in integral multiples of $1.00 amounts.</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not issue fractional shares upon conversion of the debentures. We will round down the number of shares issuable upon conversion of the debentures to the nearest whole number and will not pay any cash adjustment in lieu of fractional shares.</w:t>
      </w:r>
    </w:p>
    <w:p>
      <w:pPr>
        <w:spacing w:after="0" w:line="186"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Accrued interest will not be payable by us upon conversion of the debentures into our ordinary shares and you will lose your right to any accrued interest upon conversion of the debentures into our ordinary shares. Consequently, the effective conversion price applicable to your debentures would be increased to reflect the amount of interest being forfeited upon conversion. For example, if you convert your debentures on December 27 , 2011 (the last day on which debentures may be converted), the effective conversion price applicable to your debentures, assuming no adjustments are made to the conversion price, would be approximately $1.34.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Conversion Price Following a Future Financing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conversion price will be adjusted if either of the following two scenarios occurs:</w:t>
      </w:r>
    </w:p>
    <w:p>
      <w:pPr>
        <w:spacing w:after="0" w:line="225" w:lineRule="exact"/>
        <w:rPr>
          <w:sz w:val="20"/>
          <w:szCs w:val="20"/>
          <w:color w:val="auto"/>
        </w:rPr>
      </w:pPr>
    </w:p>
    <w:p>
      <w:pPr>
        <w:ind w:left="1720" w:hanging="567"/>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event that by December 20 , 2006 (12 months after the record date), we consummate one or more financings (excluding this rights offering) in which we receive gross proceeds from each such financing of at least $5 million, the conversion price of the debentures will be adjusted to 90% of the lowest price per share (as calculated below) at which we sold securities in any one of these financings, if the lowest price per share at which we sold securities in any one of these financings would be lower than the original conversion price. We will issue a press release to announce the adjusted conversion price on the fifth Tel Aviv Stock Exchange trading day after December 20 , 2006 and the adjustment will take effect on the first Tel Aviv Stock Exchange trading day following the twenty first day after the date of the press release.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20" w:hanging="567"/>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event that by December 20 , 2006, we do not receive in any one financing (excluding this rights offering) gross proceeds of at least $5 million, but execute prior to December 20 , 2006 one or more agreements relating to transactions which have not closed, letters of intent, memorandums of understanding or similar agreements or understandings, for a proposed financing or financings, which have not been abandoned prior to December 20 , 2006, and we receive in any one of these financings gross proceeds of at least $5 million by June 20 , 2007 (18 months after the record date), then, the conversion price will be adjusted to 90% of the lowest price per share (as calculated below) at which we sold securities in any of these financings, if the lowest price per share at which we sold securities in any one of these financings would be lower than the original conversion price. We will issue a press release to announce the adjusted conversion price on the fifth Tel Aviv Stock Exchange trading day after June 20 , 2007 and the adjustment will take effect on the first Tel Aviv Stock Exchange trading day following the twenty first day after the date of the press release.</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adjusted conversion price to the debentures shall under no circumstances be lower than $0.01.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financing for purposes of adjustments to the conversion price means:</w:t>
      </w:r>
    </w:p>
    <w:p>
      <w:pPr>
        <w:spacing w:after="0" w:line="225" w:lineRule="exact"/>
        <w:rPr>
          <w:sz w:val="20"/>
          <w:szCs w:val="20"/>
          <w:color w:val="auto"/>
        </w:rPr>
      </w:pPr>
    </w:p>
    <w:p>
      <w:pPr>
        <w:ind w:left="2300" w:right="60" w:hanging="567"/>
        <w:spacing w:after="0" w:line="268" w:lineRule="auto"/>
        <w:rPr>
          <w:sz w:val="20"/>
          <w:szCs w:val="20"/>
          <w:color w:val="auto"/>
        </w:rPr>
      </w:pPr>
      <w:r>
        <w:rPr>
          <w:rFonts w:ascii="Arial" w:cs="Arial" w:eastAsia="Arial" w:hAnsi="Arial"/>
          <w:sz w:val="18"/>
          <w:szCs w:val="18"/>
          <w:color w:val="auto"/>
        </w:rPr>
        <w:t>—the sale of our shares, warrants or additional convertible debentures, other than employee options, existing outstanding warrants, employee options convertible debentures or other rights; and</w:t>
      </w:r>
    </w:p>
    <w:p>
      <w:pPr>
        <w:spacing w:after="0" w:line="212" w:lineRule="exact"/>
        <w:rPr>
          <w:sz w:val="20"/>
          <w:szCs w:val="20"/>
          <w:color w:val="auto"/>
        </w:rPr>
      </w:pPr>
    </w:p>
    <w:p>
      <w:pPr>
        <w:ind w:left="2300" w:right="500" w:hanging="567"/>
        <w:spacing w:after="0" w:line="268" w:lineRule="auto"/>
        <w:rPr>
          <w:sz w:val="20"/>
          <w:szCs w:val="20"/>
          <w:color w:val="auto"/>
        </w:rPr>
      </w:pPr>
      <w:r>
        <w:rPr>
          <w:rFonts w:ascii="Arial" w:cs="Arial" w:eastAsia="Arial" w:hAnsi="Arial"/>
          <w:sz w:val="18"/>
          <w:szCs w:val="18"/>
          <w:color w:val="auto"/>
        </w:rPr>
        <w:t>—the conversion of existing debt into equity, other than the conversion of existing wafer credits into our ordinary shares and existing convertible debentures.</w:t>
      </w:r>
    </w:p>
    <w:p>
      <w:pPr>
        <w:sectPr>
          <w:pgSz w:w="11900" w:h="16919" w:orient="portrait"/>
          <w:cols w:equalWidth="0" w:num="1">
            <w:col w:w="11380"/>
          </w:cols>
          <w:pgMar w:left="240" w:top="125" w:right="279" w:bottom="0" w:gutter="0" w:footer="0" w:header="0"/>
        </w:sectPr>
      </w:pPr>
    </w:p>
    <w:bookmarkStart w:id="25" w:name="page26"/>
    <w:bookmarkEnd w:id="25"/>
    <w:p>
      <w:pPr>
        <w:spacing w:after="0" w:line="137" w:lineRule="exact"/>
        <w:rPr>
          <w:sz w:val="20"/>
          <w:szCs w:val="20"/>
          <w:color w:val="auto"/>
        </w:rPr>
      </w:pPr>
    </w:p>
    <w:p>
      <w:pPr>
        <w:ind w:right="220" w:firstLine="348"/>
        <w:spacing w:after="0" w:line="370" w:lineRule="auto"/>
        <w:rPr>
          <w:sz w:val="20"/>
          <w:szCs w:val="20"/>
          <w:color w:val="auto"/>
        </w:rPr>
      </w:pPr>
      <w:r>
        <w:rPr>
          <w:rFonts w:ascii="Arial" w:cs="Arial" w:eastAsia="Arial" w:hAnsi="Arial"/>
          <w:sz w:val="15"/>
          <w:szCs w:val="15"/>
          <w:color w:val="auto"/>
        </w:rPr>
        <w:t>We will calculate the price per share for the purposes of the adjustment to the conversion price as set forth below. The examples presented below are for illustration only and are not based on any forecasts, assumptions or actual calculations of economic values and should not be relied upon for any other purpose.</w:t>
      </w:r>
    </w:p>
    <w:p>
      <w:pPr>
        <w:spacing w:after="0" w:line="116" w:lineRule="exact"/>
        <w:rPr>
          <w:sz w:val="20"/>
          <w:szCs w:val="20"/>
          <w:color w:val="auto"/>
        </w:rPr>
      </w:pPr>
    </w:p>
    <w:p>
      <w:pPr>
        <w:ind w:left="2300" w:right="220" w:hanging="567"/>
        <w:spacing w:after="0" w:line="268" w:lineRule="auto"/>
        <w:rPr>
          <w:sz w:val="20"/>
          <w:szCs w:val="20"/>
          <w:color w:val="auto"/>
        </w:rPr>
      </w:pPr>
      <w:r>
        <w:rPr>
          <w:rFonts w:ascii="Arial" w:cs="Arial" w:eastAsia="Arial" w:hAnsi="Arial"/>
          <w:sz w:val="18"/>
          <w:szCs w:val="18"/>
          <w:color w:val="auto"/>
        </w:rPr>
        <w:t>—If, in the financing or financings we issue only shares, the price per share for the purposes of calculating the adjustment will be the price per share in the financing or financings.</w:t>
      </w:r>
    </w:p>
    <w:p>
      <w:pPr>
        <w:spacing w:after="0" w:line="212" w:lineRule="exact"/>
        <w:rPr>
          <w:sz w:val="20"/>
          <w:szCs w:val="20"/>
          <w:color w:val="auto"/>
        </w:rPr>
      </w:pPr>
    </w:p>
    <w:p>
      <w:pPr>
        <w:ind w:left="2300" w:right="40" w:hanging="567"/>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If, in the financing or financings we issue only convertible debentures, the price per share for the purposes of calculating the adjustment will be the result of dividing the purchase price of the debentures issued in the financing or financings less the present value of the cumulative amount of interest payable prior to the last conversion date of the debentures issued in the financing or financings, by the number of shares issuable upon conversion of the debentures issued in the financing or financings.</w:t>
      </w:r>
    </w:p>
    <w:p>
      <w:pPr>
        <w:spacing w:after="0" w:line="151" w:lineRule="exact"/>
        <w:rPr>
          <w:sz w:val="20"/>
          <w:szCs w:val="20"/>
          <w:color w:val="auto"/>
        </w:rPr>
      </w:pPr>
    </w:p>
    <w:p>
      <w:pPr>
        <w:ind w:left="2300" w:right="160"/>
        <w:spacing w:after="0" w:line="256" w:lineRule="auto"/>
        <w:rPr>
          <w:sz w:val="20"/>
          <w:szCs w:val="20"/>
          <w:color w:val="auto"/>
        </w:rPr>
      </w:pPr>
      <w:r>
        <w:rPr>
          <w:rFonts w:ascii="Arial" w:cs="Arial" w:eastAsia="Arial" w:hAnsi="Arial"/>
          <w:sz w:val="18"/>
          <w:szCs w:val="18"/>
          <w:color w:val="auto"/>
        </w:rPr>
        <w:t>By way of illustration, if the purchase price of the debentures issued in the financing or financings is $1.10, the present value of the cumulative amount of interest payable prior to the last conversion date is $0.25 and the number of shares issuable upon conversion of the debentures issued in the financing or financings is 0.8 shares, the price per share would be ($1.10-$0.25)/0.8=$1.06.</w:t>
      </w:r>
    </w:p>
    <w:p>
      <w:pPr>
        <w:spacing w:after="0" w:line="224" w:lineRule="exact"/>
        <w:rPr>
          <w:sz w:val="20"/>
          <w:szCs w:val="20"/>
          <w:color w:val="auto"/>
        </w:rPr>
      </w:pPr>
    </w:p>
    <w:p>
      <w:pPr>
        <w:ind w:left="2300" w:right="60" w:hanging="567"/>
        <w:spacing w:after="0" w:line="259" w:lineRule="auto"/>
        <w:rPr>
          <w:sz w:val="20"/>
          <w:szCs w:val="20"/>
          <w:color w:val="auto"/>
        </w:rPr>
      </w:pPr>
      <w:r>
        <w:rPr>
          <w:rFonts w:ascii="Arial" w:cs="Arial" w:eastAsia="Arial" w:hAnsi="Arial"/>
          <w:sz w:val="18"/>
          <w:szCs w:val="18"/>
          <w:color w:val="auto"/>
        </w:rPr>
        <w:t>—If, in the financing or financings we issue only warrants, the price per share for the purposes of calculating the adjustment will be the purchase price of the warrants less the difference between the economic value of the warrants and the purchase price of the warrants, plus the present value of the exercise price of the warrants.</w:t>
      </w:r>
    </w:p>
    <w:p>
      <w:pPr>
        <w:spacing w:after="0" w:line="194" w:lineRule="exact"/>
        <w:rPr>
          <w:sz w:val="20"/>
          <w:szCs w:val="20"/>
          <w:color w:val="auto"/>
        </w:rPr>
      </w:pPr>
    </w:p>
    <w:p>
      <w:pPr>
        <w:jc w:val="both"/>
        <w:ind w:left="2300" w:right="100"/>
        <w:spacing w:after="0" w:line="259" w:lineRule="auto"/>
        <w:rPr>
          <w:sz w:val="20"/>
          <w:szCs w:val="20"/>
          <w:color w:val="auto"/>
        </w:rPr>
      </w:pPr>
      <w:r>
        <w:rPr>
          <w:rFonts w:ascii="Arial" w:cs="Arial" w:eastAsia="Arial" w:hAnsi="Arial"/>
          <w:sz w:val="18"/>
          <w:szCs w:val="18"/>
          <w:color w:val="auto"/>
        </w:rPr>
        <w:t>By way of illustration, if the purchase price per warrant is $0.60, the economic value per warrant is $0.70, and the present value of the exercise price per warrant is $0.50, then the price per share for the purposes of calculating the adjustment would be $0.60-($0.70-$0.60)+$0.50=$1.00.</w:t>
      </w:r>
    </w:p>
    <w:p>
      <w:pPr>
        <w:spacing w:after="0" w:line="221" w:lineRule="exact"/>
        <w:rPr>
          <w:sz w:val="20"/>
          <w:szCs w:val="20"/>
          <w:color w:val="auto"/>
        </w:rPr>
      </w:pPr>
    </w:p>
    <w:p>
      <w:pPr>
        <w:ind w:left="2300" w:right="120" w:hanging="567"/>
        <w:spacing w:after="0" w:line="256" w:lineRule="auto"/>
        <w:rPr>
          <w:sz w:val="20"/>
          <w:szCs w:val="20"/>
          <w:color w:val="auto"/>
        </w:rPr>
      </w:pPr>
      <w:r>
        <w:rPr>
          <w:rFonts w:ascii="Arial" w:cs="Arial" w:eastAsia="Arial" w:hAnsi="Arial"/>
          <w:sz w:val="18"/>
          <w:szCs w:val="18"/>
          <w:color w:val="auto"/>
        </w:rPr>
        <w:t>—If, in the financing or financings we issue units consisting of shares and warrants, the price per share for the purposes of calculating the adjustment will be the result of dividing the purchase price per unit in the financing or financings, less the economic value of the warrants, by the number of shares in each unit (not including the number of shares issuable upon exercise of the warrants).</w:t>
      </w:r>
    </w:p>
    <w:p>
      <w:pPr>
        <w:spacing w:after="0" w:line="197" w:lineRule="exact"/>
        <w:rPr>
          <w:sz w:val="20"/>
          <w:szCs w:val="20"/>
          <w:color w:val="auto"/>
        </w:rPr>
      </w:pPr>
    </w:p>
    <w:p>
      <w:pPr>
        <w:ind w:left="2300" w:right="140"/>
        <w:spacing w:after="0" w:line="370" w:lineRule="auto"/>
        <w:rPr>
          <w:sz w:val="20"/>
          <w:szCs w:val="20"/>
          <w:color w:val="auto"/>
        </w:rPr>
      </w:pPr>
      <w:r>
        <w:rPr>
          <w:rFonts w:ascii="Arial" w:cs="Arial" w:eastAsia="Arial" w:hAnsi="Arial"/>
          <w:sz w:val="15"/>
          <w:szCs w:val="15"/>
          <w:color w:val="auto"/>
        </w:rPr>
        <w:t>By way of illustration, if the purchase price of a unit is $2.00, the economic value per warrant is $0.70 and the number of shares in each unit was 1 share, the price per share for the purposes of calculating the adjustment would be ($2.00-$0.70)/1=$1.30.</w:t>
      </w:r>
    </w:p>
    <w:p>
      <w:pPr>
        <w:spacing w:after="0" w:line="143" w:lineRule="exact"/>
        <w:rPr>
          <w:sz w:val="20"/>
          <w:szCs w:val="20"/>
          <w:color w:val="auto"/>
        </w:rPr>
      </w:pPr>
    </w:p>
    <w:p>
      <w:pPr>
        <w:ind w:left="2300" w:right="100" w:hanging="567"/>
        <w:spacing w:after="0" w:line="254" w:lineRule="auto"/>
        <w:rPr>
          <w:sz w:val="20"/>
          <w:szCs w:val="20"/>
          <w:color w:val="auto"/>
        </w:rPr>
      </w:pPr>
      <w:r>
        <w:rPr>
          <w:rFonts w:ascii="Arial" w:cs="Arial" w:eastAsia="Arial" w:hAnsi="Arial"/>
          <w:sz w:val="18"/>
          <w:szCs w:val="18"/>
          <w:color w:val="auto"/>
        </w:rPr>
        <w:t>—If, in the financing or financings we issue units consisting of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shares in each unit issuable upon conversion of the debentures issued in the financing or financings, but not including the number of shares issuable upon exercise of the warrants.</w:t>
      </w:r>
    </w:p>
    <w:p>
      <w:pPr>
        <w:spacing w:after="0" w:line="198" w:lineRule="exact"/>
        <w:rPr>
          <w:sz w:val="20"/>
          <w:szCs w:val="20"/>
          <w:color w:val="auto"/>
        </w:rPr>
      </w:pPr>
    </w:p>
    <w:p>
      <w:pPr>
        <w:ind w:left="2300" w:right="240"/>
        <w:spacing w:after="0" w:line="256" w:lineRule="auto"/>
        <w:rPr>
          <w:sz w:val="20"/>
          <w:szCs w:val="20"/>
          <w:color w:val="auto"/>
        </w:rPr>
      </w:pPr>
      <w:r>
        <w:rPr>
          <w:rFonts w:ascii="Arial" w:cs="Arial" w:eastAsia="Arial" w:hAnsi="Arial"/>
          <w:sz w:val="18"/>
          <w:szCs w:val="18"/>
          <w:color w:val="auto"/>
        </w:rPr>
        <w:t>By way of illustration, if the purchase price of the unit is $1.70, the present value of the cumulative amount of interest payable prior to the last conversion date is $0.25, the economic value per warrant is $0.70, and the number of shares issuable upon conversion of the debentures issued in the financing or financings is 0.8 shares, the price per share would be ($1.70-$0.25-$0.7)/0.8=$0.94.</w:t>
      </w:r>
    </w:p>
    <w:p>
      <w:pPr>
        <w:spacing w:after="0" w:line="224" w:lineRule="exact"/>
        <w:rPr>
          <w:sz w:val="20"/>
          <w:szCs w:val="20"/>
          <w:color w:val="auto"/>
        </w:rPr>
      </w:pPr>
    </w:p>
    <w:p>
      <w:pPr>
        <w:ind w:left="2300" w:right="20" w:hanging="567"/>
        <w:spacing w:after="0" w:line="255" w:lineRule="auto"/>
        <w:rPr>
          <w:sz w:val="20"/>
          <w:szCs w:val="20"/>
          <w:color w:val="auto"/>
        </w:rPr>
      </w:pPr>
      <w:r>
        <w:rPr>
          <w:rFonts w:ascii="Arial" w:cs="Arial" w:eastAsia="Arial" w:hAnsi="Arial"/>
          <w:sz w:val="18"/>
          <w:szCs w:val="18"/>
          <w:color w:val="auto"/>
        </w:rPr>
        <w:t>—If, in the financing or financings we issue units consisting of shares and convertible debentures, the price per share for the purposes of calculating the adjustment will be the result of dividing the purchase price per unit in the financing or financings, less the present value of the cumulative amount of interest payable prior to the last conversion date of the debentures issued in the financing or financings, by the number of shares in each unit including the number of shares issuable upon conversion of the debentures issued in the financing or financings.</w:t>
      </w:r>
    </w:p>
    <w:p>
      <w:pPr>
        <w:spacing w:after="0" w:line="196" w:lineRule="exact"/>
        <w:rPr>
          <w:sz w:val="20"/>
          <w:szCs w:val="20"/>
          <w:color w:val="auto"/>
        </w:rPr>
      </w:pPr>
    </w:p>
    <w:p>
      <w:pPr>
        <w:ind w:left="2300" w:right="240"/>
        <w:spacing w:after="0" w:line="256" w:lineRule="auto"/>
        <w:rPr>
          <w:sz w:val="20"/>
          <w:szCs w:val="20"/>
          <w:color w:val="auto"/>
        </w:rPr>
      </w:pPr>
      <w:r>
        <w:rPr>
          <w:rFonts w:ascii="Arial" w:cs="Arial" w:eastAsia="Arial" w:hAnsi="Arial"/>
          <w:sz w:val="18"/>
          <w:szCs w:val="18"/>
          <w:color w:val="auto"/>
        </w:rPr>
        <w:t>By way of illustration, if the purchase price of the unit is $2.10, the present value of the cumulative amount of interest payable prior to the last conversion date is $0.25 and the number of shares in each unit is 1 and the number of shares issuable upon conversion of the debentures issued in the financing or financings is 0.8 shares, the price per share would be ($2.10-$0.25)/(1+0.8)=$1.03.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300" w:hanging="56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in the financing or financings we issue units consisting of shares,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shares in each unit including the number of shares issuable upon conversion of the debentures issued in the financing or financings, but not including the number of shares issuable upon exercise of the warrants.</w:t>
      </w:r>
    </w:p>
    <w:p>
      <w:pPr>
        <w:spacing w:after="0" w:line="174" w:lineRule="exact"/>
        <w:rPr>
          <w:sz w:val="20"/>
          <w:szCs w:val="20"/>
          <w:color w:val="auto"/>
        </w:rPr>
      </w:pPr>
    </w:p>
    <w:p>
      <w:pPr>
        <w:ind w:left="2300" w:right="140"/>
        <w:spacing w:after="0" w:line="256" w:lineRule="auto"/>
        <w:rPr>
          <w:sz w:val="20"/>
          <w:szCs w:val="20"/>
          <w:color w:val="auto"/>
        </w:rPr>
      </w:pPr>
      <w:r>
        <w:rPr>
          <w:rFonts w:ascii="Arial" w:cs="Arial" w:eastAsia="Arial" w:hAnsi="Arial"/>
          <w:sz w:val="18"/>
          <w:szCs w:val="18"/>
          <w:color w:val="auto"/>
        </w:rPr>
        <w:t>By way of illustration, if the purchase price of the unit is $2.80, the present value of the cumulative amount of interest payable prior to the last conversion date is $0.25, the economic value per warrant is $0.70, the number of shares in each unit is 1 and the number of shares issuable upon conversion of the debentures issued in the financing or financings is 0.8 shares, the price per share would be ($2.80-$0.25-$0.70)/(1+0.8)=$1.03.</w:t>
      </w:r>
    </w:p>
    <w:p>
      <w:pPr>
        <w:spacing w:after="0" w:line="200" w:lineRule="exact"/>
        <w:rPr>
          <w:sz w:val="20"/>
          <w:szCs w:val="20"/>
          <w:color w:val="auto"/>
        </w:rPr>
      </w:pPr>
    </w:p>
    <w:p>
      <w:pPr>
        <w:spacing w:after="0" w:line="240"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For the purposes of the adjustments set forth above, the “economic value” of the warrants will be calculated according to the Black and Scholes model as set forth in the Tel Aviv Stock Exchange Rules for registered companies based on the average closing price of our ordinary shares on NASDAQ (or such other stock</w:t>
      </w:r>
    </w:p>
    <w:p>
      <w:pPr>
        <w:sectPr>
          <w:pgSz w:w="11900" w:h="16975" w:orient="portrait"/>
          <w:cols w:equalWidth="0" w:num="1">
            <w:col w:w="11420"/>
          </w:cols>
          <w:pgMar w:left="240" w:top="590" w:right="239" w:bottom="0" w:gutter="0" w:footer="0" w:header="0"/>
        </w:sectPr>
      </w:pPr>
    </w:p>
    <w:bookmarkStart w:id="26" w:name="page27"/>
    <w:bookmarkEnd w:id="26"/>
    <w:p>
      <w:pPr>
        <w:spacing w:after="0" w:line="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exchange or quotation system on which our ordinary shares are listed in the event that they cease to be traded on NASDAQ) during the 15 consecutive trading days immediately prior to the date on which the financing agreement is signed. The interest rate for this calculation will be the interest rate as published by the Tel Aviv Stock Exchange on the date of the relevant financing.</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For the purposes of the adjustments set forth above, the “present value” will be calculated using the interest rate then applicable to the long term loans under our credit facility agreement. In the event that the financing or financings is denominated in a currency other than United States dollars, the amounts in the financing or financings will be converted to United States dollars according to the last known exchange rate on the date of the consummation of the relevant financing.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adjusted conversion price to the debentures shall under no circumstances be lower than $0.01.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Conversion Price Following Issuance of Bonus Shares, Rights Offerings and Other Events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conversion price is also subject to adjustment as set forth in the indenture in certain events, including the issuance of our capital stock as a dividend (bonus shares), subdivisions, combinations and reclassifications of our ordinary shares and rights offerings. In the event of the distribution of bonus shares, the number of our ordinary shares issuable upon the conversion of each debenture will be increased by such number of our ordinary shares that the debenture holder would have received if such debenture holder had converted his debentures on the record date fixed for the bonus share distribution. In the event of a rights offering to our shareholders of any type of our securities at any time from the date of this prospectus but prior to the conversion of the debentures, the number of our ordinary shares to be issued upon the conversion of the debentures shall be adjusted to take into account the element of economic benefit in the future rights offering as is represented by the ratio between the price per share of our ordinary shares on the effective date of the future rights offering and the opening price per share of our ordinary shares that is established by the Tel Aviv Stock Exchange on the following trading day. If the Tel Aviv Stock Exchange does not establish an opening price per share of our ordinary shares, no adjustment in the number of shares issuable upon conversion of the debentures will be made with respect to such future rights offering. In the event of our consolidation or merger as a result of which our company is not the surviving entity, we will provide notice to the Trustees prior to the date of consummation of such consolidation or merger. The successor entity shall assume the obligation to repay the principal of and interest on the debentures in accordance with their terms. Debentures which are not converted prior to the date of consummation of such consolidation or merger shall no longer be convertible.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Redemption of Debentures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Redemption at the Discretion of the Company</w:t>
      </w:r>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may at our option announce the early redemption of the debentures, provided that the outstanding aggregate balance of principal on account of the debentures is equal to or less than $500,000. In the event we choose to redeem the debentures, the minimum portion of the debentures we will redeem is 100% of the then outstanding debentures. We will provide the debenture holders with advance notice of at least 30 days prior to any such redemption. Upon such early redemption, we will pay to the holders of the debentures the amount of outstanding principal of their debentures and interest accrued as of the redemption date. A resolution to announce an early redemption of the debentures will be adopted by our board of directors and we will provide notice of such resolution on Form 6-K, and in an immediate report in Israel as well as a notice to be published in two Israeli newspapers. The date of the early redemption will be between 30 to 45 days after the date of our notification.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facility agreement, we are not permitted to redeem debentures.</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Subordination of Debentures</w:t>
      </w:r>
    </w:p>
    <w:p>
      <w:pPr>
        <w:spacing w:after="0" w:line="312"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described below, the payment of the principal of and interest on the debentures is subordinated to the prior payment of all amounts payable by us to the banks under the facility agreement, whether outstanding on the date of the indenture or thereafter created, incurred or assumed. Upon our dissolution, winding up, liquidation or reorganization, the banks will be entitled to receive payment in full of all amounts due to them under the facility agreement before the holders of debentures are entitled to receive any payment.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Postponement of Payments under the Debentures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addition to the subordination of the debentures to the amounts payable by us to the banks under the facility agreement, upon dissolution, winding up, liquidation or reorganization, the debentures and the indenture provide, in accordance with the requirements of the facility agreement, that the dates for payment of interest and principal on the debentures may be postponed (with interest continuing to accrue at regular rates), depending on various scenarios relating to our relations with the banks as detailed below. In the event of such postponement in payments on the debentures, we will extend the conversion period for the debentures. The terms of the indenture permit the Co-Trustees to initiate legal proceedings against us only in a limited number of cases, and always provided that advance notice is given to us and to our banks. The indenture provides that each debenture holder waives any right or claim against the Co-Trustees based on the grounds that they should have initiated any proceeding or act in any other way in spite of such provisions of the indenture while claiming that such provisions do not comply with applicable law.</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Under the facility agreement, the payment dates of interest and principal to the banks fall on the last business day of each calendar quarter (a “Bank Payment Date”).</w:t>
      </w:r>
    </w:p>
    <w:p>
      <w:pPr>
        <w:spacing w:after="0" w:line="186"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In the event of the existence of an Event of Default, as such term is defined below, on a Bank Payment Date, then, subject to the provisions below, no payment of principal or interest on the debentures shall be made and the debenture holders and any person or entity acting on their behalf (including the Co-Trustees) shall not be entitled to take any action against us in connection with such non-payment, unless such non-payment shall continue for a period of more than 6 (six) months commencing on the applicable Bank Payment Date (a “Six Month Period”). To illustrate, if December 31 , 2011 is a Bank Payment Date and on such date an Event of Default exists, the Six Month Period applicable to the payment to be made on the debentures on January 12, 201 2 will be calculated beginning on December 31 , 2011. For a description of additional events of default contained in our facility agreement, see “Events of Default under the Facility Agreement.”</w:t>
      </w:r>
    </w:p>
    <w:p>
      <w:pPr>
        <w:sectPr>
          <w:pgSz w:w="11900" w:h="16877" w:orient="portrait"/>
          <w:cols w:equalWidth="0" w:num="1">
            <w:col w:w="11400"/>
          </w:cols>
          <w:pgMar w:left="240" w:top="131" w:right="259" w:bottom="0" w:gutter="0" w:footer="0" w:header="0"/>
        </w:sectPr>
      </w:pPr>
    </w:p>
    <w:bookmarkStart w:id="27" w:name="page28"/>
    <w:bookmarkEnd w:id="27"/>
    <w:p>
      <w:pPr>
        <w:spacing w:after="0" w:line="29"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facility agreement further provides that after the conclusion of a Six Month Period, we may not make payments of principal and interest on the debentures unless we have either (i) paid the banks amounts then owing in full; or (ii) the holders of the debentures obtained a final judgment requiring us to make payment to them.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aforementioned Six Month Period, the following shall apply:</w:t>
      </w:r>
    </w:p>
    <w:p>
      <w:pPr>
        <w:spacing w:after="0" w:line="225" w:lineRule="exact"/>
        <w:rPr>
          <w:sz w:val="20"/>
          <w:szCs w:val="20"/>
          <w:color w:val="auto"/>
        </w:rPr>
      </w:pPr>
    </w:p>
    <w:p>
      <w:pPr>
        <w:ind w:right="260" w:firstLine="351"/>
        <w:spacing w:after="0" w:line="323" w:lineRule="auto"/>
        <w:rPr>
          <w:sz w:val="20"/>
          <w:szCs w:val="20"/>
          <w:color w:val="auto"/>
        </w:rPr>
      </w:pPr>
      <w:r>
        <w:rPr>
          <w:rFonts w:ascii="Arial" w:cs="Arial" w:eastAsia="Arial" w:hAnsi="Arial"/>
          <w:sz w:val="15"/>
          <w:szCs w:val="15"/>
          <w:color w:val="auto"/>
        </w:rPr>
        <w:t>If during such period, we shall make any payment to the banks on account of interest or principal under the facility agreement, then, on the date of such payment to the banks, we shall make a payment on account of interest or principal (as the case may be) then due and payable in respect of the debentures, such payment to be made at the same percentage of the interest or principal then due and payable on the debentures proportionate to the portion of the payment actually made to the banks to the amount (interest or principal as the case may be) due and payable under the facility agreement as of the payment date;</w:t>
      </w:r>
    </w:p>
    <w:p>
      <w:pPr>
        <w:spacing w:after="0" w:line="152"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color w:val="auto"/>
        </w:rPr>
        <w:t>In the event that during such Six Month Period the banks and us shall reach an agreement regarding a rescheduling of payments by us to the banks under the facility agreement, such rescheduling (whether of principal or interest) shall apply pro rata also to payments of principal and/or interest, as the case may be, in respect of the debentures and the holders of the debentures shall be bound by such rescheduling agreement. According to our facility agreement, such rescheduling agreement will apply only to payments (principal and interest) scheduled to be made on the debentures during the period of 12 (twelve) months beginning on the applicable Bank Payment Date, and shall postpone each payment on the debentures for no longer than 12 months. Pursuant to any such rescheduling agreement, we shall, in such 12 month period, pay to the holders of the debentures, such amounts on account of principal and/or interest at the same percentage of the scheduled repayments of principal or interest, during such 12 period in respect of the debentures, proportionate to the portion of the payments to be made to the banks during such 12 month period under such rescheduling agreement to the scheduled repayments of principal or of interest to the banks pursuant to the facility agreement for such 12 month period. Alternatively, such rescheduling agreement may provide that payments of principal and/or interest on account of the debentures shall, with effect from the termination of such Six Month Period, be made to the holders of the debentures in accordance with the original schedule under the terms of the debentures, provided that amounts not paid during such Six Month Period, or prior thereto shall be postponed to be paid pro rata to those payments not made to the banks during such Six Month Period or prior thereto and the holders of the debentures shall be bound by such an agreement. If during the rescheduling period another Event of Default under the facility agreement shall occur, the aforementioned provisions shall again apply. Notwithstanding the above, if, on a date scheduled for the payment of principal or interest on the debentures, any of the below events occur, then no amount of whatsoever nature shall be payable by us in respect of the debentures (whether in respect of principal, interest or any other amount) until all amounts owed by us under the facility agreement shall have been paid in full. In the event that, contrary to the above, the holders of the debentures (or, as applicable, any person or entity acting on their behalf, including a trustee) shall receive, during a period under which there is an Event of Default, any payment, distribution or benefit, the recipient thereof shall be deemed to hold same on trust for the banks and shall forthwith pay or transfer to the banks any payment, distribution or benefit so received. The events are as follows: (A) The existence of any of the following events: (i) our inability or admission of our inability to pay our debts as they fall due, (ii) the commencement of winding-up proceedings against us (including the granting of an order of receivership or any similar order against or in respect of us or any of our assets), provided that such proceedings are not cancelled or withdrawn within 60 days, (iii) any execution, attachment or sequestration or other process arises out of any third party claim against us where the amount being the subject of the relevant proceeding is in excess of $2.5 million; (B) If the banks shall declare that all loans and/or other credits received under the facility agreement are immediately due and payable, (C) In the event that the holders of the debentures (or any person or entity acting on their behalf, including the Co-Trustees), shall institute any legal proceedings against us other than in connection with excluded proceedings, and in accordance with the terms of the debentures. Excluded proceedings mean (i) proceedings where the sole claim relates to our failure to make payments of principal or interest on the debentures for more than 14 business days from the date on which we are required to make them, as these dates may be postponed in accordance with the above provisions; or (ii) proceedings in connection with a claim of “misleading information” in this prospectus.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Subordination to Secured Obligations; Statutory Priorities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Under the laws of the State of Israel, the following have priority over general unsecured creditors: unpaid wages to a specified limit plus severance payments to a specified limit if not covered by national insurance; certain past due taxes to the government; past due rent for a maximum of one year; and secured indebtedness in which the security interest (which may be a floating charge) is registered as required under the laws of Israel. As of September 30, 2005, we estimate that these statutory priorities would amount to approximately $5.4 million. As of the date of this prospectus, in addition to the first ranking charge which we granted to the banks under the facility agreement (see “Risk Factors – Risks Related to the Rights Offering — The payment of principal and interest on the debentures is subordinated to our indebtedness to our banks and obligations to secured creditors.”), our assets are subject to a second ranking floating charge in favor of the government of the State of Israel, which secures our compliance with the terms of our grants in connection with our government “Approved Enterprise” programs for Fab 1 and Fab 2 (approximately $262 million received and approximately $6.2 million receivables, as of September 30, 2005) and Siliconix Technology C.V., one of our customers, which has a first ranking charge on a bank account into which Siliconix deposited in 2004, $20 million for the purchase of equipment and other expenses in connection with the performance of our obligations under our agreement with Siliconix (of which as of September 30, 2005, there is a balance of approximately $10 million) and over the equipment which has been or which may be subsequently purchased with such funds. The indenture does not limit the amount of additional indebtedness which we can create, incur, assume or guarantee nor our ability to create any security to secure our obligations to any third party.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 under the Facility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constitute Events of Default under our facility agreement:</w:t>
      </w:r>
    </w:p>
    <w:p>
      <w:pPr>
        <w:spacing w:after="0" w:line="225" w:lineRule="exact"/>
        <w:rPr>
          <w:sz w:val="20"/>
          <w:szCs w:val="20"/>
          <w:color w:val="auto"/>
        </w:rPr>
      </w:pPr>
    </w:p>
    <w:p>
      <w:pPr>
        <w:ind w:right="80" w:firstLine="8"/>
        <w:spacing w:after="0" w:line="268" w:lineRule="auto"/>
        <w:tabs>
          <w:tab w:leader="none" w:pos="561"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Failure to make a payment: </w:t>
      </w:r>
      <w:r>
        <w:rPr>
          <w:rFonts w:ascii="Arial" w:cs="Arial" w:eastAsia="Arial" w:hAnsi="Arial"/>
          <w:sz w:val="18"/>
          <w:szCs w:val="18"/>
          <w:color w:val="auto"/>
        </w:rPr>
        <w:t>Our failure to pay any amount payable to our banks under the facility agreement within seven business days or ten days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payment. Payments under the facility agreement include payments of principal and interest.</w:t>
      </w:r>
    </w:p>
    <w:p>
      <w:pPr>
        <w:spacing w:after="0" w:line="185" w:lineRule="exact"/>
        <w:rPr>
          <w:rFonts w:ascii="Arial" w:cs="Arial" w:eastAsia="Arial" w:hAnsi="Arial"/>
          <w:sz w:val="18"/>
          <w:szCs w:val="18"/>
          <w:color w:val="auto"/>
        </w:rPr>
      </w:pPr>
    </w:p>
    <w:p>
      <w:pPr>
        <w:ind w:left="620" w:hanging="61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Failure to meet production milestone</w:t>
      </w:r>
      <w:r>
        <w:rPr>
          <w:rFonts w:ascii="Arial" w:cs="Arial" w:eastAsia="Arial" w:hAnsi="Arial"/>
          <w:sz w:val="18"/>
          <w:szCs w:val="18"/>
          <w:color w:val="auto"/>
        </w:rPr>
        <w:t>: Fab 2 must reach production capacity of 33,000 wafers per month by December 31, 2007.</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Failure to raise additional funding within the agreed timetable:</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are obligated to raise $26 million by June 30, 2006 from specified sources. The sources of this $26 million of funding are limited to: (i) investments in our equity; (ii) investments in excess of the $23.5 million and $6.5 million which are to be made by December 31, 2005 and March 31, 2006, respectively, as described below; (iii) proceeds, net of taxes paid and related expenses, from the sale of securities we own in Azalea Microelectronics Corporation; and (iv) wafer prepayments under certain prepayment contracts.</w:t>
      </w:r>
    </w:p>
    <w:p>
      <w:pPr>
        <w:spacing w:after="0" w:line="197"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If we fail to raise an aggregate of $26 million from the specified sources by June 30, 2006, our banks have the option to demand that we consummate a rights offering for convertible debentures for the amount that we failed to raise. If our banks exercise this option, Israel Corp., has undertaken to our banks to exercise</w:t>
      </w:r>
    </w:p>
    <w:p>
      <w:pPr>
        <w:sectPr>
          <w:pgSz w:w="11900" w:h="16867" w:orient="portrait"/>
          <w:cols w:equalWidth="0" w:num="1">
            <w:col w:w="11420"/>
          </w:cols>
          <w:pgMar w:left="240" w:top="131" w:right="239" w:bottom="0" w:gutter="0" w:footer="0" w:header="0"/>
        </w:sectPr>
      </w:pPr>
    </w:p>
    <w:bookmarkStart w:id="28" w:name="page29"/>
    <w:bookmarkEnd w:id="28"/>
    <w:p>
      <w:pPr>
        <w:spacing w:after="0" w:line="2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all of the rights Israel Corp. receives in such rights offering. In addition, as part of Israel Corp.‘s commitment, it will purchase from us additional securities in a private placement on the same terms as the rights offering, in an amount equal to 50/93 of the difference between what we actually raised towards the failed financing obligation and what was to be raised, less amounts raised in such rights offering, if any (and less any amounts invested in the rights offering in connection with Israel Corp.‘s exercise of its own rights). An event of default under the facility agreement will occur if Israel Corp.‘s undertaking shall cease to be in full force and effect, if steps are taken for its liquidation, winding up or similar events or if Israel Corp. repudiates its undertaking. In connection with the July 2005 amendment to our facility agreement, our banks agreed that if Israel Corp. invests at least $14 million in this rights offering, its undertaking described above will be deemed to have been fulfilled.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pursuant to the July 2005 amendment to the facility agreement, which was subsequently further amended, we are obligated to raise $23.5 million dollars by December 31, 2005 and an additional $6.5 million by March 31, 2006. In connection with the July 2005 amendment to our facility agreement, Israel Corp. and SanDisk Corporation have undertaken to invest $20 million and $3.5 million, respectively, in a rights offering. An event of default under the facility agreement will also occur if Israel Corp.’s or SanDisk’s undertakings shall cease to be in full force and effect, if steps are taken for their liquidation, winding up or similar events or if they repudiate their respective undertaking.</w:t>
      </w:r>
    </w:p>
    <w:p>
      <w:pPr>
        <w:spacing w:after="0" w:line="170" w:lineRule="exact"/>
        <w:rPr>
          <w:sz w:val="20"/>
          <w:szCs w:val="20"/>
          <w:color w:val="auto"/>
        </w:rPr>
      </w:pPr>
    </w:p>
    <w:p>
      <w:pPr>
        <w:ind w:right="120" w:firstLine="8"/>
        <w:spacing w:after="0" w:line="30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Investment Center Grants</w:t>
      </w:r>
      <w:r>
        <w:rPr>
          <w:rFonts w:ascii="Arial" w:cs="Arial" w:eastAsia="Arial" w:hAnsi="Arial"/>
          <w:sz w:val="16"/>
          <w:szCs w:val="16"/>
          <w:color w:val="auto"/>
        </w:rPr>
        <w:t>. We must comply with the terms and conditions of the approval to receive grants for Fab 2 from the Investment Center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Israeli Ministry of Industry, Trade and Labor and must receive these Fab 2 grants in accordance with the timetable set forth in the amended facility agreement. The facility agreement allows us to replace up to $50 million of the Fab 2 grants with paid in equity or wafer prepayments.</w:t>
      </w:r>
    </w:p>
    <w:p>
      <w:pPr>
        <w:spacing w:after="0" w:line="160" w:lineRule="exact"/>
        <w:rPr>
          <w:rFonts w:ascii="Arial" w:cs="Arial" w:eastAsia="Arial" w:hAnsi="Arial"/>
          <w:sz w:val="16"/>
          <w:szCs w:val="16"/>
          <w:color w:val="auto"/>
        </w:rPr>
      </w:pPr>
    </w:p>
    <w:p>
      <w:pPr>
        <w:ind w:right="80" w:firstLine="8"/>
        <w:spacing w:after="0" w:line="290"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Failure to comply with certain financial ratios and covenants: </w:t>
      </w:r>
      <w:r>
        <w:rPr>
          <w:rFonts w:ascii="Arial" w:cs="Arial" w:eastAsia="Arial" w:hAnsi="Arial"/>
          <w:sz w:val="16"/>
          <w:szCs w:val="16"/>
          <w:color w:val="auto"/>
        </w:rPr>
        <w:t>Under the terms of the amended facility agreement, we must meet certain financial ratios</w:t>
      </w:r>
      <w:r>
        <w:rPr>
          <w:rFonts w:ascii="Arial" w:cs="Arial" w:eastAsia="Arial" w:hAnsi="Arial"/>
          <w:sz w:val="16"/>
          <w:szCs w:val="16"/>
          <w:i w:val="1"/>
          <w:iCs w:val="1"/>
          <w:color w:val="auto"/>
        </w:rPr>
        <w:t xml:space="preserve"> </w:t>
      </w:r>
      <w:r>
        <w:rPr>
          <w:rFonts w:ascii="Arial" w:cs="Arial" w:eastAsia="Arial" w:hAnsi="Arial"/>
          <w:sz w:val="16"/>
          <w:szCs w:val="16"/>
          <w:color w:val="auto"/>
        </w:rPr>
        <w:t>and covenants, including financial covenants relating to periodic sales, quarterly earnings before interest, taxes, depreciation and amortization (quarterly EBITDA), net cash flow as compared with total debt and equity as compared to total assets. In January 2005, we signed a waiver letter agreement with our banks according to which the banks waived our non-compliance with certain financial ratios and covenants for the fourth quarter of 2004 and which amended certain of the financial ratios and covenants for 2005. As of today, we are in full compliance with our financial ratios and covenants. Under the terms of the July 2005 amendment to our credit facility agreement, our banks agreed to amend our financial ratios and covenants through the third quarter of 2006. See “Risk Factors – If we fail to satisfy the covenants set forth in our amended credit facility, our banks will be able to call our loans.”</w:t>
      </w:r>
    </w:p>
    <w:p>
      <w:pPr>
        <w:spacing w:after="0" w:line="172" w:lineRule="exact"/>
        <w:rPr>
          <w:rFonts w:ascii="Arial" w:cs="Arial" w:eastAsia="Arial" w:hAnsi="Arial"/>
          <w:sz w:val="16"/>
          <w:szCs w:val="16"/>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Changes to and compliance with material contracts: </w:t>
      </w:r>
      <w:r>
        <w:rPr>
          <w:rFonts w:ascii="Arial" w:cs="Arial" w:eastAsia="Arial" w:hAnsi="Arial"/>
          <w:sz w:val="16"/>
          <w:szCs w:val="16"/>
          <w:color w:val="auto"/>
        </w:rPr>
        <w:t>We may not amend, cancel, terminate or waive any term of a material contract unless the</w:t>
      </w:r>
    </w:p>
    <w:p>
      <w:pPr>
        <w:spacing w:after="0" w:line="38"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aforementioned actions are not materially adverse to the interests of our banks. We also must materially comply with the terms of our material contracts. Subject to certain exceptions, certain of our material contracts must remain in full force and effect.</w:t>
      </w:r>
    </w:p>
    <w:p>
      <w:pPr>
        <w:spacing w:after="0" w:line="191" w:lineRule="exact"/>
        <w:rPr>
          <w:rFonts w:ascii="Arial" w:cs="Arial" w:eastAsia="Arial" w:hAnsi="Arial"/>
          <w:sz w:val="16"/>
          <w:szCs w:val="16"/>
          <w:color w:val="auto"/>
        </w:rPr>
      </w:pPr>
    </w:p>
    <w:p>
      <w:pPr>
        <w:ind w:left="700" w:hanging="692"/>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Use of excess cash flow from Fab 2: </w:t>
      </w:r>
      <w:r>
        <w:rPr>
          <w:rFonts w:ascii="Arial" w:cs="Arial" w:eastAsia="Arial" w:hAnsi="Arial"/>
          <w:sz w:val="18"/>
          <w:szCs w:val="18"/>
          <w:color w:val="auto"/>
        </w:rPr>
        <w:t>We must invest the operating cash flow derived from Fab 2 in the Fab 2 project.</w:t>
      </w:r>
    </w:p>
    <w:p>
      <w:pPr>
        <w:spacing w:after="0" w:line="225" w:lineRule="exact"/>
        <w:rPr>
          <w:rFonts w:ascii="Arial" w:cs="Arial" w:eastAsia="Arial" w:hAnsi="Arial"/>
          <w:sz w:val="18"/>
          <w:szCs w:val="18"/>
          <w:color w:val="auto"/>
        </w:rPr>
      </w:pPr>
    </w:p>
    <w:p>
      <w:pPr>
        <w:ind w:right="40" w:firstLine="8"/>
        <w:spacing w:after="0" w:line="306" w:lineRule="auto"/>
        <w:tabs>
          <w:tab w:leader="none" w:pos="746"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Creation of encumbrances: </w:t>
      </w:r>
      <w:r>
        <w:rPr>
          <w:rFonts w:ascii="Arial" w:cs="Arial" w:eastAsia="Arial" w:hAnsi="Arial"/>
          <w:sz w:val="16"/>
          <w:szCs w:val="16"/>
          <w:color w:val="auto"/>
        </w:rPr>
        <w:t>We may not provide security interests in or otherwise encumber our assets, other than in favor of our banks or the</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of the State of Israel in connection with grants from the Investment Center of the Ministry of Industry, Trade and Labor for Fab 1 and Fab 2 or unless approved by our banks, as was the case with the first ranking charges on certain of our Fab 1 assets in favor of Siliconix Technology C.V.</w:t>
      </w:r>
    </w:p>
    <w:p>
      <w:pPr>
        <w:spacing w:after="0" w:line="160" w:lineRule="exact"/>
        <w:rPr>
          <w:rFonts w:ascii="Arial" w:cs="Arial" w:eastAsia="Arial" w:hAnsi="Arial"/>
          <w:sz w:val="16"/>
          <w:szCs w:val="16"/>
          <w:color w:val="auto"/>
        </w:rPr>
      </w:pPr>
    </w:p>
    <w:p>
      <w:pPr>
        <w:ind w:right="20" w:firstLine="8"/>
        <w:spacing w:after="0" w:line="291"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Payment of dividends: </w:t>
      </w:r>
      <w:r>
        <w:rPr>
          <w:rFonts w:ascii="Arial" w:cs="Arial" w:eastAsia="Arial" w:hAnsi="Arial"/>
          <w:sz w:val="16"/>
          <w:szCs w:val="16"/>
          <w:color w:val="auto"/>
        </w:rPr>
        <w:t>We are not permitted to undertake to declare or pay a dividend or any other distribution (as defined in the Companies Law –</w:t>
      </w:r>
      <w:r>
        <w:rPr>
          <w:rFonts w:ascii="Arial" w:cs="Arial" w:eastAsia="Arial" w:hAnsi="Arial"/>
          <w:sz w:val="16"/>
          <w:szCs w:val="16"/>
          <w:i w:val="1"/>
          <w:iCs w:val="1"/>
          <w:color w:val="auto"/>
        </w:rPr>
        <w:t xml:space="preserve"> </w:t>
      </w:r>
      <w:r>
        <w:rPr>
          <w:rFonts w:ascii="Arial" w:cs="Arial" w:eastAsia="Arial" w:hAnsi="Arial"/>
          <w:sz w:val="16"/>
          <w:szCs w:val="16"/>
          <w:color w:val="auto"/>
        </w:rPr>
        <w:t>1999) or to redeem any of our shares or convertible securities (including the debentures being offered herein) unless the facility agreement specifically grants us this right. The facility agreement provides that we may declare and pay a dividend on or in respect of our share capital provided that: (a) no such distribution shall take place prior to January 1, 2008 and prior to any such distribution, we must have placed on deposit with our banks an amount equal to the debt service for the quarter in which the distribution is to be made and pledged such deposit in favor of our banks, and (b) we must have complied with certain financial ratios and covenants. In addition, we may only declare and pay a dividend provided that:</w:t>
      </w:r>
    </w:p>
    <w:p>
      <w:pPr>
        <w:spacing w:after="0" w:line="174"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the dividend is only paid from excess cash flow from Fab 2;</w:t>
      </w:r>
    </w:p>
    <w:p>
      <w:pPr>
        <w:spacing w:after="0" w:line="1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there is no event of default outstanding under the facility agreement; and</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an event of default could not reasonably exist after such distribution.</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right="120" w:firstLine="8"/>
        <w:spacing w:after="0" w:line="255"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Incurrence of financial indebtedness: </w:t>
      </w:r>
      <w:r>
        <w:rPr>
          <w:rFonts w:ascii="Arial" w:cs="Arial" w:eastAsia="Arial" w:hAnsi="Arial"/>
          <w:sz w:val="18"/>
          <w:szCs w:val="18"/>
          <w:color w:val="auto"/>
        </w:rPr>
        <w:t>We may not incur any financial indebtedness, unless we are specifically permitted to do so under the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Examples of financial indebtedness which we are permitted to incur according to the terms of the facility agreement are: an amount of up to $40 million in respect of a credit facility for Fab 1, an amount of up to $10 million in respect of operating leases relating to Fab 2, the debt we incurred in connection with the issuance of convertible debentures in September 2002 and the debt we are incurring in connection with the issuance of the debentures being offered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8"/>
        <w:spacing w:after="0" w:line="332"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Purchase of shares or assets of another company: </w:t>
      </w:r>
      <w:r>
        <w:rPr>
          <w:rFonts w:ascii="Arial" w:cs="Arial" w:eastAsia="Arial" w:hAnsi="Arial"/>
          <w:sz w:val="16"/>
          <w:szCs w:val="16"/>
          <w:color w:val="auto"/>
        </w:rPr>
        <w:t>We may not purchase any interest in the share capital or the business or assets constituting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of another company unless the aggregate amount of all such investments or purchases does not exceed $5 million.</w:t>
      </w:r>
    </w:p>
    <w:p>
      <w:pPr>
        <w:spacing w:after="0" w:line="139" w:lineRule="exact"/>
        <w:rPr>
          <w:rFonts w:ascii="Arial" w:cs="Arial" w:eastAsia="Arial" w:hAnsi="Arial"/>
          <w:sz w:val="16"/>
          <w:szCs w:val="16"/>
          <w:color w:val="auto"/>
        </w:rPr>
      </w:pPr>
    </w:p>
    <w:p>
      <w:pPr>
        <w:ind w:right="100" w:firstLine="8"/>
        <w:spacing w:after="0" w:line="306" w:lineRule="auto"/>
        <w:tabs>
          <w:tab w:leader="none" w:pos="697"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Suspension or cancellation of approvals and permits</w:t>
      </w:r>
      <w:r>
        <w:rPr>
          <w:rFonts w:ascii="Arial" w:cs="Arial" w:eastAsia="Arial" w:hAnsi="Arial"/>
          <w:sz w:val="16"/>
          <w:szCs w:val="16"/>
          <w:color w:val="auto"/>
        </w:rPr>
        <w:t>: We must obtain all of the permits, approvals or licenses necessary for the performance of the Fab</w:t>
      </w:r>
      <w:r>
        <w:rPr>
          <w:rFonts w:ascii="Arial" w:cs="Arial" w:eastAsia="Arial" w:hAnsi="Arial"/>
          <w:sz w:val="16"/>
          <w:szCs w:val="16"/>
          <w:i w:val="1"/>
          <w:iCs w:val="1"/>
          <w:color w:val="auto"/>
        </w:rPr>
        <w:t xml:space="preserve"> </w:t>
      </w:r>
      <w:r>
        <w:rPr>
          <w:rFonts w:ascii="Arial" w:cs="Arial" w:eastAsia="Arial" w:hAnsi="Arial"/>
          <w:sz w:val="16"/>
          <w:szCs w:val="16"/>
          <w:color w:val="auto"/>
        </w:rPr>
        <w:t>2 project and must ensure that they are not suspended, cancelled, revoked or lapse without our having obtained adequate replacements. In addition, we must comply with the terms of such permits, approvals or licenses and their terms cannot be modified in a material adverse respect.</w:t>
      </w:r>
    </w:p>
    <w:p>
      <w:pPr>
        <w:spacing w:after="0" w:line="160" w:lineRule="exact"/>
        <w:rPr>
          <w:rFonts w:ascii="Arial" w:cs="Arial" w:eastAsia="Arial" w:hAnsi="Arial"/>
          <w:sz w:val="16"/>
          <w:szCs w:val="16"/>
          <w:color w:val="auto"/>
        </w:rPr>
      </w:pPr>
    </w:p>
    <w:p>
      <w:pPr>
        <w:ind w:right="40" w:firstLine="8"/>
        <w:spacing w:after="0" w:line="306" w:lineRule="auto"/>
        <w:tabs>
          <w:tab w:leader="none" w:pos="746"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A “change of ownership”: </w:t>
      </w:r>
      <w:r>
        <w:rPr>
          <w:rFonts w:ascii="Arial" w:cs="Arial" w:eastAsia="Arial" w:hAnsi="Arial"/>
          <w:sz w:val="16"/>
          <w:szCs w:val="16"/>
          <w:color w:val="auto"/>
        </w:rPr>
        <w:t>The facility agreement provides that certain events would be considered to be a change of our ownership of our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would constitute an event of default. These events include limitations of the number of our shares that the Israel Corp. and our major wafer partners (SanDisk Corporation, Alliance Semiconductor Corporation and Macronix Co. Ltd.) may sell or hold and the composition of our board of directors including that:</w:t>
      </w:r>
    </w:p>
    <w:p>
      <w:pPr>
        <w:spacing w:after="0" w:line="160" w:lineRule="exact"/>
        <w:rPr>
          <w:rFonts w:ascii="Arial" w:cs="Arial" w:eastAsia="Arial" w:hAnsi="Arial"/>
          <w:sz w:val="16"/>
          <w:szCs w:val="16"/>
          <w:color w:val="auto"/>
        </w:rPr>
      </w:pPr>
    </w:p>
    <w:p>
      <w:pPr>
        <w:ind w:left="1720" w:right="180" w:hanging="567"/>
        <w:spacing w:after="0" w:line="268" w:lineRule="auto"/>
        <w:rPr>
          <w:rFonts w:ascii="Arial" w:cs="Arial" w:eastAsia="Arial" w:hAnsi="Arial"/>
          <w:sz w:val="16"/>
          <w:szCs w:val="16"/>
          <w:color w:val="auto"/>
        </w:rPr>
      </w:pPr>
      <w:r>
        <w:rPr>
          <w:rFonts w:ascii="Arial" w:cs="Arial" w:eastAsia="Arial" w:hAnsi="Arial"/>
          <w:sz w:val="18"/>
          <w:szCs w:val="18"/>
          <w:color w:val="auto"/>
        </w:rPr>
        <w:t>—From December 16, 2003 through January 29, 2006, Israel Corp. must hold at least the higher of (i) eight million of our ordinary shares or (ii) 16.5% of our issued share capital less two million ordinary shares.</w:t>
      </w:r>
    </w:p>
    <w:p>
      <w:pPr>
        <w:spacing w:after="0" w:line="212" w:lineRule="exact"/>
        <w:rPr>
          <w:rFonts w:ascii="Arial" w:cs="Arial" w:eastAsia="Arial" w:hAnsi="Arial"/>
          <w:sz w:val="16"/>
          <w:szCs w:val="16"/>
          <w:color w:val="auto"/>
        </w:rPr>
      </w:pPr>
    </w:p>
    <w:p>
      <w:pPr>
        <w:ind w:left="1720" w:right="180" w:hanging="567"/>
        <w:spacing w:after="0" w:line="268" w:lineRule="auto"/>
        <w:rPr>
          <w:rFonts w:ascii="Arial" w:cs="Arial" w:eastAsia="Arial" w:hAnsi="Arial"/>
          <w:sz w:val="16"/>
          <w:szCs w:val="16"/>
          <w:color w:val="auto"/>
        </w:rPr>
      </w:pPr>
      <w:r>
        <w:rPr>
          <w:rFonts w:ascii="Arial" w:cs="Arial" w:eastAsia="Arial" w:hAnsi="Arial"/>
          <w:sz w:val="18"/>
          <w:szCs w:val="18"/>
          <w:color w:val="auto"/>
        </w:rPr>
        <w:t>—During the three-year period beginning January 29, 2006, Israel Corp. may gradually sell between 25% to 100% of the shares held by it on December 16, 2003, less the amount of shares it was entitled to sell through January 29, 2006.</w:t>
      </w:r>
    </w:p>
    <w:p>
      <w:pPr>
        <w:sectPr>
          <w:pgSz w:w="11900" w:h="16865" w:orient="portrait"/>
          <w:cols w:equalWidth="0" w:num="1">
            <w:col w:w="11420"/>
          </w:cols>
          <w:pgMar w:left="240" w:top="131" w:right="239" w:bottom="0" w:gutter="0" w:footer="0" w:header="0"/>
        </w:sectPr>
      </w:pPr>
    </w:p>
    <w:bookmarkStart w:id="29" w:name="page30"/>
    <w:bookmarkEnd w:id="29"/>
    <w:p>
      <w:pPr>
        <w:ind w:left="1712" w:right="20" w:hanging="567"/>
        <w:spacing w:after="0" w:line="259" w:lineRule="auto"/>
        <w:rPr>
          <w:sz w:val="20"/>
          <w:szCs w:val="20"/>
          <w:color w:val="auto"/>
        </w:rPr>
      </w:pPr>
      <w:r>
        <w:rPr>
          <w:rFonts w:ascii="Arial" w:cs="Arial" w:eastAsia="Arial" w:hAnsi="Arial"/>
          <w:sz w:val="18"/>
          <w:szCs w:val="18"/>
          <w:color w:val="auto"/>
        </w:rPr>
        <w:t>—Until January 29, 2006, SanDisk Corporation, Alliance Semiconductor Corporation and Macronix Co. Ltd. cannot sell more than 30% of the number of our shares held by them on January 29, 2004 which were purchased pursuant to the year 2000 investment agreements with us.</w:t>
      </w:r>
    </w:p>
    <w:p>
      <w:pPr>
        <w:spacing w:after="0" w:line="221" w:lineRule="exact"/>
        <w:rPr>
          <w:sz w:val="20"/>
          <w:szCs w:val="20"/>
          <w:color w:val="auto"/>
        </w:rPr>
      </w:pPr>
    </w:p>
    <w:p>
      <w:pPr>
        <w:ind w:left="1712" w:right="80" w:hanging="567"/>
        <w:spacing w:after="0" w:line="256" w:lineRule="auto"/>
        <w:rPr>
          <w:sz w:val="20"/>
          <w:szCs w:val="20"/>
          <w:color w:val="auto"/>
        </w:rPr>
      </w:pPr>
      <w:r>
        <w:rPr>
          <w:rFonts w:ascii="Arial" w:cs="Arial" w:eastAsia="Arial" w:hAnsi="Arial"/>
          <w:sz w:val="18"/>
          <w:szCs w:val="18"/>
          <w:color w:val="auto"/>
        </w:rPr>
        <w:t>—At any time during the period between January 30, 2006, and at least 12 months from January 29, 2006, the aggregate shareholdings of SanDisk Corporation, Alliance Semiconductor Corporation and Macronix Co. Ltd. must equal at least 60% of the amount of their aggregate shareholdings on January 29, 2006 (which may be reduced under certain conditions) less an amount of shares equal to 30% of the number of our shares held by them on January 29, 2004.</w:t>
      </w:r>
    </w:p>
    <w:p>
      <w:pPr>
        <w:spacing w:after="0" w:line="224" w:lineRule="exact"/>
        <w:rPr>
          <w:sz w:val="20"/>
          <w:szCs w:val="20"/>
          <w:color w:val="auto"/>
        </w:rPr>
      </w:pPr>
    </w:p>
    <w:p>
      <w:pPr>
        <w:ind w:left="1712" w:hanging="567"/>
        <w:spacing w:after="0" w:line="259" w:lineRule="auto"/>
        <w:rPr>
          <w:sz w:val="20"/>
          <w:szCs w:val="20"/>
          <w:color w:val="auto"/>
        </w:rPr>
      </w:pPr>
      <w:r>
        <w:rPr>
          <w:rFonts w:ascii="Arial" w:cs="Arial" w:eastAsia="Arial" w:hAnsi="Arial"/>
          <w:sz w:val="18"/>
          <w:szCs w:val="18"/>
          <w:color w:val="auto"/>
        </w:rPr>
        <w:t>—The maximum number of directors that Israel Corp. may nominate may not exceed the number of directors nominated by SanDisk Corporation, Alliance Semiconductor Corporation, Macronix Co. Ltd. For the purpose of this calculation external directors and our office holders that are also directors are not taken into account as members of our board of directors.</w:t>
      </w:r>
    </w:p>
    <w:p>
      <w:pPr>
        <w:spacing w:after="0" w:line="221" w:lineRule="exact"/>
        <w:rPr>
          <w:sz w:val="20"/>
          <w:szCs w:val="20"/>
          <w:color w:val="auto"/>
        </w:rPr>
      </w:pPr>
    </w:p>
    <w:p>
      <w:pPr>
        <w:ind w:left="1712" w:right="200" w:hanging="567"/>
        <w:spacing w:after="0" w:line="256" w:lineRule="auto"/>
        <w:rPr>
          <w:sz w:val="20"/>
          <w:szCs w:val="20"/>
          <w:color w:val="auto"/>
        </w:rPr>
      </w:pPr>
      <w:r>
        <w:rPr>
          <w:rFonts w:ascii="Arial" w:cs="Arial" w:eastAsia="Arial" w:hAnsi="Arial"/>
          <w:sz w:val="18"/>
          <w:szCs w:val="18"/>
          <w:color w:val="auto"/>
        </w:rPr>
        <w:t>—Israel Corp. may not hold for more than 7 days ordinary shares that it acquires through the conversion of convertible debentures if, at such time, the number of our ordinary shares held by it exceeds the sum of the number of our ordinary shares held by it on January 18, 2001 (the date the facility agreement was signed) and the number of our ordinary shares purchased by Israel Corp. pursuant to its December 2000 investment agreements with us.</w:t>
      </w:r>
    </w:p>
    <w:p>
      <w:pPr>
        <w:spacing w:after="0" w:line="224" w:lineRule="exact"/>
        <w:rPr>
          <w:sz w:val="20"/>
          <w:szCs w:val="20"/>
          <w:color w:val="auto"/>
        </w:rPr>
      </w:pPr>
    </w:p>
    <w:p>
      <w:pPr>
        <w:ind w:left="1712" w:right="20" w:hanging="567"/>
        <w:spacing w:after="0" w:line="259" w:lineRule="auto"/>
        <w:rPr>
          <w:sz w:val="20"/>
          <w:szCs w:val="20"/>
          <w:color w:val="auto"/>
        </w:rPr>
      </w:pPr>
      <w:r>
        <w:rPr>
          <w:rFonts w:ascii="Arial" w:cs="Arial" w:eastAsia="Arial" w:hAnsi="Arial"/>
          <w:sz w:val="18"/>
          <w:szCs w:val="18"/>
          <w:color w:val="auto"/>
        </w:rPr>
        <w:t>—SanDisk Corporation, Alliance Semiconductor Corporation, Macronix Co. Ltd., and Israel Corp., no longer nominate in excess of half of our directors. For the purpose of this calculation external directors and our office holders that are also directors are not taken into account as members of our board of directors.</w:t>
      </w:r>
    </w:p>
    <w:p>
      <w:pPr>
        <w:spacing w:after="0" w:line="200" w:lineRule="exact"/>
        <w:rPr>
          <w:sz w:val="20"/>
          <w:szCs w:val="20"/>
          <w:color w:val="auto"/>
        </w:rPr>
      </w:pPr>
    </w:p>
    <w:p>
      <w:pPr>
        <w:spacing w:after="0" w:line="237" w:lineRule="exact"/>
        <w:rPr>
          <w:sz w:val="20"/>
          <w:szCs w:val="20"/>
          <w:color w:val="auto"/>
        </w:rPr>
      </w:pPr>
    </w:p>
    <w:p>
      <w:pPr>
        <w:ind w:left="-8" w:right="60" w:firstLine="8"/>
        <w:spacing w:after="0" w:line="268" w:lineRule="auto"/>
        <w:tabs>
          <w:tab w:leader="none" w:pos="72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Purpose of Credits: </w:t>
      </w:r>
      <w:r>
        <w:rPr>
          <w:rFonts w:ascii="Arial" w:cs="Arial" w:eastAsia="Arial" w:hAnsi="Arial"/>
          <w:sz w:val="18"/>
          <w:szCs w:val="18"/>
          <w:color w:val="auto"/>
        </w:rPr>
        <w:t>We may not use the different forms of credits available under the facility agreement other than for the purposes permitted therefor,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generally relate to costs and expenses associated with the Fab 2 project.</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 w:right="100" w:firstLine="8"/>
        <w:spacing w:after="0" w:line="268"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We may not create any obligations to any third party that rank senior in right and priority of payment to the banks or in priority of security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banks, other than obligations which are mandatorily preferred by law applying to companies generally.</w:t>
      </w:r>
    </w:p>
    <w:p>
      <w:pPr>
        <w:spacing w:after="0" w:line="185" w:lineRule="exact"/>
        <w:rPr>
          <w:rFonts w:ascii="Arial" w:cs="Arial" w:eastAsia="Arial" w:hAnsi="Arial"/>
          <w:sz w:val="18"/>
          <w:szCs w:val="18"/>
          <w:color w:val="auto"/>
        </w:rPr>
      </w:pPr>
    </w:p>
    <w:p>
      <w:pPr>
        <w:ind w:left="-8" w:firstLine="8"/>
        <w:spacing w:after="0" w:line="255" w:lineRule="auto"/>
        <w:tabs>
          <w:tab w:leader="none" w:pos="72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All of our properties and assets must be insured with reputable insurance companies or underwriters approved by the banks. We must also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insurance which is generally and customarily maintained by companies carrying on a business similar to ours. The proceeds payable under the insurance polices in the event of loss of Fab 2 or the Fab 2 project must equal at least 110% of the aggregate amount of debt we owe our banks under the facility agreement at any given time. In addition, the insurance policies are to be assigned by way of charge in favor of the banks and the banks are to be joined as an additional insured.</w:t>
      </w:r>
    </w:p>
    <w:p>
      <w:pPr>
        <w:spacing w:after="0" w:line="196" w:lineRule="exact"/>
        <w:rPr>
          <w:rFonts w:ascii="Arial" w:cs="Arial" w:eastAsia="Arial" w:hAnsi="Arial"/>
          <w:sz w:val="18"/>
          <w:szCs w:val="18"/>
          <w:color w:val="auto"/>
        </w:rPr>
      </w:pPr>
    </w:p>
    <w:p>
      <w:pPr>
        <w:ind w:left="-8" w:right="320" w:firstLine="8"/>
        <w:spacing w:after="0" w:line="259" w:lineRule="auto"/>
        <w:tabs>
          <w:tab w:leader="none" w:pos="77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Construction Contract: </w:t>
      </w:r>
      <w:r>
        <w:rPr>
          <w:rFonts w:ascii="Arial" w:cs="Arial" w:eastAsia="Arial" w:hAnsi="Arial"/>
          <w:sz w:val="18"/>
          <w:szCs w:val="18"/>
          <w:color w:val="auto"/>
        </w:rPr>
        <w:t>We may not terminate or exercise any right or suspension under our agreement with our Fab 2 contractor without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of the banks. In addition, the suspension of performance under the agreement with our Fab 2 contractor for a continuous period of more than ninety days or the abandonment of the Fab 2 project or a material part thereof are events of default.</w:t>
      </w:r>
    </w:p>
    <w:p>
      <w:pPr>
        <w:spacing w:after="0" w:line="194" w:lineRule="exact"/>
        <w:rPr>
          <w:rFonts w:ascii="Arial" w:cs="Arial" w:eastAsia="Arial" w:hAnsi="Arial"/>
          <w:sz w:val="18"/>
          <w:szCs w:val="18"/>
          <w:color w:val="auto"/>
        </w:rPr>
      </w:pPr>
    </w:p>
    <w:p>
      <w:pPr>
        <w:ind w:left="-8" w:firstLine="8"/>
        <w:spacing w:after="0" w:line="306" w:lineRule="auto"/>
        <w:tabs>
          <w:tab w:leader="none" w:pos="826"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Agreements providing for wafer order rights</w:t>
      </w:r>
      <w:r>
        <w:rPr>
          <w:rFonts w:ascii="Arial" w:cs="Arial" w:eastAsia="Arial" w:hAnsi="Arial"/>
          <w:sz w:val="16"/>
          <w:szCs w:val="16"/>
          <w:color w:val="auto"/>
        </w:rPr>
        <w:t>: We must have binding agreements providing for a wafer order right providing for the sale of a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in Fab 2 in aggregate of at least 15,733 wafer starts per month for the three year period commencing after Fab 2 reaches production capacity of 10,000 wafer starts per month. At the present time, this obligation is satisfied as a result of the foundry agreements with our wafer partners.</w:t>
      </w:r>
    </w:p>
    <w:p>
      <w:pPr>
        <w:spacing w:after="0" w:line="160" w:lineRule="exact"/>
        <w:rPr>
          <w:rFonts w:ascii="Arial" w:cs="Arial" w:eastAsia="Arial" w:hAnsi="Arial"/>
          <w:sz w:val="16"/>
          <w:szCs w:val="16"/>
          <w:color w:val="auto"/>
        </w:rPr>
      </w:pPr>
    </w:p>
    <w:p>
      <w:pPr>
        <w:ind w:left="-8" w:right="80" w:firstLine="8"/>
        <w:spacing w:after="0" w:line="298" w:lineRule="auto"/>
        <w:tabs>
          <w:tab w:leader="none" w:pos="728"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Representation and warranties</w:t>
      </w:r>
      <w:r>
        <w:rPr>
          <w:rFonts w:ascii="Arial" w:cs="Arial" w:eastAsia="Arial" w:hAnsi="Arial"/>
          <w:sz w:val="16"/>
          <w:szCs w:val="16"/>
          <w:color w:val="auto"/>
        </w:rPr>
        <w:t>: Prior to the closing of the facility agreement with the banks, we made certain representations and warranties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banks and we were deemed to have been repeated certain of those representations and warranties to the banks each time we delivered a request to borrow money under the facility agreement. We also made certain representations and warranties to the banks in connection with the amendments to our facility agreement. When made, the representations and warranties must have been correct and not misleading in a material manner.</w:t>
      </w:r>
    </w:p>
    <w:p>
      <w:pPr>
        <w:spacing w:after="0" w:line="166" w:lineRule="exact"/>
        <w:rPr>
          <w:rFonts w:ascii="Arial" w:cs="Arial" w:eastAsia="Arial" w:hAnsi="Arial"/>
          <w:sz w:val="16"/>
          <w:szCs w:val="16"/>
          <w:color w:val="auto"/>
        </w:rPr>
      </w:pPr>
    </w:p>
    <w:p>
      <w:pPr>
        <w:ind w:left="-8" w:right="20" w:firstLine="8"/>
        <w:spacing w:after="0" w:line="268"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Continuous legal validity of the facility agreement</w:t>
      </w:r>
      <w:r>
        <w:rPr>
          <w:rFonts w:ascii="Arial" w:cs="Arial" w:eastAsia="Arial" w:hAnsi="Arial"/>
          <w:sz w:val="18"/>
          <w:szCs w:val="18"/>
          <w:color w:val="auto"/>
        </w:rPr>
        <w:t>: The facility agreement or any of its ancillary agreements shall not cease to be in full force and effect</w:t>
      </w:r>
      <w:r>
        <w:rPr>
          <w:rFonts w:ascii="Arial" w:cs="Arial" w:eastAsia="Arial" w:hAnsi="Arial"/>
          <w:sz w:val="18"/>
          <w:szCs w:val="18"/>
          <w:i w:val="1"/>
          <w:iCs w:val="1"/>
          <w:color w:val="auto"/>
        </w:rPr>
        <w:t xml:space="preserve"> </w:t>
      </w:r>
      <w:r>
        <w:rPr>
          <w:rFonts w:ascii="Arial" w:cs="Arial" w:eastAsia="Arial" w:hAnsi="Arial"/>
          <w:sz w:val="18"/>
          <w:szCs w:val="18"/>
          <w:color w:val="auto"/>
        </w:rPr>
        <w:t>in any respect or fail to provide the intended perfected security over our assets in favor of our banks.</w:t>
      </w:r>
    </w:p>
    <w:p>
      <w:pPr>
        <w:spacing w:after="0" w:line="185" w:lineRule="exact"/>
        <w:rPr>
          <w:rFonts w:ascii="Arial" w:cs="Arial" w:eastAsia="Arial" w:hAnsi="Arial"/>
          <w:sz w:val="18"/>
          <w:szCs w:val="18"/>
          <w:color w:val="auto"/>
        </w:rPr>
      </w:pPr>
    </w:p>
    <w:p>
      <w:pPr>
        <w:ind w:left="-8" w:right="40" w:firstLine="8"/>
        <w:spacing w:after="0" w:line="306" w:lineRule="auto"/>
        <w:tabs>
          <w:tab w:leader="none" w:pos="728"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Liquidation; Insolvency</w:t>
      </w:r>
      <w:r>
        <w:rPr>
          <w:rFonts w:ascii="Arial" w:cs="Arial" w:eastAsia="Arial" w:hAnsi="Arial"/>
          <w:sz w:val="16"/>
          <w:szCs w:val="16"/>
          <w:color w:val="auto"/>
        </w:rPr>
        <w:t>: Our becoming insolvent or admitting to being insolvent or our commencement of negotiations with any one or more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creditors with a view to a general readjustment or rescheduling of our indebtedness. In addition, any steps taken for our liquidation, winding up or similar events, including our seeking protection from our creditors, and any proceedings or orders with respect thereto must be cancelled or withdrawn within sixty days.</w:t>
      </w:r>
    </w:p>
    <w:p>
      <w:pPr>
        <w:spacing w:after="0" w:line="160" w:lineRule="exact"/>
        <w:rPr>
          <w:rFonts w:ascii="Arial" w:cs="Arial" w:eastAsia="Arial" w:hAnsi="Arial"/>
          <w:sz w:val="16"/>
          <w:szCs w:val="16"/>
          <w:color w:val="auto"/>
        </w:rPr>
      </w:pPr>
    </w:p>
    <w:p>
      <w:pPr>
        <w:ind w:left="-8" w:right="120" w:firstLine="8"/>
        <w:spacing w:after="0" w:line="332" w:lineRule="auto"/>
        <w:tabs>
          <w:tab w:leader="none" w:pos="777"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Cross acceleration of other indebtedness</w:t>
      </w:r>
      <w:r>
        <w:rPr>
          <w:rFonts w:ascii="Arial" w:cs="Arial" w:eastAsia="Arial" w:hAnsi="Arial"/>
          <w:sz w:val="16"/>
          <w:szCs w:val="16"/>
          <w:color w:val="auto"/>
        </w:rPr>
        <w:t>: We may not fail to make payments regarding any of our other financial indebtedness which aggregates $20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more. In addition, $20 million or more of our other financial indebtedness cannot become prematurely due and payable or be placed on demand.</w:t>
      </w:r>
    </w:p>
    <w:p>
      <w:pPr>
        <w:spacing w:after="0" w:line="139" w:lineRule="exact"/>
        <w:rPr>
          <w:rFonts w:ascii="Arial" w:cs="Arial" w:eastAsia="Arial" w:hAnsi="Arial"/>
          <w:sz w:val="16"/>
          <w:szCs w:val="16"/>
          <w:color w:val="auto"/>
        </w:rPr>
      </w:pPr>
    </w:p>
    <w:p>
      <w:pPr>
        <w:ind w:left="-8" w:right="280" w:firstLine="8"/>
        <w:spacing w:after="0" w:line="306" w:lineRule="auto"/>
        <w:tabs>
          <w:tab w:leader="none" w:pos="826"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Breach of Convertible Debentures</w:t>
      </w:r>
      <w:r>
        <w:rPr>
          <w:rFonts w:ascii="Arial" w:cs="Arial" w:eastAsia="Arial" w:hAnsi="Arial"/>
          <w:sz w:val="16"/>
          <w:szCs w:val="16"/>
          <w:color w:val="auto"/>
        </w:rPr>
        <w:t>. Our default under or breach of any of the terms and conditions of the convertible debentures we issued in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2002 or the convertible debentures being offered hereunder or our making any payment in relation thereto which is not permitted under the facility agreement or the institution by the holders of the debentures (or anyone acting on their behalf, including a trustee) of proceedings against us.</w:t>
      </w:r>
    </w:p>
    <w:p>
      <w:pPr>
        <w:spacing w:after="0" w:line="160" w:lineRule="exact"/>
        <w:rPr>
          <w:rFonts w:ascii="Arial" w:cs="Arial" w:eastAsia="Arial" w:hAnsi="Arial"/>
          <w:sz w:val="16"/>
          <w:szCs w:val="16"/>
          <w:color w:val="auto"/>
        </w:rPr>
      </w:pPr>
    </w:p>
    <w:p>
      <w:pPr>
        <w:ind w:left="-8" w:firstLine="8"/>
        <w:spacing w:after="0" w:line="268" w:lineRule="auto"/>
        <w:tabs>
          <w:tab w:leader="none" w:pos="816"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Execution, Attachment, Sequestration: </w:t>
      </w:r>
      <w:r>
        <w:rPr>
          <w:rFonts w:ascii="Arial" w:cs="Arial" w:eastAsia="Arial" w:hAnsi="Arial"/>
          <w:sz w:val="18"/>
          <w:szCs w:val="18"/>
          <w:color w:val="auto"/>
        </w:rPr>
        <w:t>We may not permit any execution, attachment, sequestration or other similar process taken against us to subsist</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than 45 days.</w:t>
      </w:r>
    </w:p>
    <w:p>
      <w:pPr>
        <w:spacing w:after="0" w:line="185" w:lineRule="exact"/>
        <w:rPr>
          <w:rFonts w:ascii="Arial" w:cs="Arial" w:eastAsia="Arial" w:hAnsi="Arial"/>
          <w:sz w:val="18"/>
          <w:szCs w:val="18"/>
          <w:color w:val="auto"/>
        </w:rPr>
      </w:pPr>
    </w:p>
    <w:p>
      <w:pPr>
        <w:ind w:left="-8" w:right="260" w:firstLine="8"/>
        <w:spacing w:after="0" w:line="268" w:lineRule="auto"/>
        <w:tabs>
          <w:tab w:leader="none" w:pos="76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Material adverse effect: </w:t>
      </w:r>
      <w:r>
        <w:rPr>
          <w:rFonts w:ascii="Arial" w:cs="Arial" w:eastAsia="Arial" w:hAnsi="Arial"/>
          <w:sz w:val="18"/>
          <w:szCs w:val="18"/>
          <w:color w:val="auto"/>
        </w:rPr>
        <w:t>The existence of any litigation or other proceedings involving us, or any event or series of events, which is likely to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 on our company.</w:t>
      </w:r>
    </w:p>
    <w:p>
      <w:pPr>
        <w:spacing w:after="0" w:line="185" w:lineRule="exact"/>
        <w:rPr>
          <w:rFonts w:ascii="Arial" w:cs="Arial" w:eastAsia="Arial" w:hAnsi="Arial"/>
          <w:sz w:val="18"/>
          <w:szCs w:val="18"/>
          <w:color w:val="auto"/>
        </w:rPr>
      </w:pPr>
    </w:p>
    <w:p>
      <w:pPr>
        <w:ind w:left="-8" w:right="520" w:firstLine="8"/>
        <w:spacing w:after="0" w:line="268" w:lineRule="auto"/>
        <w:tabs>
          <w:tab w:leader="none" w:pos="816"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Fab 2 being declared a total loss: </w:t>
      </w:r>
      <w:r>
        <w:rPr>
          <w:rFonts w:ascii="Arial" w:cs="Arial" w:eastAsia="Arial" w:hAnsi="Arial"/>
          <w:sz w:val="18"/>
          <w:szCs w:val="18"/>
          <w:color w:val="auto"/>
        </w:rPr>
        <w:t>Fab 2 or a substantial portion thereof is rendered inoperable or declared by our insurers to be a total loss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constructive total loss.</w:t>
      </w:r>
    </w:p>
    <w:p>
      <w:pPr>
        <w:sectPr>
          <w:pgSz w:w="11900" w:h="16838" w:orient="portrait"/>
          <w:cols w:equalWidth="0" w:num="1">
            <w:col w:w="11372"/>
          </w:cols>
          <w:pgMar w:left="248" w:top="374" w:right="279" w:bottom="0" w:gutter="0" w:footer="0" w:header="0"/>
        </w:sectPr>
      </w:pPr>
    </w:p>
    <w:bookmarkStart w:id="30" w:name="page31"/>
    <w:bookmarkEnd w:id="30"/>
    <w:p>
      <w:pPr>
        <w:ind w:right="400" w:firstLine="8"/>
        <w:spacing w:after="0" w:line="268" w:lineRule="auto"/>
        <w:tabs>
          <w:tab w:leader="none" w:pos="873"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Government action against us</w:t>
      </w:r>
      <w:r>
        <w:rPr>
          <w:rFonts w:ascii="Arial" w:cs="Arial" w:eastAsia="Arial" w:hAnsi="Arial"/>
          <w:sz w:val="18"/>
          <w:szCs w:val="18"/>
          <w:color w:val="auto"/>
        </w:rPr>
        <w:t>: Any nationalization, seizure or expropriation of all or any substantial or material part of our assets,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capital by any governmental authority.</w:t>
      </w:r>
    </w:p>
    <w:p>
      <w:pPr>
        <w:spacing w:after="0" w:line="185" w:lineRule="exact"/>
        <w:rPr>
          <w:rFonts w:ascii="Arial" w:cs="Arial" w:eastAsia="Arial" w:hAnsi="Arial"/>
          <w:sz w:val="18"/>
          <w:szCs w:val="18"/>
          <w:color w:val="auto"/>
        </w:rPr>
      </w:pPr>
    </w:p>
    <w:p>
      <w:pPr>
        <w:ind w:right="300" w:firstLine="8"/>
        <w:spacing w:after="0" w:line="268" w:lineRule="auto"/>
        <w:tabs>
          <w:tab w:leader="none" w:pos="922"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Restrictions on the free exchange of NIS for United States dollars</w:t>
      </w:r>
      <w:r>
        <w:rPr>
          <w:rFonts w:ascii="Arial" w:cs="Arial" w:eastAsia="Arial" w:hAnsi="Arial"/>
          <w:sz w:val="18"/>
          <w:szCs w:val="18"/>
          <w:color w:val="auto"/>
        </w:rPr>
        <w:t>: The imposition of restrictions by an Israeli governmental authority on the free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NIS for United States dollars or United States dollars for NIS.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40" w:hanging="832"/>
        <w:spacing w:after="0"/>
        <w:tabs>
          <w:tab w:leader="none" w:pos="84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Claim that we defaulted under certain prepayment contracts: </w:t>
      </w:r>
      <w:r>
        <w:rPr>
          <w:rFonts w:ascii="Arial" w:cs="Arial" w:eastAsia="Arial" w:hAnsi="Arial"/>
          <w:sz w:val="16"/>
          <w:szCs w:val="16"/>
          <w:color w:val="auto"/>
        </w:rPr>
        <w:t>The counter party to certain prepayment contracts makes a claim that we defaulted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219" w:lineRule="exact"/>
        <w:rPr>
          <w:sz w:val="20"/>
          <w:szCs w:val="20"/>
          <w:color w:val="auto"/>
        </w:rPr>
      </w:pPr>
    </w:p>
    <w:p>
      <w:pPr>
        <w:ind w:left="880" w:hanging="872"/>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Additional Restrictions: </w:t>
      </w:r>
      <w:r>
        <w:rPr>
          <w:rFonts w:ascii="Arial" w:cs="Arial" w:eastAsia="Arial" w:hAnsi="Arial"/>
          <w:sz w:val="16"/>
          <w:szCs w:val="16"/>
          <w:color w:val="auto"/>
        </w:rPr>
        <w:t>Without the prior written consent of our banks or as permitted under the facility agreement, we are restricted from:</w:t>
      </w:r>
    </w:p>
    <w:p>
      <w:pPr>
        <w:spacing w:after="0" w:line="248"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altering the Fab 2 business plan;</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entering into or resolving to approve any merger, reorganization or transfer of any part our business;</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amending our articles of association in a manner which is materially adverse to the interests of our banks;</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making any payment or transferring our assets to our shareholders or their affiliates;</w:t>
      </w:r>
    </w:p>
    <w:p>
      <w:pPr>
        <w:spacing w:after="0" w:line="252" w:lineRule="exact"/>
        <w:rPr>
          <w:rFonts w:ascii="Arial" w:cs="Arial" w:eastAsia="Arial" w:hAnsi="Arial"/>
          <w:sz w:val="16"/>
          <w:szCs w:val="16"/>
          <w:color w:val="auto"/>
        </w:rPr>
      </w:pPr>
    </w:p>
    <w:p>
      <w:pPr>
        <w:ind w:left="1720" w:right="400" w:hanging="567"/>
        <w:spacing w:after="0" w:line="268" w:lineRule="auto"/>
        <w:rPr>
          <w:rFonts w:ascii="Arial" w:cs="Arial" w:eastAsia="Arial" w:hAnsi="Arial"/>
          <w:sz w:val="16"/>
          <w:szCs w:val="16"/>
          <w:color w:val="auto"/>
        </w:rPr>
      </w:pPr>
      <w:r>
        <w:rPr>
          <w:rFonts w:ascii="Arial" w:cs="Arial" w:eastAsia="Arial" w:hAnsi="Arial"/>
          <w:sz w:val="18"/>
          <w:szCs w:val="18"/>
          <w:color w:val="auto"/>
        </w:rPr>
        <w:t>—disposing of our assets other than in the ordinary course of business or other than to replace such assets with comparable or superior assets;</w:t>
      </w:r>
    </w:p>
    <w:p>
      <w:pPr>
        <w:spacing w:after="0" w:line="212" w:lineRule="exact"/>
        <w:rPr>
          <w:rFonts w:ascii="Arial" w:cs="Arial" w:eastAsia="Arial" w:hAnsi="Arial"/>
          <w:sz w:val="16"/>
          <w:szCs w:val="16"/>
          <w:color w:val="auto"/>
        </w:rPr>
      </w:pPr>
    </w:p>
    <w:p>
      <w:pPr>
        <w:ind w:left="1720" w:right="60" w:hanging="567"/>
        <w:spacing w:after="0" w:line="256" w:lineRule="auto"/>
        <w:rPr>
          <w:rFonts w:ascii="Arial" w:cs="Arial" w:eastAsia="Arial" w:hAnsi="Arial"/>
          <w:sz w:val="16"/>
          <w:szCs w:val="16"/>
          <w:color w:val="auto"/>
        </w:rPr>
      </w:pPr>
      <w:r>
        <w:rPr>
          <w:rFonts w:ascii="Arial" w:cs="Arial" w:eastAsia="Arial" w:hAnsi="Arial"/>
          <w:sz w:val="18"/>
          <w:szCs w:val="18"/>
          <w:color w:val="auto"/>
        </w:rPr>
        <w:t>—selling, transferring or licensing on an exclusive basis any of our intellectual property assets which are material to the Fab 2 project or over which the banks have received a fixed security interest; however, we may enter into exclusive license arrangements on arms’ length bases which are in the ordinary course of business, provided that such arrangements do not adversely affect the interests of the banks or the conduct of the Fab 2 project;</w:t>
      </w:r>
    </w:p>
    <w:p>
      <w:pPr>
        <w:spacing w:after="0" w:line="224"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incurring any capital expenditures other than for the Fab 2 project or for Fab 1;</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delegating the management of the Fab 2 project to any other person;</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abandoning all or any part of the Fab 2 project; and</w:t>
      </w:r>
    </w:p>
    <w:p>
      <w:pPr>
        <w:spacing w:after="0" w:line="252" w:lineRule="exact"/>
        <w:rPr>
          <w:rFonts w:ascii="Arial" w:cs="Arial" w:eastAsia="Arial" w:hAnsi="Arial"/>
          <w:sz w:val="16"/>
          <w:szCs w:val="16"/>
          <w:color w:val="auto"/>
        </w:rPr>
      </w:pPr>
    </w:p>
    <w:p>
      <w:pPr>
        <w:ind w:left="1720" w:hanging="567"/>
        <w:spacing w:after="0" w:line="268" w:lineRule="auto"/>
        <w:rPr>
          <w:rFonts w:ascii="Arial" w:cs="Arial" w:eastAsia="Arial" w:hAnsi="Arial"/>
          <w:sz w:val="16"/>
          <w:szCs w:val="16"/>
          <w:color w:val="auto"/>
        </w:rPr>
      </w:pPr>
      <w:r>
        <w:rPr>
          <w:rFonts w:ascii="Arial" w:cs="Arial" w:eastAsia="Arial" w:hAnsi="Arial"/>
          <w:sz w:val="18"/>
          <w:szCs w:val="18"/>
          <w:color w:val="auto"/>
        </w:rPr>
        <w:t>—maintaining any bank accounts other than the accounts with our banks and all payments related to the Fab 2 project shall be made from or to those accounts.</w:t>
      </w:r>
    </w:p>
    <w:p>
      <w:pPr>
        <w:spacing w:after="0" w:line="200" w:lineRule="exact"/>
        <w:rPr>
          <w:sz w:val="20"/>
          <w:szCs w:val="20"/>
          <w:color w:val="auto"/>
        </w:rPr>
      </w:pPr>
    </w:p>
    <w:p>
      <w:pPr>
        <w:spacing w:after="0" w:line="229" w:lineRule="exact"/>
        <w:rPr>
          <w:sz w:val="20"/>
          <w:szCs w:val="20"/>
          <w:color w:val="auto"/>
        </w:rPr>
      </w:pPr>
    </w:p>
    <w:p>
      <w:pPr>
        <w:jc w:val="both"/>
        <w:ind w:right="200" w:firstLine="348"/>
        <w:spacing w:after="0" w:line="298" w:lineRule="auto"/>
        <w:rPr>
          <w:sz w:val="20"/>
          <w:szCs w:val="20"/>
          <w:color w:val="auto"/>
        </w:rPr>
      </w:pPr>
      <w:r>
        <w:rPr>
          <w:rFonts w:ascii="Arial" w:cs="Arial" w:eastAsia="Arial" w:hAnsi="Arial"/>
          <w:sz w:val="16"/>
          <w:szCs w:val="16"/>
          <w:color w:val="auto"/>
        </w:rPr>
        <w:t>We must notify the banks of any event of default of which we are aware and report on the steps, if any, being taken by us to remedy such event of default. With respect to the majority of the aforementioned events of default, the facility agreement provides that if such event of default is capable of remedy, or if our failure to comply with other obligations under the facility agreement is capable of remedy, then such events will not entitle our banks to exercise their remedies under the facility agreement if we cure such breach within the period or time set forth in the facility agreement (generally 7 or 14 days).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 Under the Debenture</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Event of Default under the debenture is:</w:t>
      </w:r>
    </w:p>
    <w:p>
      <w:pPr>
        <w:spacing w:after="0" w:line="225" w:lineRule="exact"/>
        <w:rPr>
          <w:sz w:val="20"/>
          <w:szCs w:val="20"/>
          <w:color w:val="auto"/>
        </w:rPr>
      </w:pPr>
    </w:p>
    <w:p>
      <w:pPr>
        <w:ind w:left="1720" w:right="140" w:hanging="567"/>
        <w:spacing w:after="0" w:line="255" w:lineRule="auto"/>
        <w:rPr>
          <w:sz w:val="20"/>
          <w:szCs w:val="20"/>
          <w:color w:val="auto"/>
        </w:rPr>
      </w:pPr>
      <w:r>
        <w:rPr>
          <w:rFonts w:ascii="Arial" w:cs="Arial" w:eastAsia="Arial" w:hAnsi="Arial"/>
          <w:sz w:val="18"/>
          <w:szCs w:val="18"/>
          <w:color w:val="auto"/>
        </w:rPr>
        <w:t>—Any corporate action taken by us or other steps taken or proceedings started or consented to or any order made for our winding up, administration or re-organization (or for the suspension of payments generally or any process giving protection against creditors), or for the appointment of a liquidator, receiver, administrator, administrative receiver or similar officer for all or any part of our revenues or assets or such a person is appointed, which action, steps, proceedings or order are not cancelled or withdrawn within 60 days of the occurrence or the institution thereof.</w:t>
      </w:r>
    </w:p>
    <w:p>
      <w:pPr>
        <w:spacing w:after="0" w:line="223" w:lineRule="exact"/>
        <w:rPr>
          <w:sz w:val="20"/>
          <w:szCs w:val="20"/>
          <w:color w:val="auto"/>
        </w:rPr>
      </w:pPr>
    </w:p>
    <w:p>
      <w:pPr>
        <w:ind w:left="1720" w:hanging="567"/>
        <w:spacing w:after="0" w:line="370"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Our failure to pay an amount of principal or interest in respect of the debentures within 14 Business Days (as defined below) of the date we are required to make the payment under the debentures as such date may be postponed in accordance with the terms of the debentures.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accordance with the terms of the facility agreement, the indenture provides that no action may be taken by the debenture holders and/or the Co-Trustees with respect to an Event of Default under the debentures unless we have not remedied such Event of Default within 39 days after the later of (i) the date of our receipt of a demand to cure such default, and (ii) the date of the receipt by our banks of the copy of a demand to cure such default, which must be sent to our banks that are or become a party to the facility agreement on the same day as we receive service.</w:t>
      </w:r>
    </w:p>
    <w:p>
      <w:pPr>
        <w:spacing w:after="0" w:line="167"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 “Business Day” is a day on which the banks that are or become a party to the facility agreement are open for trading in Israel in US dollars and banks generally are open for trading in US dollars in London and New York.</w:t>
      </w:r>
    </w:p>
    <w:p>
      <w:pPr>
        <w:spacing w:after="0" w:line="186"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Holders of the debentures and the Co-Trustees on their behalf may not enforce the indenture or the debentures except as provided in the indenture. Subject to certain limitations, the holders of a majority of the aggregate principal amount of the debentures may direct the Co-Trustees in their exercise of any trust or power under the indenture. In addition to other documents that we are required to deliver to the Co-trustees under the Securities Law, we undertook in the indenture to</w:t>
      </w:r>
    </w:p>
    <w:p>
      <w:pPr>
        <w:sectPr>
          <w:pgSz w:w="11900" w:h="16838" w:orient="portrait"/>
          <w:cols w:equalWidth="0" w:num="1">
            <w:col w:w="11400"/>
          </w:cols>
          <w:pgMar w:left="240" w:top="131" w:right="259" w:bottom="0" w:gutter="0" w:footer="0" w:header="0"/>
        </w:sectPr>
      </w:pPr>
    </w:p>
    <w:bookmarkStart w:id="31" w:name="page32"/>
    <w:bookmarkEnd w:id="31"/>
    <w:p>
      <w:pPr>
        <w:spacing w:after="0" w:line="2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provide the Co-Trustees (i) annually a statement regarding compliance with the indenture, and (ii) upon becoming aware of any default or Event of Default under the indenture, with a statement specifying such default and further stating what action we have taken, are taking or propose to take with respect to such default.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Indenture; Supplemental Indentures; Waiver of Defaults</w:t>
      </w:r>
    </w:p>
    <w:p>
      <w:pPr>
        <w:spacing w:after="0" w:line="31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Subject to certain exceptions, the indenture or the debentures may be amended or supplemented at a duly convened meeting of the debenture holders with the approval of (a) the holders of a majority of the aggregate principal amount of the debentures and (b) at least 75% of the debenture holders participating in such meeting. Subject to certain exceptions, an Event of Default under the indenture may be waived, by a duly convened meeting of the debenture holders, if (a) the holders of a majority of the aggregate principal amount of the debentures, and (b) at least 75% of the debenture holders participating in such meeting vote in favor of such waiver. We may not amend or modify any term, covenant or provisions of the Indenture which under the provisions of the Trust Indenture Act cannot be modified or amended without the consent of the holders of each or all debentures then outstanding or affected thereby, without the consent of the holder of each debenture so affected. We may not amend the conversion price, the manner in which the conversion rate may be adjusted, the number of shares issuable upon conversion of the debentures or the maturity date of the debentures, except as disclosed in this prospectus or by way of an arrangement pursuant to Section 350 and following of the Israeli Companies Law – 1999 or in the context of a statutory merger under the Companies Law.</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312"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Since 1998, we have not declared or paid cash dividends on any of our shares and we have no current intention of paying any cash dividends in the future. The facility agreement that we entered into with our banks, as amended, prohibits the payment of dividends prior to January 1, 2008, and before any such distribution, we must have placed on deposit with our banks in an amount equal to the debt service for the quarter in which the distribution is to be made and charged such deposit in favor of our banks, and we must have complied with financial ratios and covenants. In addition, we may only declare and pay a dividend provided that:</w:t>
      </w:r>
    </w:p>
    <w:p>
      <w:pPr>
        <w:spacing w:after="0" w:line="19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dividend is only paid from excess cash flow from Fab 2;</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there is no event of default outstanding under the credit facility agreement; and</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event of default could not reasonably exist after such distribution.</w:t>
      </w:r>
    </w:p>
    <w:p>
      <w:pPr>
        <w:spacing w:after="0" w:line="200" w:lineRule="exact"/>
        <w:rPr>
          <w:sz w:val="20"/>
          <w:szCs w:val="20"/>
          <w:color w:val="auto"/>
        </w:rPr>
      </w:pPr>
    </w:p>
    <w:p>
      <w:pPr>
        <w:spacing w:after="0" w:line="26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INCOME TAX CONSIDERATIONS</w:t>
      </w:r>
    </w:p>
    <w:p>
      <w:pPr>
        <w:spacing w:after="0" w:line="312"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following is a summary of the material tax consequences in Israel and the United States to individual and corporate residents of Israel and the United States resulting from the distribution of the rights we are distributing, the purchase of the debentures that are convertible into our ordinary shares issuable pursuant to the exercise of the rights we are distributing or the sale of these rights or debentures that are convertible into our ordinary shares or ordinary shares issuable pursuant to the conversion of the debentures. Since our bank credit facility prohibits the payment of dividends on our ordinary shares, this summary does not discuss the tax consequences in Israel or the United States that would result from the payment of dividends. To the extent that the discussion is based on tax legislation that has not been subject to judicial or administrative interpretation, we cannot assure you that the tax authorities will accept the views expressed in this summary. This summary is not intended, and should not be construed, as legal or professional tax advice and is not exhaustive of all possible tax consequences that may be relevant to each person’s decision to exercise or sell the rights we are distributing, the convertible debentures to be issued once the rights are exercised, or the sale of our ordinary shares issued upon the conversion of the convertible debentures.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40" w:firstLine="351"/>
        <w:spacing w:after="0" w:line="332" w:lineRule="auto"/>
        <w:rPr>
          <w:sz w:val="20"/>
          <w:szCs w:val="20"/>
          <w:color w:val="auto"/>
        </w:rPr>
      </w:pPr>
      <w:r>
        <w:rPr>
          <w:rFonts w:ascii="Arial" w:cs="Arial" w:eastAsia="Arial" w:hAnsi="Arial"/>
          <w:sz w:val="16"/>
          <w:szCs w:val="16"/>
          <w:color w:val="auto"/>
        </w:rPr>
        <w:t>Prospective purchasers of our ordinary shares and other securities should consult their own tax advisors as to the United States, Israel or other tax consequences of the purchase, ownership and disposition of our securities, including, in particular, the effect of any foreign, state or local taxes.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August 2005, the Israeli parliament approved an amendment to the Israeli tax regime, to become effective on January 1, 2006 (“the 2006 Tax Reform”).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Some applicable provisions of the 2006 Tax Reform will be discussed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31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Israeli law imposes a capital gains tax on the sale of capital assets, including securities and debentures. In general, the distribution of the rights we are distributing, the exercise of the rights we are distributing and the conversion of the debentures into ordinary shares will not be subject to Israeli tax (different rules may apply to employees – see below).</w:t>
      </w:r>
    </w:p>
    <w:p>
      <w:pPr>
        <w:spacing w:after="0" w:line="194" w:lineRule="exact"/>
        <w:rPr>
          <w:sz w:val="20"/>
          <w:szCs w:val="20"/>
          <w:color w:val="auto"/>
        </w:rPr>
      </w:pPr>
    </w:p>
    <w:p>
      <w:pPr>
        <w:ind w:left="1160" w:hanging="571"/>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Israeli Capital Gains Tax on Sales Before January 1, 2006</w:t>
      </w:r>
    </w:p>
    <w:p>
      <w:pPr>
        <w:spacing w:after="0" w:line="200" w:lineRule="exact"/>
        <w:rPr>
          <w:sz w:val="20"/>
          <w:szCs w:val="20"/>
          <w:color w:val="auto"/>
        </w:rPr>
      </w:pPr>
    </w:p>
    <w:p>
      <w:pPr>
        <w:spacing w:after="0" w:line="268"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Before January 1, 2006, any gains from the sale of the rights we are distributing, the debentures convertible into ordinary shares issuable pursuant to the exercise of the rights and/or the ordinary shares issued pursuant to the conversion of the debentures are, in general, liable to capital gains tax of 15%. This will be the case so long as: our securities remain listed for trading on the Tel Aviv Stock Exchange or NASDAQ; the shareholder did not claim financial expenses related to the purchase of the securities; and these securities are not sold to a “relative” as defined under section 105k of the Israeli Income Tax Ordinance. In those cases where the 15% rate does not apply, the real capital gain from the sale of the securities will be subject to capital gains tax of 25%. Non-residents of Israel will be exempt from any capital gains tax from the sale of our securities, including those associated with this rights offering, so long as the gains are not derived through a permanent establishment that the non-resident maintains in Israel, and so long as our securities remain listed for trading as described above. A non-resident corporation will generally not enjoy this exemption if Israeli residents are: (1) its controlling shareholders, as defined for the purpose of section 105k of the Israeli Income Tax Ordinance, or (2) directly or indirectly eligible to receive or are beneficial owners of 25% or more of the income or the profits of the non-resident corporation.</w:t>
      </w:r>
    </w:p>
    <w:p>
      <w:pPr>
        <w:sectPr>
          <w:pgSz w:w="11900" w:h="16861" w:orient="portrait"/>
          <w:cols w:equalWidth="0" w:num="1">
            <w:col w:w="11420"/>
          </w:cols>
          <w:pgMar w:left="240" w:top="131" w:right="239" w:bottom="0" w:gutter="0" w:footer="0" w:header="0"/>
        </w:sectPr>
      </w:pPr>
    </w:p>
    <w:bookmarkStart w:id="32" w:name="page33"/>
    <w:bookmarkEnd w:id="32"/>
    <w:p>
      <w:pPr>
        <w:ind w:right="120" w:firstLine="348"/>
        <w:spacing w:after="0" w:line="255" w:lineRule="auto"/>
        <w:rPr>
          <w:sz w:val="20"/>
          <w:szCs w:val="20"/>
          <w:color w:val="auto"/>
        </w:rPr>
      </w:pPr>
      <w:r>
        <w:rPr>
          <w:rFonts w:ascii="Arial" w:cs="Arial" w:eastAsia="Arial" w:hAnsi="Arial"/>
          <w:sz w:val="18"/>
          <w:szCs w:val="18"/>
          <w:color w:val="auto"/>
        </w:rPr>
        <w:t>These provisions dealing with capital gains are not applicable to an Israeli resident whose gains from selling or otherwise disposing of our securities are deemed to be business income or whose taxable income is determined pursuant to part B of the Israeli Income Tax Law (Inflationary Adjustments), 1985 or pursuant to the Income Tax Regulations (Rules on Bookkeeping by Foreign Invested Companies and Certain Partnership and Determination of their Chargeable Income), 1984 (“Dollar Regulations”). In such cases, a regular rate on capital gains will apply, as follows: for corporations – 34% and for individuals – a tax rate of up to 49%.</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any event, under the US-Israel Tax Treaty, a person who qualifies as a resident of the United States within the meaning of the Tax Treaty and who is entitled to claim benefits under the Treaty, may, in general, only be subject to Israeli capital gains tax on the sale of our ordinary shares (subject to the provisions of Israeli domestic law as described above) if that US treaty resident holds 10% or more of the voting power in our company.</w:t>
      </w:r>
    </w:p>
    <w:p>
      <w:pPr>
        <w:spacing w:after="0" w:line="16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computing a capital gain derived from the sale of our shares originating from a converted debenture, the “purchase date” and “balance of its original cost” will be deemed as the convertible debenture purchase date and cost (plus any additional related costs),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Israeli Tax on Interest Income and on Original Issuance Discount Earned Before January 1, 2006</w:t>
      </w:r>
    </w:p>
    <w:p>
      <w:pPr>
        <w:spacing w:after="0" w:line="200" w:lineRule="exact"/>
        <w:rPr>
          <w:sz w:val="20"/>
          <w:szCs w:val="20"/>
          <w:color w:val="auto"/>
        </w:rPr>
      </w:pPr>
    </w:p>
    <w:p>
      <w:pPr>
        <w:spacing w:after="0" w:line="268"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Interest and Original Issuance Discount (OID) earned before January 1, 2006 on our convertible debentures issued under this rights offering, will, in general, be subject to Israeli tax of up to 15% if received by an individual. This reduced rate of tax will not apply if the interest and OID are business income in the hands of the recipient, if the recipient is a controlling shareholder of our company, or if financing expenses related to the purchase of the debentures were deducted by the individual in the calculation of the individual’s Israeli taxable income. In such cases the regular rate of tax on Interest and OID will apply – for corporations a rate of 34%and for individuals a tax rate of up to 49%.</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Withholding tax at source from debenture interest and OID paid to resident individuals will, in general, be at a rate of 15%, and corporations will be subject to a rate of 35%. Withholding tax at source from debenture interest and OID paid to non-resident individuals or corporations will be at a rate of 25% or less, subject to any relevant tax treaty relating to their domicile country. In any event, under the US-Israel Tax Treaty, the maximum Israeli tax withheld on interest and OID paid on our convertible debentures to a US treaty resident (other than a US bank, savings institution or company) is 17.5%.</w:t>
      </w:r>
    </w:p>
    <w:p>
      <w:pPr>
        <w:spacing w:after="0" w:line="167" w:lineRule="exact"/>
        <w:rPr>
          <w:sz w:val="20"/>
          <w:szCs w:val="20"/>
          <w:color w:val="auto"/>
        </w:rPr>
      </w:pPr>
    </w:p>
    <w:p>
      <w:pPr>
        <w:ind w:right="340" w:firstLine="395"/>
        <w:spacing w:after="0" w:line="259" w:lineRule="auto"/>
        <w:rPr>
          <w:sz w:val="20"/>
          <w:szCs w:val="20"/>
          <w:color w:val="auto"/>
        </w:rPr>
      </w:pPr>
      <w:r>
        <w:rPr>
          <w:rFonts w:ascii="Arial" w:cs="Arial" w:eastAsia="Arial" w:hAnsi="Arial"/>
          <w:sz w:val="18"/>
          <w:szCs w:val="18"/>
          <w:color w:val="auto"/>
        </w:rPr>
        <w:t>I nterest accrued upon redemption of the debentures will be deemed as part of the proceeds from the redemption and not as interest income, if the redemption resulted in a capital loss and it is not in the hands of a controlling shareholder or a holder of the debentures from allotment date and on – up to the ceiling of the capital loss.</w:t>
      </w:r>
    </w:p>
    <w:p>
      <w:pPr>
        <w:spacing w:after="0" w:line="194" w:lineRule="exact"/>
        <w:rPr>
          <w:sz w:val="20"/>
          <w:szCs w:val="20"/>
          <w:color w:val="auto"/>
        </w:rPr>
      </w:pPr>
    </w:p>
    <w:p>
      <w:pPr>
        <w:ind w:left="1160" w:hanging="57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2006 Tax Reform</w:t>
      </w:r>
    </w:p>
    <w:p>
      <w:pPr>
        <w:spacing w:after="0" w:line="200" w:lineRule="exact"/>
        <w:rPr>
          <w:sz w:val="20"/>
          <w:szCs w:val="20"/>
          <w:color w:val="auto"/>
        </w:rPr>
      </w:pPr>
    </w:p>
    <w:p>
      <w:pPr>
        <w:spacing w:after="0" w:line="268"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The following are the major changes regarding an Israeli resident included in the 2006 Tax Reform which are applicable to the distribution of the rights we are distributing, the purchase of the debentures that are convertible into our ordinary shares issuable pursuant to the exercise of the rights we are distributing, or the sale of these rights or debentures that are convertible into our ordinary shares, or ordinary shares issuable pursuant to the conversion of the debentures. The 2006 Tax Reform will not derogate from the special provisions applicable to non-residents, under Israeli tax law and the US-Israel Tax Treaty, as described in Parts A and B above. It should be presumed that the regulations governing amounts that may be required to be withheld at source as described in Parts A and B above will be amended to reflect the applicable tax rates pursuant to the 2006 Tax Reform.</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Individuals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According to the 2006 Tax Reform, an individual will be subject to a 20% tax on real capital gains and real interest, so long the individual is not a controlling shareholder (generally a shareholder with 10% or more in the right to profits, right to nominate a director and voting rights) in the company constituting the origin of this income. This implies a lower tax rate for individuals on income deriving from the sale of securities not traded on a stock exchange and a reduction in the tax rate to 20% (from 25%) on dividends, with a concurrent increase in the tax on the gains from publicly traded securities and on certain interest income as explained above from 15% to 20%.</w:t>
      </w:r>
    </w:p>
    <w:p>
      <w:pPr>
        <w:spacing w:after="0" w:line="197"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 controlling shareholder will be subject to a tax of 25% in respect of real capital gains derived from the sale of securities issued by the controlled company. Interest received by an individual from such a company will be taxed based on the recipient’s marginal tax rates which will be reduced gradually from the current 49% rate to 44% in 2010. The determination of whether the individual is a controlling shareholder will be made on the date the shares are sold. Nevertheless, the individual will be viewed as a controlling shareholder even if at any time during the 12 months preceding this date he had been a controlling shareholder. The 2006 Tax Reform does not specify the date in which a controlling shareholder should be determined as such if that controlling shareholder receives interest.</w:t>
      </w:r>
    </w:p>
    <w:p>
      <w:pPr>
        <w:spacing w:after="0" w:line="170"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Despite the above, interest income in the hands of an individual will be taxed based on his marginal tax rate in the following instances: (i) the individual claimed interest expenses against this income; (ii) the interest income is business income in his hands or it is such that requires inclusion in the books; and (iii) special relations exist between the payer of the interest and its recipient (for example: that of supplier/customer/employee/relative).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Corporations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Corporations will be subject to corporate tax rates in respect of total income, including capital gains and interest, with the corporate tax rate reduced gradually from 34% in 2005 to 25% in 2010. However, between 2006 and 2009, taxable income that was taxed prior to the effective date of this Reform at a tax rate up to 25%, will be taxed at a rate of 25%.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Eligible Employees with Options Entitling Participation In This Rights Offering</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majority of our pre-2003 employees’ share option plans, we are also offering rights to our employees who hold options under these plans.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applies to Israeli resident employees only.</w:t>
      </w:r>
    </w:p>
    <w:p>
      <w:pPr>
        <w:sectPr>
          <w:pgSz w:w="11900" w:h="16838" w:orient="portrait"/>
          <w:cols w:equalWidth="0" w:num="1">
            <w:col w:w="11420"/>
          </w:cols>
          <w:pgMar w:left="240" w:top="131" w:right="239" w:bottom="0" w:gutter="0" w:footer="0" w:header="0"/>
        </w:sectPr>
      </w:pPr>
    </w:p>
    <w:bookmarkStart w:id="33" w:name="page34"/>
    <w:bookmarkEnd w:id="33"/>
    <w:p>
      <w:pPr>
        <w:spacing w:after="0" w:line="19"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Eligible employees who sell the rights received by virtue of their employee options issued to them under either section 102 or section 3(i) of the Israeli Income Tax Ordinance, will have taxable employment income equal to the consideration received from the sale of the rights. If the eligible employees exercise their rights, the amount by which the fair market value of the debentures convertible into ordinary shares received upon exercise of the rights exceeds the subscription price of the rights will be taxable employment income at the date in which such event occurs.</w:t>
      </w:r>
    </w:p>
    <w:p>
      <w:pPr>
        <w:spacing w:after="0" w:line="167"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Any future sale of the debentures or the shares issued upon conversion of the debentures will be subject to capital gains tax, as discussed above. The cost basis of the debentures will then be equal to the amount which was considered, for tax purposes, the fair market value of the debentures received upon the exercise of the rights. With respect to future sales of shares deriving from the conversion of the debentures, the cost basis will include any expenses, if any, associated with the conversion of the debentures.</w:t>
      </w:r>
    </w:p>
    <w:p>
      <w:pPr>
        <w:spacing w:after="0" w:line="197"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advise our eligible employees to consult their own professional tax advisers with respect to the tax consequences of the exercise or sale of the rights relating to the particular circumstances of each eligible employee.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Tax Considerations</w:t>
      </w:r>
    </w:p>
    <w:p>
      <w:pPr>
        <w:spacing w:after="0" w:line="31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discussion of material United States federal income tax considerations below (other than statements as to whether we are a “passive foreign investment company” and statements regarding our earnings and profits) is based on an opinion of special U.S. tax counsel, Roberts &amp; Holland LLP. Subject to the limitations described in the next paragraph, the following describes the material United States federal income tax consequences resulting from the distribution to a "U.S. Holder" and related transactions by the U.S. Holder, including the exercise or expiration of rights, the conversion of debentures and the disposition of rights, debentures or ordinary shares. For purposes of this discussion, a U.S. Holder means (1) any U.S. person who receives a distribution of rights pursuant to this rights offering and who holds such rights, debentures issued upon exercise of such rights, or ordinary shares issued upon the conversion of such debentures ("Initial U.S. Holder") and (2) any U.S. person other than an Initial U.S. Holder who acquires such rights, debentures issued upon exercise of such rights, or ordinary shares issued upon the conversion of such debentures from a prior holder ("Subsequent U.S. Holder"). For purposes of our discussion, a U.S. person is:</w:t>
      </w:r>
    </w:p>
    <w:p>
      <w:pPr>
        <w:spacing w:after="0" w:line="1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citizen or resident of the United States;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corporation created or organized in the United States or under the laws of the United States or any State;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estate, the income of which is includable in gross income for U.S. federal income tax purposes regardless of its source; or</w:t>
      </w:r>
    </w:p>
    <w:p>
      <w:pPr>
        <w:spacing w:after="0" w:line="9" w:lineRule="exact"/>
        <w:rPr>
          <w:sz w:val="20"/>
          <w:szCs w:val="20"/>
          <w:color w:val="auto"/>
        </w:rPr>
      </w:pPr>
    </w:p>
    <w:p>
      <w:pPr>
        <w:ind w:left="1720" w:right="40" w:hanging="567"/>
        <w:spacing w:after="0" w:line="255" w:lineRule="auto"/>
        <w:rPr>
          <w:sz w:val="20"/>
          <w:szCs w:val="20"/>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have the authority to control all substantial decisions of the trust or if the trust has validly elected to be treated as a U.S. person under applicable Treasury regulations.</w:t>
      </w:r>
    </w:p>
    <w:p>
      <w:pPr>
        <w:spacing w:after="0" w:line="200" w:lineRule="exact"/>
        <w:rPr>
          <w:sz w:val="20"/>
          <w:szCs w:val="20"/>
          <w:color w:val="auto"/>
        </w:rPr>
      </w:pPr>
    </w:p>
    <w:p>
      <w:pPr>
        <w:spacing w:after="0" w:line="24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discussion is based on current provisions of the Internal Revenue Code of 1986, or the Code, as amended, current and proposed Treasury regulations promulgated thereunder, and administrative and judicial decisions as of the date hereof, all of which are subject to change, possibly on a retroactive basis. This discussion is not a representation of, nor does it address, all aspects of United States federal income taxation that may be relevant to any particular U.S. Holder based on such U.S. Holder’s individual circumstances. In particular, this discussion considers only U.S. Holders that will own rights, debentures, or ordinary shares as capital assets at all relevant times and does not address the potential application of the alternative minimum tax or U.S. federal income tax consequences to U.S. Holders that are subject to special treatment, including U.S. Holders that:</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are broker-dealers or insurance companies;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have elected mark-to-market accounting;</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are financial institutions or financial services entities;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hold rights, debentures, or ordinary shares as part of a straddle, hedge or conversion transaction with other investments;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own directly, indirectly or by attribution at least 10% of our voting power; or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have a functional currency that is not the U.S. dollar.</w:t>
      </w:r>
    </w:p>
    <w:p>
      <w:pPr>
        <w:spacing w:after="0" w:line="200" w:lineRule="exact"/>
        <w:rPr>
          <w:sz w:val="20"/>
          <w:szCs w:val="20"/>
          <w:color w:val="auto"/>
        </w:rPr>
      </w:pPr>
    </w:p>
    <w:p>
      <w:pPr>
        <w:spacing w:after="0" w:line="262"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Additionally, the discussion does not consider the tax treatment of persons who hold rights, debentures, or ordinary shares through a partnership or other pass-through entity or the possible application of U.S. federal gift or estate tax.</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Finally, this discussion does not address any aspect of state, local or non-U.S. tax laws.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Debt Characterization of the Debentures</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Certain characteristics of the debentures that may be received upon exercise of the rights raise an issue of whether such debentures should be treated as debt or equity for U.S. income tax purposes. Such characteristics include subordination, the absence of interest payments prior to maturity, provisions for optional conversion into our ordinary shares, and the absence, in certain circumstances, of a fixed maturity date. Tower intend to take the position that the debentures are characterized as debt for U.S. income tax purposes, but we have not obtained an opinion of counsel and this conclusion is not free of doubt. Due to the fact-intensive nature of the issue, and in particular to the characteristics described in the second preceding sentence, counsel is unable to opine as to whether the debentures should be characterized as debt for U.S. income tax purposes.</w:t>
      </w:r>
    </w:p>
    <w:p>
      <w:pPr>
        <w:spacing w:after="0" w:line="174"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In any case, if the debentures were determined to be characterized as equity for U.S. tax purposes, the U.S. income tax consequences to U.S. Holders generally should not be materially less favorable than those described herein. The consequences of the debentures being characterized as equity for U.S. tax purposes are addressed in greater detail below under the subheading "Tax Consequences if the Debentures Are Characterized as Equity."</w:t>
      </w:r>
    </w:p>
    <w:p>
      <w:pPr>
        <w:spacing w:after="0" w:line="16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discussion below, other than under the subheading “Tax Consequences if the Debentures Are Characterized as Equity” assumes that the debentures are characterized as debt for U.S. income tax purposes.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Receipt of the Distribution; Allocation of Basis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discussion under this subheading applies only to Initial U.S. Holders and is qualified by the special rules for “U.S. Option Holders,” described below.</w:t>
      </w:r>
    </w:p>
    <w:p>
      <w:pPr>
        <w:sectPr>
          <w:pgSz w:w="11900" w:h="16857" w:orient="portrait"/>
          <w:cols w:equalWidth="0" w:num="1">
            <w:col w:w="11420"/>
          </w:cols>
          <w:pgMar w:left="240" w:top="131" w:right="239" w:bottom="0" w:gutter="0" w:footer="0" w:header="0"/>
        </w:sectPr>
      </w:pPr>
    </w:p>
    <w:bookmarkStart w:id="34" w:name="page35"/>
    <w:bookmarkEnd w:id="34"/>
    <w:p>
      <w:pPr>
        <w:ind w:right="100" w:firstLine="341"/>
        <w:spacing w:after="0" w:line="290" w:lineRule="auto"/>
        <w:rPr>
          <w:sz w:val="20"/>
          <w:szCs w:val="20"/>
          <w:color w:val="auto"/>
        </w:rPr>
      </w:pPr>
      <w:r>
        <w:rPr>
          <w:rFonts w:ascii="Arial" w:cs="Arial" w:eastAsia="Arial" w:hAnsi="Arial"/>
          <w:sz w:val="16"/>
          <w:szCs w:val="16"/>
          <w:color w:val="auto"/>
        </w:rPr>
        <w:t>A U.S. Holder will not be taxed on the distribution of rights, provided that Tower has no current or accumulated earnings and profits, as determined for U.S. income tax purposes, at any time during the taxable year in which the distribution is made, and provided that the U.S. Holder’s tax basis in the ordinary shares with respect to which the rights are distributed exceeds the fair market value of the rights. Tower considers it highly unlikely that it will have current or accumulated earnings and profits during the above-referenced period. If, contrary to our expectations, we were to have current or accumulated earnings and profits, then a U.S. Holder would recognize ordinary income (as a dividend) equal to the fair market value of the rights received (or, if less, the amount of such current and accumulated earnings and profits allocable to the distribution), unless the distribution is excluded from gross income under Section 305(a) of the Code. As discussed below, it is unclear whether the distribution will be excluded from gross income under Section 305(a).</w:t>
      </w:r>
    </w:p>
    <w:p>
      <w:pPr>
        <w:spacing w:after="0" w:line="17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the fair market value of the rights received by a U.S. Holder exceeds the sum of the current and accumulated earnings and profits (if any) allocable to the distribution and the U.S. Holder’s tax basis in the ordinary shares with respect to which the rights are distributed, and Section 305(a) of the Code does not exclude the distribution from gross income, the U.S. Holder will recognize capital gain in an amount equal to such excess.</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the distribution is excluded from the gross income of each recipient under Section 305(a) of the Code, then a U.S. Holder’s tax basis in the rights so received will be zero unless (a) the fair market value of the rights distributed to the U.S. Holder is at least 15% of the fair market value of the ordinary shares with respect to which such rights are distributed or (b) the U.S. Holder elects to allocate the basis of the U.S. Holder’s ordinary shares between the ordinary shares and the rights in proportion to their relative fair market values on the date of distribution. Any allocation of basis under the preceding sentence will be given effect only if a U.S. Holder exercises or sells the rights. To make the election, a U.S. Holder must attach a statement to the U.S. Holder’s U.S. federal income tax return for the taxable year in which the rights are received. If the distribution is tax-free under Section 305(a), then the holding period of the rights received will include the holding period of the shares with respect which such rights were distributed.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If the distribution does not satisfy the requirements of Section 305(a) of the Code, then a U.S. Holder’s tax basis in any rights received in the distribution will be their fair market value on the date of distribution. In that event, the holding period of such rights will begin on the date of the distribution.</w:t>
      </w:r>
    </w:p>
    <w:p>
      <w:pPr>
        <w:spacing w:after="0" w:line="139"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distribution of stock or stock rights to shareholders with respect to their stock in a corporation generally is excluded from gross income under Section 305(a) of the Code. It is unclear, however, whether this exclusion will apply to rights received pursuant to this rights offering. First, it is uncertain whether such rights constitute stock rights for this purpose, since the rights permit a holder to purchase convertible debentures, not shares. If the rights are not considered stock rights for this purpose, then Section 305(a) will not apply.</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addition, Section 305(a) does not apply in the case of a distribution (or series of distributions) that has the result of a (1) the receipt of property by some shareholders and (2) an increase in the proportionate interests of other shareholders in the assets or earnings and profits of the corporation. This may be the effect here if, for example, some holders exercise their rights and retain their debentures while other holders exercise their rights and convert their debentures. Moreover, even if all holders who exercise their rights convert their debentures, we have other convertible debentures outstanding and, for certain purposes under Section 305, holders of convertible debentures are treated as shareholders. As a result, the receipt of interest payments by holders of our outstanding convertible debentures satisfies condition (1) above. Therefore, the distribution will be ineligible for tax-free treatment under Section 305(a) if holders who receive a distribution of rights with respect to their ordinary shares pursuant to this rights offering are considered to have an increased proportionate interest in our assets or earnings and profits.</w:t>
      </w:r>
    </w:p>
    <w:p>
      <w:pPr>
        <w:spacing w:after="0" w:line="17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applicable Treasury regulations provide that, if a corporation has convertible securities outstanding (such as our outstanding convertible debentures) and distributes stock or stock rights with respect to the stock into which such convertible securities may be converted (such as our ordinary shares), then the holders of such stock are considered to have an increased proportionate interest in the assets or earnings and profits of the corporation unless a “full adjustment” in the conversion ratio of the convertible securities is made. The Treasury regulations give examples of a qualifying “full adjustment” in conversion ratio but do not define this term. The anti-dilution provision of our outstanding convertible debentures differs from the formulas described in examples in the Treasury regulations, and it is therefore unclear whether the provision in our outstanding convertible debentures would qualify as providing for a “full adjustment” within the meaning of the Treasury regulations. There exists a similar concern with respect to outstanding rights to purchase our ordinary shares, such as the Options (Series 1). Thus, U.S. Holders who receive a distribution of rights with respect to their ordinary shares may be considered to have an increased proportionate interest in our assets or earnings and profits. In that event, Section 305(a) would not apply to the distribution.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Exercise or Expiration of Rights; Purchase of Debentures Convertible into Ordinary Shares</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U.S. Holder will not recognize gain or loss on the exercise of rights. If a U.S. Holder holds rights until expiration (without exercise), the U.S. Holder will recognize a capital loss upon the expiration of such rights in an amount equal to the U.S. Holder’s basis, if any, in such rights. The deductibility of capital losses is subject to limitations.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a U.S. Holder exercises rights, the U.S. Holder’s basis in the convertible debentures received upon such exercise will be determined by adding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Holder’s basis (if any) in the rights to the purchase price paid upon exercise of the rights.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Conversion of Debentures</w:t>
      </w:r>
    </w:p>
    <w:p>
      <w:pPr>
        <w:spacing w:after="0" w:line="231" w:lineRule="exact"/>
        <w:rPr>
          <w:sz w:val="20"/>
          <w:szCs w:val="20"/>
          <w:color w:val="auto"/>
        </w:rPr>
      </w:pPr>
    </w:p>
    <w:p>
      <w:pPr>
        <w:jc w:val="both"/>
        <w:ind w:right="40" w:firstLine="341"/>
        <w:spacing w:after="0" w:line="306" w:lineRule="auto"/>
        <w:rPr>
          <w:sz w:val="20"/>
          <w:szCs w:val="20"/>
          <w:color w:val="auto"/>
        </w:rPr>
      </w:pPr>
      <w:r>
        <w:rPr>
          <w:rFonts w:ascii="Arial" w:cs="Arial" w:eastAsia="Arial" w:hAnsi="Arial"/>
          <w:sz w:val="16"/>
          <w:szCs w:val="16"/>
          <w:color w:val="auto"/>
        </w:rPr>
        <w:t>A U.S. Holder will not recognize gain or loss upon the conversion of the debentures (except with respect to any cash received in lieu of a fractional share). A U.S. Holder’s basis in the ordinary shares received upon conversion will equal the U.S. Holder’s basis in such debentures. A U.S. Holder's holding period for the ordinary shares received upon exercise of a debenture should include the U.S. Holder’s holding period for the debenture.</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Disposition of Rights, Debentures, or Ordinary Shares Issued Upon the Conversion of Debentures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discussion is qualified by the discussions below under the subheading “Tax Consequences if We Are a Passive Foreign Investment Company.”</w:t>
      </w:r>
    </w:p>
    <w:p>
      <w:pPr>
        <w:spacing w:after="0" w:line="248" w:lineRule="exact"/>
        <w:rPr>
          <w:sz w:val="20"/>
          <w:szCs w:val="20"/>
          <w:color w:val="auto"/>
        </w:rPr>
      </w:pPr>
    </w:p>
    <w:p>
      <w:pPr>
        <w:ind w:right="200" w:firstLine="351"/>
        <w:spacing w:after="0" w:line="335" w:lineRule="auto"/>
        <w:rPr>
          <w:sz w:val="20"/>
          <w:szCs w:val="20"/>
          <w:color w:val="auto"/>
        </w:rPr>
      </w:pPr>
      <w:r>
        <w:rPr>
          <w:rFonts w:ascii="Arial" w:cs="Arial" w:eastAsia="Arial" w:hAnsi="Arial"/>
          <w:sz w:val="15"/>
          <w:szCs w:val="15"/>
          <w:color w:val="auto"/>
        </w:rPr>
        <w:t>Upon the sale, exchange or other disposition (other than by means of exercise or expiration) of rights, debentures, or ordinary shares issued upon the conversion of debentures, a U.S. Holder generally will recognize capital gain or loss in an amount equal to the difference between the amount realized and such U.S. Holder’s basis in the rights, debentures, or ordinary shares. In the case of a Subsequent U.S. Holder who purchases a debenture at a market discount,</w:t>
      </w:r>
    </w:p>
    <w:p>
      <w:pPr>
        <w:sectPr>
          <w:pgSz w:w="11900" w:h="16838" w:orient="portrait"/>
          <w:cols w:equalWidth="0" w:num="1">
            <w:col w:w="11420"/>
          </w:cols>
          <w:pgMar w:left="240" w:top="131" w:right="239" w:bottom="0" w:gutter="0" w:footer="0" w:header="0"/>
        </w:sectPr>
      </w:pPr>
    </w:p>
    <w:bookmarkStart w:id="35" w:name="page36"/>
    <w:bookmarkEnd w:id="35"/>
    <w:p>
      <w:pPr>
        <w:spacing w:after="0" w:line="2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however, any gain attributable to accrued market discount will be treated as ordinary income. See the discussion below under the subheading "Original Issue Discount, Acquisition Premium and Market Discount."</w:t>
      </w:r>
    </w:p>
    <w:p>
      <w:pPr>
        <w:spacing w:after="0" w:line="186" w:lineRule="exact"/>
        <w:rPr>
          <w:sz w:val="20"/>
          <w:szCs w:val="20"/>
          <w:color w:val="auto"/>
        </w:rPr>
      </w:pPr>
    </w:p>
    <w:p>
      <w:pPr>
        <w:jc w:val="both"/>
        <w:ind w:right="320" w:firstLine="351"/>
        <w:spacing w:after="0" w:line="298" w:lineRule="auto"/>
        <w:rPr>
          <w:sz w:val="20"/>
          <w:szCs w:val="20"/>
          <w:color w:val="auto"/>
        </w:rPr>
      </w:pPr>
      <w:r>
        <w:rPr>
          <w:rFonts w:ascii="Arial" w:cs="Arial" w:eastAsia="Arial" w:hAnsi="Arial"/>
          <w:sz w:val="16"/>
          <w:szCs w:val="16"/>
          <w:color w:val="auto"/>
        </w:rPr>
        <w:t>Capital gain from the sale, exchange or other disposition of rights, debentures, or ordinary shares for which the U.S. Holder has a holding period of more than one year will be long-term capital gain. In the case of a U.S. Holder that is an individual, estate or trust, long-term capital gains generally are eligible for taxation at reduced rates. For taxable years beginning before 2009, the maximum federal income tax rate for long-term capital gains earned by a noncorporate U.S. Holder is 15%. The deductibility of capital losses is subject to limitations.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Gains and losses recognized by a U.S. Holder on a sale, exchange or other disposition of rights, debentures, or ordinary shares generally will have a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source for foreign tax credit purposes.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U.S. Option Holders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U.S. federal income tax consequences to U.S. Holders who receive rights in their capacity as eligible employees holding compensatory stock options (“U.S. Option Holders”) differ from those of other U.S. Holders.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the rights are considered to have a readily ascertainable fair market value at the time of grant, then a U.S. Option Holder will recognize ordinary income in the nature of compensation in an amount equal to the fair market value, if any, of the rights received. In that event, the U.S. Option Holder will have a tax basis in such rights equal to the amount of compensation included in ordinary income, and will not recognize income upon a subsequent exercise of the rights or conversion of the debentures.</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the rights are not considered to have a readily ascertainable fair market value at the time of grant, then a U.S. Option Holder will not recognize income upon receipt of the rights. In that event, a U.S. Option Holder’s subsequent exercise of the rights will cause the U.S. Option Holder to recognize ordinary income in the nature of compensation in an amount equal to the excess, if any, of the fair market value of the debentures over the purchase price paid for such debentures. No additional income or gain will be recognized upon a subsequent conversion of the debentures.</w:t>
      </w:r>
    </w:p>
    <w:p>
      <w:pPr>
        <w:spacing w:after="0" w:line="16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Under the applicable Treasury regulations, whether an option (such as the rights) has a readily ascertainable fair market value depends in part upon whether the option is actively traded on an established market; however, an option that is not actively traded nonetheless will generally have a readily ascertainable fair market value if all of the following conditions exist:</w:t>
      </w:r>
    </w:p>
    <w:p>
      <w:pPr>
        <w:spacing w:after="0" w:line="19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option is transferable by the optionee;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option is exercisable immediately in full by the optionee;</w:t>
      </w:r>
    </w:p>
    <w:p>
      <w:pPr>
        <w:spacing w:after="0" w:line="9" w:lineRule="exact"/>
        <w:rPr>
          <w:sz w:val="20"/>
          <w:szCs w:val="20"/>
          <w:color w:val="auto"/>
        </w:rPr>
      </w:pPr>
    </w:p>
    <w:p>
      <w:pPr>
        <w:ind w:left="1720" w:right="60" w:hanging="567"/>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option or the property subject to the option is not subject to any restriction or condition (other than a lien or other condition to secure payment of the purchase price) that has a significant effect upon the fair market value of the option; and</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fair market value of the option privilege is considered readily ascertainable.</w:t>
      </w: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Treasury regulations provide that, in determining whether the fair market value of the option privilege is readily ascertainable, it is necessary to consider</w:t>
      </w:r>
    </w:p>
    <w:p>
      <w:pPr>
        <w:spacing w:after="0" w:line="38" w:lineRule="exact"/>
        <w:rPr>
          <w:sz w:val="20"/>
          <w:szCs w:val="20"/>
          <w:color w:val="auto"/>
        </w:rPr>
      </w:pPr>
    </w:p>
    <w:p>
      <w:pPr>
        <w:ind w:right="640" w:firstLine="8"/>
        <w:spacing w:after="0" w:line="261"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value of the property subject to the option can be ascertained, (2) the probability of any ascertainable value of such property increasing or decreasing, and (3) the length of the period during which the option can be exercised.</w:t>
      </w:r>
    </w:p>
    <w:p>
      <w:pPr>
        <w:spacing w:after="0" w:line="192"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At present it is not possible to predict whether the rights will be actively traded or satisfy the alternative requirements set forth above for having a readily ascertainable fair market value. Inasmuch as the rights will trade for only one day, however, we consider it unlikely that the rights will be actively traded. It is not possible to predict whether the above-described alternative requirements for having a readily ascertainable fair market value will be satisfied with respect to the rights or the debentures, because the Treasury regulations provide insufficient guidance to determine whether the fair market value of the option privilege of either the rights or the debentures will be readily ascertainable.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Original Issue Discount, Acquisition Premium and Market Discount</w:t>
      </w:r>
    </w:p>
    <w:p>
      <w:pPr>
        <w:spacing w:after="0" w:line="231"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 U.S. Holder of debentures will accrue original issue discount (“OID”), and include such OID in income on a current basis, regardless of the U.S. Holder’s regular method of accounting. The amount of OID accrued for each accrual period generally is determined by multiplying the debenture’s yield-to-maturity (adjusted for the length of the accrual period) by its adjusted issue price at the beginning of the accrual period. The amount of OID so determined will then be allocated on a ratable basis to each day in the accrual period on which the U.S. Holder holds the debenture. A U.S. Holder’s adjusted tax basis in the debenture will be increased by the amount of any OID included in income with respect thereto and decreased by any payments received thereon. The adjusted issue price of a debenture at the beginning of any accrual period is equal to the issue price of the debenture increased by the amount of OID accrued, and reduced by any interest paid, during all prior accrual periods.</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Special rules will apply to a Subsequent U.S. Holder who purchases a debenture for an amount other than its adjusted issue price. If the purchase price paid by the Subsequent U.S. Holder exceeds the adjusted issue price of the debenture, the debenture is considered to have “acquisition premium,” and the amount of OID otherwise allocable to an accrual period is reduced by a portion of such acquisition premium. If the purchase price paid by the Subsequent U.S. Holder is less than the adjusted issue price of the debenture, the debenture is considered to have “market discount.” Any gain recognized by a Subsequent U.S. Holder upon the disposition of a debenture purchased at a market discount will be treated as ordinary income to the extent of the market discount accrued through the date of the disposition. Market discount generally accrues ratably, </w:t>
      </w:r>
      <w:r>
        <w:rPr>
          <w:rFonts w:ascii="Arial" w:cs="Arial" w:eastAsia="Arial" w:hAnsi="Arial"/>
          <w:sz w:val="16"/>
          <w:szCs w:val="16"/>
          <w:i w:val="1"/>
          <w:iCs w:val="1"/>
          <w:color w:val="auto"/>
        </w:rPr>
        <w:t>i.e.</w:t>
      </w:r>
      <w:r>
        <w:rPr>
          <w:rFonts w:ascii="Arial" w:cs="Arial" w:eastAsia="Arial" w:hAnsi="Arial"/>
          <w:sz w:val="16"/>
          <w:szCs w:val="16"/>
          <w:color w:val="auto"/>
        </w:rPr>
        <w:t>, with the same amount of discount allocable to each day during the holding period of the Subsequent U.S. Holder. Alternatively, a Subsequent U.S. Holder may elect to accrue market discount on the basis of a constant interest rate. Under this alternative method, market discount accrues under rules similar to the rules described above governing the accrual of OID. This election is irrevocable once made with respect to a debenture.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Constructive Dividends</w:t>
      </w:r>
    </w:p>
    <w:p>
      <w:pPr>
        <w:spacing w:after="0" w:line="231" w:lineRule="exact"/>
        <w:rPr>
          <w:sz w:val="20"/>
          <w:szCs w:val="20"/>
          <w:color w:val="auto"/>
        </w:rPr>
      </w:pPr>
    </w:p>
    <w:p>
      <w:pPr>
        <w:ind w:firstLine="341"/>
        <w:spacing w:after="0" w:line="323" w:lineRule="auto"/>
        <w:rPr>
          <w:sz w:val="20"/>
          <w:szCs w:val="20"/>
          <w:color w:val="auto"/>
        </w:rPr>
      </w:pPr>
      <w:r>
        <w:rPr>
          <w:rFonts w:ascii="Arial" w:cs="Arial" w:eastAsia="Arial" w:hAnsi="Arial"/>
          <w:sz w:val="15"/>
          <w:szCs w:val="15"/>
          <w:color w:val="auto"/>
        </w:rPr>
        <w:t>As noted above, the conversion price of the debentures is subject to adjustment under certain circumstances. Under Section 305 of the Code and applicable Treasury regulations, an adjustment to the conversion price, or a failure to adjust the conversion price, may in certain circumstances result in a constructive distribution to a U.S. Holder if, and to the extent that, such adjustment to the conversion price, or failure to adjust the conversion price, increases the proportionate interest of a U.S. Holder in our earnings and profits or assets, whether or not such U.S. Holder ever converts his, her or its debentures into ordinary shares. Any</w:t>
      </w:r>
    </w:p>
    <w:p>
      <w:pPr>
        <w:sectPr>
          <w:pgSz w:w="11900" w:h="16859" w:orient="portrait"/>
          <w:cols w:equalWidth="0" w:num="1">
            <w:col w:w="11420"/>
          </w:cols>
          <w:pgMar w:left="240" w:top="131" w:right="239" w:bottom="0" w:gutter="0" w:footer="0" w:header="0"/>
        </w:sectPr>
      </w:pPr>
    </w:p>
    <w:bookmarkStart w:id="36" w:name="page37"/>
    <w:bookmarkEnd w:id="36"/>
    <w:p>
      <w:pPr>
        <w:ind w:right="40"/>
        <w:spacing w:after="0" w:line="259" w:lineRule="auto"/>
        <w:rPr>
          <w:sz w:val="20"/>
          <w:szCs w:val="20"/>
          <w:color w:val="auto"/>
        </w:rPr>
      </w:pPr>
      <w:r>
        <w:rPr>
          <w:rFonts w:ascii="Arial" w:cs="Arial" w:eastAsia="Arial" w:hAnsi="Arial"/>
          <w:sz w:val="18"/>
          <w:szCs w:val="18"/>
          <w:color w:val="auto"/>
        </w:rPr>
        <w:t>such constructive distribution would be taxable to the U.S. Holder as a dividend to the extent of our current or accumulated earnings and profits, as determined under U.S. federal income tax principles, with any excess treated as a tax-free return of capital up to such U.S. Holder’s tax basis in his, her or its debentures, and then as capital gain.</w:t>
      </w:r>
    </w:p>
    <w:p>
      <w:pPr>
        <w:spacing w:after="0" w:line="194"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Dividends generally are taxed as ordinary income. In the case of a noncorporate U.S. Holder, certain “qualified dividends” are taxable at the same reduced rates as are applicable to long-term capital gains for taxable years beginning before 2009. It is not clear whether a constructive dividend with respect to our ordinary shares would be treated as a qualified dividend eligible for such reduced rate. In addition, the reduced rate will not apply if we are treated as a passive foreign investment company in the year that a dividend (or constructive dividend) is paid or in the prior year. See the discussion below under the heading “Tax Consequences if We Are a Passive Foreign Investment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Tax Consequences if We Are a Passive Foreign Investment Company</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quarterly over the year and ordinarily determined based on fair market value and including the pro rata share of the assets of any company in which we are considered to own, directly or indirectly, 25% or more of the shares by value, are held for the production of, or produce, passive income. Passive income includes amounts derived by reason of the temporary investment of funds raised in our public offerings. If we are a PFIC, and a U.S. Holder does not make an election to treat us as a qualified electing fund (as described below) or a mark to market election (as described below):</w:t>
      </w:r>
    </w:p>
    <w:p>
      <w:pPr>
        <w:spacing w:after="0" w:line="172" w:lineRule="exact"/>
        <w:rPr>
          <w:sz w:val="20"/>
          <w:szCs w:val="20"/>
          <w:color w:val="auto"/>
        </w:rPr>
      </w:pPr>
    </w:p>
    <w:p>
      <w:pPr>
        <w:ind w:left="1720" w:right="60" w:hanging="5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Excess distributions by us to a U.S. Holder will be taxed in a special way. Excess distributions are amounts received by a U.S. Holder with respect to our stock in any taxable year that exceed 125% of the average distributions received by such U.S. Holder from us in the shorter of either the three previous years or such U.S. Holder’s holding period for ordinary shares before the present taxable year. This amount may exceed our current or accumulated earnings and profits. Excess distributions must be allocated ratably to each day that a U.S. Holder has held our stock. A U.S. Holder must include amounts allocated to the current taxable year (or to any year prior to the first year in which we were a PFIC) in its gross income as ordinary income for that year. A U.S. Holder must pay tax on amounts allocated to each prior taxable year (other than any year prior to the first year in which we were a PFIC) at the highest rate in effect for that year on ordinary income and the tax is subject to an interest charge at the rate applicable to underpayments of income tax.</w:t>
      </w:r>
    </w:p>
    <w:p>
      <w:pPr>
        <w:spacing w:after="0" w:line="5" w:lineRule="exact"/>
        <w:rPr>
          <w:sz w:val="20"/>
          <w:szCs w:val="20"/>
          <w:color w:val="auto"/>
        </w:rPr>
      </w:pPr>
    </w:p>
    <w:p>
      <w:pPr>
        <w:ind w:left="1720" w:right="60" w:hanging="567"/>
        <w:spacing w:after="0" w:line="250" w:lineRule="auto"/>
        <w:rPr>
          <w:sz w:val="20"/>
          <w:szCs w:val="20"/>
          <w:color w:val="auto"/>
        </w:rPr>
      </w:pPr>
      <w:r>
        <w:rPr>
          <w:rFonts w:ascii="Arial" w:cs="Arial" w:eastAsia="Arial" w:hAnsi="Arial"/>
          <w:sz w:val="18"/>
          <w:szCs w:val="18"/>
          <w:color w:val="auto"/>
        </w:rPr>
        <w:t>—The entire amount of gain realized by a U.S. Holder upon the sale or other disposition of ordinary shares will also be treated as an excess distribution and will be subject to tax as described above.</w:t>
      </w:r>
    </w:p>
    <w:p>
      <w:pPr>
        <w:ind w:left="1720" w:right="100" w:hanging="567"/>
        <w:spacing w:after="0" w:line="250" w:lineRule="auto"/>
        <w:rPr>
          <w:sz w:val="20"/>
          <w:szCs w:val="20"/>
          <w:color w:val="auto"/>
        </w:rPr>
      </w:pPr>
      <w:r>
        <w:rPr>
          <w:rFonts w:ascii="Arial" w:cs="Arial" w:eastAsia="Arial" w:hAnsi="Arial"/>
          <w:sz w:val="18"/>
          <w:szCs w:val="18"/>
          <w:color w:val="auto"/>
        </w:rPr>
        <w:t>—A subsequent holder’s tax basis in shares of our stock that are acquired from a decedent will not receive a step-up to fair market value as of the date of the decedent’s death but would instead be equal to the decedent’s basis, if lower.</w:t>
      </w:r>
    </w:p>
    <w:p>
      <w:pPr>
        <w:ind w:left="1720" w:right="100" w:hanging="567"/>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we are a PFIC, and any foreign subsidiary or other foreign company in which we own shares is also a PFIC, then a U.S. Holder of our shares will also be treated as owning shares of that lower-tier PFIC. For purposes of the above-described rules relating to dispositions of PFIC shares, certain proposed Treasury regulations generally would treat any transaction that reduces a U.S. Holder’s proportionate interest in a lower-tier PFIC as a disposition of shares of such lower-tier PFIC.</w:t>
      </w:r>
    </w:p>
    <w:p>
      <w:pPr>
        <w:spacing w:after="0" w:line="2" w:lineRule="exact"/>
        <w:rPr>
          <w:sz w:val="20"/>
          <w:szCs w:val="20"/>
          <w:color w:val="auto"/>
        </w:rPr>
      </w:pPr>
    </w:p>
    <w:p>
      <w:pPr>
        <w:ind w:left="1720" w:right="100" w:hanging="567"/>
        <w:spacing w:after="0" w:line="261" w:lineRule="auto"/>
        <w:rPr>
          <w:sz w:val="20"/>
          <w:szCs w:val="20"/>
          <w:color w:val="auto"/>
        </w:rPr>
      </w:pPr>
      <w:r>
        <w:rPr>
          <w:rFonts w:ascii="Arial" w:cs="Arial" w:eastAsia="Arial" w:hAnsi="Arial"/>
          <w:sz w:val="18"/>
          <w:szCs w:val="18"/>
          <w:color w:val="auto"/>
        </w:rPr>
        <w:t>—Under proposed Treasury regulations, a U.S. Holder of a convertible debenture (or right) would be treated as owning ordinary shares for purposes of the PFIC rules above.</w:t>
      </w:r>
    </w:p>
    <w:p>
      <w:pPr>
        <w:spacing w:after="0" w:line="200" w:lineRule="exact"/>
        <w:rPr>
          <w:sz w:val="20"/>
          <w:szCs w:val="20"/>
          <w:color w:val="auto"/>
        </w:rPr>
      </w:pPr>
    </w:p>
    <w:p>
      <w:pPr>
        <w:spacing w:after="0" w:line="23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special PFIC rules described above will not apply to a U.S. Holder if the U.S. Holder makes an election to treat us as a qualified electing fund, or QEF, in the first taxable year in which the U.S. Holder owns (or is considered to own) ordinary shares and if we provide the Internal Revenue Service, or IRS, with information regarding our earnings; a late (retroactive) election may be made in limited circumstances.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U.S. Holders with the information needed to report income and gain pursuant to a QEF election in the event we are classified as PFIC. The QEF election is made on a shareholder-by-shareholder basis and can be revoked only with the consent of the IRS. A shareholder makes a QEF election by attaching a completed IRS Form 8621, including the PFIC annual information statement, to a timely filed U.S. federal income tax return or, if no federal income tax return is required to be filed, by filing such form with the IRS Service Center in Philadelphia, Pennsylvania. Even if a QEF election is not made, a shareholder in a PFIC who is a U.S. person must file a completed IRS Form 8621 every year.</w:t>
      </w:r>
    </w:p>
    <w:p>
      <w:pPr>
        <w:spacing w:after="0" w:line="177"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 U.S. Holder of ordinary shares may avoid application of the PFIC rules to shares of a lower-tier PFIC by making a separate QEF election for shares of the lower-tier PFIC for the first taxable year in which the U.S. Holder is considered to own shares of the lower-tier PFIC; this election may only be made, however, if the lower-tier PFIC provides the IRS with information regarding its earnings. A QEF election with respect to our shares does not constitute an election with respect to any lower-tier PFIC.</w:t>
      </w:r>
    </w:p>
    <w:p>
      <w:pPr>
        <w:spacing w:after="0" w:line="197"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As noted above, the proposed regulations would treat a U.S. Holder of a convertible debenture (or right) as if the holder held ordinary shares for purposes of the PFIC rules. A convertible debenture (or right) holder, however, may not make a QEF election. If we are considered a PFIC (presently or in the future), a U.S. Holder of a convertible debenture (or right) might be unable to make a timely QEF election for our shares or for shares of any lower-tier PFIC.</w:t>
      </w:r>
    </w:p>
    <w:p>
      <w:pPr>
        <w:spacing w:after="0" w:line="161"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 U.S. Holder of PFIC stock which is publicly traded could elect to mark the stock to market annually, recognizing as ordinary income or loss each year an amount equal to the difference as of the close of the taxable year between the fair market value of the PFIC stock and the holder’s adjusted basis in the PFIC stock. Losses would be allowed only to the extent of net mark-to-market gain previously included by the U.S. Holder under the election for prior taxable years. If the mark-to-market election were made, then the rules set forth above would not apply for periods covered by the election.</w:t>
      </w:r>
    </w:p>
    <w:p>
      <w:pPr>
        <w:spacing w:after="0" w:line="167"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We do not believe that we currently are a PFIC. We have not obtained an opinion of counsel confirming this conclusion because it is unclear how the relevant regulations would apply in our circumstances. However, our belief that we are not a PFIC is supported by a private letter ruling issued by the IRS to a company whose circumstances are substantially the same as ours, although such private letter ruling would not be binding on the IRS in determining our status. In addition, the tests for determining PFIC status are applied annually and it is difficult to make accurate predictions of future income and assets, which are relevant to the determination of PFIC status. Accordingly, there can be no assurance that we will not become a PFIC. If we determine that we have become a PFIC, we will notify our U.S. Holders and provide them with the information necessary to comply with the QEF rules. U.S. Holders who hold ordinary shares during a period when we are a PFIC will be subject to the foregoing rules, even if we cease to be a PFIC, subject to exceptions for U.S. Holders who made a timely QEF</w:t>
      </w:r>
    </w:p>
    <w:p>
      <w:pPr>
        <w:sectPr>
          <w:pgSz w:w="11900" w:h="16838" w:orient="portrait"/>
          <w:cols w:equalWidth="0" w:num="1">
            <w:col w:w="11400"/>
          </w:cols>
          <w:pgMar w:left="240" w:top="131" w:right="259" w:bottom="0" w:gutter="0" w:footer="0" w:header="0"/>
        </w:sectPr>
      </w:pPr>
    </w:p>
    <w:bookmarkStart w:id="37" w:name="page38"/>
    <w:bookmarkEnd w:id="37"/>
    <w:p>
      <w:pPr>
        <w:ind w:right="140"/>
        <w:spacing w:after="0" w:line="268" w:lineRule="auto"/>
        <w:rPr>
          <w:sz w:val="20"/>
          <w:szCs w:val="20"/>
          <w:color w:val="auto"/>
        </w:rPr>
      </w:pPr>
      <w:r>
        <w:rPr>
          <w:rFonts w:ascii="Arial" w:cs="Arial" w:eastAsia="Arial" w:hAnsi="Arial"/>
          <w:sz w:val="18"/>
          <w:szCs w:val="18"/>
          <w:color w:val="auto"/>
        </w:rPr>
        <w:t>or mark-to-market election. U.S. Holders are urged to consult their tax advisors about the PFIC rules, including the consequences to them of making a mark-to-market or QEF election with respect to our ordinary shares in the event that we qualify as a PFIC.</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Tax Consequences if the Debentures Are Characterized as Equity</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the debentures were characterized as equity for U.S. tax purposes, the U.S. income tax consequences to U.S. Holders generally would not be materially less favorable than those described herein. The principal consequences would be as follows: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Receipt of the Distribution; Allocation of Basis</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If the debentures were characterized as equity for U.S. tax purposes, this would not increase the risk that an Initial U.S. Holder would be taxed on the distribution. In fact, such equity characterization might increase the possibility that the distribution could qualify for tax-free treatment under Section 305(a) of the Code. As noted above, one reason why Section 305(a) might not apply is that this provision only applies to stock and stock rights and it is uncertain whether the rights distributed pursuant to this rights offering will qualify as “stock rights.” If the debentures were characterized as equity, the rights clearly would qualify as stock rights.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debentures were characterized as equity for U.S. tax purposes, this would not affect the rules described above regarding allocation of basis.</w:t>
      </w:r>
    </w:p>
    <w:p>
      <w:pPr>
        <w:spacing w:after="0" w:line="248"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Exercise or Expiration of Rights; Purchase of Debentures Convertible into Ordinary Shares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the debentures were characterized as equity for U.S. tax purposes, this would not affect the consequences to a U.S. Holder upon the exercise or expiration of rights.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Conversion of Debentures</w:t>
      </w:r>
    </w:p>
    <w:p>
      <w:pPr>
        <w:spacing w:after="0" w:line="225"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If the debentures were characterized as equity for U.S. tax purposes, this would not affect the consequences to a U.S. Holder upon a conversion of debentures into our ordinary shares.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Disposition of Rights, Debentures, or Ordinary Shares Issued Upon the Conversion of Debentures</w:t>
      </w:r>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If the debentures were characterized as equity for U.S. tax purposes, this would not affect the consequences, as described above, to a U.S. Holder who disposes (other than by means of exercise or expiration) of rights, debentures or ordinary shares issued upon conversion of debentures, except that the special rules described above regarding market discount would not apply.</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U.S. Option Holders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If the debentures were characterized as equity for U.S. tax purposes, this would not affect the special considerations described above for U.S. Option Holders.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Original Issue Discount, Acquisition Premium and Market Discount; Constructive Dividends</w:t>
      </w:r>
    </w:p>
    <w:p>
      <w:pPr>
        <w:spacing w:after="0" w:line="22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If the debentures were characterized as equity for U.S. tax purposes, the rules described above regarding original issue discount, acquisition premium and market discount would not apply. However, the excess of the amount to be paid at maturity to a U.S. Holder of a debenture over the issue price of the debenture (the “redemption premium”) likely would be treated as a constructive distribution to the U.S. Holder under Section 305 of the Code. Such redemption premium would be taken into account under timing rules similar to those discussed above governing the accrual of original issue discount on a debt instrument. It is also possible that, in certain circumstances, the characterization of the debentures as equity for U.S. tax purposes could affect the determination of whether, under Section 305 of the Code and the applicable Treasury regulations, an adjustment to the conversion price, or a failure to adjust the conversion price, results in a constructive distribution to a U.S. Holder.</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Tax Consequences if We Are a Passive Foreign Investment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debentures were characterized as equity for U.S. tax purposes, this generally would not affect the application of the PFIC rules, except that a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 of debentures would be able to make a QEF or mark-to-market election.</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31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7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ectPr>
          <w:pgSz w:w="11900" w:h="16838" w:orient="portrait"/>
          <w:cols w:equalWidth="0" w:num="1">
            <w:col w:w="11360"/>
          </w:cols>
          <w:pgMar w:left="240" w:top="131" w:right="299" w:bottom="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31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authorized share capital consists of 500 million ordinary shares, par value NIS 1.00 per share. Under our articles of association, the ordinary shares do not have preemptive rights, however, we have granted preemptive rights to a number of our Fab 2 investors, regarding which we will seek waivers in connection with this offering. We may from time to time, by approval of a majority of our shareholders, increase our authorized share capital. All ordinary shares are registered shares, rather than bearer shares.</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7"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9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twenty one days) of shareholders present in person or by proxy and holding shares conferring, in the aggregate, at least a majority of the votes actually cast on such resolutions.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articles of association is to engage in any lawful activity.</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December 31, 2004, 65,699,796 of our ordinary shares were outstanding. As of October 31, 2005, 66,932,056 of our ordinary shares were outstanding.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above numbers of outstanding ordinary shares do not include 1.3 million treasury shares held by us as of such dates in an account with Bear Stearns &amp; Co.</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31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UNDERTAKING TO REFRAIN FROM ACTIONS</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 DISCLOSED IN THIS PROSPECTUS</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signing this prospectus, we and our directors undertake as follows:</w:t>
      </w:r>
    </w:p>
    <w:p>
      <w:pPr>
        <w:spacing w:after="0" w:line="225" w:lineRule="exact"/>
        <w:rPr>
          <w:sz w:val="20"/>
          <w:szCs w:val="20"/>
          <w:color w:val="auto"/>
        </w:rPr>
      </w:pPr>
    </w:p>
    <w:p>
      <w:pPr>
        <w:ind w:left="1160" w:right="480" w:hanging="571"/>
        <w:spacing w:after="0" w:line="286" w:lineRule="auto"/>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 to take any action which is not disclosed in the prospectus concerning this rights offering and distributing or dispersing of the securities offered hereunder to the public, not to grant to purchasers of these securities rights which are not referred to in the prospectus;</w:t>
      </w:r>
    </w:p>
    <w:p>
      <w:pPr>
        <w:ind w:left="1160" w:right="380" w:hanging="571"/>
        <w:spacing w:after="0" w:line="250"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to enter into any agreement with any third party that to the best of our knowledge has entered into arrangements which conflict with sub-paragraph (a); and</w:t>
      </w:r>
    </w:p>
    <w:p>
      <w:pPr>
        <w:ind w:left="1160" w:hanging="571"/>
        <w:spacing w:after="0"/>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inform the Israel Securities Authority if we become aware of any arrangement with a third party, which conflicts with sub-paragraph (a).</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312"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The validity of the securities offered in this prospectus will be passed upon for us by Yigal Arnon &amp; Co., our Israeli counsel, and by Eilenberg &amp; Krause LLP, New York, New York, our United States counsel. Certain matters set forth herein under “Material Income Tax Considerations – United States Tax Considerations” will be passed upon for us by Roberts &amp; Holland LLP, our special United States tax counsel.</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ectPr>
          <w:pgSz w:w="11900" w:h="16838" w:orient="portrait"/>
          <w:cols w:equalWidth="0" w:num="1">
            <w:col w:w="11420"/>
          </w:cols>
          <w:pgMar w:left="240" w:top="125" w:right="239" w:bottom="46" w:gutter="0" w:footer="0" w:header="0"/>
        </w:sectPr>
      </w:pPr>
    </w:p>
    <w:bookmarkStart w:id="39" w:name="page40"/>
    <w:bookmarkEnd w:id="39"/>
    <w:p>
      <w:pPr>
        <w:ind w:right="160" w:firstLine="348"/>
        <w:spacing w:after="0" w:line="294"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Annual Report on Form 20-F for the year ended December 31, 2004 have been audited by Brightman Almagor &amp; Co., a member firm of Deloitte Touche Tohmatsu, an independent registered public accounting firm, as stated in their report, which is incorporated herein by reference (which report expressed an unqualified opinion and included an explanatory paragraph about the differences between accounting principles generally accepted in Israel and in the United States of America), and have been so incorporated in reliance upon the report of such firm given upon their authority as experts in accounting and auditing.</w:t>
      </w:r>
    </w:p>
    <w:p>
      <w:pPr>
        <w:spacing w:after="0" w:line="2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300"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It may be difficult to enforce a U.S. judgment against us, our officers and directors and some of the experts named in this prospectus or to assert U.S. securities law claims in Israel.”</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ISRAEL SECURITIES AUTHORITY EXEMPTION</w:t>
      </w:r>
    </w:p>
    <w:p>
      <w:pPr>
        <w:spacing w:after="0" w:line="312"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This prospectus has been prepared based on the requirements of the Securities Act 1933 and in accordance with the requirements of the Securities and Exchange Commission’s for Registration Statements on Form F-1. This prospectus, as will be filed and published in Israel, is identical to the Registration Statement on Form F-1 filed with, and declared effective by, the United States Securities and Exchange Commission (File No.333-126909) with the exception of the letter of consent of our external auditors (comprising Exhibit 23.2 to the prospectus to be filed and published in Israel) which is substantially similar to the letter of consent of our external auditors comprising Exhibit 23.2 to the Registration Statement.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Section 35(29) of the Israeli Securities Law authorizes the Israel Securities Authority to grant an exemption from the application of the Securities Regulations (Prospectus Details, Format and Form), 1969, to companies whose shares are dually listed on the Tel Aviv Stock Exchange and certain foreign stock exchanges, that offer their securities to the public in Israel under a prospectus. Based on the aforesaid, we received such an exemption in connection with the offering under this prospectus.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Both the Tel Aviv Stock Exchange and NASDAQ approved the listing of the debentures and ordinary shares issuable upon the conversion of the debentures and the rights for trade for only one day on both the NASDAQ Capital Market and the Tel Aviv Stock Exchange. Nothing in these approvals should be interpreted as a verification of the information contained herein, an approval of the accuracy or completeness of such information or an expression of any view as to the quality of the securities we are distributing.</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obtained all the approvals and permits required under applicable law for the distribution of the debentures and for the publication of this prospectus. The debentures are not being distributed in any jurisdiction where the offer is not permitted.</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BY REFERENCE</w:t>
      </w:r>
    </w:p>
    <w:p>
      <w:pPr>
        <w:spacing w:after="0" w:line="300" w:lineRule="exact"/>
        <w:rPr>
          <w:sz w:val="20"/>
          <w:szCs w:val="20"/>
          <w:color w:val="auto"/>
        </w:rPr>
      </w:pPr>
    </w:p>
    <w:p>
      <w:pPr>
        <w:ind w:right="340" w:firstLine="348"/>
        <w:spacing w:after="0" w:line="294" w:lineRule="auto"/>
        <w:rPr>
          <w:sz w:val="20"/>
          <w:szCs w:val="20"/>
          <w:color w:val="auto"/>
        </w:rPr>
      </w:pPr>
      <w:r>
        <w:rPr>
          <w:rFonts w:ascii="Arial" w:cs="Arial" w:eastAsia="Arial" w:hAnsi="Arial"/>
          <w:sz w:val="16"/>
          <w:szCs w:val="16"/>
          <w:color w:val="auto"/>
        </w:rPr>
        <w:t>We have filed a registration statement on Form F-1 with the Securities and Exchange Commission in connection with this offering. In addition, we file annual reports with, and furnish information to, the Securities and Exchange Commission. You may read and copy the registration statement and any other documents we have filed at the Securities and Exchange Commission’s Public Reference Room at 100 F Street N.E., Washington, D.C. 20549. Please call the Securities and Exchange Commission at 1-800-SEC-0330 for further information on the Public Reference Room. Our Securities and Exchange Commission filings are also available to the public at the Securities and Exchange Commission’s Internet site at “http://www.sec.gov.”</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Later information filed with the Securities and Exchange Commission will update and supersede this information.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2300" w:right="240" w:hanging="567"/>
        <w:spacing w:after="0" w:line="268" w:lineRule="auto"/>
        <w:rPr>
          <w:sz w:val="20"/>
          <w:szCs w:val="20"/>
          <w:color w:val="auto"/>
        </w:rPr>
      </w:pPr>
      <w:r>
        <w:rPr>
          <w:rFonts w:ascii="Arial" w:cs="Arial" w:eastAsia="Arial" w:hAnsi="Arial"/>
          <w:sz w:val="18"/>
          <w:szCs w:val="18"/>
          <w:color w:val="auto"/>
        </w:rPr>
        <w:t>—our annual report on Form 20-F for the year ended December 31, 2004, filed on June 29, 2005, to the extent the information in that report has not been updated or superseded by this prospectus;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300" w:right="240" w:hanging="567"/>
        <w:spacing w:after="0" w:line="268" w:lineRule="auto"/>
        <w:rPr>
          <w:sz w:val="20"/>
          <w:szCs w:val="20"/>
          <w:color w:val="auto"/>
        </w:rPr>
      </w:pPr>
      <w:r>
        <w:rPr>
          <w:rFonts w:ascii="Arial" w:cs="Arial" w:eastAsia="Arial" w:hAnsi="Arial"/>
          <w:sz w:val="18"/>
          <w:szCs w:val="18"/>
          <w:color w:val="auto"/>
        </w:rPr>
        <w:t>—our report on Form 6-K filed on August 3, 2005, as amended on Form 6-K/A filed on September 22, 2005 and on Form 6-K/A filed on November 7, 2005; and</w:t>
      </w:r>
    </w:p>
    <w:p>
      <w:pPr>
        <w:spacing w:after="0" w:line="21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report on Form 6-K filed on November 8, 2005, as amended on Form 6-K/A filed on November 22, 2005.</w:t>
      </w:r>
    </w:p>
    <w:p>
      <w:pPr>
        <w:spacing w:after="0" w:line="200" w:lineRule="exact"/>
        <w:rPr>
          <w:sz w:val="20"/>
          <w:szCs w:val="20"/>
          <w:color w:val="auto"/>
        </w:rPr>
      </w:pPr>
    </w:p>
    <w:p>
      <w:pPr>
        <w:spacing w:after="0" w:line="268"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www.towersemi.com. Click on “Investor Relations” and then “Filings.”</w:t>
      </w:r>
    </w:p>
    <w:p>
      <w:pPr>
        <w:sectPr>
          <w:pgSz w:w="11900" w:h="16838" w:orient="portrait"/>
          <w:cols w:equalWidth="0" w:num="1">
            <w:col w:w="11420"/>
          </w:cols>
          <w:pgMar w:left="240" w:top="131" w:right="239" w:bottom="0" w:gutter="0" w:footer="0" w:header="0"/>
        </w:sectPr>
      </w:pPr>
    </w:p>
    <w:bookmarkStart w:id="40" w:name="page41"/>
    <w:bookmarkEnd w:id="40"/>
    <w:p>
      <w:pPr>
        <w:ind w:right="320" w:firstLine="341"/>
        <w:spacing w:after="0" w:line="268" w:lineRule="auto"/>
        <w:rPr>
          <w:sz w:val="20"/>
          <w:szCs w:val="20"/>
          <w:color w:val="auto"/>
        </w:rPr>
      </w:pPr>
      <w:r>
        <w:rPr>
          <w:rFonts w:ascii="Arial" w:cs="Arial" w:eastAsia="Arial" w:hAnsi="Arial"/>
          <w:sz w:val="18"/>
          <w:szCs w:val="18"/>
          <w:color w:val="auto"/>
        </w:rPr>
        <w:t>A copy of this registration statement, our articles of association and the documents filed as exhibits are available for inspection at our offices at Hamada Avenue, Ramat Gavriel Industrial Park, Migdal Haemek, Israel.</w:t>
      </w:r>
    </w:p>
    <w:p>
      <w:pPr>
        <w:spacing w:after="0" w:line="186"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 copy of this prospectus, the Israel Securities Authority permit pursuant to which this prospectus has been published, our memorandum of association, our articles of association and the documents filed as exhibits, are available for inspection at our offices at Hamada Avenue, Ramat Gavriel Industrial Park, Migdal Haemek, Israel.</w:t>
      </w:r>
    </w:p>
    <w:p>
      <w:pPr>
        <w:spacing w:after="0" w:line="194" w:lineRule="exact"/>
        <w:rPr>
          <w:sz w:val="20"/>
          <w:szCs w:val="20"/>
          <w:color w:val="auto"/>
        </w:rPr>
      </w:pPr>
    </w:p>
    <w:p>
      <w:pPr>
        <w:ind w:right="14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3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Form F-1 Registration Statement. </w:t>
      </w:r>
      <w:r>
        <w:rPr>
          <w:rFonts w:ascii="Arial" w:cs="Arial" w:eastAsia="Arial" w:hAnsi="Arial"/>
          <w:sz w:val="16"/>
          <w:szCs w:val="16"/>
          <w:color w:val="auto"/>
        </w:rPr>
        <w:t>We have filed with the Securities and Exchange Commission a registration statement on Form F-1 under the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with respect to the debentures offered in this prospectus. This prospectus, which is part of the registration statement, does not contain all of the information that you can find in the registration statement. Some parts of the registration statement are omitted from the prospectus in accordance with the rules and regulations of the Securities and Exchange Commission. The statements we make in this prospectus as to the contents of any contract, agreement or other document referred to are not necessarily complete. With respect to each such document filed as an exhibit to the registration statement, you should refer to the exhibit for a more complete description of the matter involved. The registration statement may be read and copied at the Securities and Exchange Commission’s public reference rooms as indicated above. In accordance with the requirements of the Israeli Securities Authority, those parts of the Form F-1 that are not part of the prospectus, will be attached to the copies of this prospectus that will be distributed in Israel.</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1529080</wp:posOffset>
            </wp:positionV>
            <wp:extent cx="11061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294005</wp:posOffset>
            </wp:positionV>
            <wp:extent cx="1715135" cy="5657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203835</wp:posOffset>
            </wp:positionV>
            <wp:extent cx="11061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DISTRIBUTION OF RIGHTS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TO PURCHASE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DEBENTURES CONVERTIBLE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INTO ORDINARY SHARES</w:t>
      </w:r>
    </w:p>
    <w:p>
      <w:pPr>
        <w:spacing w:after="0" w:line="2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is not permitted. You should not assume that the information in this prospectus is accurate as of any date other than the date that appears below.</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15,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00" w:lineRule="exact"/>
        <w:rPr>
          <w:sz w:val="20"/>
          <w:szCs w:val="20"/>
          <w:color w:val="auto"/>
        </w:rPr>
      </w:pPr>
    </w:p>
    <w:p>
      <w:pPr>
        <w:spacing w:after="0" w:line="27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Israeli Companies Law-1999, or the Companies Law, which entered into effect on February 1, 2000 and was amended most recently in March 2005, provides that a company may include in its articles of association provisions allowing it to:</w:t>
      </w:r>
    </w:p>
    <w:p>
      <w:pPr>
        <w:spacing w:after="0" w:line="186" w:lineRule="exact"/>
        <w:rPr>
          <w:sz w:val="20"/>
          <w:szCs w:val="20"/>
          <w:color w:val="auto"/>
        </w:rPr>
      </w:pPr>
    </w:p>
    <w:p>
      <w:pPr>
        <w:jc w:val="both"/>
        <w:ind w:left="580" w:hanging="572"/>
        <w:spacing w:after="0" w:line="259"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160" w:right="60" w:hanging="571"/>
        <w:spacing w:after="0" w:line="268"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ectPr>
          <w:pgSz w:w="11900" w:h="16838" w:orient="portrait"/>
          <w:cols w:equalWidth="0" w:num="1">
            <w:col w:w="11340"/>
          </w:cols>
          <w:pgMar w:left="240" w:top="131" w:right="319" w:bottom="0" w:gutter="0" w:footer="0" w:header="0"/>
        </w:sectPr>
      </w:pPr>
    </w:p>
    <w:bookmarkStart w:id="41" w:name="page42"/>
    <w:bookmarkEnd w:id="41"/>
    <w:p>
      <w:pPr>
        <w:ind w:left="1160" w:right="20" w:hanging="571"/>
        <w:spacing w:after="0" w:line="332" w:lineRule="auto"/>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monetary liabilities or obligations imposed upon him in favor of other persons pursuant to a court judgment, including a compromise judgment or an arbitrator’s decision approved by a court, by reason of acts or omissions of such person in his capacity as an office holder of the company;</w:t>
      </w:r>
    </w:p>
    <w:p>
      <w:pPr>
        <w:spacing w:after="0" w:line="166" w:lineRule="exact"/>
        <w:rPr>
          <w:rFonts w:ascii="Arial" w:cs="Arial" w:eastAsia="Arial" w:hAnsi="Arial"/>
          <w:sz w:val="16"/>
          <w:szCs w:val="16"/>
          <w:color w:val="auto"/>
        </w:rPr>
      </w:pPr>
    </w:p>
    <w:p>
      <w:pPr>
        <w:ind w:left="1160" w:hanging="571"/>
        <w:spacing w:after="0" w:line="256"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actually incurred by such office holder or imposed upon him by a court, in an action, suit or proceeding brought against him by or on behalf of us or by other persons, or in connection with a criminal action from which he was acquitted, or in connection with a criminal action which does not require criminal intent in which he was convicted, in each case by reason of acts or omissions of such person in his capacity as an office holder; and</w:t>
      </w:r>
    </w:p>
    <w:p>
      <w:pPr>
        <w:spacing w:after="0" w:line="224" w:lineRule="exact"/>
        <w:rPr>
          <w:rFonts w:ascii="Arial" w:cs="Arial" w:eastAsia="Arial" w:hAnsi="Arial"/>
          <w:sz w:val="18"/>
          <w:szCs w:val="18"/>
          <w:color w:val="auto"/>
        </w:rPr>
      </w:pPr>
    </w:p>
    <w:p>
      <w:pPr>
        <w:jc w:val="both"/>
        <w:ind w:left="1160" w:right="20" w:hanging="571"/>
        <w:spacing w:after="0" w:line="294" w:lineRule="auto"/>
        <w:tabs>
          <w:tab w:leader="none" w:pos="11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ind w:left="1160" w:right="180" w:hanging="571"/>
        <w:spacing w:after="0" w:line="306" w:lineRule="auto"/>
        <w:tabs>
          <w:tab w:leader="none" w:pos="11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breach of his fiduciary duty, except to the extent described above;</w:t>
      </w:r>
    </w:p>
    <w:p>
      <w:pPr>
        <w:spacing w:after="0" w:line="252" w:lineRule="exact"/>
        <w:rPr>
          <w:sz w:val="20"/>
          <w:szCs w:val="20"/>
          <w:color w:val="auto"/>
        </w:rPr>
      </w:pPr>
    </w:p>
    <w:p>
      <w:pPr>
        <w:ind w:left="1160" w:right="780" w:hanging="567"/>
        <w:spacing w:after="0" w:line="268" w:lineRule="auto"/>
        <w:rPr>
          <w:sz w:val="20"/>
          <w:szCs w:val="20"/>
          <w:color w:val="auto"/>
        </w:rPr>
      </w:pPr>
      <w:r>
        <w:rPr>
          <w:rFonts w:ascii="Arial" w:cs="Arial" w:eastAsia="Arial" w:hAnsi="Arial"/>
          <w:sz w:val="18"/>
          <w:szCs w:val="18"/>
          <w:color w:val="auto"/>
        </w:rPr>
        <w:t>—a breach of his duty of care, if such breach was done intentionally, recklessly or with disregard of the circumstances of the breach or its consequences;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 act or omission done with the intent to unlawfully realize personal gain;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fine or monetary settlement imposed upon him.</w:t>
      </w:r>
    </w:p>
    <w:p>
      <w:pPr>
        <w:spacing w:after="0" w:line="200" w:lineRule="exact"/>
        <w:rPr>
          <w:sz w:val="20"/>
          <w:szCs w:val="20"/>
          <w:color w:val="auto"/>
        </w:rPr>
      </w:pPr>
    </w:p>
    <w:p>
      <w:pPr>
        <w:spacing w:after="0" w:line="268" w:lineRule="exact"/>
        <w:rPr>
          <w:sz w:val="20"/>
          <w:szCs w:val="20"/>
          <w:color w:val="auto"/>
        </w:rPr>
      </w:pPr>
    </w:p>
    <w:p>
      <w:pPr>
        <w:jc w:val="both"/>
        <w:ind w:right="720" w:firstLine="351"/>
        <w:spacing w:after="0" w:line="259" w:lineRule="auto"/>
        <w:rPr>
          <w:sz w:val="20"/>
          <w:szCs w:val="20"/>
          <w:color w:val="auto"/>
        </w:rPr>
      </w:pPr>
      <w:r>
        <w:rPr>
          <w:rFonts w:ascii="Arial" w:cs="Arial" w:eastAsia="Arial" w:hAnsi="Arial"/>
          <w:sz w:val="18"/>
          <w:szCs w:val="18"/>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4"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the company’s audit committee and board of directors, and, in certain circumstances, including if the office holder is a director, the approval of the company’s shareholders.</w:t>
      </w:r>
    </w:p>
    <w:p>
      <w:pPr>
        <w:spacing w:after="0" w:line="194"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RECENT SALES OF UNREGISTERED SECURITIES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is a summary of transactions during the proceeding three years involving sales of our securities that were not registered under the Securities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9" w:lineRule="exact"/>
        <w:rPr>
          <w:sz w:val="20"/>
          <w:szCs w:val="20"/>
          <w:color w:val="auto"/>
        </w:rPr>
      </w:pPr>
    </w:p>
    <w:p>
      <w:pPr>
        <w:ind w:right="220" w:firstLine="359"/>
        <w:spacing w:after="0" w:line="268" w:lineRule="auto"/>
        <w:tabs>
          <w:tab w:leader="none" w:pos="5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February 2003, we issued an aggregate of 400,000 warrants to purchase ordinary shares to our contractor of our Fab 2 facility. The warrants have an exercise price of $7.50 and expire in February 2007.</w:t>
      </w:r>
    </w:p>
    <w:p>
      <w:pPr>
        <w:spacing w:after="0" w:line="185" w:lineRule="exact"/>
        <w:rPr>
          <w:rFonts w:ascii="Arial" w:cs="Arial" w:eastAsia="Arial" w:hAnsi="Arial"/>
          <w:sz w:val="18"/>
          <w:szCs w:val="18"/>
          <w:color w:val="auto"/>
        </w:rPr>
      </w:pPr>
    </w:p>
    <w:p>
      <w:pPr>
        <w:ind w:right="260" w:firstLine="359"/>
        <w:spacing w:after="0" w:line="259"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May 2003, we issued an aggregate of 4,505,532 shares to our wafer and financial partners Sandisk Corporation, Alliance Semiconductor, Macronix International, Israel Corp, and the Challenge Fund-Etgar II. These ordinary shares were issued in connection with a milestone payment in the amount of $13,440,000 under our Fab 2 agreements.</w:t>
      </w:r>
    </w:p>
    <w:p>
      <w:pPr>
        <w:spacing w:after="0" w:line="194" w:lineRule="exact"/>
        <w:rPr>
          <w:rFonts w:ascii="Arial" w:cs="Arial" w:eastAsia="Arial" w:hAnsi="Arial"/>
          <w:sz w:val="18"/>
          <w:szCs w:val="18"/>
          <w:color w:val="auto"/>
        </w:rPr>
      </w:pPr>
    </w:p>
    <w:p>
      <w:pPr>
        <w:ind w:right="80" w:firstLine="359"/>
        <w:spacing w:after="0" w:line="332" w:lineRule="auto"/>
        <w:tabs>
          <w:tab w:leader="none" w:pos="59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August 2003, we issued an aggregate of 838,082 shares to Sandisk Corporation, Alliance Semiconductor, Macronix International and Israel Corp. The ordinary shares were issued in connection with a milestone payment in the amount of $2,500,000 under our Fab 2 agreements.</w:t>
      </w:r>
    </w:p>
    <w:p>
      <w:pPr>
        <w:spacing w:after="0" w:line="139" w:lineRule="exact"/>
        <w:rPr>
          <w:rFonts w:ascii="Arial" w:cs="Arial" w:eastAsia="Arial" w:hAnsi="Arial"/>
          <w:sz w:val="16"/>
          <w:szCs w:val="16"/>
          <w:color w:val="auto"/>
        </w:rPr>
      </w:pPr>
    </w:p>
    <w:p>
      <w:pPr>
        <w:ind w:right="360" w:firstLine="359"/>
        <w:spacing w:after="0" w:line="370" w:lineRule="auto"/>
        <w:tabs>
          <w:tab w:leader="none" w:pos="6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 December 2003, we issued warrants to purchase 58,906 of our ordinary shares to Israel Corp. These warrants were issued in connection with their undertaking to our banks to purchase our securities in certain circumstances. The warrants have an exercise price of $6.17 and expire in December 2008.</w:t>
      </w:r>
    </w:p>
    <w:p>
      <w:pPr>
        <w:sectPr>
          <w:pgSz w:w="11900" w:h="16838" w:orient="portrait"/>
          <w:cols w:equalWidth="0" w:num="1">
            <w:col w:w="11420"/>
          </w:cols>
          <w:pgMar w:left="240" w:top="131" w:right="239" w:bottom="79" w:gutter="0" w:footer="0" w:header="0"/>
        </w:sectPr>
      </w:pPr>
    </w:p>
    <w:bookmarkStart w:id="42" w:name="page43"/>
    <w:bookmarkEnd w:id="42"/>
    <w:p>
      <w:pPr>
        <w:ind w:right="100" w:firstLine="359"/>
        <w:spacing w:after="0" w:line="370" w:lineRule="auto"/>
        <w:tabs>
          <w:tab w:leader="none" w:pos="590"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 December 2003, we issued warrants for the purchase of 896,596 of our ordinary shares to our banks Bank Hapoalim and Bank Leumi. These warrants were issued in connection with an amendment to our credit facility agreement. The warrants have an exercise price of $6.17 and expire in December 2008.</w:t>
      </w:r>
    </w:p>
    <w:p>
      <w:pPr>
        <w:spacing w:after="0" w:line="116" w:lineRule="exact"/>
        <w:rPr>
          <w:rFonts w:ascii="Arial" w:cs="Arial" w:eastAsia="Arial" w:hAnsi="Arial"/>
          <w:sz w:val="15"/>
          <w:szCs w:val="15"/>
          <w:color w:val="auto"/>
        </w:rPr>
      </w:pPr>
    </w:p>
    <w:p>
      <w:pPr>
        <w:ind w:right="320" w:firstLine="359"/>
        <w:spacing w:after="0" w:line="268" w:lineRule="auto"/>
        <w:tabs>
          <w:tab w:leader="none" w:pos="5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December 2003, we issued an aggregate of 2,916,951 shares, to the persons mentioned in (b) above. The ordinary shares were issued in connection with a milestone payment in the amount of $8,701,263 under our Fab 2 agreements.</w:t>
      </w:r>
    </w:p>
    <w:p>
      <w:pPr>
        <w:spacing w:after="0" w:line="185" w:lineRule="exact"/>
        <w:rPr>
          <w:rFonts w:ascii="Arial" w:cs="Arial" w:eastAsia="Arial" w:hAnsi="Arial"/>
          <w:sz w:val="18"/>
          <w:szCs w:val="18"/>
          <w:color w:val="auto"/>
        </w:rPr>
      </w:pPr>
    </w:p>
    <w:p>
      <w:pPr>
        <w:ind w:right="100" w:firstLine="359"/>
        <w:spacing w:after="0" w:line="268"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January 2004, we issued an aggregate of 2,442,036 shares, to the persons mentioned in (b) above. The ordinary shares were issued in connection with a second installment milestone payment in the amount of $16,427,508 under our Fab 2 agreements.</w:t>
      </w:r>
    </w:p>
    <w:p>
      <w:pPr>
        <w:spacing w:after="0" w:line="185" w:lineRule="exact"/>
        <w:rPr>
          <w:rFonts w:ascii="Arial" w:cs="Arial" w:eastAsia="Arial" w:hAnsi="Arial"/>
          <w:sz w:val="18"/>
          <w:szCs w:val="18"/>
          <w:color w:val="auto"/>
        </w:rPr>
      </w:pPr>
    </w:p>
    <w:p>
      <w:pPr>
        <w:ind w:right="80" w:firstLine="359"/>
        <w:spacing w:after="0" w:line="259"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2004, we issued ordinary shares to Sandisk Corporation in connection with their conversion of wafer credits as follows: in May 2004, 11,960 ordinary shares for their conversion of $80,250 of wafer credits; in July 2004, 40,378 ordinary shares for their conversion of $225,711 of wafer credits; and in October 2004, 64,825 ordinary shares for their conversion of $232,076 of wafer credits.</w:t>
      </w:r>
    </w:p>
    <w:p>
      <w:pPr>
        <w:spacing w:after="0" w:line="194" w:lineRule="exact"/>
        <w:rPr>
          <w:rFonts w:ascii="Arial" w:cs="Arial" w:eastAsia="Arial" w:hAnsi="Arial"/>
          <w:sz w:val="18"/>
          <w:szCs w:val="18"/>
          <w:color w:val="auto"/>
        </w:rPr>
      </w:pPr>
    </w:p>
    <w:p>
      <w:pPr>
        <w:ind w:left="560" w:hanging="201"/>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April 2005, we issued 586,391 ordinary shares to Sandisk Corporation in connection with their conversion of $944,089 of wafer credits.</w:t>
      </w:r>
    </w:p>
    <w:p>
      <w:pPr>
        <w:spacing w:after="0" w:line="248" w:lineRule="exact"/>
        <w:rPr>
          <w:rFonts w:ascii="Arial" w:cs="Arial" w:eastAsia="Arial" w:hAnsi="Arial"/>
          <w:sz w:val="16"/>
          <w:szCs w:val="16"/>
          <w:color w:val="auto"/>
        </w:rPr>
      </w:pPr>
    </w:p>
    <w:p>
      <w:pPr>
        <w:ind w:left="5540" w:right="1180" w:hanging="5181"/>
        <w:spacing w:after="0" w:line="519" w:lineRule="auto"/>
        <w:tabs>
          <w:tab w:leader="none" w:pos="5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July 2005, we issued 421,422 ordinary shares to Sandisk Corporation in connection with their conversion of $501,492 of wafer credits. II - 3</w:t>
      </w:r>
    </w:p>
    <w:p>
      <w:pPr>
        <w:spacing w:after="0" w:line="198" w:lineRule="exact"/>
        <w:rPr>
          <w:rFonts w:ascii="Arial" w:cs="Arial" w:eastAsia="Arial" w:hAnsi="Arial"/>
          <w:sz w:val="18"/>
          <w:szCs w:val="18"/>
          <w:color w:val="auto"/>
        </w:rPr>
      </w:pPr>
    </w:p>
    <w:p>
      <w:pPr>
        <w:jc w:val="both"/>
        <w:ind w:right="60" w:firstLine="359"/>
        <w:spacing w:after="0" w:line="256"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July 2005, we issued warrants for the purchase of 8,264,464 of our ordinary shares to Bank Hapoalim and Bank Leumi. These warrants were issued in connection with an amendment to our credit facility agreement. They have an exercise price of $1.21. Half of these warrants expire in August 2010. Half of these warrants will only become exercisable upon the agreement of repayment terms of the loans under the July 2005 amendment and will expire five years from the date of any such agreement.</w:t>
      </w:r>
    </w:p>
    <w:p>
      <w:pPr>
        <w:spacing w:after="0" w:line="197" w:lineRule="exact"/>
        <w:rPr>
          <w:rFonts w:ascii="Arial" w:cs="Arial" w:eastAsia="Arial" w:hAnsi="Arial"/>
          <w:sz w:val="18"/>
          <w:szCs w:val="18"/>
          <w:color w:val="auto"/>
        </w:rPr>
      </w:pPr>
    </w:p>
    <w:p>
      <w:pPr>
        <w:ind w:left="560" w:hanging="201"/>
        <w:spacing w:after="0"/>
        <w:tabs>
          <w:tab w:leader="none" w:pos="5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October 2005, we issued 161,598 ordinary shares to Sandisk Corporation in connection with their conversion of $272,822 of wafer credits.</w:t>
      </w:r>
    </w:p>
    <w:p>
      <w:pPr>
        <w:spacing w:after="0" w:line="248" w:lineRule="exact"/>
        <w:rPr>
          <w:rFonts w:ascii="Arial" w:cs="Arial" w:eastAsia="Arial" w:hAnsi="Arial"/>
          <w:sz w:val="16"/>
          <w:szCs w:val="16"/>
          <w:color w:val="auto"/>
        </w:rPr>
      </w:pPr>
    </w:p>
    <w:p>
      <w:pPr>
        <w:ind w:left="660" w:hanging="301"/>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October 2005, we issued 62,849 ordinary shares to Alliance Semiconductor in connection with their conversion of $75,479 of wafer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-1245235</wp:posOffset>
            </wp:positionV>
            <wp:extent cx="72504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28"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offer and sale of our securities summarized above were made pursuant to the exemption provided under Section 4(2) and/or Regulation S of the Securities Act.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underwriter or underwriting discount or commission was involved in any of the transactions set forth in Item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r>
      <w:tr>
        <w:trPr>
          <w:trHeight w:val="743"/>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160" w:type="dxa"/>
            <w:vAlign w:val="bottom"/>
          </w:tcPr>
          <w:p>
            <w:pPr>
              <w:ind w:left="1780"/>
              <w:spacing w:after="0"/>
              <w:rPr>
                <w:sz w:val="20"/>
                <w:szCs w:val="20"/>
                <w:color w:val="auto"/>
              </w:rPr>
            </w:pPr>
            <w:r>
              <w:rPr>
                <w:rFonts w:ascii="Arial" w:cs="Arial" w:eastAsia="Arial" w:hAnsi="Arial"/>
                <w:sz w:val="18"/>
                <w:szCs w:val="18"/>
                <w:b w:val="1"/>
                <w:bCs w:val="1"/>
                <w:color w:val="auto"/>
              </w:rPr>
              <w:t>EXHIBIT INDEX</w:t>
            </w:r>
          </w:p>
        </w:tc>
      </w:tr>
      <w:tr>
        <w:trPr>
          <w:trHeight w:val="501"/>
        </w:trPr>
        <w:tc>
          <w:tcPr>
            <w:tcW w:w="180" w:type="dxa"/>
            <w:vAlign w:val="bottom"/>
          </w:tcPr>
          <w:p>
            <w:pPr>
              <w:spacing w:after="0"/>
              <w:rPr>
                <w:sz w:val="24"/>
                <w:szCs w:val="2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Exhibit</w:t>
            </w:r>
          </w:p>
        </w:tc>
        <w:tc>
          <w:tcPr>
            <w:tcW w:w="1880" w:type="dxa"/>
            <w:vAlign w:val="bottom"/>
          </w:tcPr>
          <w:p>
            <w:pPr>
              <w:spacing w:after="0"/>
              <w:rPr>
                <w:sz w:val="24"/>
                <w:szCs w:val="24"/>
                <w:color w:val="auto"/>
              </w:rPr>
            </w:pPr>
          </w:p>
        </w:tc>
        <w:tc>
          <w:tcPr>
            <w:tcW w:w="8160" w:type="dxa"/>
            <w:vAlign w:val="bottom"/>
          </w:tcPr>
          <w:p>
            <w:pPr>
              <w:spacing w:after="0"/>
              <w:rPr>
                <w:sz w:val="24"/>
                <w:szCs w:val="24"/>
                <w:color w:val="auto"/>
              </w:rPr>
            </w:pPr>
          </w:p>
        </w:tc>
      </w:tr>
      <w:tr>
        <w:trPr>
          <w:trHeight w:val="190"/>
        </w:trPr>
        <w:tc>
          <w:tcPr>
            <w:tcW w:w="180" w:type="dxa"/>
            <w:vAlign w:val="bottom"/>
          </w:tcPr>
          <w:p>
            <w:pPr>
              <w:spacing w:after="0"/>
              <w:rPr>
                <w:sz w:val="16"/>
                <w:szCs w:val="16"/>
                <w:color w:val="auto"/>
              </w:rPr>
            </w:pPr>
          </w:p>
        </w:tc>
        <w:tc>
          <w:tcPr>
            <w:tcW w:w="7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9"/>
              </w:rPr>
              <w:t>Numbers</w:t>
            </w:r>
          </w:p>
        </w:tc>
        <w:tc>
          <w:tcPr>
            <w:tcW w:w="500" w:type="dxa"/>
            <w:vAlign w:val="bottom"/>
          </w:tcPr>
          <w:p>
            <w:pPr>
              <w:spacing w:after="0"/>
              <w:rPr>
                <w:sz w:val="16"/>
                <w:szCs w:val="16"/>
                <w:color w:val="auto"/>
              </w:rPr>
            </w:pPr>
          </w:p>
        </w:tc>
        <w:tc>
          <w:tcPr>
            <w:tcW w:w="18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86"/>
              </w:rPr>
              <w:t>Description of Document</w:t>
            </w:r>
          </w:p>
        </w:tc>
        <w:tc>
          <w:tcPr>
            <w:tcW w:w="8160" w:type="dxa"/>
            <w:vAlign w:val="bottom"/>
          </w:tcPr>
          <w:p>
            <w:pPr>
              <w:spacing w:after="0"/>
              <w:rPr>
                <w:sz w:val="16"/>
                <w:szCs w:val="16"/>
                <w:color w:val="auto"/>
              </w:rPr>
            </w:pPr>
          </w:p>
        </w:tc>
      </w:tr>
      <w:tr>
        <w:trPr>
          <w:trHeight w:val="478"/>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3.1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Articles of Association of the Issuer, as amended.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Rights Agent Agreement with Form of Rights Certificate attached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4.2</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Indenture</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4.3</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Eleventh Amendment, dated October 27, 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Israel Ltd. **</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4.4</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Tenth Amendment, dated September 29, 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Israel Ltd. **</w:t>
            </w: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4.5</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Ninth Amendment, dated July 24, 2005, to the Facility Agreement among the Registrant, Bank Hapoalim B.M. and Bank Leumi Le-Israel Ltd.</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w:t>
            </w:r>
          </w:p>
        </w:tc>
        <w:tc>
          <w:tcPr>
            <w:tcW w:w="8160" w:type="dxa"/>
            <w:vAlign w:val="bottom"/>
          </w:tcPr>
          <w:p>
            <w:pPr>
              <w:spacing w:after="0"/>
              <w:rPr>
                <w:sz w:val="19"/>
                <w:szCs w:val="19"/>
                <w:color w:val="auto"/>
              </w:rPr>
            </w:pPr>
          </w:p>
        </w:tc>
      </w:tr>
      <w:tr>
        <w:trPr>
          <w:trHeight w:val="453"/>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4.6</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Twelfth Amendment, dated November 30, 2005, to the Facility Agreement among the Registrant, Bank Hapoalim B.M. and Bank Leumi Le-</w:t>
            </w:r>
          </w:p>
        </w:tc>
      </w:tr>
      <w:tr>
        <w:trPr>
          <w:trHeight w:val="222"/>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Israel Ltd.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Opinion of Yigal Arnon &amp; Co.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5.2</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Opinion of Eilenberg &amp; Krause LLP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5.3</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Opinion of Roberts and Holland LLP</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12.1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Statement re Computation of Ratio of Earnings to Fixed Charges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23.1</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 **</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23.2</w:t>
            </w:r>
          </w:p>
        </w:tc>
        <w:tc>
          <w:tcPr>
            <w:tcW w:w="5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Brightman Almagor &amp; Co.</w:t>
            </w:r>
          </w:p>
        </w:tc>
      </w:tr>
    </w:tbl>
    <w:p>
      <w:pPr>
        <w:sectPr>
          <w:pgSz w:w="11900" w:h="16838" w:orient="portrait"/>
          <w:cols w:equalWidth="0" w:num="1">
            <w:col w:w="11420"/>
          </w:cols>
          <w:pgMar w:left="240" w:top="131" w:right="239" w:bottom="0" w:gutter="0" w:footer="0" w:header="0"/>
        </w:sectPr>
      </w:pPr>
    </w:p>
    <w:bookmarkStart w:id="43" w:name="page44"/>
    <w:bookmarkEnd w:id="43"/>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23.3</w:t>
            </w:r>
          </w:p>
        </w:tc>
        <w:tc>
          <w:tcPr>
            <w:tcW w:w="6520" w:type="dxa"/>
            <w:vAlign w:val="bottom"/>
          </w:tcPr>
          <w:p>
            <w:pPr>
              <w:ind w:left="340"/>
              <w:spacing w:after="0"/>
              <w:rPr>
                <w:sz w:val="20"/>
                <w:szCs w:val="20"/>
                <w:color w:val="auto"/>
              </w:rPr>
            </w:pPr>
            <w:r>
              <w:rPr>
                <w:rFonts w:ascii="Arial" w:cs="Arial" w:eastAsia="Arial" w:hAnsi="Arial"/>
                <w:sz w:val="18"/>
                <w:szCs w:val="18"/>
                <w:color w:val="auto"/>
                <w:w w:val="92"/>
              </w:rPr>
              <w:t>Consent of Eilenberg &amp; Krause (contained in their opinion constituting Exhibit 5.2) **</w:t>
            </w:r>
          </w:p>
        </w:tc>
      </w:tr>
      <w:tr>
        <w:trPr>
          <w:trHeight w:val="459"/>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23.4</w:t>
            </w:r>
          </w:p>
        </w:tc>
        <w:tc>
          <w:tcPr>
            <w:tcW w:w="6520" w:type="dxa"/>
            <w:vAlign w:val="bottom"/>
          </w:tcPr>
          <w:p>
            <w:pPr>
              <w:ind w:left="340"/>
              <w:spacing w:after="0"/>
              <w:rPr>
                <w:sz w:val="20"/>
                <w:szCs w:val="20"/>
                <w:color w:val="auto"/>
              </w:rPr>
            </w:pPr>
            <w:r>
              <w:rPr>
                <w:rFonts w:ascii="Arial" w:cs="Arial" w:eastAsia="Arial" w:hAnsi="Arial"/>
                <w:sz w:val="18"/>
                <w:szCs w:val="18"/>
                <w:color w:val="auto"/>
                <w:w w:val="90"/>
              </w:rPr>
              <w:t>Consent of Roberts &amp; Holland LLP (contained in their opinion constituting Exhibit 5.3)</w:t>
            </w:r>
          </w:p>
        </w:tc>
      </w:tr>
      <w:tr>
        <w:trPr>
          <w:trHeight w:val="459"/>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24.1</w:t>
            </w:r>
          </w:p>
        </w:tc>
        <w:tc>
          <w:tcPr>
            <w:tcW w:w="6520" w:type="dxa"/>
            <w:vAlign w:val="bottom"/>
          </w:tcPr>
          <w:p>
            <w:pPr>
              <w:ind w:left="340"/>
              <w:spacing w:after="0"/>
              <w:rPr>
                <w:sz w:val="20"/>
                <w:szCs w:val="20"/>
                <w:color w:val="auto"/>
              </w:rPr>
            </w:pPr>
            <w:r>
              <w:rPr>
                <w:rFonts w:ascii="Arial" w:cs="Arial" w:eastAsia="Arial" w:hAnsi="Arial"/>
                <w:sz w:val="18"/>
                <w:szCs w:val="18"/>
                <w:color w:val="auto"/>
              </w:rPr>
              <w:t>Power of Attorney **</w:t>
            </w:r>
          </w:p>
        </w:tc>
      </w:tr>
      <w:tr>
        <w:trPr>
          <w:trHeight w:val="459"/>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24.2</w:t>
            </w:r>
          </w:p>
        </w:tc>
        <w:tc>
          <w:tcPr>
            <w:tcW w:w="6520" w:type="dxa"/>
            <w:vAlign w:val="bottom"/>
          </w:tcPr>
          <w:p>
            <w:pPr>
              <w:ind w:left="340"/>
              <w:spacing w:after="0"/>
              <w:rPr>
                <w:sz w:val="20"/>
                <w:szCs w:val="20"/>
                <w:color w:val="auto"/>
              </w:rPr>
            </w:pPr>
            <w:r>
              <w:rPr>
                <w:rFonts w:ascii="Arial" w:cs="Arial" w:eastAsia="Arial" w:hAnsi="Arial"/>
                <w:sz w:val="18"/>
                <w:szCs w:val="18"/>
                <w:color w:val="auto"/>
              </w:rPr>
              <w:t>Power of Attorney of Director **</w:t>
            </w:r>
          </w:p>
        </w:tc>
      </w:tr>
      <w:tr>
        <w:trPr>
          <w:trHeight w:val="459"/>
        </w:trPr>
        <w:tc>
          <w:tcPr>
            <w:tcW w:w="660" w:type="dxa"/>
            <w:vAlign w:val="bottom"/>
          </w:tcPr>
          <w:p>
            <w:pPr>
              <w:jc w:val="right"/>
              <w:ind w:right="272"/>
              <w:spacing w:after="0"/>
              <w:rPr>
                <w:sz w:val="20"/>
                <w:szCs w:val="20"/>
                <w:color w:val="auto"/>
              </w:rPr>
            </w:pPr>
            <w:r>
              <w:rPr>
                <w:rFonts w:ascii="Arial" w:cs="Arial" w:eastAsia="Arial" w:hAnsi="Arial"/>
                <w:sz w:val="18"/>
                <w:szCs w:val="18"/>
                <w:color w:val="auto"/>
                <w:w w:val="79"/>
              </w:rPr>
              <w:t>25.1</w:t>
            </w:r>
          </w:p>
        </w:tc>
        <w:tc>
          <w:tcPr>
            <w:tcW w:w="6520" w:type="dxa"/>
            <w:vAlign w:val="bottom"/>
          </w:tcPr>
          <w:p>
            <w:pPr>
              <w:ind w:left="340"/>
              <w:spacing w:after="0"/>
              <w:rPr>
                <w:sz w:val="20"/>
                <w:szCs w:val="20"/>
                <w:color w:val="auto"/>
              </w:rPr>
            </w:pPr>
            <w:r>
              <w:rPr>
                <w:rFonts w:ascii="Arial" w:cs="Arial" w:eastAsia="Arial" w:hAnsi="Arial"/>
                <w:sz w:val="18"/>
                <w:szCs w:val="18"/>
                <w:color w:val="auto"/>
              </w:rPr>
              <w:t>Statement of Eligibility of Trustee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Previously filed.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00" w:lineRule="exact"/>
        <w:rPr>
          <w:sz w:val="20"/>
          <w:szCs w:val="20"/>
          <w:color w:val="auto"/>
        </w:rPr>
      </w:pPr>
    </w:p>
    <w:p>
      <w:pPr>
        <w:spacing w:after="0" w:line="274" w:lineRule="exact"/>
        <w:rPr>
          <w:sz w:val="20"/>
          <w:szCs w:val="20"/>
          <w:color w:val="auto"/>
        </w:rPr>
      </w:pPr>
    </w:p>
    <w:p>
      <w:pPr>
        <w:ind w:left="720" w:hanging="536"/>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40" w:hanging="556"/>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80" w:hanging="516"/>
        <w:spacing w:after="0"/>
        <w:tabs>
          <w:tab w:leader="none" w:pos="12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580" w:right="60" w:firstLine="184"/>
        <w:spacing w:after="0" w:line="291" w:lineRule="auto"/>
        <w:tabs>
          <w:tab w:leader="none" w:pos="1318" w:val="left"/>
        </w:tabs>
        <w:numPr>
          <w:ilvl w:val="1"/>
          <w:numId w:val="5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1" w:lineRule="exact"/>
        <w:rPr>
          <w:rFonts w:ascii="Arial" w:cs="Arial" w:eastAsia="Arial" w:hAnsi="Arial"/>
          <w:sz w:val="16"/>
          <w:szCs w:val="16"/>
          <w:color w:val="auto"/>
        </w:rPr>
      </w:pPr>
    </w:p>
    <w:p>
      <w:pPr>
        <w:ind w:left="580" w:right="420" w:firstLine="184"/>
        <w:spacing w:after="0" w:line="268" w:lineRule="auto"/>
        <w:tabs>
          <w:tab w:leader="none" w:pos="1367"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that:</w:t>
      </w:r>
    </w:p>
    <w:p>
      <w:pPr>
        <w:spacing w:after="0" w:line="225" w:lineRule="exact"/>
        <w:rPr>
          <w:sz w:val="20"/>
          <w:szCs w:val="20"/>
          <w:color w:val="auto"/>
        </w:rPr>
      </w:pPr>
    </w:p>
    <w:p>
      <w:pPr>
        <w:ind w:left="1160" w:hanging="4"/>
        <w:spacing w:after="0" w:line="335" w:lineRule="auto"/>
        <w:tabs>
          <w:tab w:leader="none" w:pos="1447" w:val="left"/>
        </w:tabs>
        <w:numPr>
          <w:ilvl w:val="3"/>
          <w:numId w:val="53"/>
        </w:numPr>
        <w:rPr>
          <w:rFonts w:ascii="Arial" w:cs="Arial" w:eastAsia="Arial" w:hAnsi="Arial"/>
          <w:sz w:val="15"/>
          <w:szCs w:val="15"/>
          <w:color w:val="auto"/>
        </w:rPr>
      </w:pPr>
      <w:r>
        <w:rPr>
          <w:rFonts w:ascii="Arial" w:cs="Arial" w:eastAsia="Arial" w:hAnsi="Arial"/>
          <w:sz w:val="15"/>
          <w:szCs w:val="15"/>
          <w:color w:val="auto"/>
        </w:rPr>
        <w:t>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and</w:t>
      </w:r>
    </w:p>
    <w:p>
      <w:pPr>
        <w:spacing w:after="0" w:line="169" w:lineRule="exact"/>
        <w:rPr>
          <w:rFonts w:ascii="Arial" w:cs="Arial" w:eastAsia="Arial" w:hAnsi="Arial"/>
          <w:sz w:val="15"/>
          <w:szCs w:val="15"/>
          <w:color w:val="auto"/>
        </w:rPr>
      </w:pPr>
    </w:p>
    <w:p>
      <w:pPr>
        <w:ind w:left="1160" w:right="40" w:hanging="4"/>
        <w:spacing w:after="0" w:line="298" w:lineRule="auto"/>
        <w:tabs>
          <w:tab w:leader="none" w:pos="1438" w:val="left"/>
        </w:tabs>
        <w:numPr>
          <w:ilvl w:val="3"/>
          <w:numId w:val="53"/>
        </w:numPr>
        <w:rPr>
          <w:rFonts w:ascii="Arial" w:cs="Arial" w:eastAsia="Arial" w:hAnsi="Arial"/>
          <w:sz w:val="16"/>
          <w:szCs w:val="16"/>
          <w:color w:val="auto"/>
        </w:rPr>
      </w:pPr>
      <w:r>
        <w:rPr>
          <w:rFonts w:ascii="Arial" w:cs="Arial" w:eastAsia="Arial" w:hAnsi="Arial"/>
          <w:sz w:val="16"/>
          <w:szCs w:val="16"/>
          <w:color w:val="auto"/>
        </w:rPr>
        <w:t>paragraphs (a)(1)(i), (a)(1)(ii) and (a)(1)(iii)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jc w:val="both"/>
        <w:ind w:right="240" w:firstLine="184"/>
        <w:spacing w:after="0" w:line="259" w:lineRule="auto"/>
        <w:tabs>
          <w:tab w:leader="none" w:pos="7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right="200" w:firstLine="184"/>
        <w:spacing w:after="0" w:line="268" w:lineRule="auto"/>
        <w:tabs>
          <w:tab w:leader="none" w:pos="7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firstLine="184"/>
        <w:spacing w:after="0" w:line="253" w:lineRule="auto"/>
        <w:tabs>
          <w:tab w:leader="none" w:pos="7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Arial" w:cs="Arial" w:eastAsia="Arial" w:hAnsi="Arial"/>
          <w:sz w:val="18"/>
          <w:szCs w:val="18"/>
          <w:i w:val="1"/>
          <w:iCs w:val="1"/>
          <w:color w:val="auto"/>
        </w:rPr>
        <w:t>provided</w:t>
      </w:r>
      <w:r>
        <w:rPr>
          <w:rFonts w:ascii="Arial" w:cs="Arial" w:eastAsia="Arial" w:hAnsi="Arial"/>
          <w:sz w:val="18"/>
          <w:szCs w:val="18"/>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99" w:lineRule="exact"/>
        <w:rPr>
          <w:rFonts w:ascii="Arial" w:cs="Arial" w:eastAsia="Arial" w:hAnsi="Arial"/>
          <w:sz w:val="18"/>
          <w:szCs w:val="18"/>
          <w:color w:val="auto"/>
        </w:rPr>
      </w:pPr>
    </w:p>
    <w:p>
      <w:pPr>
        <w:ind w:left="5540" w:right="3920" w:hanging="5312"/>
        <w:spacing w:after="0" w:line="519" w:lineRule="auto"/>
        <w:tabs>
          <w:tab w:leader="none" w:pos="78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II - 6</w:t>
      </w:r>
    </w:p>
    <w:p>
      <w:pPr>
        <w:spacing w:after="0" w:line="90" w:lineRule="exact"/>
        <w:rPr>
          <w:rFonts w:ascii="Arial" w:cs="Arial" w:eastAsia="Arial" w:hAnsi="Arial"/>
          <w:sz w:val="18"/>
          <w:szCs w:val="18"/>
          <w:color w:val="auto"/>
        </w:rPr>
      </w:pPr>
    </w:p>
    <w:p>
      <w:pPr>
        <w:ind w:left="1320" w:hanging="512"/>
        <w:spacing w:after="0"/>
        <w:tabs>
          <w:tab w:leader="none" w:pos="13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52" w:lineRule="exact"/>
        <w:rPr>
          <w:rFonts w:ascii="Arial" w:cs="Arial" w:eastAsia="Arial" w:hAnsi="Arial"/>
          <w:sz w:val="18"/>
          <w:szCs w:val="18"/>
          <w:color w:val="auto"/>
        </w:rPr>
      </w:pPr>
    </w:p>
    <w:p>
      <w:pPr>
        <w:ind w:left="1160" w:right="300" w:firstLine="215"/>
        <w:spacing w:after="0" w:line="268" w:lineRule="auto"/>
        <w:tabs>
          <w:tab w:leader="none" w:pos="1974" w:val="left"/>
        </w:tabs>
        <w:numPr>
          <w:ilvl w:val="4"/>
          <w:numId w:val="5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-683895</wp:posOffset>
            </wp:positionV>
            <wp:extent cx="72504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74" w:right="239" w:bottom="0" w:gutter="0" w:footer="0" w:header="0"/>
        </w:sectPr>
      </w:pPr>
    </w:p>
    <w:bookmarkStart w:id="44" w:name="page45"/>
    <w:bookmarkEnd w:id="44"/>
    <w:p>
      <w:pPr>
        <w:ind w:left="1160" w:right="60" w:firstLine="215"/>
        <w:spacing w:after="0" w:line="286" w:lineRule="auto"/>
        <w:tabs>
          <w:tab w:leader="none" w:pos="1965" w:val="left"/>
        </w:tabs>
        <w:numPr>
          <w:ilvl w:val="2"/>
          <w:numId w:val="55"/>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08" w:lineRule="exact"/>
        <w:rPr>
          <w:rFonts w:ascii="Arial" w:cs="Arial" w:eastAsia="Arial" w:hAnsi="Arial"/>
          <w:sz w:val="16"/>
          <w:szCs w:val="16"/>
          <w:color w:val="auto"/>
        </w:rPr>
      </w:pPr>
    </w:p>
    <w:p>
      <w:pPr>
        <w:ind w:left="580" w:right="120" w:firstLine="228"/>
        <w:spacing w:after="0" w:line="290" w:lineRule="auto"/>
        <w:tabs>
          <w:tab w:leader="none" w:pos="1365"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780" w:hanging="552"/>
        <w:spacing w:after="0"/>
        <w:tabs>
          <w:tab w:leader="none" w:pos="7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19" w:lineRule="exact"/>
        <w:rPr>
          <w:sz w:val="20"/>
          <w:szCs w:val="20"/>
          <w:color w:val="auto"/>
        </w:rPr>
      </w:pPr>
    </w:p>
    <w:p>
      <w:pPr>
        <w:ind w:left="580" w:right="40"/>
        <w:spacing w:after="0" w:line="256"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24" w:lineRule="exact"/>
        <w:rPr>
          <w:sz w:val="20"/>
          <w:szCs w:val="20"/>
          <w:color w:val="auto"/>
        </w:rPr>
      </w:pPr>
    </w:p>
    <w:p>
      <w:pPr>
        <w:ind w:left="1320" w:hanging="512"/>
        <w:spacing w:after="0"/>
        <w:tabs>
          <w:tab w:leader="none" w:pos="1320" w:val="left"/>
        </w:tabs>
        <w:numPr>
          <w:ilvl w:val="2"/>
          <w:numId w:val="5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left="580" w:right="640" w:firstLine="228"/>
        <w:spacing w:after="0" w:line="268" w:lineRule="auto"/>
        <w:tabs>
          <w:tab w:leader="none" w:pos="1355"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2" w:lineRule="exact"/>
        <w:rPr>
          <w:rFonts w:ascii="Arial" w:cs="Arial" w:eastAsia="Arial" w:hAnsi="Arial"/>
          <w:sz w:val="18"/>
          <w:szCs w:val="18"/>
          <w:color w:val="auto"/>
        </w:rPr>
      </w:pPr>
    </w:p>
    <w:p>
      <w:pPr>
        <w:ind w:left="580" w:right="20" w:firstLine="228"/>
        <w:spacing w:after="0" w:line="268" w:lineRule="auto"/>
        <w:tabs>
          <w:tab w:leader="none" w:pos="1411"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400" w:hanging="592"/>
        <w:spacing w:after="0"/>
        <w:tabs>
          <w:tab w:leader="none" w:pos="14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firstLine="184"/>
        <w:spacing w:after="0" w:line="294" w:lineRule="auto"/>
        <w:tabs>
          <w:tab w:leader="none" w:pos="718"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69" w:lineRule="exact"/>
        <w:rPr>
          <w:rFonts w:ascii="Arial" w:cs="Arial" w:eastAsia="Arial" w:hAnsi="Arial"/>
          <w:sz w:val="16"/>
          <w:szCs w:val="16"/>
          <w:color w:val="auto"/>
        </w:rPr>
      </w:pPr>
    </w:p>
    <w:p>
      <w:pPr>
        <w:ind w:right="140" w:firstLine="184"/>
        <w:spacing w:after="0" w:line="290" w:lineRule="auto"/>
        <w:tabs>
          <w:tab w:leader="none" w:pos="731" w:val="left"/>
        </w:tabs>
        <w:numPr>
          <w:ilvl w:val="1"/>
          <w:numId w:val="5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72" w:lineRule="exact"/>
        <w:rPr>
          <w:rFonts w:ascii="Arial" w:cs="Arial" w:eastAsia="Arial" w:hAnsi="Arial"/>
          <w:sz w:val="16"/>
          <w:szCs w:val="16"/>
          <w:color w:val="auto"/>
        </w:rPr>
      </w:pPr>
    </w:p>
    <w:p>
      <w:pPr>
        <w:ind w:left="720" w:hanging="536"/>
        <w:spacing w:after="0"/>
        <w:tabs>
          <w:tab w:leader="none" w:pos="7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38" w:lineRule="exact"/>
        <w:rPr>
          <w:rFonts w:ascii="Arial" w:cs="Arial" w:eastAsia="Arial" w:hAnsi="Arial"/>
          <w:sz w:val="16"/>
          <w:szCs w:val="16"/>
          <w:color w:val="auto"/>
        </w:rPr>
      </w:pPr>
    </w:p>
    <w:p>
      <w:pPr>
        <w:ind w:left="240" w:hanging="232"/>
        <w:spacing w:after="0"/>
        <w:tabs>
          <w:tab w:leader="none" w:pos="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of section 310 of the Trust Indenture Act (“Act”) in accordance with the rules and regulations prescribed by the Commission under Section 305(b)2 of the Act.</w:t>
      </w:r>
    </w:p>
    <w:p>
      <w:pPr>
        <w:spacing w:after="0" w:line="242" w:lineRule="exact"/>
        <w:rPr>
          <w:sz w:val="20"/>
          <w:szCs w:val="20"/>
          <w:color w:val="auto"/>
        </w:rPr>
      </w:pPr>
    </w:p>
    <w:p>
      <w:pPr>
        <w:ind w:left="760" w:hanging="532"/>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580" w:right="20" w:firstLine="228"/>
        <w:spacing w:after="0" w:line="306" w:lineRule="auto"/>
        <w:tabs>
          <w:tab w:leader="none" w:pos="1355" w:val="left"/>
        </w:tabs>
        <w:numPr>
          <w:ilvl w:val="1"/>
          <w:numId w:val="6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87" w:lineRule="exact"/>
        <w:rPr>
          <w:rFonts w:ascii="Arial" w:cs="Arial" w:eastAsia="Arial" w:hAnsi="Arial"/>
          <w:sz w:val="16"/>
          <w:szCs w:val="16"/>
          <w:color w:val="auto"/>
        </w:rPr>
      </w:pPr>
    </w:p>
    <w:p>
      <w:pPr>
        <w:ind w:left="1360" w:hanging="552"/>
        <w:spacing w:after="0"/>
        <w:tabs>
          <w:tab w:leader="none" w:pos="13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of 1933, each post-effective amendment that contains a form of</w:t>
      </w:r>
    </w:p>
    <w:p>
      <w:pPr>
        <w:spacing w:after="0" w:line="38" w:lineRule="exact"/>
        <w:rPr>
          <w:rFonts w:ascii="Arial" w:cs="Arial" w:eastAsia="Arial" w:hAnsi="Arial"/>
          <w:sz w:val="16"/>
          <w:szCs w:val="16"/>
          <w:color w:val="auto"/>
        </w:rPr>
      </w:pPr>
    </w:p>
    <w:p>
      <w:pPr>
        <w:ind w:left="580" w:right="20"/>
        <w:spacing w:after="0" w:line="261" w:lineRule="auto"/>
        <w:rPr>
          <w:rFonts w:ascii="Arial" w:cs="Arial" w:eastAsia="Arial" w:hAnsi="Arial"/>
          <w:sz w:val="16"/>
          <w:szCs w:val="16"/>
          <w:color w:val="auto"/>
        </w:rPr>
      </w:pPr>
      <w:r>
        <w:rPr>
          <w:rFonts w:ascii="Arial" w:cs="Arial" w:eastAsia="Arial" w:hAnsi="Arial"/>
          <w:sz w:val="18"/>
          <w:szCs w:val="18"/>
          <w:color w:val="auto"/>
        </w:rPr>
        <w:t>prospectus shall be deemed to be a new registration statement relating to the securities offered therein, and the offering of such securities at that time shall be deemed to be the initial bona fide offering thereof.</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5700" w:hanging="162"/>
        <w:spacing w:after="0"/>
        <w:tabs>
          <w:tab w:leader="none" w:pos="57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74" w:right="239" w:bottom="55"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ectPr>
          <w:pgSz w:w="11900" w:h="16838" w:orient="portrait"/>
          <w:cols w:equalWidth="0" w:num="1">
            <w:col w:w="11420"/>
          </w:cols>
          <w:pgMar w:left="240" w:top="374" w:right="239" w:bottom="55" w:gutter="0" w:footer="0" w:header="0"/>
          <w:type w:val="continuous"/>
        </w:sectPr>
      </w:pPr>
    </w:p>
    <w:bookmarkStart w:id="45" w:name="page46"/>
    <w:bookmarkEnd w:id="45"/>
    <w:p>
      <w:pPr>
        <w:ind w:right="44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Amendment No. 6 to the Registration Statement on Form F- 1 to be signed on its behalf by the undersigned, thereunto duly authorized, in the City of Migdal Haemek, Israel, on December 14 , 2005.</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26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04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71"/>
        </w:trPr>
        <w:tc>
          <w:tcPr>
            <w:tcW w:w="740" w:type="dxa"/>
            <w:vAlign w:val="bottom"/>
          </w:tcPr>
          <w:p>
            <w:pPr>
              <w:spacing w:after="0"/>
              <w:rPr>
                <w:sz w:val="24"/>
                <w:szCs w:val="24"/>
                <w:color w:val="auto"/>
              </w:rPr>
            </w:pPr>
          </w:p>
        </w:tc>
        <w:tc>
          <w:tcPr>
            <w:tcW w:w="3040" w:type="dxa"/>
            <w:vAlign w:val="bottom"/>
          </w:tcPr>
          <w:p>
            <w:pPr>
              <w:ind w:left="1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14 ,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Ehud Hillman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Russell C. Ellwanger</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14 ,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Acting Chief Financial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14 ,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Oren Shirazi</w:t>
            </w:r>
          </w:p>
        </w:tc>
        <w:tc>
          <w:tcPr>
            <w:tcW w:w="388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14 ,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Yossi Rosen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14 ,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Dr. Eli Harari</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14 ,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Miin Wu</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14 ,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N.D. Reddy</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14 ,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Tal Yaron-Eldar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675"/>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ind w:left="1420"/>
              <w:spacing w:after="0"/>
              <w:rPr>
                <w:sz w:val="20"/>
                <w:szCs w:val="20"/>
                <w:color w:val="auto"/>
              </w:rPr>
            </w:pPr>
            <w:r>
              <w:rPr>
                <w:rFonts w:ascii="Arial" w:cs="Arial" w:eastAsia="Arial" w:hAnsi="Arial"/>
                <w:sz w:val="18"/>
                <w:szCs w:val="18"/>
                <w:color w:val="auto"/>
              </w:rPr>
              <w:t>II - 8</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74"/>
        </w:trPr>
        <w:tc>
          <w:tcPr>
            <w:tcW w:w="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tcPr>
          <w:p>
            <w:pPr>
              <w:spacing w:after="0"/>
              <w:rPr>
                <w:sz w:val="15"/>
                <w:szCs w:val="15"/>
                <w:color w:val="auto"/>
              </w:rPr>
            </w:pPr>
          </w:p>
        </w:tc>
      </w:tr>
      <w:tr>
        <w:trPr>
          <w:trHeight w:val="61"/>
        </w:trPr>
        <w:tc>
          <w:tcPr>
            <w:tcW w:w="74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r>
      <w:tr>
        <w:trPr>
          <w:trHeight w:val="31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14 ,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Hans Rohrer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14 ,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Kalman Kaufman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660" w:type="dxa"/>
            <w:vAlign w:val="bottom"/>
            <w:gridSpan w:val="4"/>
          </w:tcPr>
          <w:p>
            <w:pPr>
              <w:spacing w:after="0"/>
              <w:rPr>
                <w:sz w:val="20"/>
                <w:szCs w:val="20"/>
                <w:color w:val="auto"/>
              </w:rPr>
            </w:pPr>
            <w:r>
              <w:rPr>
                <w:rFonts w:ascii="Arial" w:cs="Arial" w:eastAsia="Arial" w:hAnsi="Arial"/>
                <w:sz w:val="18"/>
                <w:szCs w:val="18"/>
                <w:color w:val="auto"/>
              </w:rPr>
              <w:t>AUTHORIZED REPRESENTATIVE IN THE UNITED STATES</w:t>
            </w:r>
          </w:p>
        </w:tc>
        <w:tc>
          <w:tcPr>
            <w:tcW w:w="3760" w:type="dxa"/>
            <w:vAlign w:val="bottom"/>
            <w:gridSpan w:val="2"/>
          </w:tcPr>
          <w:p>
            <w:pPr>
              <w:spacing w:after="0"/>
              <w:rPr>
                <w:sz w:val="20"/>
                <w:szCs w:val="20"/>
                <w:color w:val="auto"/>
              </w:rPr>
            </w:pPr>
            <w:r>
              <w:rPr>
                <w:rFonts w:ascii="Arial" w:cs="Arial" w:eastAsia="Arial" w:hAnsi="Arial"/>
                <w:sz w:val="18"/>
                <w:szCs w:val="18"/>
                <w:color w:val="auto"/>
              </w:rPr>
              <w:t>December 14 , 2005</w:t>
            </w: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Tower Semiconductor USA, Inc.</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and Chief Executive Officer</w:t>
      </w:r>
    </w:p>
    <w:p>
      <w:pPr>
        <w:spacing w:after="0" w:line="24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December 14 , 2005</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 By: /s/ RUSSELL C. ELLWANGER</w:t>
      </w:r>
    </w:p>
    <w:p>
      <w:pPr>
        <w:sectPr>
          <w:pgSz w:w="11900" w:h="16838" w:orient="portrait"/>
          <w:cols w:equalWidth="0" w:num="1">
            <w:col w:w="11420"/>
          </w:cols>
          <w:pgMar w:left="240" w:top="131" w:right="239" w:bottom="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Russell C. Ellwanger, Attorney-in-Fact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20" w:type="dxa"/>
            <w:vAlign w:val="bottom"/>
          </w:tcPr>
          <w:p>
            <w:pPr>
              <w:spacing w:after="0"/>
              <w:rPr>
                <w:sz w:val="19"/>
                <w:szCs w:val="19"/>
                <w:color w:val="auto"/>
              </w:rPr>
            </w:pPr>
          </w:p>
        </w:tc>
        <w:tc>
          <w:tcPr>
            <w:tcW w:w="10300" w:type="dxa"/>
            <w:vAlign w:val="bottom"/>
          </w:tcPr>
          <w:p>
            <w:pPr>
              <w:ind w:left="4420"/>
              <w:spacing w:after="0"/>
              <w:rPr>
                <w:sz w:val="20"/>
                <w:szCs w:val="20"/>
                <w:color w:val="auto"/>
              </w:rPr>
            </w:pPr>
            <w:r>
              <w:rPr>
                <w:rFonts w:ascii="Arial" w:cs="Arial" w:eastAsia="Arial" w:hAnsi="Arial"/>
                <w:sz w:val="18"/>
                <w:szCs w:val="18"/>
                <w:color w:val="auto"/>
              </w:rPr>
              <w:t>II - 9</w:t>
            </w:r>
          </w:p>
        </w:tc>
      </w:tr>
      <w:tr>
        <w:trPr>
          <w:trHeight w:val="174"/>
        </w:trPr>
        <w:tc>
          <w:tcPr>
            <w:tcW w:w="1120" w:type="dxa"/>
            <w:vAlign w:val="bottom"/>
          </w:tcPr>
          <w:p>
            <w:pPr>
              <w:spacing w:after="0"/>
              <w:rPr>
                <w:sz w:val="15"/>
                <w:szCs w:val="15"/>
                <w:color w:val="auto"/>
              </w:rPr>
            </w:pPr>
          </w:p>
        </w:tc>
        <w:tc>
          <w:tcPr>
            <w:tcW w:w="10300" w:type="dxa"/>
            <w:vAlign w:val="bottom"/>
          </w:tcPr>
          <w:p>
            <w:pPr>
              <w:spacing w:after="0"/>
              <w:rPr>
                <w:sz w:val="15"/>
                <w:szCs w:val="15"/>
                <w:color w:val="auto"/>
              </w:rPr>
            </w:pPr>
          </w:p>
        </w:tc>
      </w:tr>
      <w:tr>
        <w:trPr>
          <w:trHeight w:val="61"/>
        </w:trPr>
        <w:tc>
          <w:tcPr>
            <w:tcW w:w="1120" w:type="dxa"/>
            <w:vAlign w:val="bottom"/>
            <w:shd w:val="clear" w:color="auto" w:fill="808080"/>
          </w:tcPr>
          <w:p>
            <w:pPr>
              <w:spacing w:after="0"/>
              <w:rPr>
                <w:sz w:val="5"/>
                <w:szCs w:val="5"/>
                <w:color w:val="auto"/>
              </w:rPr>
            </w:pPr>
          </w:p>
        </w:tc>
        <w:tc>
          <w:tcPr>
            <w:tcW w:w="10300" w:type="dxa"/>
            <w:vAlign w:val="bottom"/>
            <w:shd w:val="clear" w:color="auto" w:fill="808080"/>
          </w:tcPr>
          <w:p>
            <w:pPr>
              <w:spacing w:after="0"/>
              <w:rPr>
                <w:sz w:val="5"/>
                <w:szCs w:val="5"/>
                <w:color w:val="auto"/>
              </w:rPr>
            </w:pPr>
          </w:p>
        </w:tc>
      </w:tr>
      <w:tr>
        <w:trPr>
          <w:trHeight w:val="494"/>
        </w:trPr>
        <w:tc>
          <w:tcPr>
            <w:tcW w:w="1120" w:type="dxa"/>
            <w:vAlign w:val="bottom"/>
          </w:tcPr>
          <w:p>
            <w:pPr>
              <w:spacing w:after="0"/>
              <w:rPr>
                <w:sz w:val="24"/>
                <w:szCs w:val="24"/>
                <w:color w:val="auto"/>
              </w:rPr>
            </w:pPr>
          </w:p>
        </w:tc>
        <w:tc>
          <w:tcPr>
            <w:tcW w:w="1030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507"/>
        </w:trPr>
        <w:tc>
          <w:tcPr>
            <w:tcW w:w="1120" w:type="dxa"/>
            <w:vAlign w:val="bottom"/>
          </w:tcPr>
          <w:p>
            <w:pPr>
              <w:jc w:val="center"/>
              <w:ind w:right="32"/>
              <w:spacing w:after="0"/>
              <w:rPr>
                <w:sz w:val="20"/>
                <w:szCs w:val="20"/>
                <w:color w:val="auto"/>
              </w:rPr>
            </w:pPr>
            <w:r>
              <w:rPr>
                <w:rFonts w:ascii="Arial" w:cs="Arial" w:eastAsia="Arial" w:hAnsi="Arial"/>
                <w:sz w:val="18"/>
                <w:szCs w:val="18"/>
                <w:color w:val="auto"/>
                <w:w w:val="96"/>
              </w:rPr>
              <w:t>Exhibit</w:t>
            </w:r>
          </w:p>
        </w:tc>
        <w:tc>
          <w:tcPr>
            <w:tcW w:w="10300" w:type="dxa"/>
            <w:vAlign w:val="bottom"/>
          </w:tcPr>
          <w:p>
            <w:pPr>
              <w:spacing w:after="0"/>
              <w:rPr>
                <w:sz w:val="24"/>
                <w:szCs w:val="24"/>
                <w:color w:val="auto"/>
              </w:rPr>
            </w:pP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7"/>
              </w:rPr>
              <w:t>Numbers</w:t>
            </w:r>
          </w:p>
        </w:tc>
        <w:tc>
          <w:tcPr>
            <w:tcW w:w="10300" w:type="dxa"/>
            <w:vAlign w:val="bottom"/>
          </w:tcPr>
          <w:p>
            <w:pPr>
              <w:ind w:left="260"/>
              <w:spacing w:after="0"/>
              <w:rPr>
                <w:sz w:val="20"/>
                <w:szCs w:val="20"/>
                <w:color w:val="auto"/>
              </w:rPr>
            </w:pPr>
            <w:r>
              <w:rPr>
                <w:rFonts w:ascii="Arial" w:cs="Arial" w:eastAsia="Arial" w:hAnsi="Arial"/>
                <w:sz w:val="18"/>
                <w:szCs w:val="18"/>
                <w:color w:val="auto"/>
              </w:rPr>
              <w:t>Description of Document</w:t>
            </w: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300" w:type="dxa"/>
            <w:vAlign w:val="bottom"/>
          </w:tcPr>
          <w:p>
            <w:pPr>
              <w:ind w:left="260"/>
              <w:spacing w:after="0"/>
              <w:rPr>
                <w:sz w:val="20"/>
                <w:szCs w:val="20"/>
                <w:color w:val="auto"/>
              </w:rPr>
            </w:pPr>
            <w:r>
              <w:rPr>
                <w:rFonts w:ascii="Arial" w:cs="Arial" w:eastAsia="Arial" w:hAnsi="Arial"/>
                <w:sz w:val="18"/>
                <w:szCs w:val="18"/>
                <w:color w:val="auto"/>
              </w:rPr>
              <w:t>Articles of Association of the Issuer, as amended. **</w:t>
            </w: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300" w:type="dxa"/>
            <w:vAlign w:val="bottom"/>
          </w:tcPr>
          <w:p>
            <w:pPr>
              <w:ind w:left="260"/>
              <w:spacing w:after="0"/>
              <w:rPr>
                <w:sz w:val="20"/>
                <w:szCs w:val="20"/>
                <w:color w:val="auto"/>
              </w:rPr>
            </w:pPr>
            <w:r>
              <w:rPr>
                <w:rFonts w:ascii="Arial" w:cs="Arial" w:eastAsia="Arial" w:hAnsi="Arial"/>
                <w:sz w:val="18"/>
                <w:szCs w:val="18"/>
                <w:color w:val="auto"/>
              </w:rPr>
              <w:t>Form of Rights Agent Agreement with Form of Rights Certificate attached **</w:t>
            </w: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300" w:type="dxa"/>
            <w:vAlign w:val="bottom"/>
          </w:tcPr>
          <w:p>
            <w:pPr>
              <w:ind w:left="260"/>
              <w:spacing w:after="0"/>
              <w:rPr>
                <w:sz w:val="20"/>
                <w:szCs w:val="20"/>
                <w:color w:val="auto"/>
              </w:rPr>
            </w:pPr>
            <w:r>
              <w:rPr>
                <w:rFonts w:ascii="Arial" w:cs="Arial" w:eastAsia="Arial" w:hAnsi="Arial"/>
                <w:sz w:val="18"/>
                <w:szCs w:val="18"/>
                <w:color w:val="auto"/>
              </w:rPr>
              <w:t>Form of Indenture</w:t>
            </w: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300" w:type="dxa"/>
            <w:vAlign w:val="bottom"/>
          </w:tcPr>
          <w:p>
            <w:pPr>
              <w:ind w:left="260"/>
              <w:spacing w:after="0"/>
              <w:rPr>
                <w:sz w:val="20"/>
                <w:szCs w:val="20"/>
                <w:color w:val="auto"/>
              </w:rPr>
            </w:pPr>
            <w:r>
              <w:rPr>
                <w:rFonts w:ascii="Arial" w:cs="Arial" w:eastAsia="Arial" w:hAnsi="Arial"/>
                <w:sz w:val="18"/>
                <w:szCs w:val="18"/>
                <w:color w:val="auto"/>
                <w:w w:val="91"/>
              </w:rPr>
              <w:t>Eleventh Amendment, dated October 27, 2005, to the Facility Agreement among the Registrant, Bank Hapoalim B.M. and Bank Leumi Le-</w:t>
            </w:r>
          </w:p>
        </w:tc>
      </w:tr>
      <w:tr>
        <w:trPr>
          <w:trHeight w:val="222"/>
        </w:trPr>
        <w:tc>
          <w:tcPr>
            <w:tcW w:w="1120" w:type="dxa"/>
            <w:vAlign w:val="bottom"/>
          </w:tcPr>
          <w:p>
            <w:pPr>
              <w:spacing w:after="0"/>
              <w:rPr>
                <w:sz w:val="19"/>
                <w:szCs w:val="19"/>
                <w:color w:val="auto"/>
              </w:rPr>
            </w:pPr>
          </w:p>
        </w:tc>
        <w:tc>
          <w:tcPr>
            <w:tcW w:w="10300" w:type="dxa"/>
            <w:vAlign w:val="bottom"/>
          </w:tcPr>
          <w:p>
            <w:pPr>
              <w:ind w:left="260"/>
              <w:spacing w:after="0"/>
              <w:rPr>
                <w:sz w:val="20"/>
                <w:szCs w:val="20"/>
                <w:color w:val="auto"/>
              </w:rPr>
            </w:pPr>
            <w:r>
              <w:rPr>
                <w:rFonts w:ascii="Arial" w:cs="Arial" w:eastAsia="Arial" w:hAnsi="Arial"/>
                <w:sz w:val="18"/>
                <w:szCs w:val="18"/>
                <w:color w:val="auto"/>
              </w:rPr>
              <w:t>Israel Ltd. **</w:t>
            </w: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300" w:type="dxa"/>
            <w:vAlign w:val="bottom"/>
          </w:tcPr>
          <w:p>
            <w:pPr>
              <w:ind w:left="260"/>
              <w:spacing w:after="0"/>
              <w:rPr>
                <w:sz w:val="20"/>
                <w:szCs w:val="20"/>
                <w:color w:val="auto"/>
              </w:rPr>
            </w:pPr>
            <w:r>
              <w:rPr>
                <w:rFonts w:ascii="Arial" w:cs="Arial" w:eastAsia="Arial" w:hAnsi="Arial"/>
                <w:sz w:val="18"/>
                <w:szCs w:val="18"/>
                <w:color w:val="auto"/>
                <w:w w:val="91"/>
              </w:rPr>
              <w:t>Tenth Amendment, dated September 29,2005, to the Facility Agreement among the Registrant, Bank Hapoalim B.M. and Bank Leumi Le-</w:t>
            </w:r>
          </w:p>
        </w:tc>
      </w:tr>
      <w:tr>
        <w:trPr>
          <w:trHeight w:val="222"/>
        </w:trPr>
        <w:tc>
          <w:tcPr>
            <w:tcW w:w="1120" w:type="dxa"/>
            <w:vAlign w:val="bottom"/>
          </w:tcPr>
          <w:p>
            <w:pPr>
              <w:spacing w:after="0"/>
              <w:rPr>
                <w:sz w:val="19"/>
                <w:szCs w:val="19"/>
                <w:color w:val="auto"/>
              </w:rPr>
            </w:pPr>
          </w:p>
        </w:tc>
        <w:tc>
          <w:tcPr>
            <w:tcW w:w="10300" w:type="dxa"/>
            <w:vAlign w:val="bottom"/>
          </w:tcPr>
          <w:p>
            <w:pPr>
              <w:ind w:left="260"/>
              <w:spacing w:after="0"/>
              <w:rPr>
                <w:sz w:val="20"/>
                <w:szCs w:val="20"/>
                <w:color w:val="auto"/>
              </w:rPr>
            </w:pPr>
            <w:r>
              <w:rPr>
                <w:rFonts w:ascii="Arial" w:cs="Arial" w:eastAsia="Arial" w:hAnsi="Arial"/>
                <w:sz w:val="18"/>
                <w:szCs w:val="18"/>
                <w:color w:val="auto"/>
              </w:rPr>
              <w:t>Israel Ltd. **</w:t>
            </w: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300" w:type="dxa"/>
            <w:vAlign w:val="bottom"/>
          </w:tcPr>
          <w:p>
            <w:pPr>
              <w:ind w:left="260"/>
              <w:spacing w:after="0"/>
              <w:rPr>
                <w:sz w:val="20"/>
                <w:szCs w:val="20"/>
                <w:color w:val="auto"/>
              </w:rPr>
            </w:pPr>
            <w:r>
              <w:rPr>
                <w:rFonts w:ascii="Arial" w:cs="Arial" w:eastAsia="Arial" w:hAnsi="Arial"/>
                <w:sz w:val="18"/>
                <w:szCs w:val="18"/>
                <w:color w:val="auto"/>
                <w:w w:val="89"/>
              </w:rPr>
              <w:t>Ninth Amendment, dated July 24, 2005, to the Facility Agreement among the Registrant, Bank Hapoalim B.M. and Bank Leumi Le-Israel Ltd.</w:t>
            </w:r>
          </w:p>
        </w:tc>
      </w:tr>
      <w:tr>
        <w:trPr>
          <w:trHeight w:val="222"/>
        </w:trPr>
        <w:tc>
          <w:tcPr>
            <w:tcW w:w="1120" w:type="dxa"/>
            <w:vAlign w:val="bottom"/>
          </w:tcPr>
          <w:p>
            <w:pPr>
              <w:spacing w:after="0"/>
              <w:rPr>
                <w:sz w:val="19"/>
                <w:szCs w:val="19"/>
                <w:color w:val="auto"/>
              </w:rPr>
            </w:pPr>
          </w:p>
        </w:tc>
        <w:tc>
          <w:tcPr>
            <w:tcW w:w="1030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300" w:type="dxa"/>
            <w:vAlign w:val="bottom"/>
          </w:tcPr>
          <w:p>
            <w:pPr>
              <w:ind w:left="260"/>
              <w:spacing w:after="0"/>
              <w:rPr>
                <w:sz w:val="20"/>
                <w:szCs w:val="20"/>
                <w:color w:val="auto"/>
              </w:rPr>
            </w:pPr>
            <w:r>
              <w:rPr>
                <w:rFonts w:ascii="Arial" w:cs="Arial" w:eastAsia="Arial" w:hAnsi="Arial"/>
                <w:sz w:val="18"/>
                <w:szCs w:val="18"/>
                <w:color w:val="auto"/>
                <w:w w:val="90"/>
              </w:rPr>
              <w:t>Twelfth Amendment, dated November 30, 2005, to the Facility Agreement among the Registrant, Bank Hapoalim B.M. and Bank Leumi Le-</w:t>
            </w:r>
          </w:p>
        </w:tc>
      </w:tr>
      <w:tr>
        <w:trPr>
          <w:trHeight w:val="222"/>
        </w:trPr>
        <w:tc>
          <w:tcPr>
            <w:tcW w:w="1120" w:type="dxa"/>
            <w:vAlign w:val="bottom"/>
          </w:tcPr>
          <w:p>
            <w:pPr>
              <w:spacing w:after="0"/>
              <w:rPr>
                <w:sz w:val="19"/>
                <w:szCs w:val="19"/>
                <w:color w:val="auto"/>
              </w:rPr>
            </w:pPr>
          </w:p>
        </w:tc>
        <w:tc>
          <w:tcPr>
            <w:tcW w:w="10300" w:type="dxa"/>
            <w:vAlign w:val="bottom"/>
          </w:tcPr>
          <w:p>
            <w:pPr>
              <w:ind w:left="260"/>
              <w:spacing w:after="0"/>
              <w:rPr>
                <w:sz w:val="20"/>
                <w:szCs w:val="20"/>
                <w:color w:val="auto"/>
              </w:rPr>
            </w:pPr>
            <w:r>
              <w:rPr>
                <w:rFonts w:ascii="Arial" w:cs="Arial" w:eastAsia="Arial" w:hAnsi="Arial"/>
                <w:sz w:val="18"/>
                <w:szCs w:val="18"/>
                <w:color w:val="auto"/>
              </w:rPr>
              <w:t>Israel Ltd. **</w:t>
            </w: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0300" w:type="dxa"/>
            <w:vAlign w:val="bottom"/>
          </w:tcPr>
          <w:p>
            <w:pPr>
              <w:ind w:left="260"/>
              <w:spacing w:after="0"/>
              <w:rPr>
                <w:sz w:val="20"/>
                <w:szCs w:val="20"/>
                <w:color w:val="auto"/>
              </w:rPr>
            </w:pPr>
            <w:r>
              <w:rPr>
                <w:rFonts w:ascii="Arial" w:cs="Arial" w:eastAsia="Arial" w:hAnsi="Arial"/>
                <w:sz w:val="18"/>
                <w:szCs w:val="18"/>
                <w:color w:val="auto"/>
              </w:rPr>
              <w:t>Opinion of Yigal Arnon &amp; Co. **</w:t>
            </w: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87"/>
              </w:rPr>
              <w:t>5.2</w:t>
            </w:r>
          </w:p>
        </w:tc>
        <w:tc>
          <w:tcPr>
            <w:tcW w:w="10300" w:type="dxa"/>
            <w:vAlign w:val="bottom"/>
          </w:tcPr>
          <w:p>
            <w:pPr>
              <w:ind w:left="260"/>
              <w:spacing w:after="0"/>
              <w:rPr>
                <w:sz w:val="20"/>
                <w:szCs w:val="20"/>
                <w:color w:val="auto"/>
              </w:rPr>
            </w:pPr>
            <w:r>
              <w:rPr>
                <w:rFonts w:ascii="Arial" w:cs="Arial" w:eastAsia="Arial" w:hAnsi="Arial"/>
                <w:sz w:val="18"/>
                <w:szCs w:val="18"/>
                <w:color w:val="auto"/>
              </w:rPr>
              <w:t>Opinion of Eilenberg &amp; Krause LLP **</w:t>
            </w: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87"/>
              </w:rPr>
              <w:t>5.3</w:t>
            </w:r>
          </w:p>
        </w:tc>
        <w:tc>
          <w:tcPr>
            <w:tcW w:w="10300" w:type="dxa"/>
            <w:vAlign w:val="bottom"/>
          </w:tcPr>
          <w:p>
            <w:pPr>
              <w:ind w:left="260"/>
              <w:spacing w:after="0"/>
              <w:rPr>
                <w:sz w:val="20"/>
                <w:szCs w:val="20"/>
                <w:color w:val="auto"/>
              </w:rPr>
            </w:pPr>
            <w:r>
              <w:rPr>
                <w:rFonts w:ascii="Arial" w:cs="Arial" w:eastAsia="Arial" w:hAnsi="Arial"/>
                <w:sz w:val="18"/>
                <w:szCs w:val="18"/>
                <w:color w:val="auto"/>
              </w:rPr>
              <w:t>Opinion of Roberts and Holland LLP</w:t>
            </w: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12.1</w:t>
            </w:r>
          </w:p>
        </w:tc>
        <w:tc>
          <w:tcPr>
            <w:tcW w:w="10300" w:type="dxa"/>
            <w:vAlign w:val="bottom"/>
          </w:tcPr>
          <w:p>
            <w:pPr>
              <w:ind w:left="260"/>
              <w:spacing w:after="0"/>
              <w:rPr>
                <w:sz w:val="20"/>
                <w:szCs w:val="20"/>
                <w:color w:val="auto"/>
              </w:rPr>
            </w:pPr>
            <w:r>
              <w:rPr>
                <w:rFonts w:ascii="Arial" w:cs="Arial" w:eastAsia="Arial" w:hAnsi="Arial"/>
                <w:sz w:val="18"/>
                <w:szCs w:val="18"/>
                <w:color w:val="auto"/>
              </w:rPr>
              <w:t>Statement re Computation of Ratio of Earnings to Fixed Charges **</w:t>
            </w: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0300" w:type="dxa"/>
            <w:vAlign w:val="bottom"/>
          </w:tcPr>
          <w:p>
            <w:pPr>
              <w:ind w:left="260"/>
              <w:spacing w:after="0"/>
              <w:rPr>
                <w:sz w:val="20"/>
                <w:szCs w:val="20"/>
                <w:color w:val="auto"/>
              </w:rPr>
            </w:pPr>
            <w:r>
              <w:rPr>
                <w:rFonts w:ascii="Arial" w:cs="Arial" w:eastAsia="Arial" w:hAnsi="Arial"/>
                <w:sz w:val="18"/>
                <w:szCs w:val="18"/>
                <w:color w:val="auto"/>
              </w:rPr>
              <w:t>Consent of Yigal Arnon &amp; Co. (contained in their opinion constituting Exhibit 5.1) **</w:t>
            </w: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85"/>
              </w:rPr>
              <w:t>23.2</w:t>
            </w:r>
          </w:p>
        </w:tc>
        <w:tc>
          <w:tcPr>
            <w:tcW w:w="10300" w:type="dxa"/>
            <w:vAlign w:val="bottom"/>
          </w:tcPr>
          <w:p>
            <w:pPr>
              <w:ind w:left="260"/>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85"/>
              </w:rPr>
              <w:t>23.3</w:t>
            </w:r>
          </w:p>
        </w:tc>
        <w:tc>
          <w:tcPr>
            <w:tcW w:w="10300" w:type="dxa"/>
            <w:vAlign w:val="bottom"/>
          </w:tcPr>
          <w:p>
            <w:pPr>
              <w:ind w:left="260"/>
              <w:spacing w:after="0"/>
              <w:rPr>
                <w:sz w:val="20"/>
                <w:szCs w:val="20"/>
                <w:color w:val="auto"/>
              </w:rPr>
            </w:pPr>
            <w:r>
              <w:rPr>
                <w:rFonts w:ascii="Arial" w:cs="Arial" w:eastAsia="Arial" w:hAnsi="Arial"/>
                <w:sz w:val="18"/>
                <w:szCs w:val="18"/>
                <w:color w:val="auto"/>
              </w:rPr>
              <w:t>Consent of Eilenberg &amp; Krause (contained in their opinion constituting Exhibit 5.2) **</w:t>
            </w: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85"/>
              </w:rPr>
              <w:t>23.4</w:t>
            </w:r>
          </w:p>
        </w:tc>
        <w:tc>
          <w:tcPr>
            <w:tcW w:w="10300" w:type="dxa"/>
            <w:vAlign w:val="bottom"/>
          </w:tcPr>
          <w:p>
            <w:pPr>
              <w:ind w:left="260"/>
              <w:spacing w:after="0"/>
              <w:rPr>
                <w:sz w:val="20"/>
                <w:szCs w:val="20"/>
                <w:color w:val="auto"/>
              </w:rPr>
            </w:pPr>
            <w:r>
              <w:rPr>
                <w:rFonts w:ascii="Arial" w:cs="Arial" w:eastAsia="Arial" w:hAnsi="Arial"/>
                <w:sz w:val="18"/>
                <w:szCs w:val="18"/>
                <w:color w:val="auto"/>
              </w:rPr>
              <w:t>Consent of Roberts &amp; Holland LLP (contained in their opinion constituting Exhibit 5.3)</w:t>
            </w: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85"/>
              </w:rPr>
              <w:t>24.1</w:t>
            </w:r>
          </w:p>
        </w:tc>
        <w:tc>
          <w:tcPr>
            <w:tcW w:w="10300" w:type="dxa"/>
            <w:vAlign w:val="bottom"/>
          </w:tcPr>
          <w:p>
            <w:pPr>
              <w:ind w:left="260"/>
              <w:spacing w:after="0"/>
              <w:rPr>
                <w:sz w:val="20"/>
                <w:szCs w:val="20"/>
                <w:color w:val="auto"/>
              </w:rPr>
            </w:pPr>
            <w:r>
              <w:rPr>
                <w:rFonts w:ascii="Arial" w:cs="Arial" w:eastAsia="Arial" w:hAnsi="Arial"/>
                <w:sz w:val="18"/>
                <w:szCs w:val="18"/>
                <w:color w:val="auto"/>
              </w:rPr>
              <w:t>Power of Attorney **</w:t>
            </w: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85"/>
              </w:rPr>
              <w:t>24.2</w:t>
            </w:r>
          </w:p>
        </w:tc>
        <w:tc>
          <w:tcPr>
            <w:tcW w:w="10300" w:type="dxa"/>
            <w:vAlign w:val="bottom"/>
          </w:tcPr>
          <w:p>
            <w:pPr>
              <w:ind w:left="260"/>
              <w:spacing w:after="0"/>
              <w:rPr>
                <w:sz w:val="20"/>
                <w:szCs w:val="20"/>
                <w:color w:val="auto"/>
              </w:rPr>
            </w:pPr>
            <w:r>
              <w:rPr>
                <w:rFonts w:ascii="Arial" w:cs="Arial" w:eastAsia="Arial" w:hAnsi="Arial"/>
                <w:sz w:val="18"/>
                <w:szCs w:val="18"/>
                <w:color w:val="auto"/>
              </w:rPr>
              <w:t>Power of Attorney of Director **</w:t>
            </w:r>
          </w:p>
        </w:tc>
      </w:tr>
      <w:tr>
        <w:trPr>
          <w:trHeight w:val="459"/>
        </w:trPr>
        <w:tc>
          <w:tcPr>
            <w:tcW w:w="1120" w:type="dxa"/>
            <w:vAlign w:val="bottom"/>
          </w:tcPr>
          <w:p>
            <w:pPr>
              <w:jc w:val="center"/>
              <w:spacing w:after="0"/>
              <w:rPr>
                <w:sz w:val="20"/>
                <w:szCs w:val="20"/>
                <w:color w:val="auto"/>
              </w:rPr>
            </w:pPr>
            <w:r>
              <w:rPr>
                <w:rFonts w:ascii="Arial" w:cs="Arial" w:eastAsia="Arial" w:hAnsi="Arial"/>
                <w:sz w:val="18"/>
                <w:szCs w:val="18"/>
                <w:color w:val="auto"/>
                <w:w w:val="85"/>
              </w:rPr>
              <w:t>25.1</w:t>
            </w:r>
          </w:p>
        </w:tc>
        <w:tc>
          <w:tcPr>
            <w:tcW w:w="10300" w:type="dxa"/>
            <w:vAlign w:val="bottom"/>
          </w:tcPr>
          <w:p>
            <w:pPr>
              <w:ind w:left="260"/>
              <w:spacing w:after="0"/>
              <w:rPr>
                <w:sz w:val="20"/>
                <w:szCs w:val="20"/>
                <w:color w:val="auto"/>
              </w:rPr>
            </w:pPr>
            <w:r>
              <w:rPr>
                <w:rFonts w:ascii="Arial" w:cs="Arial" w:eastAsia="Arial" w:hAnsi="Arial"/>
                <w:sz w:val="18"/>
                <w:szCs w:val="18"/>
                <w:color w:val="auto"/>
              </w:rPr>
              <w:t>Statement of Eligibility of Trustee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Previously filed.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2332990</wp:posOffset>
            </wp:positionV>
            <wp:extent cx="726757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4.2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ISSUER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NEW YORK,</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HERMETIC TRUST (1975) LTD.,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148590</wp:posOffset>
            </wp:positionV>
            <wp:extent cx="21869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Indenture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15 ,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148590</wp:posOffset>
            </wp:positionV>
            <wp:extent cx="21869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$50,000,000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Subordinated Convertible Debentures due 201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80" w:type="dxa"/>
            <w:vAlign w:val="bottom"/>
            <w:gridSpan w:val="2"/>
          </w:tcPr>
          <w:p>
            <w:pPr>
              <w:ind w:left="1160"/>
              <w:spacing w:after="0"/>
              <w:rPr>
                <w:sz w:val="20"/>
                <w:szCs w:val="20"/>
                <w:color w:val="auto"/>
              </w:rPr>
            </w:pPr>
            <w:r>
              <w:rPr>
                <w:rFonts w:ascii="Arial" w:cs="Arial" w:eastAsia="Arial" w:hAnsi="Arial"/>
                <w:sz w:val="18"/>
                <w:szCs w:val="18"/>
                <w:b w:val="1"/>
                <w:bCs w:val="1"/>
                <w:color w:val="auto"/>
              </w:rPr>
              <w:t>TABLE OF CONTENTS</w:t>
            </w:r>
          </w:p>
        </w:tc>
        <w:tc>
          <w:tcPr>
            <w:tcW w:w="3080" w:type="dxa"/>
            <w:vAlign w:val="bottom"/>
          </w:tcPr>
          <w:p>
            <w:pPr>
              <w:spacing w:after="0"/>
              <w:rPr>
                <w:sz w:val="19"/>
                <w:szCs w:val="19"/>
                <w:color w:val="auto"/>
              </w:rPr>
            </w:pPr>
          </w:p>
        </w:tc>
      </w:tr>
      <w:tr>
        <w:trPr>
          <w:trHeight w:val="461"/>
        </w:trPr>
        <w:tc>
          <w:tcPr>
            <w:tcW w:w="940" w:type="dxa"/>
            <w:vAlign w:val="bottom"/>
          </w:tcPr>
          <w:p>
            <w:pPr>
              <w:spacing w:after="0"/>
              <w:rPr>
                <w:rFonts w:ascii="Arial" w:cs="Arial" w:eastAsia="Arial" w:hAnsi="Arial"/>
                <w:sz w:val="18"/>
                <w:szCs w:val="18"/>
                <w:b w:val="1"/>
                <w:bCs w:val="1"/>
                <w:color w:val="0000EE"/>
                <w:w w:val="98"/>
              </w:rPr>
            </w:pPr>
            <w:hyperlink w:anchor="page52">
              <w:r>
                <w:rPr>
                  <w:rFonts w:ascii="Arial" w:cs="Arial" w:eastAsia="Arial" w:hAnsi="Arial"/>
                  <w:sz w:val="18"/>
                  <w:szCs w:val="18"/>
                  <w:b w:val="1"/>
                  <w:bCs w:val="1"/>
                  <w:color w:val="0000EE"/>
                  <w:w w:val="98"/>
                </w:rPr>
                <w:t>ARTICLE 1</w:t>
              </w:r>
            </w:hyperlink>
          </w:p>
        </w:tc>
        <w:tc>
          <w:tcPr>
            <w:tcW w:w="280" w:type="dxa"/>
            <w:vAlign w:val="bottom"/>
          </w:tcPr>
          <w:p>
            <w:pPr>
              <w:spacing w:after="0"/>
              <w:rPr>
                <w:sz w:val="24"/>
                <w:szCs w:val="24"/>
                <w:color w:val="auto"/>
              </w:rPr>
            </w:pPr>
          </w:p>
        </w:tc>
        <w:tc>
          <w:tcPr>
            <w:tcW w:w="7080" w:type="dxa"/>
            <w:vAlign w:val="bottom"/>
            <w:gridSpan w:val="5"/>
          </w:tcPr>
          <w:p>
            <w:pPr>
              <w:ind w:left="280"/>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DEFINITIONS</w:t>
              </w:r>
            </w:hyperlink>
          </w:p>
        </w:tc>
        <w:tc>
          <w:tcPr>
            <w:tcW w:w="30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51"/>
        </w:trPr>
        <w:tc>
          <w:tcPr>
            <w:tcW w:w="940" w:type="dxa"/>
            <w:vAlign w:val="bottom"/>
          </w:tcPr>
          <w:p>
            <w:pPr>
              <w:spacing w:after="0"/>
              <w:rPr>
                <w:sz w:val="20"/>
                <w:szCs w:val="20"/>
                <w:color w:val="auto"/>
              </w:rPr>
            </w:pPr>
            <w:r>
              <w:rPr>
                <w:rFonts w:ascii="Arial" w:cs="Arial" w:eastAsia="Arial" w:hAnsi="Arial"/>
                <w:sz w:val="18"/>
                <w:szCs w:val="18"/>
                <w:color w:val="auto"/>
                <w:w w:val="87"/>
              </w:rPr>
              <w:t>Section 1.01.</w:t>
            </w:r>
          </w:p>
        </w:tc>
        <w:tc>
          <w:tcPr>
            <w:tcW w:w="280" w:type="dxa"/>
            <w:vAlign w:val="bottom"/>
          </w:tcPr>
          <w:p>
            <w:pPr>
              <w:spacing w:after="0"/>
              <w:rPr>
                <w:sz w:val="24"/>
                <w:szCs w:val="24"/>
                <w:color w:val="auto"/>
              </w:rPr>
            </w:pP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Definitions</w:t>
            </w:r>
          </w:p>
        </w:tc>
        <w:tc>
          <w:tcPr>
            <w:tcW w:w="3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54">
              <w:r>
                <w:rPr>
                  <w:rFonts w:ascii="Arial" w:cs="Arial" w:eastAsia="Arial" w:hAnsi="Arial"/>
                  <w:sz w:val="18"/>
                  <w:szCs w:val="18"/>
                  <w:b w:val="1"/>
                  <w:bCs w:val="1"/>
                  <w:color w:val="0000EE"/>
                  <w:w w:val="98"/>
                </w:rPr>
                <w:t>ARTICLE 2</w:t>
              </w:r>
            </w:hyperlink>
          </w:p>
        </w:tc>
        <w:tc>
          <w:tcPr>
            <w:tcW w:w="280" w:type="dxa"/>
            <w:vAlign w:val="bottom"/>
          </w:tcPr>
          <w:p>
            <w:pPr>
              <w:spacing w:after="0"/>
              <w:rPr>
                <w:sz w:val="24"/>
                <w:szCs w:val="24"/>
                <w:color w:val="auto"/>
              </w:rPr>
            </w:pPr>
          </w:p>
        </w:tc>
        <w:tc>
          <w:tcPr>
            <w:tcW w:w="7080" w:type="dxa"/>
            <w:vAlign w:val="bottom"/>
            <w:gridSpan w:val="5"/>
          </w:tcPr>
          <w:p>
            <w:pPr>
              <w:ind w:left="280"/>
              <w:spacing w:after="0"/>
              <w:rPr>
                <w:rFonts w:ascii="Arial" w:cs="Arial" w:eastAsia="Arial" w:hAnsi="Arial"/>
                <w:sz w:val="18"/>
                <w:szCs w:val="18"/>
                <w:b w:val="1"/>
                <w:bCs w:val="1"/>
                <w:color w:val="0000EE"/>
                <w:w w:val="97"/>
              </w:rPr>
            </w:pPr>
            <w:hyperlink w:anchor="page54">
              <w:r>
                <w:rPr>
                  <w:rFonts w:ascii="Arial" w:cs="Arial" w:eastAsia="Arial" w:hAnsi="Arial"/>
                  <w:sz w:val="18"/>
                  <w:szCs w:val="18"/>
                  <w:b w:val="1"/>
                  <w:bCs w:val="1"/>
                  <w:color w:val="0000EE"/>
                  <w:w w:val="97"/>
                </w:rPr>
                <w:t>ISSUE, DESCRIPTION, EXECUTION, REGISTRATION AND EXCHANGE OF NOTES</w:t>
              </w:r>
            </w:hyperlink>
          </w:p>
        </w:tc>
        <w:tc>
          <w:tcPr>
            <w:tcW w:w="30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2.01.</w:t>
            </w:r>
          </w:p>
        </w:tc>
        <w:tc>
          <w:tcPr>
            <w:tcW w:w="280" w:type="dxa"/>
            <w:vAlign w:val="bottom"/>
          </w:tcPr>
          <w:p>
            <w:pPr>
              <w:spacing w:after="0"/>
              <w:rPr>
                <w:sz w:val="24"/>
                <w:szCs w:val="24"/>
                <w:color w:val="auto"/>
              </w:rPr>
            </w:pP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Designation Amount and Issue of Note</w:t>
            </w:r>
          </w:p>
        </w:tc>
        <w:tc>
          <w:tcPr>
            <w:tcW w:w="3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2.02.</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Form of Note</w:t>
            </w:r>
          </w:p>
        </w:tc>
        <w:tc>
          <w:tcPr>
            <w:tcW w:w="3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2.03.</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Date and Denomination of Notes; Payments of Interest</w:t>
            </w:r>
          </w:p>
        </w:tc>
        <w:tc>
          <w:tcPr>
            <w:tcW w:w="3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2.04.</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Execution of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2.05.</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Exchange and Registration of Transfer of Notes; Restrictions on Transfer</w:t>
            </w:r>
          </w:p>
        </w:tc>
        <w:tc>
          <w:tcPr>
            <w:tcW w:w="3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2.06.</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Mutilated, Destroyed, Lost or Stolen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2.07.</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Temporary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2.08.</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Cancellation of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2.09.</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CUSIP Numbers</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57">
              <w:r>
                <w:rPr>
                  <w:rFonts w:ascii="Arial" w:cs="Arial" w:eastAsia="Arial" w:hAnsi="Arial"/>
                  <w:sz w:val="18"/>
                  <w:szCs w:val="18"/>
                  <w:b w:val="1"/>
                  <w:bCs w:val="1"/>
                  <w:color w:val="0000EE"/>
                  <w:w w:val="98"/>
                </w:rPr>
                <w:t>ARTICLE 3</w:t>
              </w:r>
            </w:hyperlink>
          </w:p>
        </w:tc>
        <w:tc>
          <w:tcPr>
            <w:tcW w:w="280" w:type="dxa"/>
            <w:vAlign w:val="bottom"/>
          </w:tcPr>
          <w:p>
            <w:pPr>
              <w:spacing w:after="0"/>
              <w:rPr>
                <w:sz w:val="24"/>
                <w:szCs w:val="24"/>
                <w:color w:val="auto"/>
              </w:rPr>
            </w:pPr>
          </w:p>
        </w:tc>
        <w:tc>
          <w:tcPr>
            <w:tcW w:w="7080" w:type="dxa"/>
            <w:vAlign w:val="bottom"/>
            <w:gridSpan w:val="5"/>
          </w:tcPr>
          <w:p>
            <w:pPr>
              <w:ind w:left="280"/>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REDEMPTION OF NOTES</w:t>
              </w:r>
            </w:hyperlink>
          </w:p>
        </w:tc>
        <w:tc>
          <w:tcPr>
            <w:tcW w:w="30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3.01.</w:t>
            </w:r>
          </w:p>
        </w:tc>
        <w:tc>
          <w:tcPr>
            <w:tcW w:w="280" w:type="dxa"/>
            <w:vAlign w:val="bottom"/>
          </w:tcPr>
          <w:p>
            <w:pPr>
              <w:spacing w:after="0"/>
              <w:rPr>
                <w:sz w:val="24"/>
                <w:szCs w:val="24"/>
                <w:color w:val="auto"/>
              </w:rPr>
            </w:pP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Redemption of Notes</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3.02.</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Redemption at Option of Issuer</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3.03.</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Notes Owned by Issuer or Its Subsidiaries</w:t>
            </w:r>
          </w:p>
        </w:tc>
        <w:tc>
          <w:tcPr>
            <w:tcW w:w="3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57">
              <w:r>
                <w:rPr>
                  <w:rFonts w:ascii="Arial" w:cs="Arial" w:eastAsia="Arial" w:hAnsi="Arial"/>
                  <w:sz w:val="18"/>
                  <w:szCs w:val="18"/>
                  <w:b w:val="1"/>
                  <w:bCs w:val="1"/>
                  <w:color w:val="0000EE"/>
                  <w:w w:val="98"/>
                </w:rPr>
                <w:t>ARTICLE 4</w:t>
              </w:r>
            </w:hyperlink>
          </w:p>
        </w:tc>
        <w:tc>
          <w:tcPr>
            <w:tcW w:w="280" w:type="dxa"/>
            <w:vAlign w:val="bottom"/>
          </w:tcPr>
          <w:p>
            <w:pPr>
              <w:spacing w:after="0"/>
              <w:rPr>
                <w:sz w:val="24"/>
                <w:szCs w:val="24"/>
                <w:color w:val="auto"/>
              </w:rPr>
            </w:pPr>
          </w:p>
        </w:tc>
        <w:tc>
          <w:tcPr>
            <w:tcW w:w="7080" w:type="dxa"/>
            <w:vAlign w:val="bottom"/>
            <w:gridSpan w:val="5"/>
          </w:tcPr>
          <w:p>
            <w:pPr>
              <w:ind w:left="280"/>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PARTICULAR COVENANTS OF THE COMPANY</w:t>
              </w:r>
            </w:hyperlink>
          </w:p>
        </w:tc>
        <w:tc>
          <w:tcPr>
            <w:tcW w:w="30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4.01.</w:t>
            </w:r>
          </w:p>
        </w:tc>
        <w:tc>
          <w:tcPr>
            <w:tcW w:w="280" w:type="dxa"/>
            <w:vAlign w:val="bottom"/>
          </w:tcPr>
          <w:p>
            <w:pPr>
              <w:spacing w:after="0"/>
              <w:rPr>
                <w:sz w:val="24"/>
                <w:szCs w:val="24"/>
                <w:color w:val="auto"/>
              </w:rPr>
            </w:pP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Payment of Principal and Interest</w:t>
            </w:r>
          </w:p>
        </w:tc>
        <w:tc>
          <w:tcPr>
            <w:tcW w:w="3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4.02.</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Maintenance of Office or Agency</w:t>
            </w:r>
          </w:p>
        </w:tc>
        <w:tc>
          <w:tcPr>
            <w:tcW w:w="3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4.03.</w:t>
            </w:r>
          </w:p>
        </w:tc>
        <w:tc>
          <w:tcPr>
            <w:tcW w:w="7080" w:type="dxa"/>
            <w:vAlign w:val="bottom"/>
            <w:gridSpan w:val="5"/>
          </w:tcPr>
          <w:p>
            <w:pPr>
              <w:ind w:left="280"/>
              <w:spacing w:after="0"/>
              <w:rPr>
                <w:sz w:val="20"/>
                <w:szCs w:val="20"/>
                <w:color w:val="auto"/>
              </w:rPr>
            </w:pPr>
            <w:r>
              <w:rPr>
                <w:rFonts w:ascii="Arial" w:cs="Arial" w:eastAsia="Arial" w:hAnsi="Arial"/>
                <w:sz w:val="18"/>
                <w:szCs w:val="18"/>
                <w:color w:val="auto"/>
              </w:rPr>
              <w:t>Appointments to Fill Vacancies in Office of the Trustee or Co-Trustee</w:t>
            </w:r>
          </w:p>
        </w:tc>
        <w:tc>
          <w:tcPr>
            <w:tcW w:w="308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82" w:orient="portrait"/>
          <w:cols w:equalWidth="0" w:num="1">
            <w:col w:w="11420"/>
          </w:cols>
          <w:pgMar w:left="240" w:top="125" w:right="2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4.04.</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Provisions as to Paying Agent</w:t>
            </w:r>
          </w:p>
        </w:tc>
        <w:tc>
          <w:tcPr>
            <w:tcW w:w="3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4.05.</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Existence</w:t>
            </w: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4.06.</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Stay, Extension and Usury Laws</w:t>
            </w: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4.07.</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Compliance Certificate</w:t>
            </w: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58">
              <w:r>
                <w:rPr>
                  <w:rFonts w:ascii="Arial" w:cs="Arial" w:eastAsia="Arial" w:hAnsi="Arial"/>
                  <w:sz w:val="18"/>
                  <w:szCs w:val="18"/>
                  <w:b w:val="1"/>
                  <w:bCs w:val="1"/>
                  <w:color w:val="0000EE"/>
                  <w:w w:val="98"/>
                </w:rPr>
                <w:t>ARTICLE 5</w:t>
              </w:r>
            </w:hyperlink>
          </w:p>
        </w:tc>
        <w:tc>
          <w:tcPr>
            <w:tcW w:w="280" w:type="dxa"/>
            <w:vAlign w:val="bottom"/>
          </w:tcPr>
          <w:p>
            <w:pPr>
              <w:spacing w:after="0"/>
              <w:rPr>
                <w:sz w:val="24"/>
                <w:szCs w:val="24"/>
                <w:color w:val="auto"/>
              </w:rPr>
            </w:pPr>
          </w:p>
        </w:tc>
        <w:tc>
          <w:tcPr>
            <w:tcW w:w="6860" w:type="dxa"/>
            <w:vAlign w:val="bottom"/>
            <w:gridSpan w:val="2"/>
          </w:tcPr>
          <w:p>
            <w:pPr>
              <w:ind w:left="280"/>
              <w:spacing w:after="0"/>
              <w:rPr>
                <w:rFonts w:ascii="Arial" w:cs="Arial" w:eastAsia="Arial" w:hAnsi="Arial"/>
                <w:sz w:val="18"/>
                <w:szCs w:val="18"/>
                <w:b w:val="1"/>
                <w:bCs w:val="1"/>
                <w:color w:val="0000EE"/>
                <w:w w:val="96"/>
              </w:rPr>
            </w:pPr>
            <w:hyperlink w:anchor="page58">
              <w:r>
                <w:rPr>
                  <w:rFonts w:ascii="Arial" w:cs="Arial" w:eastAsia="Arial" w:hAnsi="Arial"/>
                  <w:sz w:val="18"/>
                  <w:szCs w:val="18"/>
                  <w:b w:val="1"/>
                  <w:bCs w:val="1"/>
                  <w:color w:val="0000EE"/>
                  <w:w w:val="96"/>
                </w:rPr>
                <w:t>NOTEHOLDERS' LISTS AND REPORTS BY THE COMPANY AND THE TRUSTEE</w:t>
              </w:r>
            </w:hyperlink>
          </w:p>
        </w:tc>
        <w:tc>
          <w:tcPr>
            <w:tcW w:w="330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8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5.01.</w:t>
            </w:r>
          </w:p>
        </w:tc>
        <w:tc>
          <w:tcPr>
            <w:tcW w:w="280" w:type="dxa"/>
            <w:vAlign w:val="bottom"/>
          </w:tcPr>
          <w:p>
            <w:pPr>
              <w:spacing w:after="0"/>
              <w:rPr>
                <w:sz w:val="24"/>
                <w:szCs w:val="24"/>
                <w:color w:val="auto"/>
              </w:rPr>
            </w:pP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Noteholders' Lists</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5.02.</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Preservation and Disclosure of Lists</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5.03.</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Reports by Trustee and Co-Trustee</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5.04.</w:t>
            </w:r>
          </w:p>
        </w:tc>
        <w:tc>
          <w:tcPr>
            <w:tcW w:w="6860" w:type="dxa"/>
            <w:vAlign w:val="bottom"/>
            <w:gridSpan w:val="2"/>
          </w:tcPr>
          <w:p>
            <w:pPr>
              <w:ind w:left="280"/>
              <w:spacing w:after="0"/>
              <w:rPr>
                <w:sz w:val="20"/>
                <w:szCs w:val="20"/>
                <w:color w:val="auto"/>
              </w:rPr>
            </w:pPr>
            <w:r>
              <w:rPr>
                <w:rFonts w:ascii="Arial" w:cs="Arial" w:eastAsia="Arial" w:hAnsi="Arial"/>
                <w:sz w:val="18"/>
                <w:szCs w:val="18"/>
                <w:color w:val="auto"/>
              </w:rPr>
              <w:t>Reports by Issuer</w:t>
            </w:r>
          </w:p>
        </w:tc>
        <w:tc>
          <w:tcPr>
            <w:tcW w:w="3300" w:type="dxa"/>
            <w:vAlign w:val="bottom"/>
          </w:tcPr>
          <w:p>
            <w:pPr>
              <w:jc w:val="right"/>
              <w:spacing w:after="0"/>
              <w:rPr>
                <w:sz w:val="20"/>
                <w:szCs w:val="20"/>
                <w:color w:val="auto"/>
              </w:rPr>
            </w:pPr>
            <w:r>
              <w:rPr>
                <w:rFonts w:ascii="Arial" w:cs="Arial" w:eastAsia="Arial" w:hAnsi="Arial"/>
                <w:sz w:val="18"/>
                <w:szCs w:val="18"/>
                <w:color w:val="auto"/>
              </w:rPr>
              <w:t>1 3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ARTICLE 6</w:t>
              </w:r>
            </w:hyperlink>
          </w:p>
        </w:tc>
        <w:tc>
          <w:tcPr>
            <w:tcW w:w="280" w:type="dxa"/>
            <w:vAlign w:val="bottom"/>
          </w:tcPr>
          <w:p>
            <w:pPr>
              <w:spacing w:after="0"/>
              <w:rPr>
                <w:sz w:val="17"/>
                <w:szCs w:val="17"/>
                <w:color w:val="auto"/>
              </w:rPr>
            </w:pPr>
          </w:p>
        </w:tc>
        <w:tc>
          <w:tcPr>
            <w:tcW w:w="8480" w:type="dxa"/>
            <w:vAlign w:val="bottom"/>
            <w:gridSpan w:val="4"/>
          </w:tcPr>
          <w:p>
            <w:pPr>
              <w:ind w:left="280"/>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REMEDIES OF THE TRUSTEE AND NOTEHOLDERS ON AN EVENT OF DEFAULT</w:t>
              </w:r>
            </w:hyperlink>
          </w:p>
        </w:tc>
        <w:tc>
          <w:tcPr>
            <w:tcW w:w="1680" w:type="dxa"/>
            <w:vAlign w:val="bottom"/>
          </w:tcPr>
          <w:p>
            <w:pPr>
              <w:spacing w:after="0"/>
              <w:rPr>
                <w:sz w:val="17"/>
                <w:szCs w:val="17"/>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6.01.</w:t>
            </w:r>
          </w:p>
        </w:tc>
        <w:tc>
          <w:tcPr>
            <w:tcW w:w="280" w:type="dxa"/>
            <w:vAlign w:val="bottom"/>
          </w:tcPr>
          <w:p>
            <w:pPr>
              <w:spacing w:after="0"/>
              <w:rPr>
                <w:sz w:val="24"/>
                <w:szCs w:val="24"/>
                <w:color w:val="auto"/>
              </w:rPr>
            </w:pP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Events of Default</w:t>
            </w: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6.02.</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Payments of Notes on Default; Suit Therefor</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6.03.</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Application of Monies Collected by Trustees</w:t>
            </w: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6.04.</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Proceedings by Noteholder</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6.05.</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Proceedings by Trustees</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6.06.</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Remedies Cumulative and Continuing</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6.07.</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Direction of Proceedings and Waiver of Defaults by Noteholders</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6.08.</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Notice of Defaults</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6.09.</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Undertaking to Pay Costs</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6.10.</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Indenture and Notes Solely Corporate Obligations</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610"/>
        </w:trPr>
        <w:tc>
          <w:tcPr>
            <w:tcW w:w="940" w:type="dxa"/>
            <w:vAlign w:val="bottom"/>
          </w:tcPr>
          <w:p>
            <w:pPr>
              <w:spacing w:after="0"/>
              <w:rPr>
                <w:rFonts w:ascii="Arial" w:cs="Arial" w:eastAsia="Arial" w:hAnsi="Arial"/>
                <w:sz w:val="18"/>
                <w:szCs w:val="18"/>
                <w:b w:val="1"/>
                <w:bCs w:val="1"/>
                <w:color w:val="0000EE"/>
                <w:w w:val="98"/>
              </w:rPr>
            </w:pPr>
            <w:hyperlink w:anchor="page62">
              <w:r>
                <w:rPr>
                  <w:rFonts w:ascii="Arial" w:cs="Arial" w:eastAsia="Arial" w:hAnsi="Arial"/>
                  <w:sz w:val="18"/>
                  <w:szCs w:val="18"/>
                  <w:b w:val="1"/>
                  <w:bCs w:val="1"/>
                  <w:color w:val="0000EE"/>
                  <w:w w:val="98"/>
                </w:rPr>
                <w:t>ARTICLE 7</w:t>
              </w:r>
            </w:hyperlink>
          </w:p>
        </w:tc>
        <w:tc>
          <w:tcPr>
            <w:tcW w:w="280" w:type="dxa"/>
            <w:vAlign w:val="bottom"/>
          </w:tcPr>
          <w:p>
            <w:pPr>
              <w:spacing w:after="0"/>
              <w:rPr>
                <w:sz w:val="24"/>
                <w:szCs w:val="24"/>
                <w:color w:val="auto"/>
              </w:rPr>
            </w:pPr>
          </w:p>
        </w:tc>
        <w:tc>
          <w:tcPr>
            <w:tcW w:w="8480" w:type="dxa"/>
            <w:vAlign w:val="bottom"/>
            <w:gridSpan w:val="4"/>
          </w:tcPr>
          <w:p>
            <w:pPr>
              <w:ind w:left="280"/>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THE TRUSTEES</w:t>
              </w:r>
            </w:hyperlink>
          </w:p>
        </w:tc>
        <w:tc>
          <w:tcPr>
            <w:tcW w:w="16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7.01.</w:t>
            </w:r>
          </w:p>
        </w:tc>
        <w:tc>
          <w:tcPr>
            <w:tcW w:w="280" w:type="dxa"/>
            <w:vAlign w:val="bottom"/>
          </w:tcPr>
          <w:p>
            <w:pPr>
              <w:spacing w:after="0"/>
              <w:rPr>
                <w:sz w:val="24"/>
                <w:szCs w:val="24"/>
                <w:color w:val="auto"/>
              </w:rPr>
            </w:pP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Duties and Responsibilities of Trustees</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7.02.</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Rights of Trustees; Reliance on Documents, Opinions, Etc</w:t>
            </w: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7.03.</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No Responsibility for Recitals, Etc</w:t>
            </w: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7.04.</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Monies to Be Held in Trust</w:t>
            </w: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7.05.</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Compensation and Expenses of Trustees</w:t>
            </w: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7.06.</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Officers' Certificate as Evidence</w:t>
            </w: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7.07.</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Conflicting Interests of Trustee and the Co-Trustee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7.08.</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Eligibility of Trustee and Co-Trustee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7.09.</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Resignation or Removal of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7.10.</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Acceptance by Successor 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7.11.</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Succession by Merger</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7.12.</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Preferential Collection of Claims</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220" w:type="dxa"/>
            <w:vAlign w:val="bottom"/>
            <w:gridSpan w:val="2"/>
          </w:tcPr>
          <w:p>
            <w:pPr>
              <w:spacing w:after="0"/>
              <w:rPr>
                <w:sz w:val="20"/>
                <w:szCs w:val="20"/>
                <w:color w:val="auto"/>
              </w:rPr>
            </w:pPr>
            <w:r>
              <w:rPr>
                <w:rFonts w:ascii="Arial" w:cs="Arial" w:eastAsia="Arial" w:hAnsi="Arial"/>
                <w:sz w:val="18"/>
                <w:szCs w:val="18"/>
                <w:color w:val="auto"/>
              </w:rPr>
              <w:t>Section 7.13.</w:t>
            </w:r>
          </w:p>
        </w:tc>
        <w:tc>
          <w:tcPr>
            <w:tcW w:w="8480" w:type="dxa"/>
            <w:vAlign w:val="bottom"/>
            <w:gridSpan w:val="4"/>
          </w:tcPr>
          <w:p>
            <w:pPr>
              <w:ind w:left="280"/>
              <w:spacing w:after="0"/>
              <w:rPr>
                <w:sz w:val="20"/>
                <w:szCs w:val="20"/>
                <w:color w:val="auto"/>
              </w:rPr>
            </w:pPr>
            <w:r>
              <w:rPr>
                <w:rFonts w:ascii="Arial" w:cs="Arial" w:eastAsia="Arial" w:hAnsi="Arial"/>
                <w:sz w:val="18"/>
                <w:szCs w:val="18"/>
                <w:color w:val="auto"/>
              </w:rPr>
              <w:t>Coordination between the Trustee and the Co-Trustee</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380"/>
          </w:cols>
          <w:pgMar w:left="240" w:top="347" w:right="27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rFonts w:ascii="Arial" w:cs="Arial" w:eastAsia="Arial" w:hAnsi="Arial"/>
                <w:sz w:val="18"/>
                <w:szCs w:val="18"/>
                <w:b w:val="1"/>
                <w:bCs w:val="1"/>
                <w:color w:val="0000EE"/>
                <w:w w:val="98"/>
              </w:rPr>
            </w:pPr>
            <w:hyperlink w:anchor="page67">
              <w:r>
                <w:rPr>
                  <w:rFonts w:ascii="Arial" w:cs="Arial" w:eastAsia="Arial" w:hAnsi="Arial"/>
                  <w:sz w:val="18"/>
                  <w:szCs w:val="18"/>
                  <w:b w:val="1"/>
                  <w:bCs w:val="1"/>
                  <w:color w:val="0000EE"/>
                  <w:w w:val="98"/>
                </w:rPr>
                <w:t>ARTICLE 8</w:t>
              </w:r>
            </w:hyperlink>
          </w:p>
        </w:tc>
        <w:tc>
          <w:tcPr>
            <w:tcW w:w="320" w:type="dxa"/>
            <w:vAlign w:val="bottom"/>
            <w:gridSpan w:val="2"/>
          </w:tcPr>
          <w:p>
            <w:pPr>
              <w:spacing w:after="0"/>
              <w:rPr>
                <w:sz w:val="17"/>
                <w:szCs w:val="17"/>
                <w:color w:val="auto"/>
              </w:rPr>
            </w:pPr>
          </w:p>
        </w:tc>
        <w:tc>
          <w:tcPr>
            <w:tcW w:w="7400" w:type="dxa"/>
            <w:vAlign w:val="bottom"/>
            <w:gridSpan w:val="5"/>
          </w:tcPr>
          <w:p>
            <w:pPr>
              <w:ind w:left="240"/>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SUBORDINATION</w:t>
              </w:r>
            </w:hyperlink>
          </w:p>
        </w:tc>
        <w:tc>
          <w:tcPr>
            <w:tcW w:w="2760" w:type="dxa"/>
            <w:vAlign w:val="bottom"/>
          </w:tcPr>
          <w:p>
            <w:pPr>
              <w:spacing w:after="0"/>
              <w:rPr>
                <w:sz w:val="17"/>
                <w:szCs w:val="17"/>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8.01.</w:t>
            </w:r>
          </w:p>
        </w:tc>
        <w:tc>
          <w:tcPr>
            <w:tcW w:w="320" w:type="dxa"/>
            <w:vAlign w:val="bottom"/>
            <w:gridSpan w:val="2"/>
          </w:tcPr>
          <w:p>
            <w:pPr>
              <w:spacing w:after="0"/>
              <w:rPr>
                <w:sz w:val="24"/>
                <w:szCs w:val="24"/>
                <w:color w:val="auto"/>
              </w:rPr>
            </w:pP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Agreement to Subordinate</w:t>
            </w:r>
          </w:p>
        </w:tc>
        <w:tc>
          <w:tcPr>
            <w:tcW w:w="2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8.02.</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Postponement of Payments</w:t>
            </w:r>
          </w:p>
        </w:tc>
        <w:tc>
          <w:tcPr>
            <w:tcW w:w="2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8.03.</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Defaults Under The Credit Facility</w:t>
            </w:r>
          </w:p>
        </w:tc>
        <w:tc>
          <w:tcPr>
            <w:tcW w:w="2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8.04.</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Reserved</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8.05.</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Provisions Solely to Define Relative Rights</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8.06.</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Trustee to Effectuate Subordination</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8.07.</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No Waiver of Subordination Provisions</w:t>
            </w:r>
          </w:p>
        </w:tc>
        <w:tc>
          <w:tcPr>
            <w:tcW w:w="2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8.08.</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Notice to Trustees</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8.09.</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Trustees Not Fiduciary for the Lenders under the Credit Facility</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8.10.</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Trustees' Compensation Not Prejudiced</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891"/>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540" w:type="dxa"/>
            <w:vAlign w:val="bottom"/>
          </w:tcPr>
          <w:p>
            <w:pPr>
              <w:ind w:left="1440"/>
              <w:spacing w:after="0"/>
              <w:rPr>
                <w:sz w:val="20"/>
                <w:szCs w:val="20"/>
                <w:color w:val="auto"/>
              </w:rPr>
            </w:pPr>
            <w:r>
              <w:rPr>
                <w:rFonts w:ascii="Arial" w:cs="Arial" w:eastAsia="Arial" w:hAnsi="Arial"/>
                <w:sz w:val="18"/>
                <w:szCs w:val="18"/>
                <w:color w:val="auto"/>
              </w:rPr>
              <w:t>- ii -</w:t>
            </w:r>
          </w:p>
        </w:tc>
        <w:tc>
          <w:tcPr>
            <w:tcW w:w="2760" w:type="dxa"/>
            <w:vAlign w:val="bottom"/>
          </w:tcPr>
          <w:p>
            <w:pPr>
              <w:spacing w:after="0"/>
              <w:rPr>
                <w:sz w:val="24"/>
                <w:szCs w:val="24"/>
                <w:color w:val="auto"/>
              </w:rPr>
            </w:pPr>
          </w:p>
        </w:tc>
      </w:tr>
      <w:tr>
        <w:trPr>
          <w:trHeight w:val="174"/>
        </w:trPr>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61"/>
        </w:trPr>
        <w:tc>
          <w:tcPr>
            <w:tcW w:w="9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tcBorders>
              <w:lef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540" w:type="dxa"/>
            <w:vAlign w:val="bottom"/>
            <w:tcBorders>
              <w:left w:val="single" w:sz="8" w:color="808080"/>
            </w:tcBorders>
            <w:shd w:val="clear" w:color="auto" w:fill="808080"/>
          </w:tcPr>
          <w:p>
            <w:pPr>
              <w:spacing w:after="0"/>
              <w:rPr>
                <w:sz w:val="5"/>
                <w:szCs w:val="5"/>
                <w:color w:val="auto"/>
              </w:rPr>
            </w:pPr>
          </w:p>
        </w:tc>
        <w:tc>
          <w:tcPr>
            <w:tcW w:w="2760" w:type="dxa"/>
            <w:vAlign w:val="bottom"/>
            <w:shd w:val="clear" w:color="auto" w:fill="808080"/>
          </w:tcPr>
          <w:p>
            <w:pPr>
              <w:spacing w:after="0"/>
              <w:rPr>
                <w:sz w:val="5"/>
                <w:szCs w:val="5"/>
                <w:color w:val="auto"/>
              </w:rPr>
            </w:pPr>
          </w:p>
        </w:tc>
      </w:tr>
      <w:tr>
        <w:trPr>
          <w:trHeight w:val="496"/>
        </w:trPr>
        <w:tc>
          <w:tcPr>
            <w:tcW w:w="940" w:type="dxa"/>
            <w:vAlign w:val="bottom"/>
          </w:tcPr>
          <w:p>
            <w:pPr>
              <w:spacing w:after="0"/>
              <w:rPr>
                <w:rFonts w:ascii="Arial" w:cs="Arial" w:eastAsia="Arial" w:hAnsi="Arial"/>
                <w:sz w:val="18"/>
                <w:szCs w:val="18"/>
                <w:b w:val="1"/>
                <w:bCs w:val="1"/>
                <w:color w:val="0000EE"/>
                <w:w w:val="98"/>
              </w:rPr>
            </w:pPr>
            <w:hyperlink w:anchor="page69">
              <w:r>
                <w:rPr>
                  <w:rFonts w:ascii="Arial" w:cs="Arial" w:eastAsia="Arial" w:hAnsi="Arial"/>
                  <w:sz w:val="18"/>
                  <w:szCs w:val="18"/>
                  <w:b w:val="1"/>
                  <w:bCs w:val="1"/>
                  <w:color w:val="0000EE"/>
                  <w:w w:val="98"/>
                </w:rPr>
                <w:t>ARTICLE 9</w:t>
              </w:r>
            </w:hyperlink>
          </w:p>
        </w:tc>
        <w:tc>
          <w:tcPr>
            <w:tcW w:w="320" w:type="dxa"/>
            <w:vAlign w:val="bottom"/>
            <w:gridSpan w:val="2"/>
          </w:tcPr>
          <w:p>
            <w:pPr>
              <w:spacing w:after="0"/>
              <w:rPr>
                <w:sz w:val="24"/>
                <w:szCs w:val="24"/>
                <w:color w:val="auto"/>
              </w:rPr>
            </w:pPr>
          </w:p>
        </w:tc>
        <w:tc>
          <w:tcPr>
            <w:tcW w:w="7400" w:type="dxa"/>
            <w:vAlign w:val="bottom"/>
            <w:gridSpan w:val="5"/>
          </w:tcPr>
          <w:p>
            <w:pPr>
              <w:ind w:left="240"/>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THE NOTEHOLDERS</w:t>
              </w:r>
            </w:hyperlink>
          </w:p>
        </w:tc>
        <w:tc>
          <w:tcPr>
            <w:tcW w:w="276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667"/>
        </w:trPr>
        <w:tc>
          <w:tcPr>
            <w:tcW w:w="940" w:type="dxa"/>
            <w:vAlign w:val="bottom"/>
          </w:tcPr>
          <w:p>
            <w:pPr>
              <w:spacing w:after="0"/>
              <w:rPr>
                <w:sz w:val="20"/>
                <w:szCs w:val="20"/>
                <w:color w:val="auto"/>
              </w:rPr>
            </w:pPr>
            <w:r>
              <w:rPr>
                <w:rFonts w:ascii="Arial" w:cs="Arial" w:eastAsia="Arial" w:hAnsi="Arial"/>
                <w:sz w:val="18"/>
                <w:szCs w:val="18"/>
                <w:color w:val="auto"/>
                <w:w w:val="87"/>
              </w:rPr>
              <w:t>Section 9.01.</w:t>
            </w:r>
          </w:p>
        </w:tc>
        <w:tc>
          <w:tcPr>
            <w:tcW w:w="320" w:type="dxa"/>
            <w:vAlign w:val="bottom"/>
            <w:gridSpan w:val="2"/>
          </w:tcPr>
          <w:p>
            <w:pPr>
              <w:spacing w:after="0"/>
              <w:rPr>
                <w:sz w:val="24"/>
                <w:szCs w:val="24"/>
                <w:color w:val="auto"/>
              </w:rPr>
            </w:pP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Action by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9.02.</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Proof of Execution by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9.03.</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Who Are Deemed Absolute Owners</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9.04.</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Notes Held by Subsidiaries or Affiliates of the Issuer Disregarded</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9.05.</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Revocation of Consents, Future Holders Bound</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610"/>
        </w:trPr>
        <w:tc>
          <w:tcPr>
            <w:tcW w:w="1020" w:type="dxa"/>
            <w:vAlign w:val="bottom"/>
            <w:gridSpan w:val="2"/>
          </w:tcPr>
          <w:p>
            <w:pPr>
              <w:spacing w:after="0"/>
              <w:rPr>
                <w:rFonts w:ascii="Arial" w:cs="Arial" w:eastAsia="Arial" w:hAnsi="Arial"/>
                <w:sz w:val="18"/>
                <w:szCs w:val="18"/>
                <w:b w:val="1"/>
                <w:bCs w:val="1"/>
                <w:color w:val="0000EE"/>
                <w:w w:val="95"/>
              </w:rPr>
            </w:pPr>
            <w:hyperlink w:anchor="page70">
              <w:r>
                <w:rPr>
                  <w:rFonts w:ascii="Arial" w:cs="Arial" w:eastAsia="Arial" w:hAnsi="Arial"/>
                  <w:sz w:val="18"/>
                  <w:szCs w:val="18"/>
                  <w:b w:val="1"/>
                  <w:bCs w:val="1"/>
                  <w:color w:val="0000EE"/>
                  <w:w w:val="95"/>
                </w:rPr>
                <w:t>ARTICLE 10</w:t>
              </w:r>
            </w:hyperlink>
          </w:p>
        </w:tc>
        <w:tc>
          <w:tcPr>
            <w:tcW w:w="240" w:type="dxa"/>
            <w:vAlign w:val="bottom"/>
          </w:tcPr>
          <w:p>
            <w:pPr>
              <w:spacing w:after="0"/>
              <w:rPr>
                <w:sz w:val="24"/>
                <w:szCs w:val="24"/>
                <w:color w:val="auto"/>
              </w:rPr>
            </w:pPr>
          </w:p>
        </w:tc>
        <w:tc>
          <w:tcPr>
            <w:tcW w:w="7400" w:type="dxa"/>
            <w:vAlign w:val="bottom"/>
            <w:gridSpan w:val="5"/>
          </w:tcPr>
          <w:p>
            <w:pPr>
              <w:ind w:left="240"/>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MEETINGS OF NOTEHOLDERS</w:t>
              </w:r>
            </w:hyperlink>
          </w:p>
        </w:tc>
        <w:tc>
          <w:tcPr>
            <w:tcW w:w="2760" w:type="dxa"/>
            <w:vAlign w:val="bottom"/>
          </w:tcPr>
          <w:p>
            <w:pPr>
              <w:spacing w:after="0"/>
              <w:rPr>
                <w:sz w:val="24"/>
                <w:szCs w:val="24"/>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540" w:type="dxa"/>
            <w:vAlign w:val="bottom"/>
            <w:tcBorders>
              <w:left w:val="single" w:sz="8" w:color="0000EE"/>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667"/>
        </w:trPr>
        <w:tc>
          <w:tcPr>
            <w:tcW w:w="1020" w:type="dxa"/>
            <w:vAlign w:val="bottom"/>
            <w:gridSpan w:val="2"/>
          </w:tcPr>
          <w:p>
            <w:pPr>
              <w:spacing w:after="0"/>
              <w:rPr>
                <w:sz w:val="20"/>
                <w:szCs w:val="20"/>
                <w:color w:val="auto"/>
              </w:rPr>
            </w:pPr>
            <w:r>
              <w:rPr>
                <w:rFonts w:ascii="Arial" w:cs="Arial" w:eastAsia="Arial" w:hAnsi="Arial"/>
                <w:sz w:val="18"/>
                <w:szCs w:val="18"/>
                <w:color w:val="auto"/>
                <w:w w:val="85"/>
              </w:rPr>
              <w:t>Section 10.01.</w:t>
            </w:r>
          </w:p>
        </w:tc>
        <w:tc>
          <w:tcPr>
            <w:tcW w:w="240" w:type="dxa"/>
            <w:vAlign w:val="bottom"/>
          </w:tcPr>
          <w:p>
            <w:pPr>
              <w:spacing w:after="0"/>
              <w:rPr>
                <w:sz w:val="24"/>
                <w:szCs w:val="24"/>
                <w:color w:val="auto"/>
              </w:rPr>
            </w:pP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Purpose of Meetings</w:t>
            </w:r>
          </w:p>
        </w:tc>
        <w:tc>
          <w:tcPr>
            <w:tcW w:w="2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10.02.</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Call of Meetings by Trustees</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10.03.</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Call of Meetings by Issuer or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10.04.</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Qualifications for Voting</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10.05.</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Regulations</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10.06.</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Voting</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10.07.</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No Delay of Rights by Meeting</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10.08.</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Separate Meetings of Groups of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10.09.</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Quorum</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10.10.</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Majority Controls</w:t>
            </w:r>
          </w:p>
        </w:tc>
        <w:tc>
          <w:tcPr>
            <w:tcW w:w="2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610"/>
        </w:trPr>
        <w:tc>
          <w:tcPr>
            <w:tcW w:w="1020" w:type="dxa"/>
            <w:vAlign w:val="bottom"/>
            <w:gridSpan w:val="2"/>
          </w:tcPr>
          <w:p>
            <w:pPr>
              <w:spacing w:after="0"/>
              <w:rPr>
                <w:rFonts w:ascii="Arial" w:cs="Arial" w:eastAsia="Arial" w:hAnsi="Arial"/>
                <w:sz w:val="18"/>
                <w:szCs w:val="18"/>
                <w:b w:val="1"/>
                <w:bCs w:val="1"/>
                <w:color w:val="0000EE"/>
                <w:w w:val="95"/>
              </w:rPr>
            </w:pPr>
            <w:hyperlink w:anchor="page71">
              <w:r>
                <w:rPr>
                  <w:rFonts w:ascii="Arial" w:cs="Arial" w:eastAsia="Arial" w:hAnsi="Arial"/>
                  <w:sz w:val="18"/>
                  <w:szCs w:val="18"/>
                  <w:b w:val="1"/>
                  <w:bCs w:val="1"/>
                  <w:color w:val="0000EE"/>
                  <w:w w:val="95"/>
                </w:rPr>
                <w:t>ARTICLE 11</w:t>
              </w:r>
            </w:hyperlink>
          </w:p>
        </w:tc>
        <w:tc>
          <w:tcPr>
            <w:tcW w:w="240" w:type="dxa"/>
            <w:vAlign w:val="bottom"/>
          </w:tcPr>
          <w:p>
            <w:pPr>
              <w:spacing w:after="0"/>
              <w:rPr>
                <w:sz w:val="24"/>
                <w:szCs w:val="24"/>
                <w:color w:val="auto"/>
              </w:rPr>
            </w:pPr>
          </w:p>
        </w:tc>
        <w:tc>
          <w:tcPr>
            <w:tcW w:w="7400" w:type="dxa"/>
            <w:vAlign w:val="bottom"/>
            <w:gridSpan w:val="5"/>
          </w:tcPr>
          <w:p>
            <w:pPr>
              <w:ind w:left="240"/>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SUPPLEMENTAL INDENTURES</w:t>
              </w:r>
            </w:hyperlink>
          </w:p>
        </w:tc>
        <w:tc>
          <w:tcPr>
            <w:tcW w:w="2760" w:type="dxa"/>
            <w:vAlign w:val="bottom"/>
          </w:tcPr>
          <w:p>
            <w:pPr>
              <w:spacing w:after="0"/>
              <w:rPr>
                <w:sz w:val="24"/>
                <w:szCs w:val="24"/>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667"/>
        </w:trPr>
        <w:tc>
          <w:tcPr>
            <w:tcW w:w="1020" w:type="dxa"/>
            <w:vAlign w:val="bottom"/>
            <w:gridSpan w:val="2"/>
          </w:tcPr>
          <w:p>
            <w:pPr>
              <w:spacing w:after="0"/>
              <w:rPr>
                <w:sz w:val="20"/>
                <w:szCs w:val="20"/>
                <w:color w:val="auto"/>
              </w:rPr>
            </w:pPr>
            <w:r>
              <w:rPr>
                <w:rFonts w:ascii="Arial" w:cs="Arial" w:eastAsia="Arial" w:hAnsi="Arial"/>
                <w:sz w:val="18"/>
                <w:szCs w:val="18"/>
                <w:color w:val="auto"/>
                <w:w w:val="85"/>
              </w:rPr>
              <w:t>Section 11.01.</w:t>
            </w:r>
          </w:p>
        </w:tc>
        <w:tc>
          <w:tcPr>
            <w:tcW w:w="240" w:type="dxa"/>
            <w:vAlign w:val="bottom"/>
          </w:tcPr>
          <w:p>
            <w:pPr>
              <w:spacing w:after="0"/>
              <w:rPr>
                <w:sz w:val="24"/>
                <w:szCs w:val="24"/>
                <w:color w:val="auto"/>
              </w:rPr>
            </w:pP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Supplemental Indentures Without Consent of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rPr>
              <w:t>Section 11.02.</w:t>
            </w:r>
          </w:p>
        </w:tc>
        <w:tc>
          <w:tcPr>
            <w:tcW w:w="7400" w:type="dxa"/>
            <w:vAlign w:val="bottom"/>
            <w:gridSpan w:val="5"/>
          </w:tcPr>
          <w:p>
            <w:pPr>
              <w:ind w:left="240"/>
              <w:spacing w:after="0"/>
              <w:rPr>
                <w:sz w:val="20"/>
                <w:szCs w:val="20"/>
                <w:color w:val="auto"/>
              </w:rPr>
            </w:pPr>
            <w:r>
              <w:rPr>
                <w:rFonts w:ascii="Arial" w:cs="Arial" w:eastAsia="Arial" w:hAnsi="Arial"/>
                <w:sz w:val="18"/>
                <w:szCs w:val="18"/>
                <w:color w:val="auto"/>
              </w:rPr>
              <w:t>Supplemental Indenture with Consent of Noteholders</w:t>
            </w:r>
          </w:p>
        </w:tc>
        <w:tc>
          <w:tcPr>
            <w:tcW w:w="2760" w:type="dxa"/>
            <w:vAlign w:val="bottom"/>
          </w:tcPr>
          <w:p>
            <w:pPr>
              <w:jc w:val="right"/>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540" w:right="23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11.03.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Effect of Supplemental Indenture</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11.04.</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Notation on Notes</w:t>
            </w:r>
          </w:p>
        </w:tc>
        <w:tc>
          <w:tcPr>
            <w:tcW w:w="2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11.05.</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Evidence of Compliance of Supplemental Indenture to Be Furnished to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610"/>
        </w:trPr>
        <w:tc>
          <w:tcPr>
            <w:tcW w:w="1260" w:type="dxa"/>
            <w:vAlign w:val="bottom"/>
            <w:gridSpan w:val="2"/>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ARTICLE 12</w:t>
              </w:r>
            </w:hyperlink>
          </w:p>
        </w:tc>
        <w:tc>
          <w:tcPr>
            <w:tcW w:w="7980" w:type="dxa"/>
            <w:vAlign w:val="bottom"/>
            <w:gridSpan w:val="6"/>
          </w:tcPr>
          <w:p>
            <w:pPr>
              <w:ind w:left="240"/>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CONSOLIDATION, MERGER, SALE, CONVEYANCE AND LEASE</w:t>
              </w:r>
            </w:hyperlink>
          </w:p>
        </w:tc>
        <w:tc>
          <w:tcPr>
            <w:tcW w:w="2180" w:type="dxa"/>
            <w:vAlign w:val="bottom"/>
          </w:tcPr>
          <w:p>
            <w:pPr>
              <w:spacing w:after="0"/>
              <w:rPr>
                <w:sz w:val="24"/>
                <w:szCs w:val="2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667"/>
        </w:trPr>
        <w:tc>
          <w:tcPr>
            <w:tcW w:w="1020" w:type="dxa"/>
            <w:vAlign w:val="bottom"/>
          </w:tcPr>
          <w:p>
            <w:pPr>
              <w:spacing w:after="0"/>
              <w:rPr>
                <w:sz w:val="20"/>
                <w:szCs w:val="20"/>
                <w:color w:val="auto"/>
              </w:rPr>
            </w:pPr>
            <w:r>
              <w:rPr>
                <w:rFonts w:ascii="Arial" w:cs="Arial" w:eastAsia="Arial" w:hAnsi="Arial"/>
                <w:sz w:val="18"/>
                <w:szCs w:val="18"/>
                <w:color w:val="auto"/>
                <w:w w:val="86"/>
              </w:rPr>
              <w:t>Section 12.01.</w:t>
            </w:r>
          </w:p>
        </w:tc>
        <w:tc>
          <w:tcPr>
            <w:tcW w:w="240" w:type="dxa"/>
            <w:vAlign w:val="bottom"/>
          </w:tcPr>
          <w:p>
            <w:pPr>
              <w:spacing w:after="0"/>
              <w:rPr>
                <w:sz w:val="24"/>
                <w:szCs w:val="24"/>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Issuer May Consolidate on Certain Terms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12.02.</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Successor to Be Substituted</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12.03.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Opinion of Counsel to Be Given to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610"/>
        </w:trPr>
        <w:tc>
          <w:tcPr>
            <w:tcW w:w="1260" w:type="dxa"/>
            <w:vAlign w:val="bottom"/>
            <w:gridSpan w:val="2"/>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ARTICLE 13</w:t>
              </w:r>
            </w:hyperlink>
          </w:p>
        </w:tc>
        <w:tc>
          <w:tcPr>
            <w:tcW w:w="7980" w:type="dxa"/>
            <w:vAlign w:val="bottom"/>
            <w:gridSpan w:val="6"/>
          </w:tcPr>
          <w:p>
            <w:pPr>
              <w:ind w:left="240"/>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SATISFACTION AND DISCHARGE OF INDENTURE</w:t>
              </w:r>
            </w:hyperlink>
          </w:p>
        </w:tc>
        <w:tc>
          <w:tcPr>
            <w:tcW w:w="2180" w:type="dxa"/>
            <w:vAlign w:val="bottom"/>
          </w:tcPr>
          <w:p>
            <w:pPr>
              <w:spacing w:after="0"/>
              <w:rPr>
                <w:sz w:val="24"/>
                <w:szCs w:val="2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667"/>
        </w:trPr>
        <w:tc>
          <w:tcPr>
            <w:tcW w:w="1020" w:type="dxa"/>
            <w:vAlign w:val="bottom"/>
          </w:tcPr>
          <w:p>
            <w:pPr>
              <w:spacing w:after="0"/>
              <w:rPr>
                <w:sz w:val="20"/>
                <w:szCs w:val="20"/>
                <w:color w:val="auto"/>
              </w:rPr>
            </w:pPr>
            <w:r>
              <w:rPr>
                <w:rFonts w:ascii="Arial" w:cs="Arial" w:eastAsia="Arial" w:hAnsi="Arial"/>
                <w:sz w:val="18"/>
                <w:szCs w:val="18"/>
                <w:color w:val="auto"/>
                <w:w w:val="86"/>
              </w:rPr>
              <w:t>Section 13.01.</w:t>
            </w:r>
          </w:p>
        </w:tc>
        <w:tc>
          <w:tcPr>
            <w:tcW w:w="240" w:type="dxa"/>
            <w:vAlign w:val="bottom"/>
          </w:tcPr>
          <w:p>
            <w:pPr>
              <w:spacing w:after="0"/>
              <w:rPr>
                <w:sz w:val="24"/>
                <w:szCs w:val="24"/>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Discharge of Indenture</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13.02.</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Deposited Monies to Be Held in Trust by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13.03.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Paying Agent to Repay Monies Held</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13.04.</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Return of Unclaimed Monies</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13.05.</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Reinstatement</w:t>
            </w:r>
          </w:p>
        </w:tc>
        <w:tc>
          <w:tcPr>
            <w:tcW w:w="2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891"/>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60" w:type="dxa"/>
            <w:vAlign w:val="bottom"/>
            <w:gridSpan w:val="3"/>
          </w:tcPr>
          <w:p>
            <w:pPr>
              <w:ind w:left="1360"/>
              <w:spacing w:after="0"/>
              <w:rPr>
                <w:sz w:val="20"/>
                <w:szCs w:val="20"/>
                <w:color w:val="auto"/>
              </w:rPr>
            </w:pPr>
            <w:r>
              <w:rPr>
                <w:rFonts w:ascii="Arial" w:cs="Arial" w:eastAsia="Arial" w:hAnsi="Arial"/>
                <w:sz w:val="18"/>
                <w:szCs w:val="18"/>
                <w:color w:val="auto"/>
              </w:rPr>
              <w:t>- iii -</w:t>
            </w:r>
          </w:p>
        </w:tc>
        <w:tc>
          <w:tcPr>
            <w:tcW w:w="2180" w:type="dxa"/>
            <w:vAlign w:val="bottom"/>
          </w:tcPr>
          <w:p>
            <w:pPr>
              <w:spacing w:after="0"/>
              <w:rPr>
                <w:sz w:val="24"/>
                <w:szCs w:val="24"/>
                <w:color w:val="auto"/>
              </w:rPr>
            </w:pPr>
          </w:p>
        </w:tc>
      </w:tr>
      <w:tr>
        <w:trPr>
          <w:trHeight w:val="174"/>
        </w:trPr>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61"/>
        </w:trPr>
        <w:tc>
          <w:tcPr>
            <w:tcW w:w="10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440" w:type="dxa"/>
            <w:vAlign w:val="bottom"/>
            <w:shd w:val="clear" w:color="auto" w:fill="808080"/>
          </w:tcPr>
          <w:p>
            <w:pPr>
              <w:spacing w:after="0"/>
              <w:rPr>
                <w:sz w:val="5"/>
                <w:szCs w:val="5"/>
                <w:color w:val="auto"/>
              </w:rPr>
            </w:pPr>
          </w:p>
        </w:tc>
        <w:tc>
          <w:tcPr>
            <w:tcW w:w="2180" w:type="dxa"/>
            <w:vAlign w:val="bottom"/>
            <w:shd w:val="clear" w:color="auto" w:fill="808080"/>
          </w:tcPr>
          <w:p>
            <w:pPr>
              <w:spacing w:after="0"/>
              <w:rPr>
                <w:sz w:val="5"/>
                <w:szCs w:val="5"/>
                <w:color w:val="auto"/>
              </w:rPr>
            </w:pPr>
          </w:p>
        </w:tc>
      </w:tr>
      <w:tr>
        <w:trPr>
          <w:trHeight w:val="496"/>
        </w:trPr>
        <w:tc>
          <w:tcPr>
            <w:tcW w:w="1260" w:type="dxa"/>
            <w:vAlign w:val="bottom"/>
            <w:gridSpan w:val="2"/>
          </w:tcPr>
          <w:p>
            <w:pPr>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ARTICLE 14</w:t>
              </w:r>
            </w:hyperlink>
          </w:p>
        </w:tc>
        <w:tc>
          <w:tcPr>
            <w:tcW w:w="7980" w:type="dxa"/>
            <w:vAlign w:val="bottom"/>
            <w:gridSpan w:val="6"/>
          </w:tcPr>
          <w:p>
            <w:pPr>
              <w:ind w:left="240"/>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CONVERSION OF NOTES</w:t>
              </w:r>
            </w:hyperlink>
          </w:p>
        </w:tc>
        <w:tc>
          <w:tcPr>
            <w:tcW w:w="2180" w:type="dxa"/>
            <w:vAlign w:val="bottom"/>
          </w:tcPr>
          <w:p>
            <w:pPr>
              <w:spacing w:after="0"/>
              <w:rPr>
                <w:sz w:val="24"/>
                <w:szCs w:val="2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667"/>
        </w:trPr>
        <w:tc>
          <w:tcPr>
            <w:tcW w:w="1020" w:type="dxa"/>
            <w:vAlign w:val="bottom"/>
          </w:tcPr>
          <w:p>
            <w:pPr>
              <w:spacing w:after="0"/>
              <w:rPr>
                <w:sz w:val="20"/>
                <w:szCs w:val="20"/>
                <w:color w:val="auto"/>
              </w:rPr>
            </w:pPr>
            <w:r>
              <w:rPr>
                <w:rFonts w:ascii="Arial" w:cs="Arial" w:eastAsia="Arial" w:hAnsi="Arial"/>
                <w:sz w:val="18"/>
                <w:szCs w:val="18"/>
                <w:color w:val="auto"/>
                <w:w w:val="86"/>
              </w:rPr>
              <w:t>Section 14.01.</w:t>
            </w:r>
          </w:p>
        </w:tc>
        <w:tc>
          <w:tcPr>
            <w:tcW w:w="240" w:type="dxa"/>
            <w:vAlign w:val="bottom"/>
          </w:tcPr>
          <w:p>
            <w:pPr>
              <w:spacing w:after="0"/>
              <w:rPr>
                <w:sz w:val="24"/>
                <w:szCs w:val="24"/>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Right to Convert</w:t>
            </w: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26"/>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14.02.</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Exercise of Conversion Privilege; Issuance of Ordinary Shares on Conversion; No</w:t>
            </w:r>
          </w:p>
        </w:tc>
        <w:tc>
          <w:tcPr>
            <w:tcW w:w="2180" w:type="dxa"/>
            <w:vAlign w:val="bottom"/>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Adjustment for Interest or Dividends</w:t>
            </w: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Conversion Price</w:t>
            </w:r>
          </w:p>
        </w:tc>
        <w:tc>
          <w:tcPr>
            <w:tcW w:w="2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14.04.</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Adjustment of Conversion Price</w:t>
            </w:r>
          </w:p>
        </w:tc>
        <w:tc>
          <w:tcPr>
            <w:tcW w:w="2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14.05.</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Effect of Reclassification, Consolidation, Merger or Sale</w:t>
            </w:r>
          </w:p>
        </w:tc>
        <w:tc>
          <w:tcPr>
            <w:tcW w:w="2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14.06.</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Reserved</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26"/>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14.07.</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Reservation of Shares, Shares to Be Fully Paid; Compliance with Governmental</w:t>
            </w:r>
          </w:p>
        </w:tc>
        <w:tc>
          <w:tcPr>
            <w:tcW w:w="2180" w:type="dxa"/>
            <w:vAlign w:val="bottom"/>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Requirements, Listing of Ordinary Shares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14.08.</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Responsibility of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14.09.</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Notice to Holders Prior to Certain Actions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14.10.</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Rights Issued in Respect of Ordinary Shares Issued Upon Conversions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610"/>
        </w:trPr>
        <w:tc>
          <w:tcPr>
            <w:tcW w:w="1260" w:type="dxa"/>
            <w:vAlign w:val="bottom"/>
            <w:gridSpan w:val="2"/>
          </w:tcPr>
          <w:p>
            <w:pP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ARTICLE 15</w:t>
              </w:r>
            </w:hyperlink>
          </w:p>
        </w:tc>
        <w:tc>
          <w:tcPr>
            <w:tcW w:w="7980" w:type="dxa"/>
            <w:vAlign w:val="bottom"/>
            <w:gridSpan w:val="6"/>
          </w:tcPr>
          <w:p>
            <w:pPr>
              <w:ind w:left="240"/>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MISCELLANEOUS PROVISIONS</w:t>
              </w:r>
            </w:hyperlink>
          </w:p>
        </w:tc>
        <w:tc>
          <w:tcPr>
            <w:tcW w:w="2180" w:type="dxa"/>
            <w:vAlign w:val="bottom"/>
          </w:tcPr>
          <w:p>
            <w:pPr>
              <w:spacing w:after="0"/>
              <w:rPr>
                <w:sz w:val="24"/>
                <w:szCs w:val="2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667"/>
        </w:trPr>
        <w:tc>
          <w:tcPr>
            <w:tcW w:w="1020" w:type="dxa"/>
            <w:vAlign w:val="bottom"/>
          </w:tcPr>
          <w:p>
            <w:pPr>
              <w:spacing w:after="0"/>
              <w:rPr>
                <w:sz w:val="20"/>
                <w:szCs w:val="20"/>
                <w:color w:val="auto"/>
              </w:rPr>
            </w:pPr>
            <w:r>
              <w:rPr>
                <w:rFonts w:ascii="Arial" w:cs="Arial" w:eastAsia="Arial" w:hAnsi="Arial"/>
                <w:sz w:val="18"/>
                <w:szCs w:val="18"/>
                <w:color w:val="auto"/>
                <w:w w:val="86"/>
              </w:rPr>
              <w:t>Section 15.01.</w:t>
            </w:r>
          </w:p>
        </w:tc>
        <w:tc>
          <w:tcPr>
            <w:tcW w:w="240" w:type="dxa"/>
            <w:vAlign w:val="bottom"/>
          </w:tcPr>
          <w:p>
            <w:pPr>
              <w:spacing w:after="0"/>
              <w:rPr>
                <w:sz w:val="24"/>
                <w:szCs w:val="24"/>
                <w:color w:val="auto"/>
              </w:rPr>
            </w:pP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Provisions Binding on Issuer's Successors</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15.02.</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Official Acts by Successor Corporation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15.03.</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Addresses for Notices, Etc</w:t>
            </w:r>
          </w:p>
        </w:tc>
        <w:tc>
          <w:tcPr>
            <w:tcW w:w="2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15.04.</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Governing Law</w:t>
            </w:r>
          </w:p>
        </w:tc>
        <w:tc>
          <w:tcPr>
            <w:tcW w:w="2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15.05.</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Evidence of Compliance with Conditions Precedent, Certificates to Trustees</w:t>
            </w:r>
          </w:p>
        </w:tc>
        <w:tc>
          <w:tcPr>
            <w:tcW w:w="21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15.06.</w:t>
            </w:r>
          </w:p>
        </w:tc>
        <w:tc>
          <w:tcPr>
            <w:tcW w:w="7980" w:type="dxa"/>
            <w:vAlign w:val="bottom"/>
            <w:gridSpan w:val="6"/>
          </w:tcPr>
          <w:p>
            <w:pPr>
              <w:ind w:left="240"/>
              <w:spacing w:after="0"/>
              <w:rPr>
                <w:sz w:val="20"/>
                <w:szCs w:val="20"/>
                <w:color w:val="auto"/>
              </w:rPr>
            </w:pPr>
            <w:r>
              <w:rPr>
                <w:rFonts w:ascii="Arial" w:cs="Arial" w:eastAsia="Arial" w:hAnsi="Arial"/>
                <w:sz w:val="18"/>
                <w:szCs w:val="18"/>
                <w:color w:val="auto"/>
              </w:rPr>
              <w:t>Legal Holidays</w:t>
            </w:r>
          </w:p>
        </w:tc>
        <w:tc>
          <w:tcPr>
            <w:tcW w:w="2180" w:type="dxa"/>
            <w:vAlign w:val="bottom"/>
          </w:tcPr>
          <w:p>
            <w:pPr>
              <w:jc w:val="right"/>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131" w:right="239" w:bottom="0" w:gutter="0" w:footer="0" w:header="0"/>
        </w:sectPr>
      </w:pPr>
    </w:p>
    <w:bookmarkStart w:id="51" w:name="page52"/>
    <w:bookmarkEnd w:id="51"/>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Section 15.07.</w:t>
            </w:r>
          </w:p>
        </w:tc>
        <w:tc>
          <w:tcPr>
            <w:tcW w:w="6740" w:type="dxa"/>
            <w:vAlign w:val="bottom"/>
          </w:tcPr>
          <w:p>
            <w:pPr>
              <w:ind w:left="240"/>
              <w:spacing w:after="0"/>
              <w:rPr>
                <w:sz w:val="20"/>
                <w:szCs w:val="20"/>
                <w:color w:val="auto"/>
              </w:rPr>
            </w:pPr>
            <w:r>
              <w:rPr>
                <w:rFonts w:ascii="Arial" w:cs="Arial" w:eastAsia="Arial" w:hAnsi="Arial"/>
                <w:sz w:val="18"/>
                <w:szCs w:val="18"/>
                <w:color w:val="auto"/>
              </w:rPr>
              <w:t>Trust Indenture Act</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15.08.</w:t>
            </w:r>
          </w:p>
        </w:tc>
        <w:tc>
          <w:tcPr>
            <w:tcW w:w="6740" w:type="dxa"/>
            <w:vAlign w:val="bottom"/>
          </w:tcPr>
          <w:p>
            <w:pPr>
              <w:ind w:left="240"/>
              <w:spacing w:after="0"/>
              <w:rPr>
                <w:sz w:val="20"/>
                <w:szCs w:val="20"/>
                <w:color w:val="auto"/>
              </w:rPr>
            </w:pPr>
            <w:r>
              <w:rPr>
                <w:rFonts w:ascii="Arial" w:cs="Arial" w:eastAsia="Arial" w:hAnsi="Arial"/>
                <w:sz w:val="18"/>
                <w:szCs w:val="18"/>
                <w:color w:val="auto"/>
              </w:rPr>
              <w:t>No Security Interest Created</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15.09.</w:t>
            </w:r>
          </w:p>
        </w:tc>
        <w:tc>
          <w:tcPr>
            <w:tcW w:w="6740" w:type="dxa"/>
            <w:vAlign w:val="bottom"/>
          </w:tcPr>
          <w:p>
            <w:pPr>
              <w:ind w:left="240"/>
              <w:spacing w:after="0"/>
              <w:rPr>
                <w:sz w:val="20"/>
                <w:szCs w:val="20"/>
                <w:color w:val="auto"/>
              </w:rPr>
            </w:pPr>
            <w:r>
              <w:rPr>
                <w:rFonts w:ascii="Arial" w:cs="Arial" w:eastAsia="Arial" w:hAnsi="Arial"/>
                <w:sz w:val="18"/>
                <w:szCs w:val="18"/>
                <w:color w:val="auto"/>
              </w:rPr>
              <w:t>No limitation on the Issuer's Future Financings</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15.10.</w:t>
            </w:r>
          </w:p>
        </w:tc>
        <w:tc>
          <w:tcPr>
            <w:tcW w:w="6740" w:type="dxa"/>
            <w:vAlign w:val="bottom"/>
          </w:tcPr>
          <w:p>
            <w:pPr>
              <w:ind w:left="240"/>
              <w:spacing w:after="0"/>
              <w:rPr>
                <w:sz w:val="20"/>
                <w:szCs w:val="20"/>
                <w:color w:val="auto"/>
              </w:rPr>
            </w:pPr>
            <w:r>
              <w:rPr>
                <w:rFonts w:ascii="Arial" w:cs="Arial" w:eastAsia="Arial" w:hAnsi="Arial"/>
                <w:sz w:val="18"/>
                <w:szCs w:val="18"/>
                <w:color w:val="auto"/>
              </w:rPr>
              <w:t>Benefits of Indenture</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15.11.</w:t>
            </w:r>
          </w:p>
        </w:tc>
        <w:tc>
          <w:tcPr>
            <w:tcW w:w="6740" w:type="dxa"/>
            <w:vAlign w:val="bottom"/>
          </w:tcPr>
          <w:p>
            <w:pPr>
              <w:ind w:left="240"/>
              <w:spacing w:after="0"/>
              <w:rPr>
                <w:sz w:val="20"/>
                <w:szCs w:val="20"/>
                <w:color w:val="auto"/>
              </w:rPr>
            </w:pPr>
            <w:r>
              <w:rPr>
                <w:rFonts w:ascii="Arial" w:cs="Arial" w:eastAsia="Arial" w:hAnsi="Arial"/>
                <w:sz w:val="18"/>
                <w:szCs w:val="18"/>
                <w:color w:val="auto"/>
              </w:rPr>
              <w:t>Table of Contents, Headings, Etc</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15.12.</w:t>
            </w:r>
          </w:p>
        </w:tc>
        <w:tc>
          <w:tcPr>
            <w:tcW w:w="6740" w:type="dxa"/>
            <w:vAlign w:val="bottom"/>
          </w:tcPr>
          <w:p>
            <w:pPr>
              <w:ind w:left="240"/>
              <w:spacing w:after="0"/>
              <w:rPr>
                <w:sz w:val="20"/>
                <w:szCs w:val="20"/>
                <w:color w:val="auto"/>
              </w:rPr>
            </w:pPr>
            <w:r>
              <w:rPr>
                <w:rFonts w:ascii="Arial" w:cs="Arial" w:eastAsia="Arial" w:hAnsi="Arial"/>
                <w:sz w:val="18"/>
                <w:szCs w:val="18"/>
                <w:color w:val="auto"/>
              </w:rPr>
              <w:t>Authenticating Agent</w:t>
            </w:r>
          </w:p>
        </w:tc>
        <w:tc>
          <w:tcPr>
            <w:tcW w:w="3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15.13.</w:t>
            </w:r>
          </w:p>
        </w:tc>
        <w:tc>
          <w:tcPr>
            <w:tcW w:w="6740" w:type="dxa"/>
            <w:vAlign w:val="bottom"/>
          </w:tcPr>
          <w:p>
            <w:pPr>
              <w:ind w:left="240"/>
              <w:spacing w:after="0"/>
              <w:rPr>
                <w:sz w:val="20"/>
                <w:szCs w:val="20"/>
                <w:color w:val="auto"/>
              </w:rPr>
            </w:pPr>
            <w:r>
              <w:rPr>
                <w:rFonts w:ascii="Arial" w:cs="Arial" w:eastAsia="Arial" w:hAnsi="Arial"/>
                <w:sz w:val="18"/>
                <w:szCs w:val="18"/>
                <w:color w:val="auto"/>
              </w:rPr>
              <w:t>Execution in Counterparts</w:t>
            </w:r>
          </w:p>
        </w:tc>
        <w:tc>
          <w:tcPr>
            <w:tcW w:w="3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Section 15.14.</w:t>
            </w:r>
          </w:p>
        </w:tc>
        <w:tc>
          <w:tcPr>
            <w:tcW w:w="674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338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INDENTURE</w:t>
      </w:r>
    </w:p>
    <w:p>
      <w:pPr>
        <w:spacing w:after="0" w:line="29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INDENTURE dated as of December 15 , 2005 by and among Tower Semiconductor Ltd., a company with limited liability incorporated under the laws of Israel (the “</w:t>
      </w:r>
      <w:r>
        <w:rPr>
          <w:rFonts w:ascii="Arial" w:cs="Arial" w:eastAsia="Arial" w:hAnsi="Arial"/>
          <w:sz w:val="18"/>
          <w:szCs w:val="18"/>
          <w:b w:val="1"/>
          <w:bCs w:val="1"/>
          <w:color w:val="auto"/>
        </w:rPr>
        <w:t>Issuer</w:t>
      </w:r>
      <w:r>
        <w:rPr>
          <w:rFonts w:ascii="Arial" w:cs="Arial" w:eastAsia="Arial" w:hAnsi="Arial"/>
          <w:sz w:val="18"/>
          <w:szCs w:val="18"/>
          <w:color w:val="auto"/>
        </w:rPr>
        <w:t>”), The Bank of New York, a New York banking corporation,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and Hermetic Trust (1975) Ltd., an Israeli company, as co-trustee (the “</w:t>
      </w:r>
      <w:r>
        <w:rPr>
          <w:rFonts w:ascii="Arial" w:cs="Arial" w:eastAsia="Arial" w:hAnsi="Arial"/>
          <w:sz w:val="18"/>
          <w:szCs w:val="18"/>
          <w:b w:val="1"/>
          <w:bCs w:val="1"/>
          <w:color w:val="auto"/>
        </w:rPr>
        <w:t>Co-Trustee</w:t>
      </w:r>
      <w:r>
        <w:rPr>
          <w:rFonts w:ascii="Arial" w:cs="Arial" w:eastAsia="Arial" w:hAnsi="Arial"/>
          <w:sz w:val="18"/>
          <w:szCs w:val="18"/>
          <w:color w:val="auto"/>
        </w:rPr>
        <w:t>”, and, together with the Trustee, the “</w:t>
      </w:r>
      <w:r>
        <w:rPr>
          <w:rFonts w:ascii="Arial" w:cs="Arial" w:eastAsia="Arial" w:hAnsi="Arial"/>
          <w:sz w:val="18"/>
          <w:szCs w:val="18"/>
          <w:b w:val="1"/>
          <w:bCs w:val="1"/>
          <w:color w:val="auto"/>
        </w:rPr>
        <w:t>Trustees</w:t>
      </w:r>
      <w:r>
        <w:rPr>
          <w:rFonts w:ascii="Arial" w:cs="Arial" w:eastAsia="Arial" w:hAnsi="Arial"/>
          <w:sz w:val="18"/>
          <w:szCs w:val="18"/>
          <w:color w:val="auto"/>
        </w:rPr>
        <w: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for its lawful corporate purposes, the Issuer has duly authorized the issue of its 5% Subordinated Convertible Debentures due 201 2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in an aggregate principal amount not to exceed $50,000,000 and to provide the terms and conditions upon which the Notes are to be authenticated,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and delivered, the Issuer has duly authorized the execution and delivery of this Indenture; and</w:t>
      </w:r>
    </w:p>
    <w:p>
      <w:pPr>
        <w:spacing w:after="0" w:line="219"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WHEREAS, the Notes, the certificate of authentication to be borne by the Notes, a form of assignment and a form of conversion notice to be borne by the Notes are to be substantially in the forms hereinafter provided for; and</w:t>
      </w:r>
    </w:p>
    <w:p>
      <w:pPr>
        <w:spacing w:after="0" w:line="186"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WHEREAS, all acts and things necessary to make the Notes, when executed by the Issuer and authenticated and delivered by the Trustee or a duly authorized authenticating agent, as in this Indenture provided, the valid, binding and legal obligations of the Issuer, and to constitute this Indenture a valid agreement according to its terms, have been done and performed, and the execution of this Indenture and the issue hereunder of the Notes have in all respects been duly authorized,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Issuer covenants and agrees with the Trustees for the equal and proportionate benefit of the respective holders from time to time of the Notes (except as otherwise provided below), as follows:</w:t>
      </w:r>
    </w:p>
    <w:p>
      <w:pPr>
        <w:spacing w:after="0" w:line="23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DEFINITIONS</w:t>
      </w:r>
    </w:p>
    <w:p>
      <w:pPr>
        <w:spacing w:after="0" w:line="2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Definitions</w:t>
      </w:r>
      <w:r>
        <w:rPr>
          <w:rFonts w:ascii="Arial" w:cs="Arial" w:eastAsia="Arial" w:hAnsi="Arial"/>
          <w:sz w:val="16"/>
          <w:szCs w:val="16"/>
          <w:color w:val="auto"/>
        </w:rPr>
        <w:t>. The terms defined in this Section 1.01 (except as herein otherwise expressly provided or unless the context otherwise requires) for all purposes of this Indenture and of any indenture supplemental hereto shall have the respective meanings specified in this Section 1.01. All other terms used in this Indenture that are defined in the Trust Indenture Act or which are by reference therein defined in the Securities Act (except as herein otherwise expressly provided or unless the context otherwise requires) shall have the meanings assigned to such terms in the Trust Indenture Act and in the Securities Act as in force at the date of the execution of this Indenture. The words “</w:t>
      </w:r>
      <w:r>
        <w:rPr>
          <w:rFonts w:ascii="Arial" w:cs="Arial" w:eastAsia="Arial" w:hAnsi="Arial"/>
          <w:sz w:val="16"/>
          <w:szCs w:val="16"/>
          <w:b w:val="1"/>
          <w:bCs w:val="1"/>
          <w:color w:val="auto"/>
        </w:rPr>
        <w:t>herein</w:t>
      </w:r>
      <w:r>
        <w:rPr>
          <w:rFonts w:ascii="Arial" w:cs="Arial" w:eastAsia="Arial" w:hAnsi="Arial"/>
          <w:sz w:val="16"/>
          <w:szCs w:val="16"/>
          <w:color w:val="auto"/>
        </w:rPr>
        <w:t>”,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hereunder</w:t>
      </w:r>
      <w:r>
        <w:rPr>
          <w:rFonts w:ascii="Arial" w:cs="Arial" w:eastAsia="Arial" w:hAnsi="Arial"/>
          <w:sz w:val="16"/>
          <w:szCs w:val="16"/>
          <w:color w:val="auto"/>
        </w:rPr>
        <w:t>” and words of similar import refer to this Indenture as a whole and not to any particular Article, Section or other Subdivision. The terms defined in this Article include the plural as well as the singular.</w:t>
      </w:r>
    </w:p>
    <w:p>
      <w:pPr>
        <w:spacing w:after="0" w:line="168"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the purposes of this definition, “</w:t>
      </w:r>
      <w:r>
        <w:rPr>
          <w:rFonts w:ascii="Arial" w:cs="Arial" w:eastAsia="Arial" w:hAnsi="Arial"/>
          <w:sz w:val="16"/>
          <w:szCs w:val="16"/>
          <w:b w:val="1"/>
          <w:bCs w:val="1"/>
          <w:color w:val="auto"/>
        </w:rPr>
        <w:t>control</w:t>
      </w:r>
      <w:r>
        <w:rPr>
          <w:rFonts w:ascii="Arial" w:cs="Arial" w:eastAsia="Arial" w:hAnsi="Arial"/>
          <w:sz w:val="16"/>
          <w:szCs w:val="16"/>
          <w:color w:val="auto"/>
        </w:rPr>
        <w:t>”, when used with respect to any specified Person, means the power to direct or cause the direction of the management and policies of such Person, directly or indirectly, whether through the ownership of voting securities, by contract or otherwise, and the terms “</w:t>
      </w:r>
      <w:r>
        <w:rPr>
          <w:rFonts w:ascii="Arial" w:cs="Arial" w:eastAsia="Arial" w:hAnsi="Arial"/>
          <w:sz w:val="16"/>
          <w:szCs w:val="16"/>
          <w:b w:val="1"/>
          <w:b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color w:val="auto"/>
        </w:rPr>
        <w:t>controlled</w:t>
      </w:r>
      <w:r>
        <w:rPr>
          <w:rFonts w:ascii="Arial" w:cs="Arial" w:eastAsia="Arial" w:hAnsi="Arial"/>
          <w:sz w:val="16"/>
          <w:szCs w:val="16"/>
          <w:color w:val="auto"/>
        </w:rPr>
        <w:t>” have meanings correlative to the foregoing.</w:t>
      </w:r>
    </w:p>
    <w:p>
      <w:pPr>
        <w:spacing w:after="0" w:line="157" w:lineRule="exact"/>
        <w:rPr>
          <w:sz w:val="20"/>
          <w:szCs w:val="20"/>
          <w:color w:val="auto"/>
        </w:rPr>
      </w:pPr>
    </w:p>
    <w:p>
      <w:pPr>
        <w:ind w:right="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Association</w:t>
      </w:r>
      <w:r>
        <w:rPr>
          <w:rFonts w:ascii="Arial" w:cs="Arial" w:eastAsia="Arial" w:hAnsi="Arial"/>
          <w:sz w:val="18"/>
          <w:szCs w:val="18"/>
          <w:color w:val="auto"/>
        </w:rPr>
        <w:t>” means the Issuer’s Amended Articles of Association adopted by the shareholders’ meeting of the Issuer on November 14, 2000 as it may have been and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Payment Date</w:t>
      </w:r>
      <w:r>
        <w:rPr>
          <w:rFonts w:ascii="Arial" w:cs="Arial" w:eastAsia="Arial" w:hAnsi="Arial"/>
          <w:sz w:val="18"/>
          <w:szCs w:val="18"/>
          <w:color w:val="auto"/>
        </w:rPr>
        <w:t>” means a payment date of interest and/or principal to the Lenders under the Credit Facility.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Issuer or a committee of such Board duly authorized to act for it 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on which banking institutions in London, New York and the State of Israel are generally open for business.</w:t>
      </w:r>
    </w:p>
    <w:p>
      <w:pPr>
        <w:spacing w:after="0" w:line="248"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Co-Trustee</w:t>
      </w:r>
      <w:r>
        <w:rPr>
          <w:rFonts w:ascii="Arial" w:cs="Arial" w:eastAsia="Arial" w:hAnsi="Arial"/>
          <w:sz w:val="18"/>
          <w:szCs w:val="18"/>
          <w:color w:val="auto"/>
        </w:rPr>
        <w:t>” means Hermetic Trust (1975) Ltd. and its successors and any corporation resulting from or surviving any consolidation or merger to which it or its successors may be a party and any successor co-trustee at any time serving as successor or co-trustee hereunder.</w:t>
      </w:r>
    </w:p>
    <w:p>
      <w:pPr>
        <w:sectPr>
          <w:pgSz w:w="11900" w:h="16858" w:orient="portrait"/>
          <w:cols w:equalWidth="0" w:num="1">
            <w:col w:w="11400"/>
          </w:cols>
          <w:pgMar w:left="240" w:top="347" w:right="259" w:bottom="0" w:gutter="0" w:footer="0" w:header="0"/>
        </w:sectPr>
      </w:pPr>
    </w:p>
    <w:bookmarkStart w:id="52" w:name="page53"/>
    <w:bookmarkEnd w:id="52"/>
    <w:p>
      <w:pPr>
        <w:jc w:val="both"/>
        <w:ind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has the meaning specified in Section 14.03.</w:t>
      </w:r>
    </w:p>
    <w:p>
      <w:pPr>
        <w:spacing w:after="0" w:line="225" w:lineRule="exact"/>
        <w:rPr>
          <w:sz w:val="20"/>
          <w:szCs w:val="20"/>
          <w:color w:val="auto"/>
        </w:rPr>
      </w:pPr>
    </w:p>
    <w:p>
      <w:pPr>
        <w:ind w:right="16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or other similar term, means the designated office of the Trustee at which at any particular time its corporate trust business as it relates to this Indenture shall be administered, which office is, at the date as of which this Indenture is dated, located at One Canada Square, London E14 5AL, United Kingdom.</w:t>
      </w:r>
    </w:p>
    <w:p>
      <w:pPr>
        <w:spacing w:after="0" w:line="186" w:lineRule="exact"/>
        <w:rPr>
          <w:sz w:val="20"/>
          <w:szCs w:val="20"/>
          <w:color w:val="auto"/>
        </w:rPr>
      </w:pPr>
    </w:p>
    <w:p>
      <w:pPr>
        <w:ind w:right="380" w:firstLine="35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Facility</w:t>
      </w:r>
      <w:r>
        <w:rPr>
          <w:rFonts w:ascii="Arial" w:cs="Arial" w:eastAsia="Arial" w:hAnsi="Arial"/>
          <w:sz w:val="16"/>
          <w:szCs w:val="16"/>
          <w:color w:val="auto"/>
        </w:rPr>
        <w:t>” means the credit facility agreement dated January 18, 2001 made between the Issuer, as borrower, and Bank Hapoalim B.M and Bank Leumi Le-Israel Ltd., as lenders, as amended, restated, modified, renewed, refunded, replaced or refinanced in whole or in part from time to time.</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Event of Default</w:t>
      </w:r>
      <w:r>
        <w:rPr>
          <w:rFonts w:ascii="Arial" w:cs="Arial" w:eastAsia="Arial" w:hAnsi="Arial"/>
          <w:sz w:val="18"/>
          <w:szCs w:val="18"/>
          <w:color w:val="auto"/>
        </w:rPr>
        <w:t>” has the meaning specified in Section 8.03.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specified in Section 6.01 as an Event of Default.</w:t>
      </w:r>
    </w:p>
    <w:p>
      <w:pPr>
        <w:spacing w:after="0" w:line="225" w:lineRule="exact"/>
        <w:rPr>
          <w:sz w:val="20"/>
          <w:szCs w:val="20"/>
          <w:color w:val="auto"/>
        </w:rPr>
      </w:pPr>
    </w:p>
    <w:p>
      <w:pPr>
        <w:ind w:right="2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 as in effect from time to time.</w:t>
      </w:r>
    </w:p>
    <w:p>
      <w:pPr>
        <w:spacing w:after="0" w:line="174"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 Report</w:t>
      </w:r>
      <w:r>
        <w:rPr>
          <w:rFonts w:ascii="Arial" w:cs="Arial" w:eastAsia="Arial" w:hAnsi="Arial"/>
          <w:sz w:val="18"/>
          <w:szCs w:val="18"/>
          <w:color w:val="auto"/>
        </w:rPr>
        <w:t>” means a report which is referred to in Section 30 of the Securities Regulations (Periodic and Immediate Reports) – 1970, regulations promulgated under the Securities Law.</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or, if amended or supplemented as herein provided, as so amended or supplemented.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means, when used with reference to the Notes, any interest payable under the terms of the Notes.</w:t>
      </w:r>
    </w:p>
    <w:p>
      <w:pPr>
        <w:spacing w:after="0" w:line="225" w:lineRule="exact"/>
        <w:rPr>
          <w:sz w:val="20"/>
          <w:szCs w:val="20"/>
          <w:color w:val="auto"/>
        </w:rPr>
      </w:pPr>
    </w:p>
    <w:p>
      <w:pPr>
        <w:ind w:right="8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the corporation named as the “</w:t>
      </w:r>
      <w:r>
        <w:rPr>
          <w:rFonts w:ascii="Arial" w:cs="Arial" w:eastAsia="Arial" w:hAnsi="Arial"/>
          <w:sz w:val="18"/>
          <w:szCs w:val="18"/>
          <w:b w:val="1"/>
          <w:bCs w:val="1"/>
          <w:color w:val="auto"/>
        </w:rPr>
        <w:t>Issuer</w:t>
      </w:r>
      <w:r>
        <w:rPr>
          <w:rFonts w:ascii="Arial" w:cs="Arial" w:eastAsia="Arial" w:hAnsi="Arial"/>
          <w:sz w:val="18"/>
          <w:szCs w:val="18"/>
          <w:color w:val="auto"/>
        </w:rPr>
        <w:t>” in the first paragraph of this Indenture, and, subject to the provisions of Article 12 and Section 14.05, shall include its successors and assigns.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a lender under the Credit Facility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ISA</w:t>
      </w:r>
      <w:r>
        <w:rPr>
          <w:rFonts w:ascii="Arial" w:cs="Arial" w:eastAsia="Arial" w:hAnsi="Arial"/>
          <w:sz w:val="18"/>
          <w:szCs w:val="18"/>
          <w:color w:val="auto"/>
        </w:rPr>
        <w:t>” means the Israel Securities Authority.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NIS</w:t>
      </w:r>
      <w:r>
        <w:rPr>
          <w:rFonts w:ascii="Arial" w:cs="Arial" w:eastAsia="Arial" w:hAnsi="Arial"/>
          <w:sz w:val="18"/>
          <w:szCs w:val="18"/>
          <w:color w:val="auto"/>
        </w:rPr>
        <w:t>” means New Israeli Shekels, the lawful currency of the State of Israel.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non-electing share</w:t>
      </w:r>
      <w:r>
        <w:rPr>
          <w:rFonts w:ascii="Arial" w:cs="Arial" w:eastAsia="Arial" w:hAnsi="Arial"/>
          <w:sz w:val="18"/>
          <w:szCs w:val="18"/>
          <w:color w:val="auto"/>
        </w:rPr>
        <w:t>” has the meaning specified in Section 14.05.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or “</w:t>
      </w:r>
      <w:r>
        <w:rPr>
          <w:rFonts w:ascii="Arial" w:cs="Arial" w:eastAsia="Arial" w:hAnsi="Arial"/>
          <w:sz w:val="18"/>
          <w:szCs w:val="18"/>
          <w:b w:val="1"/>
          <w:bCs w:val="1"/>
          <w:color w:val="auto"/>
        </w:rPr>
        <w:t>Notes</w:t>
      </w:r>
      <w:r>
        <w:rPr>
          <w:rFonts w:ascii="Arial" w:cs="Arial" w:eastAsia="Arial" w:hAnsi="Arial"/>
          <w:sz w:val="18"/>
          <w:szCs w:val="18"/>
          <w:color w:val="auto"/>
        </w:rPr>
        <w:t>” means any Note or Notes, as the case may be, authenticated and delivered under this Indenture.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register</w:t>
      </w:r>
      <w:r>
        <w:rPr>
          <w:rFonts w:ascii="Arial" w:cs="Arial" w:eastAsia="Arial" w:hAnsi="Arial"/>
          <w:sz w:val="18"/>
          <w:szCs w:val="18"/>
          <w:color w:val="auto"/>
        </w:rPr>
        <w:t>” has the meaning specified in Section 2.05.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registrar</w:t>
      </w:r>
      <w:r>
        <w:rPr>
          <w:rFonts w:ascii="Arial" w:cs="Arial" w:eastAsia="Arial" w:hAnsi="Arial"/>
          <w:sz w:val="18"/>
          <w:szCs w:val="18"/>
          <w:color w:val="auto"/>
        </w:rPr>
        <w:t>” has the meaning specified in Section 2.05.</w:t>
      </w:r>
    </w:p>
    <w:p>
      <w:pPr>
        <w:spacing w:after="0" w:line="225"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Noteholder</w:t>
      </w:r>
      <w:r>
        <w:rPr>
          <w:rFonts w:ascii="Arial" w:cs="Arial" w:eastAsia="Arial" w:hAnsi="Arial"/>
          <w:sz w:val="18"/>
          <w:szCs w:val="18"/>
          <w:color w:val="auto"/>
        </w:rPr>
        <w:t>” or “</w:t>
      </w:r>
      <w:r>
        <w:rPr>
          <w:rFonts w:ascii="Arial" w:cs="Arial" w:eastAsia="Arial" w:hAnsi="Arial"/>
          <w:sz w:val="18"/>
          <w:szCs w:val="18"/>
          <w:b w:val="1"/>
          <w:bCs w:val="1"/>
          <w:color w:val="auto"/>
        </w:rPr>
        <w:t>holder</w:t>
      </w:r>
      <w:r>
        <w:rPr>
          <w:rFonts w:ascii="Arial" w:cs="Arial" w:eastAsia="Arial" w:hAnsi="Arial"/>
          <w:sz w:val="18"/>
          <w:szCs w:val="18"/>
          <w:color w:val="auto"/>
        </w:rPr>
        <w:t>” as applied to any Note, or other similar terms (but excluding the term “</w:t>
      </w:r>
      <w:r>
        <w:rPr>
          <w:rFonts w:ascii="Arial" w:cs="Arial" w:eastAsia="Arial" w:hAnsi="Arial"/>
          <w:sz w:val="18"/>
          <w:szCs w:val="18"/>
          <w:b w:val="1"/>
          <w:bCs w:val="1"/>
          <w:color w:val="auto"/>
        </w:rPr>
        <w:t>beneficial holder</w:t>
      </w:r>
      <w:r>
        <w:rPr>
          <w:rFonts w:ascii="Arial" w:cs="Arial" w:eastAsia="Arial" w:hAnsi="Arial"/>
          <w:sz w:val="18"/>
          <w:szCs w:val="18"/>
          <w:color w:val="auto"/>
        </w:rPr>
        <w:t>”), means any Person in whose name at the time a particular Note is registered on the Note registrar’s books.</w:t>
      </w:r>
    </w:p>
    <w:p>
      <w:pPr>
        <w:spacing w:after="0" w:line="174" w:lineRule="exact"/>
        <w:rPr>
          <w:sz w:val="20"/>
          <w:szCs w:val="20"/>
          <w:color w:val="auto"/>
        </w:rPr>
      </w:pPr>
    </w:p>
    <w:p>
      <w:pPr>
        <w:ind w:right="40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xml:space="preserve">”, when used with respect to the Issuer, means a certificate signed by the Chairman of the Board, the Chief Executive Officer, the President or any Vice President (whether or not designated by a number or numbers or word or words added before or after the title </w:t>
      </w:r>
      <w:r>
        <w:rPr>
          <w:rFonts w:ascii="Arial" w:cs="Arial" w:eastAsia="Arial" w:hAnsi="Arial"/>
          <w:sz w:val="18"/>
          <w:szCs w:val="18"/>
          <w:b w:val="1"/>
          <w:bCs w:val="1"/>
          <w:color w:val="auto"/>
        </w:rPr>
        <w:t>“Vice President</w:t>
      </w:r>
      <w:r>
        <w:rPr>
          <w:rFonts w:ascii="Arial" w:cs="Arial" w:eastAsia="Arial" w:hAnsi="Arial"/>
          <w:sz w:val="18"/>
          <w:szCs w:val="18"/>
          <w:color w:val="auto"/>
        </w:rPr>
        <w:t>”), the Treasurer or any Assistant Treasurer, or the Secretary of the Issuer.</w:t>
      </w:r>
    </w:p>
    <w:p>
      <w:pPr>
        <w:spacing w:after="0" w:line="186" w:lineRule="exact"/>
        <w:rPr>
          <w:sz w:val="20"/>
          <w:szCs w:val="20"/>
          <w:color w:val="auto"/>
        </w:rPr>
      </w:pPr>
    </w:p>
    <w:p>
      <w:pPr>
        <w:ind w:right="80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legal counsel, who may be an employee of or counsel to the Issuer, or other counsel reasonably acceptable to the Trustee.</w:t>
      </w:r>
    </w:p>
    <w:p>
      <w:pPr>
        <w:spacing w:after="0" w:line="17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Shares</w:t>
      </w:r>
      <w:r>
        <w:rPr>
          <w:rFonts w:ascii="Arial" w:cs="Arial" w:eastAsia="Arial" w:hAnsi="Arial"/>
          <w:sz w:val="16"/>
          <w:szCs w:val="16"/>
          <w:color w:val="auto"/>
        </w:rPr>
        <w:t xml:space="preserve">” means any stock of any class of the Issuer which has no preference in respect of dividends or of amounts payable in the event of any voluntary or involuntary liquidation, dissolution or winding up of the Issuer and which is not subject to redemption by the Issuer. Subject to the provisions of Section 14.05, however, shares issuable on conversion of Notes shall include only shares of the class designated as ordinary shares of the Issuer at the date of this Indenture (namely, the Ordinary Shares, par value NIS 1.00) or shares of any class or classes resulting from any reclassification or reclassifications thereof and which have no preference in respect of dividends or of amounts payable in the event of any voluntary or involuntary liquidation, dissolution or winding up of the Issuer and which are not subject to redemption (other than as provided in the Articles of Association) by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there shall be more than one such resulting class, the shares of each such class then so issuable on conversion shall be substantially in the proportion which the total number of shares of such class resulting from all such reclassifications bears to the total number of shares of all such classes resulting from all such reclassifications.</w:t>
      </w:r>
    </w:p>
    <w:p>
      <w:pPr>
        <w:spacing w:after="0" w:line="166"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Notes and subject to the provisions of Section 9.04, means, as of any particular time, all Notes authenticated and delivered by the Trustee under this Indenture, except:</w:t>
      </w:r>
    </w:p>
    <w:p>
      <w:pPr>
        <w:spacing w:after="0" w:line="180" w:lineRule="exact"/>
        <w:rPr>
          <w:sz w:val="20"/>
          <w:szCs w:val="20"/>
          <w:color w:val="auto"/>
        </w:rPr>
      </w:pPr>
    </w:p>
    <w:p>
      <w:pPr>
        <w:ind w:left="1160" w:hanging="571"/>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Notes theretofore canceled by the Trustee or delivered to the Trustee for cancellation;</w:t>
      </w:r>
    </w:p>
    <w:p>
      <w:pPr>
        <w:spacing w:after="0" w:line="252"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Notes, or portions thereof, for the redemption of which monies in the necessary amount shall have been deposited in trust with the Trustee or with any paying agent (other than the Issuer);</w:t>
      </w:r>
    </w:p>
    <w:p>
      <w:pPr>
        <w:sectPr>
          <w:pgSz w:w="11900" w:h="16838" w:orient="portrait"/>
          <w:cols w:equalWidth="0" w:num="1">
            <w:col w:w="11420"/>
          </w:cols>
          <w:pgMar w:left="240" w:top="125" w:right="239" w:bottom="0" w:gutter="0" w:footer="0" w:header="0"/>
        </w:sectPr>
      </w:pPr>
    </w:p>
    <w:bookmarkStart w:id="53" w:name="page54"/>
    <w:bookmarkEnd w:id="53"/>
    <w:p>
      <w:pPr>
        <w:ind w:left="1160" w:hanging="571"/>
        <w:spacing w:after="0" w:line="268" w:lineRule="auto"/>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Notes in lieu of which, or in substitution for which, other Notes shall have been authenticated and delivered pursuant to the terms of Section 2.06;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Notes converted into Ordinary Shares pursuant to Article 14 and Notes deemed not outstanding pursuant to Article 3.</w:t>
      </w:r>
    </w:p>
    <w:p>
      <w:pPr>
        <w:spacing w:after="0" w:line="200" w:lineRule="exact"/>
        <w:rPr>
          <w:sz w:val="20"/>
          <w:szCs w:val="20"/>
          <w:color w:val="auto"/>
        </w:rPr>
      </w:pPr>
    </w:p>
    <w:p>
      <w:pPr>
        <w:spacing w:after="0" w:line="262"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corporation, an association, a partnership, a limited liability company, an individual, a joint venture, a joint stock company, a trust, an unincorporated organization or a government or an agency or a political subdivision thereof.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or the Co-Trustee, any officer within the corporate trust department of the Trustee or the Co-Trustee, including any vice president, assistant vice president, assistant treasurer, trust officer or any other officer of the Trustee or the Co-Trustee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Securities</w:t>
      </w:r>
      <w:r>
        <w:rPr>
          <w:rFonts w:ascii="Arial" w:cs="Arial" w:eastAsia="Arial" w:hAnsi="Arial"/>
          <w:sz w:val="18"/>
          <w:szCs w:val="18"/>
          <w:color w:val="auto"/>
        </w:rPr>
        <w:t>” has the meaning specified in Section 2.05(b).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any capital stock of the Issuer.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 as in effect from time to time.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Law</w:t>
      </w:r>
      <w:r>
        <w:rPr>
          <w:rFonts w:ascii="Arial" w:cs="Arial" w:eastAsia="Arial" w:hAnsi="Arial"/>
          <w:sz w:val="18"/>
          <w:szCs w:val="18"/>
          <w:color w:val="auto"/>
        </w:rPr>
        <w:t>” means the Israel Securities Law, 5728 – 1968 and the regulations pursuant thereto, as in effect from time to time.</w:t>
      </w:r>
    </w:p>
    <w:p>
      <w:pPr>
        <w:spacing w:after="0" w:line="225" w:lineRule="exact"/>
        <w:rPr>
          <w:sz w:val="20"/>
          <w:szCs w:val="20"/>
          <w:color w:val="auto"/>
        </w:rPr>
      </w:pPr>
    </w:p>
    <w:p>
      <w:pPr>
        <w:ind w:right="6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as of any date of determination, a Subsidiary of the Issuer that would constitute a “</w:t>
      </w:r>
      <w:r>
        <w:rPr>
          <w:rFonts w:ascii="Arial" w:cs="Arial" w:eastAsia="Arial" w:hAnsi="Arial"/>
          <w:sz w:val="18"/>
          <w:szCs w:val="18"/>
          <w:b w:val="1"/>
          <w:bCs w:val="1"/>
          <w:color w:val="auto"/>
        </w:rPr>
        <w:t>significant subsidiary</w:t>
      </w:r>
      <w:r>
        <w:rPr>
          <w:rFonts w:ascii="Arial" w:cs="Arial" w:eastAsia="Arial" w:hAnsi="Arial"/>
          <w:sz w:val="18"/>
          <w:szCs w:val="18"/>
          <w:color w:val="auto"/>
        </w:rPr>
        <w:t>” as such term is defined under Rule 1-02(w) of Regulation S-X of the Commission as in effect on the date of this Indenture.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Six Month Period</w:t>
      </w:r>
      <w:r>
        <w:rPr>
          <w:rFonts w:ascii="Arial" w:cs="Arial" w:eastAsia="Arial" w:hAnsi="Arial"/>
          <w:sz w:val="18"/>
          <w:szCs w:val="18"/>
          <w:color w:val="auto"/>
        </w:rPr>
        <w:t>” has the meaning specified in Section 8.03.</w:t>
      </w:r>
    </w:p>
    <w:p>
      <w:pPr>
        <w:spacing w:after="0" w:line="225" w:lineRule="exact"/>
        <w:rPr>
          <w:sz w:val="20"/>
          <w:szCs w:val="20"/>
          <w:color w:val="auto"/>
        </w:rPr>
      </w:pPr>
    </w:p>
    <w:p>
      <w:pPr>
        <w:ind w:right="120" w:firstLine="35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(i) any corporation, association or other business entity of which more than 50% of the total voting power of shares of capital stock or other equity interest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(ii) any partnership (a) the sole general partner or managing general partner of which is such Person or a subsidiary of such Person or (b) the only general partners of which are such Person or one or more subsidiaries of such Person (or any combination thereof).</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TASE</w:t>
      </w:r>
      <w:r>
        <w:rPr>
          <w:rFonts w:ascii="Arial" w:cs="Arial" w:eastAsia="Arial" w:hAnsi="Arial"/>
          <w:sz w:val="18"/>
          <w:szCs w:val="18"/>
          <w:color w:val="auto"/>
        </w:rPr>
        <w:t>” means the Tel Aviv Stock Exchange Ltd., or any successor thereto.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TASE Trading Day</w:t>
      </w:r>
      <w:r>
        <w:rPr>
          <w:rFonts w:ascii="Arial" w:cs="Arial" w:eastAsia="Arial" w:hAnsi="Arial"/>
          <w:sz w:val="18"/>
          <w:szCs w:val="18"/>
          <w:color w:val="auto"/>
        </w:rPr>
        <w:t>” means a day on which the TASE is open for trading in Ordinary Shares.</w:t>
      </w:r>
    </w:p>
    <w:p>
      <w:pPr>
        <w:spacing w:after="0" w:line="225" w:lineRule="exact"/>
        <w:rPr>
          <w:sz w:val="20"/>
          <w:szCs w:val="20"/>
          <w:color w:val="auto"/>
        </w:rPr>
      </w:pPr>
    </w:p>
    <w:p>
      <w:pPr>
        <w:ind w:right="240" w:firstLine="35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xml:space="preserve">” means the Trust Indenture Act of 1939, as amended, as it was in force at the date of this Indenture, except as provided in Sections 11.03 and 15.07;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Trust Indenture Act of 1939 is amended after the date hereof, the term “</w:t>
      </w:r>
      <w:r>
        <w:rPr>
          <w:rFonts w:ascii="Arial" w:cs="Arial" w:eastAsia="Arial" w:hAnsi="Arial"/>
          <w:sz w:val="18"/>
          <w:szCs w:val="18"/>
          <w:b w:val="1"/>
          <w:bCs w:val="1"/>
          <w:color w:val="auto"/>
        </w:rPr>
        <w:t>Trust Indenture Act</w:t>
      </w:r>
      <w:r>
        <w:rPr>
          <w:rFonts w:ascii="Arial" w:cs="Arial" w:eastAsia="Arial" w:hAnsi="Arial"/>
          <w:sz w:val="18"/>
          <w:szCs w:val="18"/>
          <w:color w:val="auto"/>
        </w:rPr>
        <w:t>” shall mean, to the extent required by such amendment, the Trust Indenture Act of 1939 as so amended.</w:t>
      </w:r>
    </w:p>
    <w:p>
      <w:pPr>
        <w:spacing w:after="0" w:line="186"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Bank of New York, and its successors and any corporation resulting from or surviving any consolidation or merger to which it or its successors may be a party and any successor trustee at the time serving as successor trustee hereunder.</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 Disagreement</w:t>
      </w:r>
      <w:r>
        <w:rPr>
          <w:rFonts w:ascii="Arial" w:cs="Arial" w:eastAsia="Arial" w:hAnsi="Arial"/>
          <w:sz w:val="18"/>
          <w:szCs w:val="18"/>
          <w:color w:val="auto"/>
        </w:rPr>
        <w:t>” has the meaning specified in Section 7.13(b).</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 DESCRIPTION, EXECUTION, REGISTRATION AND EXCHANGE OF NOTES</w:t>
      </w:r>
    </w:p>
    <w:p>
      <w:pPr>
        <w:spacing w:after="0" w:line="294"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Designation Amount and Issue of Note.</w:t>
      </w:r>
      <w:r>
        <w:rPr>
          <w:rFonts w:ascii="Arial" w:cs="Arial" w:eastAsia="Arial" w:hAnsi="Arial"/>
          <w:sz w:val="16"/>
          <w:szCs w:val="16"/>
          <w:color w:val="auto"/>
        </w:rPr>
        <w:t xml:space="preserve"> The Notes shall be designated as “</w:t>
      </w:r>
      <w:r>
        <w:rPr>
          <w:rFonts w:ascii="Arial" w:cs="Arial" w:eastAsia="Arial" w:hAnsi="Arial"/>
          <w:sz w:val="16"/>
          <w:szCs w:val="16"/>
          <w:b w:val="1"/>
          <w:bCs w:val="1"/>
          <w:color w:val="auto"/>
        </w:rPr>
        <w:t>5% Subordinated Convertible Debentures due 201 2</w:t>
      </w:r>
      <w:r>
        <w:rPr>
          <w:rFonts w:ascii="Arial" w:cs="Arial" w:eastAsia="Arial" w:hAnsi="Arial"/>
          <w:sz w:val="16"/>
          <w:szCs w:val="16"/>
          <w:color w:val="auto"/>
        </w:rPr>
        <w:t xml:space="preserve"> ". Notes not to exceed the aggregate principal amount of $50,000,000 upon the execution of this Indenture, or from time to time thereafter, may be executed by the Issuer in accordance with Section 2.04 and delivered to the Trustee for authentication, and the Trustee shall thereupon authenticate and deliver said Notes to or upon the written order of the Issuer, signed by its Chairman of the Board, Chief Executive Officer, Chief Financial Officer, President or any Vice President (whether or not designated by a number or numbers or word or words added before or after the title “Vice President”), and attested by the manual or facsimile signature of the Treasurer or any Assistant Treasurer or the Secretary, without any further action by the Issuer hereunder.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Note.</w:t>
      </w:r>
      <w:r>
        <w:rPr>
          <w:rFonts w:ascii="Arial" w:cs="Arial" w:eastAsia="Arial" w:hAnsi="Arial"/>
          <w:sz w:val="18"/>
          <w:szCs w:val="18"/>
          <w:color w:val="auto"/>
        </w:rPr>
        <w:t xml:space="preserve"> The Notes and the Trustee’s certificate of authentication to be borne by such Notes shall be substantially in the form set forth in Exhibit A. The terms and provisions contained in the form of Note attached as Exhibit A hereto shall constitute, and are hereby expressly made, a part of this Indenture and, to the extent applicable, the Issuer and the Trustee, by their execution and delivery of this Indenture, expressly agree to such terms and provisions and to be bound thereby.</w:t>
      </w:r>
    </w:p>
    <w:p>
      <w:pPr>
        <w:spacing w:after="0" w:line="1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Any of the Notes may have such letters, numbers or other marks of identification and such notations, legends, endorsements or changes as the officers executing the same may approve (execution thereof to be conclusive evidence of such approval) and as are not inconsistent with the provisions of this Indenture or as may be required to comply with any applicable law or with any rule or regulation made pursuant thereto or with any rule or regulation of any securities exchange or automated quotation system on which the Notes may be listed, or conform to usage, or to indicate any special limitations or restrictions to which any particular Notes are subject.</w:t>
      </w:r>
    </w:p>
    <w:p>
      <w:pPr>
        <w:sectPr>
          <w:pgSz w:w="11900" w:h="16838" w:orient="portrait"/>
          <w:cols w:equalWidth="0" w:num="1">
            <w:col w:w="11400"/>
          </w:cols>
          <w:pgMar w:left="240" w:top="131" w:right="259" w:bottom="0" w:gutter="0" w:footer="0" w:header="0"/>
        </w:sectPr>
      </w:pPr>
    </w:p>
    <w:bookmarkStart w:id="54" w:name="page55"/>
    <w:bookmarkEnd w:id="54"/>
    <w:p>
      <w:pPr>
        <w:ind w:right="80" w:firstLine="351"/>
        <w:spacing w:after="0" w:line="294"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Date and Denomination of Notes; Payments of Interest.</w:t>
      </w:r>
      <w:r>
        <w:rPr>
          <w:rFonts w:ascii="Arial" w:cs="Arial" w:eastAsia="Arial" w:hAnsi="Arial"/>
          <w:sz w:val="16"/>
          <w:szCs w:val="16"/>
          <w:color w:val="auto"/>
        </w:rPr>
        <w:t xml:space="preserve"> The Notes shall be issuable in registered form without coupons in denominations of $1.00 principal amount and integral multiples thereof. Each Note shall be dated the date of its authentication and shall bear interest from the date specified on the face of the form of Note attached as Exhibit A hereto. Interest on the Notes will be paid only upon the maturity of the Notes or upon the early redemption of the Notes in accordance with Section 3.02. No interest shall be payable upon any portion of any Note which is converted into Ordinary Shares as provided in Article 14. Interest on the Notes shall be computed on the basis of a 365 day year.</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Execution of Notes.</w:t>
      </w:r>
      <w:r>
        <w:rPr>
          <w:rFonts w:ascii="Arial" w:cs="Arial" w:eastAsia="Arial" w:hAnsi="Arial"/>
          <w:sz w:val="16"/>
          <w:szCs w:val="16"/>
          <w:color w:val="auto"/>
        </w:rPr>
        <w:t xml:space="preserve"> The Notes shall be signed in the name and on behalf of the Issuer by the manual or facsimile signature of its Chairman of the Board, Chief Executive Officer, Chief Financial Officer, President or any Vice President (whether or not designated by a number or numbers or word or words added before or after the title “Vice President”) and attested by the manual or facsimile signature of its Secretary or any of its Assistant Secretaries or its Treasurer or any of its Assistant Treasurers (which may be printed, engraved or otherwise reproduced thereon, by facsimile or otherwise). Only such Notes as shall bear thereon a certificate of authentication substantially in the form set forth on the form of Note attached as Exhibit A hereto, manually executed by the Trustee (or an authenticating agent appointed by the Trustee as provided by Section 15.11), shall be entitled to the benefits of this Indenture or be valid or obligatory for any purpose. Such certificate by the Trustee (or such an authenticating agent) upon any Note executed by the Issuer shall be conclusive evidence that the Note so authenticated has been duly authenticated and delivered hereunder and that the holder is entitled to the benefits of this Indenture.</w:t>
      </w:r>
    </w:p>
    <w:p>
      <w:pPr>
        <w:spacing w:after="0" w:line="172"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case any officer of the Issuer who shall have signed any of the Notes shall cease to be such officer before the Notes so signed shall have been authenticated and delivered by the Trustee, or disposed of by the Issuer, such Notes nevertheless may be authenticated and delivered or disposed of as though the person who signed such Notes had not ceased to be such officer of the Issuer, and any Note may be signed on behalf of the Issuer by such persons as, at the actual date of the execution of such Note, shall be the proper officers of the Issuer, although at the date of the execution of this Indenture any such person was not such an officer.</w:t>
      </w:r>
    </w:p>
    <w:p>
      <w:pPr>
        <w:spacing w:after="0" w:line="15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Exchange and Registration of Transfer of Notes; Restrictions on Transfer.</w:t>
      </w:r>
      <w:r>
        <w:rPr>
          <w:rFonts w:ascii="Arial" w:cs="Arial" w:eastAsia="Arial" w:hAnsi="Arial"/>
          <w:sz w:val="16"/>
          <w:szCs w:val="16"/>
          <w:color w:val="auto"/>
        </w:rPr>
        <w:t xml:space="preserve"> (a) The Issuer shall cause to be kept at the Corporate Trust Office a register (the register maintained in such office and in any other office or agency of the Issuer designated pursuant to Section 4.02 being herein sometimes collectively referred to as the “</w:t>
      </w:r>
      <w:r>
        <w:rPr>
          <w:rFonts w:ascii="Arial" w:cs="Arial" w:eastAsia="Arial" w:hAnsi="Arial"/>
          <w:sz w:val="16"/>
          <w:szCs w:val="16"/>
          <w:b w:val="1"/>
          <w:bCs w:val="1"/>
          <w:color w:val="auto"/>
        </w:rPr>
        <w:t>Note register</w:t>
      </w:r>
      <w:r>
        <w:rPr>
          <w:rFonts w:ascii="Arial" w:cs="Arial" w:eastAsia="Arial" w:hAnsi="Arial"/>
          <w:sz w:val="16"/>
          <w:szCs w:val="16"/>
          <w:color w:val="auto"/>
        </w:rPr>
        <w:t>”) in which, subject to such reasonable regulations as it may prescribe, the Issuer shall provide for the registration of Notes and of transfers of Notes. The Note register shall be in written form or in any form capable of being converted into written form within a reasonably prompt period of time. The Trustee is hereby appointed “</w:t>
      </w:r>
      <w:r>
        <w:rPr>
          <w:rFonts w:ascii="Arial" w:cs="Arial" w:eastAsia="Arial" w:hAnsi="Arial"/>
          <w:sz w:val="16"/>
          <w:szCs w:val="16"/>
          <w:b w:val="1"/>
          <w:bCs w:val="1"/>
          <w:color w:val="auto"/>
        </w:rPr>
        <w:t>Note registrar,</w:t>
      </w:r>
      <w:r>
        <w:rPr>
          <w:rFonts w:ascii="Arial" w:cs="Arial" w:eastAsia="Arial" w:hAnsi="Arial"/>
          <w:sz w:val="16"/>
          <w:szCs w:val="16"/>
          <w:color w:val="auto"/>
        </w:rPr>
        <w:t>” and does hereby accept such appointment, for the purpose of registering Notes and transfers of Notes as herein provided. The Issuer may appoint one or more co-registrars in accordance with Section 4.02.</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Upon surrender for registration of transfer of any Note to the Note registrar or any co-registrar, and satisfaction of the requirements for such transfer set forth in this Section 2.05, the Issuer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Notes may be exchanged for other Notes of any authorized denominations and of a like aggregate principal amount, upon surrender of the Notes to be exchanged at any such office or agency maintained by the Issuer pursuant to Section 4.02. Whenever any Notes are so surrendered for exchange, the Issuer shall execute, and the Trustee shall authenticate and deliver, the Notes which the Noteholder making the exchange is entitled to receive bearing registration numbers not contemporaneously outstanding.</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All Notes issued upon any registration of transfer or exchange of Notes shall be the valid obligations of the Issuer, evidencing the same debt, and entitled to the same benefits under this Indenture, as the Notes surrendered upon such registration of transfer or exchange.</w:t>
      </w:r>
    </w:p>
    <w:p>
      <w:pPr>
        <w:spacing w:after="0" w:line="18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All Notes presented or surrendered for registration of transfer or for exchange, redemption or conversion shall (if so required by the Issuer or the Note registrar) be duly endorsed, or be accompanied by a written instrument or instruments of transfer in form satisfactory to the Issuer, and the Notes shall be duly executed by the Noteholder thereof or his attorney duly authorized in writing.</w:t>
      </w:r>
    </w:p>
    <w:p>
      <w:pPr>
        <w:spacing w:after="0" w:line="194" w:lineRule="exact"/>
        <w:rPr>
          <w:sz w:val="20"/>
          <w:szCs w:val="20"/>
          <w:color w:val="auto"/>
        </w:rPr>
      </w:pPr>
    </w:p>
    <w:p>
      <w:pPr>
        <w:jc w:val="both"/>
        <w:ind w:right="240"/>
        <w:spacing w:after="0" w:line="370" w:lineRule="auto"/>
        <w:rPr>
          <w:sz w:val="20"/>
          <w:szCs w:val="20"/>
          <w:color w:val="auto"/>
        </w:rPr>
      </w:pPr>
      <w:r>
        <w:rPr>
          <w:rFonts w:ascii="Arial" w:cs="Arial" w:eastAsia="Arial" w:hAnsi="Arial"/>
          <w:sz w:val="15"/>
          <w:szCs w:val="15"/>
          <w:color w:val="auto"/>
        </w:rPr>
        <w:t>No service charge shall be made to any holder for any registration of, transfer or exchange of Notes, but the Issuer may require payment by the holder of a sum sufficient to cover any tax, assessment or other governmental charge that may be imposed in connection with any registration of transfer or exchange of Notes.</w:t>
      </w:r>
    </w:p>
    <w:p>
      <w:pPr>
        <w:spacing w:after="0" w:line="1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Neither the Issuer nor the Trustee nor any Note registrar shall be required to exchange or register a transfer of (a) any Notes for a period of fifteen (15) days next preceding any selection of Notes to be redeemed, (b) any Notes surrendered for conversion pursuant to Article 14 or (c) any Notes tendered for redemption (and not withdrawn) pursuant to Section 3.02.</w:t>
      </w:r>
    </w:p>
    <w:p>
      <w:pPr>
        <w:spacing w:after="0" w:line="194" w:lineRule="exact"/>
        <w:rPr>
          <w:sz w:val="20"/>
          <w:szCs w:val="20"/>
          <w:color w:val="auto"/>
        </w:rPr>
      </w:pPr>
    </w:p>
    <w:p>
      <w:pPr>
        <w:ind w:right="80" w:firstLine="359"/>
        <w:spacing w:after="0" w:line="291" w:lineRule="auto"/>
        <w:tabs>
          <w:tab w:leader="none" w:pos="6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Every Note that bears or is required under this Section 2.05(b) to bear the legend set forth in this Section 2.05(b) (together with any Ordinary Shares issued upon conversion of the Notes and required to bear the legend set forth in Section 2.05(c), collectively, the “</w:t>
      </w:r>
      <w:r>
        <w:rPr>
          <w:rFonts w:ascii="Arial" w:cs="Arial" w:eastAsia="Arial" w:hAnsi="Arial"/>
          <w:sz w:val="16"/>
          <w:szCs w:val="16"/>
          <w:b w:val="1"/>
          <w:bCs w:val="1"/>
          <w:color w:val="auto"/>
        </w:rPr>
        <w:t>Restricted Securities</w:t>
      </w:r>
      <w:r>
        <w:rPr>
          <w:rFonts w:ascii="Arial" w:cs="Arial" w:eastAsia="Arial" w:hAnsi="Arial"/>
          <w:sz w:val="16"/>
          <w:szCs w:val="16"/>
          <w:color w:val="auto"/>
        </w:rPr>
        <w:t>”) shall be subject to the restrictions on transfer set forth in Sections 2.05(b) and 2.05 (c), as applicable (including those set forth in the legends below), unless such restrictions on transfer shall be waived by written consent of the Issuer, and the holder of each such Restricted Security, by such Note holder’s acceptance thereof, agrees to be bound by all such restrictions on transfer. As used in Sections 2.05(b) and 2.05(c), the term “</w:t>
      </w:r>
      <w:r>
        <w:rPr>
          <w:rFonts w:ascii="Arial" w:cs="Arial" w:eastAsia="Arial" w:hAnsi="Arial"/>
          <w:sz w:val="16"/>
          <w:szCs w:val="16"/>
          <w:b w:val="1"/>
          <w:bCs w:val="1"/>
          <w:color w:val="auto"/>
        </w:rPr>
        <w:t>transfer</w:t>
      </w:r>
      <w:r>
        <w:rPr>
          <w:rFonts w:ascii="Arial" w:cs="Arial" w:eastAsia="Arial" w:hAnsi="Arial"/>
          <w:sz w:val="16"/>
          <w:szCs w:val="16"/>
          <w:color w:val="auto"/>
        </w:rPr>
        <w:t>” encompasses any sale, pledge, loan, transfer or other disposition whatsoever of any Restricted Security or any interest therein.</w:t>
      </w:r>
    </w:p>
    <w:p>
      <w:pPr>
        <w:spacing w:after="0" w:line="17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Until the expiration of the holding period applicable to sales thereof under Rule 144(k) under the Securities Act (or any successor provision), any certificate evidencing such Note (and all securities issued in exchange therefor or substitution thereof, other than Ordinary Shares, if any, issued upon conversion thereof, which shall bear the legend set forth in Section 2.05(c), if applicable) shall bear a legend in substantially the following form, unless such Note has been sold pursuant to a registration statement that has been declared effective under the Securities Act (and which continues to be effective at the time of such transfer), or unless otherwise agreed by the Issuer in writing, with written notice thereof to the Trustee: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NOTE EVIDENCED HEREBY AND THE ORDINARY SHARES ISSUABLE UPON CONVERSION THEREOF HAVE NOT BEEN REGISTERED UNDER THE UNITED STATES SECURITIES ACT OF 1933, AS AMENDED (THE “SECURITIES ACT”), OR ANY STATE SECURITIES LAWS AND, ACCORDINGLY, MAY NOT BE OFFERED OR SOLD IN THE ABSENCE OF A REGISTRATION STATEMENT WITH RESPECT TO THE SECURITIES SO OFFERED OR SOLD IN EFFECT UNDER THE SECURITIES ACT OR AN OPINION OF COUNSEL (SATISFACTORY IN FORM AND SUBSTANCE TO THE ISSUER) THAT SUCH REGISTRATION IS NOT REQUIRED.</w:t>
      </w:r>
    </w:p>
    <w:p>
      <w:pPr>
        <w:sectPr>
          <w:pgSz w:w="11900" w:h="16838" w:orient="portrait"/>
          <w:cols w:equalWidth="0" w:num="1">
            <w:col w:w="11420"/>
          </w:cols>
          <w:pgMar w:left="240" w:top="131" w:right="239" w:bottom="106" w:gutter="0" w:footer="0" w:header="0"/>
        </w:sectPr>
      </w:pPr>
    </w:p>
    <w:bookmarkStart w:id="55" w:name="page56"/>
    <w:bookmarkEnd w:id="55"/>
    <w:p>
      <w:pPr>
        <w:ind w:right="60"/>
        <w:spacing w:after="0" w:line="256" w:lineRule="auto"/>
        <w:rPr>
          <w:sz w:val="20"/>
          <w:szCs w:val="20"/>
          <w:color w:val="auto"/>
        </w:rPr>
      </w:pPr>
      <w:r>
        <w:rPr>
          <w:rFonts w:ascii="Arial" w:cs="Arial" w:eastAsia="Arial" w:hAnsi="Arial"/>
          <w:sz w:val="18"/>
          <w:szCs w:val="18"/>
          <w:color w:val="auto"/>
        </w:rPr>
        <w:t>Any Note (or security issued in exchange or substitution therefor) as to which such restrictions on transfer shall have expired in accordance with their terms or as to conditions for removal of the foregoing legend set forth therein have been satisfied may, upon surrender of such Note for exchange to the Note registrar in accordance with the provisions of this Section 2.05, be exchanged for a new Note or Notes, of like tenor and aggregate principal amount, which shall not bear the restrictive legend required by this Section 2.05(b).</w:t>
      </w:r>
    </w:p>
    <w:p>
      <w:pPr>
        <w:spacing w:after="0" w:line="197" w:lineRule="exact"/>
        <w:rPr>
          <w:sz w:val="20"/>
          <w:szCs w:val="20"/>
          <w:color w:val="auto"/>
        </w:rPr>
      </w:pPr>
    </w:p>
    <w:p>
      <w:pPr>
        <w:jc w:val="both"/>
        <w:ind w:right="80" w:firstLine="359"/>
        <w:spacing w:after="0" w:line="298" w:lineRule="auto"/>
        <w:tabs>
          <w:tab w:leader="none" w:pos="897" w:val="left"/>
        </w:tabs>
        <w:numPr>
          <w:ilvl w:val="0"/>
          <w:numId w:val="65"/>
        </w:numPr>
        <w:rPr>
          <w:rFonts w:ascii="Arial" w:cs="Arial" w:eastAsia="Arial" w:hAnsi="Arial"/>
          <w:sz w:val="16"/>
          <w:szCs w:val="16"/>
          <w:color w:val="auto"/>
        </w:rPr>
      </w:pPr>
      <w:r>
        <w:rPr>
          <w:rFonts w:ascii="Arial" w:cs="Arial" w:eastAsia="Arial" w:hAnsi="Arial"/>
          <w:sz w:val="16"/>
          <w:szCs w:val="16"/>
          <w:color w:val="auto"/>
        </w:rPr>
        <w:t>(i) Until the expiration of the holding period applicable to sales thereof under Rule 144(k) under the Securities Act (or any successor provision), any stock certificate representing Ordinary Shares issued upon conversion of any Restricted Note shall bear a legend in substantially the following form, unless such Ordinary Shares have been registered under a registration statement that has been declared effective under the Securities Act (and which continues to be effective at the time of such exchange), or unless otherwise agreed by the Issuer in writing with written notice thereof to the transfer agent:</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ORDINARY SHARES EVIDENCED HEREBY HAS NOT BEEN REGISTERED UNDER THE UNITED STATES SECURITIES ACT OF 1933, AS AMENDED (THE “SECURITIES ACT”), OR ANY STATE SECURITIES LAWS AND, ACCORDINGLY, MAY NOT BE OFFERED OR SOLD IN THE ABSENCE OF A REGISTRATION STATEMENT WITH RESPECT TO THE SECURITIES SO OFFERED OR SOLD IN EFFECT UNDER THE SECURITIES ACT OR AN OPINION OF COUNSEL (SATISFACTORY IN FORM AND SUBSTANCE TO THE ISSUER) THAT SUCH REGISTRATION IS NOT REQUIRED.</w:t>
      </w:r>
    </w:p>
    <w:p>
      <w:pPr>
        <w:spacing w:after="0" w:line="19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Any such Ordinary Shares as to which such restrictions on transfer shall have expired in accordance with their terms or as to which the conditions for removal of the foregoing legend set forth therein have been satisfied may, upon surrender of the certificates representing such shares of Ordinary Shares for exchange in accordance with the procedures of the transfer agent for the Ordinary Shares, be exchanged for a new certificate or certificates for a like number of shares of Ordinary Shares, which shall not bear the restrictive legend required by this Section 2.05(c).</w:t>
      </w:r>
    </w:p>
    <w:p>
      <w:pPr>
        <w:spacing w:after="0" w:line="167" w:lineRule="exact"/>
        <w:rPr>
          <w:sz w:val="20"/>
          <w:szCs w:val="20"/>
          <w:color w:val="auto"/>
        </w:rPr>
      </w:pPr>
    </w:p>
    <w:p>
      <w:pPr>
        <w:ind w:right="40" w:firstLine="359"/>
        <w:spacing w:after="0" w:line="370" w:lineRule="auto"/>
        <w:tabs>
          <w:tab w:leader="none" w:pos="6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Any Note or Ordinary Shares issued upon the conversion of a Note that is purchased or owned by the Issuer or any Affiliate thereof may not be resold by the Issuer or such Affiliate unless registered under the Securities Act or resold pursuant to an exemption from the registration requirements of the Securities Act.</w:t>
      </w:r>
    </w:p>
    <w:p>
      <w:pPr>
        <w:spacing w:after="0" w:line="116" w:lineRule="exact"/>
        <w:rPr>
          <w:rFonts w:ascii="Arial" w:cs="Arial" w:eastAsia="Arial" w:hAnsi="Arial"/>
          <w:sz w:val="15"/>
          <w:szCs w:val="15"/>
          <w:color w:val="auto"/>
        </w:rPr>
      </w:pPr>
    </w:p>
    <w:p>
      <w:pPr>
        <w:ind w:right="200" w:firstLine="359"/>
        <w:spacing w:after="0" w:line="256" w:lineRule="auto"/>
        <w:tabs>
          <w:tab w:leader="none" w:pos="5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shall have no obligation or duty to monitor, determine or inquire as to compliance with any restrictions or transfer imposed under this Indenture or under applicable law with respect to any transfer of any interest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Mutilated, Destroyed, Lost or Stolen Notes.</w:t>
      </w:r>
      <w:r>
        <w:rPr>
          <w:rFonts w:ascii="Arial" w:cs="Arial" w:eastAsia="Arial" w:hAnsi="Arial"/>
          <w:sz w:val="16"/>
          <w:szCs w:val="16"/>
          <w:color w:val="auto"/>
        </w:rPr>
        <w:t xml:space="preserve"> In case any Note shall become mutilated or be destroyed, lost or stolen, the Issuer in its discretion may execute, and upon its written request the Trustee or an authenticating agent appointed by the Trustee shall authenticate and make available for delivery, a new Note, bearing a number not contemporaneously outstanding, in exchange and substitution for the mutilated Note, or in lieu of and in substitution for the Note so destroyed, lost or stolen. In every case, the applicant for a substituted Note shall furnish to the Issuer, to the Trustee and, if applicable, to such authenticating agent such security or indemnity as may be required by them to save each of them harmless for any loss, liability, cost or expense caused by or connected with such substitution, and, in every case of destruction, loss or theft, the applicant shall also furnish to the Issuer, to the Trustee and, if applicable, to such authenticating agent evidence to their satisfaction of the destruction, loss or theft of such Note and of the ownership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Following receipt by the Trustee or such authenticating agent, as the case may be, of satisfactory security or indemnity and evidence, as described in the preceding paragraph, the Trustee or such authenticating agent may authenticate any such substituted Note and make available for delivery such Note. Upon the issuance of any substituted Note, the Issuer may require the payment by the holder of a sum sufficient to cover any tax, assessment or other governmental charge that may be imposed in relation thereto and any other expenses connected therewith. In case any Note which has matured or is about to mature or is to be converted into Ordinary Shares shall become mutilated or be destroyed, lost or stolen, the Issuer may, instead of issuing a substitute Note, pay or authorize the payment of or convert or authorize the conversion of the same (without surrender thereof except in the case of a mutilated Note), as the case may be, if the applicant for such payment or conversion shall furnish to the Issuer, to the Trustee and, if applicable, to such authenticating agent such security or indemnity as may be required by them to save each of them harmless for any loss, liability, cost or expense caused by or in connection with such substitution, and, in every case of destruction, loss or theft, the applicant shall also furnish to the Issuer, the Trustee and, if applicable, any paying agent or conversion agent evidence to their satisfaction of the destruction, loss or theft of such Note and of the ownership thereof.</w:t>
      </w:r>
    </w:p>
    <w:p>
      <w:pPr>
        <w:spacing w:after="0" w:line="17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Every substitute Note issued pursuant to the provisions of this Section 2.06 by virtue of the fact that any Note is destroyed, lost or stolen shall constitute an additional contractual obligation of the Issuer,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or payment or conversion or redemption of mutilated, destroyed, lost or stolen Notes and shall preclude any and all other rights or remedies notwithstanding any law or statute existing or hereafter enacted to the contrary with respect to the replacement or payment or conversion or redemption of negotiable instruments or other securities without their surrender.</w:t>
      </w:r>
    </w:p>
    <w:p>
      <w:pPr>
        <w:spacing w:after="0" w:line="172"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Temporary Notes.</w:t>
      </w:r>
      <w:r>
        <w:rPr>
          <w:rFonts w:ascii="Arial" w:cs="Arial" w:eastAsia="Arial" w:hAnsi="Arial"/>
          <w:sz w:val="16"/>
          <w:szCs w:val="16"/>
          <w:color w:val="auto"/>
        </w:rPr>
        <w:t xml:space="preserve"> Pending the preparation of Notes in certificated form, the Issuer may execute and the Trustee or an authenticating agent appointed by the Trustee shall, upon the written request of the Issuer, authenticate and deliver temporary Notes (printed or lithographed). Temporary Notes shall be issuable in any authorized denomination, and substantially in the form of the Notes in certificated form, but with such omissions, insertions and variations as may be appropriate for temporary Notes, all as may be determined by the Issuer. Every such temporary Note shall be executed by the Issuer and authenticated by the Trustee or such authenticating agent upon the same conditions and in substantially the same manner, and with the same effect, as the Notes in certificated form. Without unreasonable delay, the Issuer will execute and deliver to the Trustee or such authenticating agent Notes in certificated form and thereupon any or all temporary Notes may be surrendered in exchange therefor, at each office or agency maintained by the Issuer pursuant to Section 4.02 and the Trustee or such authenticating agent shall authenticate and make available for delivery in exchange for such temporary Notes an equal aggregate principal amount of Notes in certificated form. Such exchange shall be made by the Issuer at its own expense and without any charge therefor. Until so exchanged, the temporary Notes shall in all respects be entitled to the same benefits and subject to the same limitations under this Indenture as Notes in certificated form authenticated and delivered hereunder.</w:t>
      </w:r>
    </w:p>
    <w:p>
      <w:pPr>
        <w:spacing w:after="0" w:line="181"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 xml:space="preserve">Section 2.08. </w:t>
      </w:r>
      <w:r>
        <w:rPr>
          <w:rFonts w:ascii="Arial" w:cs="Arial" w:eastAsia="Arial" w:hAnsi="Arial"/>
          <w:sz w:val="15"/>
          <w:szCs w:val="15"/>
          <w:i w:val="1"/>
          <w:iCs w:val="1"/>
          <w:color w:val="auto"/>
        </w:rPr>
        <w:t>Cancellation of Notes.</w:t>
      </w:r>
      <w:r>
        <w:rPr>
          <w:rFonts w:ascii="Arial" w:cs="Arial" w:eastAsia="Arial" w:hAnsi="Arial"/>
          <w:sz w:val="15"/>
          <w:szCs w:val="15"/>
          <w:color w:val="auto"/>
        </w:rPr>
        <w:t xml:space="preserve"> All Notes surrendered for the purpose of payment, redemption, conversion, exchange or registration of transfer shall, if surrendered to the Issuer or any paying agent or any Note registrar or any conversion agent, be surrendered to the Trustee and promptly canceled by it, or, if surrendered to the Trustee, shall be promptly canceled by it, and no Notes shall be issued in lieu thereof except as expressly permitted by any of the provisions of this Indenture. The Trustee shall dispose of such canceled Notes in accordance with its customary procedures. If the Issuer shall acquire any of the Notes, such</w:t>
      </w:r>
    </w:p>
    <w:p>
      <w:pPr>
        <w:sectPr>
          <w:pgSz w:w="11900" w:h="16838" w:orient="portrait"/>
          <w:cols w:equalWidth="0" w:num="1">
            <w:col w:w="11420"/>
          </w:cols>
          <w:pgMar w:left="240" w:top="131" w:right="239" w:bottom="0" w:gutter="0" w:footer="0" w:header="0"/>
        </w:sectPr>
      </w:pPr>
    </w:p>
    <w:bookmarkStart w:id="56" w:name="page57"/>
    <w:bookmarkEnd w:id="56"/>
    <w:p>
      <w:pPr>
        <w:spacing w:after="0" w:line="5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acquisition shall not operate as a redemption or satisfaction of the indebtedness represented by such Notes unless and until the same are delivered to the Trustee for cancellation.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CUSIP Numbers.</w:t>
      </w:r>
      <w:r>
        <w:rPr>
          <w:rFonts w:ascii="Arial" w:cs="Arial" w:eastAsia="Arial" w:hAnsi="Arial"/>
          <w:sz w:val="16"/>
          <w:szCs w:val="16"/>
          <w:color w:val="auto"/>
        </w:rPr>
        <w:t xml:space="preserve"> The Issuer in issuing the Notes may use CUSIP numbers (if then generally in use), and, if so, the Trustee shall use CUSIP numbers, as appropriate, in notices of redemption as a convenience to Holders; </w:t>
      </w:r>
      <w:r>
        <w:rPr>
          <w:rFonts w:ascii="Arial" w:cs="Arial" w:eastAsia="Arial" w:hAnsi="Arial"/>
          <w:sz w:val="16"/>
          <w:szCs w:val="16"/>
          <w:i w:val="1"/>
          <w:iCs w:val="1"/>
          <w:color w:val="auto"/>
        </w:rPr>
        <w:t>provided</w:t>
      </w:r>
      <w:r>
        <w:rPr>
          <w:rFonts w:ascii="Arial" w:cs="Arial" w:eastAsia="Arial" w:hAnsi="Arial"/>
          <w:sz w:val="16"/>
          <w:szCs w:val="16"/>
          <w:color w:val="auto"/>
        </w:rPr>
        <w:t>,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shall promptly notify the Trustee of any change in the CUSIP numbers.</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NOTES</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Redemption of Notes.</w:t>
      </w:r>
      <w:r>
        <w:rPr>
          <w:rFonts w:ascii="Arial" w:cs="Arial" w:eastAsia="Arial" w:hAnsi="Arial"/>
          <w:sz w:val="18"/>
          <w:szCs w:val="18"/>
          <w:color w:val="auto"/>
        </w:rPr>
        <w:t xml:space="preserve"> Except as otherwise provided in Section 3.02 the Issuer may not redeem any Notes prior to maturity.</w:t>
      </w:r>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Redemption at Option of Issuer.</w:t>
      </w:r>
      <w:r>
        <w:rPr>
          <w:rFonts w:ascii="Arial" w:cs="Arial" w:eastAsia="Arial" w:hAnsi="Arial"/>
          <w:sz w:val="16"/>
          <w:szCs w:val="16"/>
          <w:color w:val="auto"/>
        </w:rPr>
        <w:t xml:space="preserve"> The Issuer may, at its option, announce the early redemption of the Notes or part thereof, provided that the outstanding aggregate balance of principal on account of the Notes is equal to or less than $500,000. In the event that the Issuer chooses to redeem the Notes pursuant to this Section 3.02, the Issuer will redeem 100% of the Notes; no partial redemptions shall be permitted. The Issuer will provide notice to Noteholders as set forth in this Section 3.02 below and to the Trustees at least 30 days prior to any such redemption. Upon such early redemption, the Issuer will pay to the Noteholders the amount of outstanding principal of the Notes and interest accrued as of the redemption date. The Issuer will also furnish notice of any resolution by the Board of Directors to the Commission on Form 6-K, and in an Immediate Report in Israel as well as a notice to be published in two Israeli newspapers with wide circulation in Israel. The date of the early redemption will be between 30 to 45 days after the date of the Issuer’s notification.</w:t>
      </w:r>
    </w:p>
    <w:p>
      <w:pPr>
        <w:spacing w:after="0" w:line="172"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 xml:space="preserve">Section 3. 03 . </w:t>
      </w:r>
      <w:r>
        <w:rPr>
          <w:rFonts w:ascii="Arial" w:cs="Arial" w:eastAsia="Arial" w:hAnsi="Arial"/>
          <w:sz w:val="18"/>
          <w:szCs w:val="18"/>
          <w:i w:val="1"/>
          <w:iCs w:val="1"/>
          <w:color w:val="auto"/>
        </w:rPr>
        <w:t>Notes Owned by Issuer or Its Subsidiaries.</w:t>
      </w:r>
      <w:r>
        <w:rPr>
          <w:rFonts w:ascii="Arial" w:cs="Arial" w:eastAsia="Arial" w:hAnsi="Arial"/>
          <w:sz w:val="18"/>
          <w:szCs w:val="18"/>
          <w:color w:val="auto"/>
        </w:rPr>
        <w:t xml:space="preserve"> (a) The Issuer and any Subsidiary thereof may purchase Notes at any time, and must provide prompt notice thereof to the Trustees.</w:t>
      </w:r>
    </w:p>
    <w:p>
      <w:pPr>
        <w:spacing w:after="0" w:line="186" w:lineRule="exact"/>
        <w:rPr>
          <w:sz w:val="20"/>
          <w:szCs w:val="20"/>
          <w:color w:val="auto"/>
        </w:rPr>
      </w:pPr>
    </w:p>
    <w:p>
      <w:pPr>
        <w:ind w:left="740" w:hanging="556"/>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Notes purchased by the Issuer shall be cancelled upon such purchase.</w:t>
      </w:r>
    </w:p>
    <w:p>
      <w:pPr>
        <w:spacing w:after="0" w:line="225" w:lineRule="exact"/>
        <w:rPr>
          <w:rFonts w:ascii="Arial" w:cs="Arial" w:eastAsia="Arial" w:hAnsi="Arial"/>
          <w:sz w:val="18"/>
          <w:szCs w:val="18"/>
          <w:color w:val="auto"/>
        </w:rPr>
      </w:pPr>
    </w:p>
    <w:p>
      <w:pPr>
        <w:ind w:right="280" w:firstLine="184"/>
        <w:spacing w:after="0" w:line="268" w:lineRule="auto"/>
        <w:tabs>
          <w:tab w:leader="none" w:pos="722"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Notes purchased by a Subsidiary of the Issuer shall be disregarded in connection with any direction, consent, waiver, vote or other action of the Noteholders under this Indenture in accordance with Section 9.04.</w:t>
      </w:r>
    </w:p>
    <w:p>
      <w:pPr>
        <w:spacing w:after="0" w:line="185" w:lineRule="exact"/>
        <w:rPr>
          <w:rFonts w:ascii="Arial" w:cs="Arial" w:eastAsia="Arial" w:hAnsi="Arial"/>
          <w:sz w:val="18"/>
          <w:szCs w:val="18"/>
          <w:color w:val="auto"/>
        </w:rPr>
      </w:pPr>
    </w:p>
    <w:p>
      <w:pPr>
        <w:ind w:left="5680" w:hanging="112"/>
        <w:spacing w:after="0"/>
        <w:tabs>
          <w:tab w:leader="none" w:pos="56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PARTICULAR COVENANTS OF THE COMPANY</w:t>
      </w:r>
    </w:p>
    <w:p>
      <w:pPr>
        <w:spacing w:after="0" w:line="300"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Payment of Principal and Interest.</w:t>
      </w:r>
      <w:r>
        <w:rPr>
          <w:rFonts w:ascii="Arial" w:cs="Arial" w:eastAsia="Arial" w:hAnsi="Arial"/>
          <w:sz w:val="16"/>
          <w:szCs w:val="16"/>
          <w:color w:val="auto"/>
        </w:rPr>
        <w:t xml:space="preserve"> The Issuer covenants and agrees that it will duly and punctually pay or cause to be paid the principal and interest on each of the Notes at the places, at the respective times and in the manner provided herein and in the Notes.</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Maintenance of Office or Agency.</w:t>
      </w:r>
      <w:r>
        <w:rPr>
          <w:rFonts w:ascii="Arial" w:cs="Arial" w:eastAsia="Arial" w:hAnsi="Arial"/>
          <w:sz w:val="16"/>
          <w:szCs w:val="16"/>
          <w:color w:val="auto"/>
        </w:rPr>
        <w:t xml:space="preserve"> The Issuer will maintain an office or agency in London, England where the Notes may be surrendered for registration of transfer or exchange or for presentation for payment or for conversion or redemption and where notices and demands to or upon the Issuer in respect of the Notes and this Indenture may be served. The Issuer will give prompt written notice to the Trustees of the location, and any change in the location, of such office or agency not designated or appointed by the Trustee. If at any time the Issuer shall fail to maintain any such required office or agency or shall fail to furnish the Trustee with the address thereof, such presentations, surrenders, notices and demands may be made or served at the Corporate Trust Office or the principal corporate trust office of the Trustee in London which office is located as of the date hereof at One Canada Square, London E14 5AL.</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Issuer may also from time to time designate co-registrars and one or more offices or agencies where the Notes may be presented or surrendered for any or all such purposes and may from time to time rescind such designations. The Issuer will give prompt written notice of any such designation or rescission and of any change in the location of any such other office or agency.</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Issuer hereby initially appoints The Bank of New York as principal paying agent, Note registrar and conversion agent and each of the Corporate Trust Office and the office of agency of the Trustee shall be considered as one such office or agency of the Issuer for each of the aforesaid purposes. The Bank of New York hereby accepts such appointments. In addition, the Issuer hereby initially appoints Hermetic Trust (1975) Ltd. as Co-Trustee. Hermetic Trust (1975) Ltd. hereby accepts such appointment.</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All payments of the principal and interest on this Note shall be made only upon the surrender of this Note at the option of the Holder at the Corporate Trust Office or at the office or agency maintained by the Issuer for such purpose in London, England.</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So long as the Trustee is the Note registrar, the Trustee agrees to mail, or cause to be mailed, the notices set forth in Section 7.09 and the third paragraph of Section 7.10. If co-registrars have been appointed in accordance with this Section, the Trustee shall mail such notices only to the Issuer and the holders of Notes it can identify from its records.</w:t>
      </w:r>
    </w:p>
    <w:p>
      <w:pPr>
        <w:spacing w:after="0" w:line="19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Appointments to Fill Vacancies in Trustees’ Office.</w:t>
      </w:r>
      <w:r>
        <w:rPr>
          <w:rFonts w:ascii="Arial" w:cs="Arial" w:eastAsia="Arial" w:hAnsi="Arial"/>
          <w:sz w:val="16"/>
          <w:szCs w:val="16"/>
          <w:color w:val="auto"/>
        </w:rPr>
        <w:t xml:space="preserve"> The Issuer, whenever necessary to avoid or fill a vacancy in the office of Trustee or Co-Trustee, will appoint, in the manner provided in Section 7.09, a Trustee or Co-Trustee, so that there shall at all times be a Trustee and a Co-Trustee hereunder. The appointment of any such entity located and operating in the State of Israel shall be in accordance with the applicable provisions of the Securities Law.</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Provisions as to Paying Agent.</w:t>
      </w:r>
      <w:r>
        <w:rPr>
          <w:rFonts w:ascii="Arial" w:cs="Arial" w:eastAsia="Arial" w:hAnsi="Arial"/>
          <w:sz w:val="18"/>
          <w:szCs w:val="18"/>
          <w:color w:val="auto"/>
        </w:rPr>
        <w:t xml:space="preserve"> (a) If the Issuer shall appoint a paying agent other than the Trustee, or if the Trustee shall appoint such a paying agent, the Issuer will cause such paying agent to execute and deliver to the Trustee an instrument in which such agent shall agree with the Trustee, subject to the provisions of this Section 4.04:</w:t>
      </w:r>
    </w:p>
    <w:p>
      <w:pPr>
        <w:spacing w:after="0" w:line="194" w:lineRule="exact"/>
        <w:rPr>
          <w:sz w:val="20"/>
          <w:szCs w:val="20"/>
          <w:color w:val="auto"/>
        </w:rPr>
      </w:pPr>
    </w:p>
    <w:p>
      <w:pPr>
        <w:ind w:left="1160" w:right="140" w:hanging="571"/>
        <w:spacing w:after="0" w:line="268" w:lineRule="auto"/>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or interest on the Notes in trust for the benefit of the holders of the Notes;</w:t>
      </w:r>
    </w:p>
    <w:p>
      <w:pPr>
        <w:sectPr>
          <w:pgSz w:w="11900" w:h="16892" w:orient="portrait"/>
          <w:cols w:equalWidth="0" w:num="1">
            <w:col w:w="11420"/>
          </w:cols>
          <w:pgMar w:left="240" w:top="131" w:right="239" w:bottom="0" w:gutter="0" w:footer="0" w:header="0"/>
        </w:sectPr>
      </w:pPr>
    </w:p>
    <w:bookmarkStart w:id="57" w:name="page58"/>
    <w:bookmarkEnd w:id="57"/>
    <w:p>
      <w:pPr>
        <w:ind w:left="1160" w:right="320" w:hanging="571"/>
        <w:spacing w:after="0" w:line="268" w:lineRule="auto"/>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to make any payment of the principal of or interest on the Notes when the same shall be due and payable; and</w:t>
      </w:r>
    </w:p>
    <w:p>
      <w:pPr>
        <w:spacing w:after="0" w:line="212" w:lineRule="exact"/>
        <w:rPr>
          <w:rFonts w:ascii="Arial" w:cs="Arial" w:eastAsia="Arial" w:hAnsi="Arial"/>
          <w:sz w:val="18"/>
          <w:szCs w:val="18"/>
          <w:color w:val="auto"/>
        </w:rPr>
      </w:pPr>
    </w:p>
    <w:p>
      <w:pPr>
        <w:ind w:left="1160" w:right="40" w:hanging="571"/>
        <w:spacing w:after="0" w:line="268" w:lineRule="auto"/>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at any time during the continuance of an Event of Default, upon request of the Trustee, it will forthwith pay to the Trustee all sums so held in trust.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The Issuer shall, on or before each due date of the principal of or interest on the Notes, deposit with the paying agent a sum (in funds which are immediately available on the due date for such payment) sufficient to pay such principal or interest, and (unless such paying agents is the Trustee) the Issuer will promptly notify the Trustees of any failure to take such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deposit is made on the due date, such deposit shall be received by the paying agent by 10:00 a.m. London time, on such date.</w:t>
      </w:r>
    </w:p>
    <w:p>
      <w:pPr>
        <w:spacing w:after="0" w:line="197" w:lineRule="exact"/>
        <w:rPr>
          <w:sz w:val="20"/>
          <w:szCs w:val="20"/>
          <w:color w:val="auto"/>
        </w:rPr>
      </w:pPr>
    </w:p>
    <w:p>
      <w:pPr>
        <w:jc w:val="both"/>
        <w:ind w:right="100" w:firstLine="359"/>
        <w:spacing w:after="0" w:line="256"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Issuer shall act as its own paying agent, it will, on or before each due date of the principal of or interest on the Notes, set aside, segregate and hold in trust for the benefit of the holders of the Notes a sum sufficient to pay such principal or interest so becoming due and will promptly notify the Trustees of any failure to take such action and of any failure by the Issuer to make any payment of the principal of or interest on the Notes when the same shall become due and payable.</w:t>
      </w:r>
    </w:p>
    <w:p>
      <w:pPr>
        <w:spacing w:after="0" w:line="197" w:lineRule="exact"/>
        <w:rPr>
          <w:rFonts w:ascii="Arial" w:cs="Arial" w:eastAsia="Arial" w:hAnsi="Arial"/>
          <w:sz w:val="18"/>
          <w:szCs w:val="18"/>
          <w:color w:val="auto"/>
        </w:rPr>
      </w:pPr>
    </w:p>
    <w:p>
      <w:pPr>
        <w:ind w:right="20" w:firstLine="359"/>
        <w:spacing w:after="0" w:line="298" w:lineRule="auto"/>
        <w:tabs>
          <w:tab w:leader="none" w:pos="59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Anything in this Section 4.04 to the contrary notwithstanding, the Issuer may, at any time, for the purpose of obtaining a satisfaction and discharge of this Indenture, or for any other reason, pay or cause to be paid to the Trustee all sums held in trust by the Issuer or any paying agent hereunder as required by this Section 4.04, such sums to be held by the Trustee upon the trusts herein contained and upon such payment by the Issuer or any paying agent to the Trustee, the Issuer or such paying agent shall be released from all further liability with respect to such sums.</w:t>
      </w:r>
    </w:p>
    <w:p>
      <w:pPr>
        <w:spacing w:after="0" w:line="166" w:lineRule="exact"/>
        <w:rPr>
          <w:rFonts w:ascii="Arial" w:cs="Arial" w:eastAsia="Arial" w:hAnsi="Arial"/>
          <w:sz w:val="16"/>
          <w:szCs w:val="16"/>
          <w:color w:val="auto"/>
        </w:rPr>
      </w:pPr>
    </w:p>
    <w:p>
      <w:pPr>
        <w:ind w:right="160" w:firstLine="359"/>
        <w:spacing w:after="0" w:line="268"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Anything in this Section 4.04 to the contrary notwithstanding, the agreement to hold sums in trust as provided in this Section 4.04 is subject to Sections 13.03 and 13.04.</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 Trustee shall be responsible for the actions of any other paying agents (including the Issuer if acting as its own paying agent) and shall have no control of any funds held by such other paying agents.</w:t>
      </w:r>
    </w:p>
    <w:p>
      <w:pPr>
        <w:spacing w:after="0" w:line="186"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Existence.</w:t>
      </w:r>
      <w:r>
        <w:rPr>
          <w:rFonts w:ascii="Arial" w:cs="Arial" w:eastAsia="Arial" w:hAnsi="Arial"/>
          <w:sz w:val="18"/>
          <w:szCs w:val="18"/>
          <w:color w:val="auto"/>
        </w:rPr>
        <w:t xml:space="preserve"> Subject to Article 12, the Issuer will do or cause to be done all things necessary to preserve and keep in full force and effect its existence and rights (charter and statutory);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Issuer shall not be required to preserve any such right if the Issuer shall determine that the preservation thereof is no longer desirable in the conduct of the business of the Issuer and that the loss thereof is not disadvantageous in any material respect to the Noteholders.</w:t>
      </w:r>
    </w:p>
    <w:p>
      <w:pPr>
        <w:spacing w:after="0" w:line="19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Stay, Extension and Usury Laws.</w:t>
      </w:r>
      <w:r>
        <w:rPr>
          <w:rFonts w:ascii="Arial" w:cs="Arial" w:eastAsia="Arial" w:hAnsi="Arial"/>
          <w:sz w:val="16"/>
          <w:szCs w:val="16"/>
          <w:color w:val="auto"/>
        </w:rPr>
        <w:t xml:space="preserve"> The Issuer covenants (to the extent that it may lawfully do so) that it shall not at any time insist upon, plead, or in any manner whatsoever claim or take the benefit or advantage of, any stay, extension or usury law or other law which would prohibit or forgive the Issuer from paying all or any portion of the principal of or interest on the Notes as contemplated herein, wherever enacted, now or at any time hereafter in force, or which may affect the covenants or the performance of this Indenture and the Issuer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Compliance Certificate.</w:t>
      </w:r>
      <w:r>
        <w:rPr>
          <w:rFonts w:ascii="Arial" w:cs="Arial" w:eastAsia="Arial" w:hAnsi="Arial"/>
          <w:sz w:val="18"/>
          <w:szCs w:val="18"/>
          <w:color w:val="auto"/>
        </w:rPr>
        <w:t xml:space="preserve"> The Issuer shall deliver to the Trustees, within one hundred twenty (120) days after the end of each fiscal year of the Issuer, a certificate signed by either the principal executive officer, principal financial officer or principal accounting officer of the Issuer, stating whether or not to the best knowledge of the signer thereof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the status thereof of which the signer may have knowledge.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The Issuer will deliver to the Trustees, forthwith upon becoming aware of (i) any default in the performance or observance of any covenant, agreement or condition contained in this Indenture, or (ii) any Event of Default, an Officers’ Certificate specifying with particularity such default or Event of Default and further stating what action the Issuer has taken, is taking or proposes to take with respect thereto.</w:t>
      </w:r>
    </w:p>
    <w:p>
      <w:pPr>
        <w:spacing w:after="0" w:line="16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Any notice required to be given under this Section 4.07 shall be delivered to a Responsible Officer of the Trustee at its Corporate Trust Office and to the Co-Trustee at its address as specified in Section 15.03.</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NOTEHOLDERS’ LISTS AND REPORTS BY THE COMPANY AND THE TRUSTEE</w:t>
      </w:r>
    </w:p>
    <w:p>
      <w:pPr>
        <w:spacing w:after="0" w:line="300"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Noteholders’ Lists.</w:t>
      </w:r>
      <w:r>
        <w:rPr>
          <w:rFonts w:ascii="Arial" w:cs="Arial" w:eastAsia="Arial" w:hAnsi="Arial"/>
          <w:sz w:val="16"/>
          <w:szCs w:val="16"/>
          <w:color w:val="auto"/>
        </w:rPr>
        <w:t xml:space="preserve"> The Issuer covenants and agrees that it will furnish or cause to be furnished to the Trustee, semiannually, not more than fifteen (15) days after each May 1 and November 1 in each year beginning with May 1, 2006, and at such other times as the Trustee may request in writing, within thirty (30) days after receipt by the Issuer of any such request (or such lesser time as the Trustee may reasonably request in order to enable it to timely provide any notice to be provided by it hereunder), a list in such form as the Trustee may reasonably require of the names and addresses of the holders of Notes (to the extent available to the Issuer) as of a date not more than fifteen (15) days (or such other date as the Trustee may reasonably request in order to so provide any such notices) prior to the time such information is furnished, except that no such list need be furnished by the Issuer to the Trustee so long as the Trustee is acting as the sole Note registrar.</w:t>
      </w:r>
    </w:p>
    <w:p>
      <w:pPr>
        <w:spacing w:after="0" w:line="17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Preservation and Disclosure of Lists.</w:t>
      </w:r>
      <w:r>
        <w:rPr>
          <w:rFonts w:ascii="Arial" w:cs="Arial" w:eastAsia="Arial" w:hAnsi="Arial"/>
          <w:sz w:val="18"/>
          <w:szCs w:val="18"/>
          <w:color w:val="auto"/>
        </w:rPr>
        <w:t xml:space="preserve"> (a) The Trustee shall preserve, in as current a form as is reasonably practicable, all information as to the names and addresses of the holders of Notes contained in the most recent list furnished to it as provided in Section 5.01 or maintained by the Trustee in its capacity as Note registrar or co-registrar in respect of the Notes, if so acting. The Trustee may destroy any list furnished to it as provided in Section 5.01 upon receipt of a new list so furnished.</w:t>
      </w:r>
    </w:p>
    <w:p>
      <w:pPr>
        <w:sectPr>
          <w:pgSz w:w="11900" w:h="16838" w:orient="portrait"/>
          <w:cols w:equalWidth="0" w:num="1">
            <w:col w:w="11400"/>
          </w:cols>
          <w:pgMar w:left="240" w:top="374" w:right="259" w:bottom="0" w:gutter="0" w:footer="0" w:header="0"/>
        </w:sectPr>
      </w:pPr>
    </w:p>
    <w:bookmarkStart w:id="58" w:name="page59"/>
    <w:bookmarkEnd w:id="58"/>
    <w:p>
      <w:pPr>
        <w:ind w:right="580" w:firstLine="359"/>
        <w:spacing w:after="0" w:line="268"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rights of Noteholders to communicate with other holders of Notes with respect to their rights under this Indenture or under the Notes, and the corresponding rights and duties of the Trustee, shall be as provided by the Trust Indenture Act.</w:t>
      </w:r>
    </w:p>
    <w:p>
      <w:pPr>
        <w:spacing w:after="0" w:line="185" w:lineRule="exact"/>
        <w:rPr>
          <w:rFonts w:ascii="Arial" w:cs="Arial" w:eastAsia="Arial" w:hAnsi="Arial"/>
          <w:sz w:val="18"/>
          <w:szCs w:val="18"/>
          <w:color w:val="auto"/>
        </w:rPr>
      </w:pPr>
    </w:p>
    <w:p>
      <w:pPr>
        <w:ind w:right="40" w:firstLine="359"/>
        <w:spacing w:after="0" w:line="259" w:lineRule="auto"/>
        <w:tabs>
          <w:tab w:leader="none" w:pos="5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Every Noteholder, by receiving and holding the same, agrees with the Issuer and the Trustee that neither the Issuer nor the Trustee nor any agent of either of them shall be held accountable by reason of any disclosure of information as to names and addresses of holders of Notes made pursuant to the Trust Indenture Act.</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Reports by Trustee.</w:t>
      </w:r>
      <w:r>
        <w:rPr>
          <w:rFonts w:ascii="Arial" w:cs="Arial" w:eastAsia="Arial" w:hAnsi="Arial"/>
          <w:sz w:val="16"/>
          <w:szCs w:val="16"/>
          <w:color w:val="auto"/>
        </w:rPr>
        <w:t xml:space="preserve"> (a) Within sixty (60) days after May 15 of each year commencing with the year 2006, the Trustee shall transmit to holders of Notes and the Co-Trustee such reports dated as of May 15 of the year in which such reports are made concerning the Trustee and its actions under this Indenture as may be required pursuant to the Trust Indenture Act at the times and in the manner provided pursuant thereto. The Noteholders may review such report at the offices of the Trustee and the offices of the Co-Trustee during normal working hours.</w:t>
      </w:r>
    </w:p>
    <w:p>
      <w:pPr>
        <w:spacing w:after="0" w:line="167" w:lineRule="exact"/>
        <w:rPr>
          <w:sz w:val="20"/>
          <w:szCs w:val="20"/>
          <w:color w:val="auto"/>
        </w:rPr>
      </w:pPr>
    </w:p>
    <w:p>
      <w:pPr>
        <w:ind w:right="400" w:firstLine="359"/>
        <w:spacing w:after="0" w:line="259" w:lineRule="auto"/>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copy of such report shall, at the time of such transmission to holders of Notes, be filed by the Trustee with each stock exchange and automated quotation system upon which the Notes are listed and with the Issuer. The Issuer will promptly notify the Trustee in writing when the Notes are listed on any stock exchange or automated quotation system or delisted therefrom.</w:t>
      </w:r>
    </w:p>
    <w:p>
      <w:pPr>
        <w:spacing w:after="0" w:line="194" w:lineRule="exact"/>
        <w:rPr>
          <w:rFonts w:ascii="Arial" w:cs="Arial" w:eastAsia="Arial" w:hAnsi="Arial"/>
          <w:sz w:val="18"/>
          <w:szCs w:val="18"/>
          <w:color w:val="auto"/>
        </w:rPr>
      </w:pPr>
    </w:p>
    <w:p>
      <w:pPr>
        <w:ind w:right="500" w:firstLine="359"/>
        <w:spacing w:after="0" w:line="306" w:lineRule="auto"/>
        <w:tabs>
          <w:tab w:leader="none" w:pos="59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Co-Trustee shall prepare an annual report concerning the Co-Trustee and its actions as required under the Securities Law and any regulation promulgated thereunder from time to time. The Noteholders may review such report at the offices of the Co-Trustee during normal working hours. The Co-Trustee shall furnish a copy of such report to the Trustee and to any Noteholder who so requests in writing.</w:t>
      </w:r>
    </w:p>
    <w:p>
      <w:pPr>
        <w:spacing w:after="0" w:line="160" w:lineRule="exact"/>
        <w:rPr>
          <w:rFonts w:ascii="Arial" w:cs="Arial" w:eastAsia="Arial" w:hAnsi="Arial"/>
          <w:sz w:val="16"/>
          <w:szCs w:val="16"/>
          <w:color w:val="auto"/>
        </w:rPr>
      </w:pPr>
    </w:p>
    <w:p>
      <w:pPr>
        <w:ind w:left="5620" w:hanging="96"/>
        <w:spacing w:after="0"/>
        <w:tabs>
          <w:tab w:leader="none" w:pos="56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Reports by Issuer.</w:t>
      </w:r>
      <w:r>
        <w:rPr>
          <w:rFonts w:ascii="Arial" w:cs="Arial" w:eastAsia="Arial" w:hAnsi="Arial"/>
          <w:sz w:val="16"/>
          <w:szCs w:val="16"/>
          <w:color w:val="auto"/>
        </w:rPr>
        <w:t xml:space="preserve"> The Issuer shall file with the Trustees, the Commission and the ISA and transmit to holders of Notes, such information, documents and other reports and such summaries thereof, as may be required pursuant to the Trust Indenture Act and/or the Securities Law at the times and in the manner provided pursuant to such Act or Law, whether or not the Notes are governed by such Act or Law, and the Issuer shall deliver to the Trustees any additional information which may be reasonably requested by either of the Trustees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information, documents or reports required to be filed with the Commission pursuant to Section 13 or 15(d) of the Exchange Act and/or the ISA pursuant to the Securities Law shall be filed with the Trustees within fifteen (15) days after the same is so required to be filed with the Commission and/or the ISA. Delivery of such reports, information and documents to the Trustees is for informational purposes only and the Trustees’ receipt of such shall not constitute actual or constructive notice of any information contained therein or determinable from information contained therein, including the Issuer’s compliance with any of its covenants hereunder (as to which the Trustees are entitled to rely exclusively on an Officers’ Certificate).</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 OF THE TRUSTEE AND NOTEHOLDERS ON AN EVENT OF DEFAULT</w:t>
      </w:r>
    </w:p>
    <w:p>
      <w:pPr>
        <w:spacing w:after="0" w:line="300"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r>
        <w:rPr>
          <w:rFonts w:ascii="Arial" w:cs="Arial" w:eastAsia="Arial" w:hAnsi="Arial"/>
          <w:sz w:val="18"/>
          <w:szCs w:val="18"/>
          <w:color w:val="auto"/>
        </w:rPr>
        <w:t xml:space="preserve"> In case one or more of the following Events of Default (whatever the reason for such Event of Default and whether it shall be voluntary or involuntary or be effected by operation of law or pursuant to any judgment, decree or order of any court or any order, rule or regulation of any administrative or governmental body) shall have occurred and be continuing:</w:t>
      </w:r>
    </w:p>
    <w:p>
      <w:pPr>
        <w:spacing w:after="0" w:line="194" w:lineRule="exact"/>
        <w:rPr>
          <w:sz w:val="20"/>
          <w:szCs w:val="20"/>
          <w:color w:val="auto"/>
        </w:rPr>
      </w:pPr>
    </w:p>
    <w:p>
      <w:pPr>
        <w:jc w:val="both"/>
        <w:ind w:left="1160" w:right="100" w:hanging="571"/>
        <w:spacing w:after="0" w:line="259" w:lineRule="auto"/>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default in the payment of any amount of interest upon any of the Notes, as and when the same shall become due and payable, and continuance of such default for a period of fourteen (14) Business Days following the date on which such payment is due under the terms hereof (and subject to Article 8); or</w:t>
      </w:r>
    </w:p>
    <w:p>
      <w:pPr>
        <w:spacing w:after="0" w:line="221" w:lineRule="exact"/>
        <w:rPr>
          <w:rFonts w:ascii="Arial" w:cs="Arial" w:eastAsia="Arial" w:hAnsi="Arial"/>
          <w:sz w:val="18"/>
          <w:szCs w:val="18"/>
          <w:color w:val="auto"/>
        </w:rPr>
      </w:pPr>
    </w:p>
    <w:p>
      <w:pPr>
        <w:ind w:left="1160" w:right="100" w:hanging="571"/>
        <w:spacing w:after="0" w:line="259" w:lineRule="auto"/>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default in the payment of the principal of any of the Notes as and when the same shall become due and payable either at maturity (subject to Article 8) or in connection with any redemption or otherwise, pursuant to Article 3, by acceleration or otherwise and continuance of such default for a period of fourteen (14) Business Days; or</w:t>
      </w:r>
    </w:p>
    <w:p>
      <w:pPr>
        <w:spacing w:after="0" w:line="221" w:lineRule="exact"/>
        <w:rPr>
          <w:rFonts w:ascii="Arial" w:cs="Arial" w:eastAsia="Arial" w:hAnsi="Arial"/>
          <w:sz w:val="18"/>
          <w:szCs w:val="18"/>
          <w:color w:val="auto"/>
        </w:rPr>
      </w:pPr>
    </w:p>
    <w:p>
      <w:pPr>
        <w:ind w:left="1160" w:right="20" w:hanging="571"/>
        <w:spacing w:after="0" w:line="294" w:lineRule="auto"/>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Issuer takes any corporate action or other steps are taken or proceedings are started or are consented to or any order is made for its winding-up, liquidation, bankruptcy, dissolution, administration or re-organization (or for the suspension of payments generally or any process giving protection against creditors) or for the appointment of a liquidator, receiver, administrator, administrative receiver or similar officer of it or of all or any part of its revenues or assets or such a person is appointed, which action, steps, proceedings or order are not cancelled or withdrawn within 60 (sixty) days of the occurrence or institution thereof; or</w:t>
      </w:r>
    </w:p>
    <w:p>
      <w:pPr>
        <w:spacing w:after="0" w:line="196" w:lineRule="exact"/>
        <w:rPr>
          <w:rFonts w:ascii="Arial" w:cs="Arial" w:eastAsia="Arial" w:hAnsi="Arial"/>
          <w:sz w:val="16"/>
          <w:szCs w:val="16"/>
          <w:color w:val="auto"/>
        </w:rPr>
      </w:pPr>
    </w:p>
    <w:p>
      <w:pPr>
        <w:ind w:left="1160" w:right="100" w:hanging="571"/>
        <w:spacing w:after="0" w:line="298" w:lineRule="auto"/>
        <w:tabs>
          <w:tab w:leader="none" w:pos="11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 involuntary case or other proceeding shall be commenced against the Issuer seeking liquidation, reorganization or other relief with respect to the Issuer or its debts under any bankruptcy, insolvency or other similar law now or hereafter in effect or seeking the appointment of a trustee, receiver, liquidator, custodian or other similar official of the Issuer or any substantial part of the property of the Issuer, and such involuntary case or other proceeding shall remain undismissed and unstayed for a period of sixty (60) consecutive days,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line="306" w:lineRule="auto"/>
        <w:rPr>
          <w:sz w:val="20"/>
          <w:szCs w:val="20"/>
          <w:color w:val="auto"/>
        </w:rPr>
      </w:pPr>
      <w:r>
        <w:rPr>
          <w:rFonts w:ascii="Arial" w:cs="Arial" w:eastAsia="Arial" w:hAnsi="Arial"/>
          <w:sz w:val="15"/>
          <w:szCs w:val="15"/>
          <w:color w:val="auto"/>
        </w:rPr>
        <w:t>then, and in each and every such case, unless the principal of all of the Notes shall have already become due and payable, either the Trustee or Co-Trustee, or both acting jointly, by notice in writing to the Issuer shall declare the principal of all the Notes and the interest accrued thereon to be due and payable immediately, and upon any such declaration the same shall become and shall be immediately due and payable, anything in this Indenture or in the Notes contained to the contrary notwithstanding, but subject to Article 8. This provision, however, is subject to the conditions that if, at any time after the principal of the Notes shall have been so declared due and payable, and before any judgment or decree for the payment of the monies due shall have been obtained or entered as hereinafter provided, the Issuer shall pay or shall deposit with the Trustees a sum sufficient to pay all matured installments of interest upon all Notes and the principal of any and all Notes which shall have become due otherwise than by acceleration (with interest on overdue installments of interest (to the extent that payment of such interest is enforceable under applicable law) and on such principal at the rate borne by the Notes, to the date of such payment or deposit) and amounts due to the Trustees pursuant to Section 7.05, and if any and all defaults under this Indenture, other than the nonpayment of principal of and accrued interest on Notes which shall have become due by acceleration, shall have been cured or waived pursuant to Section 6.07, then and in every such case the holders of a majority in aggregate principal amount of the Notes then outstanding, by written notice to the Issuer and to the Trustees, may waive all defaults or Events of Default and rescind and annul such declaration and its consequences; but no</w:t>
      </w:r>
    </w:p>
    <w:p>
      <w:pPr>
        <w:sectPr>
          <w:pgSz w:w="11900" w:h="16838" w:orient="portrait"/>
          <w:cols w:equalWidth="0" w:num="1">
            <w:col w:w="11420"/>
          </w:cols>
          <w:pgMar w:left="240" w:top="131" w:right="239" w:bottom="0" w:gutter="0" w:footer="0" w:header="0"/>
        </w:sectPr>
      </w:pPr>
    </w:p>
    <w:bookmarkStart w:id="59" w:name="page60"/>
    <w:bookmarkEnd w:id="59"/>
    <w:p>
      <w:pPr>
        <w:spacing w:after="0" w:line="42" w:lineRule="exact"/>
        <w:rPr>
          <w:sz w:val="20"/>
          <w:szCs w:val="20"/>
          <w:color w:val="auto"/>
        </w:rPr>
      </w:pPr>
    </w:p>
    <w:p>
      <w:pPr>
        <w:ind w:left="580" w:right="220"/>
        <w:spacing w:after="0" w:line="259" w:lineRule="auto"/>
        <w:rPr>
          <w:sz w:val="20"/>
          <w:szCs w:val="20"/>
          <w:color w:val="auto"/>
        </w:rPr>
      </w:pPr>
      <w:r>
        <w:rPr>
          <w:rFonts w:ascii="Arial" w:cs="Arial" w:eastAsia="Arial" w:hAnsi="Arial"/>
          <w:sz w:val="18"/>
          <w:szCs w:val="18"/>
          <w:color w:val="auto"/>
        </w:rPr>
        <w:t>such waiver or rescission and annulment shall extend to or shall affect any subsequent default or Event of Default, or shall impair any right consequent thereon. The Issuer shall notify in writing a Responsible Officer of the Trustee and of the Co-Trustee, promptly upon becoming aware thereof, of any Event of Default.</w:t>
      </w:r>
    </w:p>
    <w:p>
      <w:pPr>
        <w:spacing w:after="0" w:line="200" w:lineRule="exact"/>
        <w:rPr>
          <w:sz w:val="20"/>
          <w:szCs w:val="20"/>
          <w:color w:val="auto"/>
        </w:rPr>
      </w:pPr>
    </w:p>
    <w:p>
      <w:pPr>
        <w:spacing w:after="0" w:line="23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Trustees may not declare any amount due and payable prior to its maturity and shall not take any action against the Issuer unless the Event of</w:t>
      </w:r>
      <w:r>
        <w:rPr>
          <w:rFonts w:ascii="Arial" w:cs="Arial" w:eastAsia="Arial" w:hAnsi="Arial"/>
          <w:sz w:val="16"/>
          <w:szCs w:val="16"/>
          <w:i w:val="1"/>
          <w:iCs w:val="1"/>
          <w:color w:val="auto"/>
        </w:rPr>
        <w:t xml:space="preserve"> </w:t>
      </w:r>
      <w:r>
        <w:rPr>
          <w:rFonts w:ascii="Arial" w:cs="Arial" w:eastAsia="Arial" w:hAnsi="Arial"/>
          <w:sz w:val="16"/>
          <w:szCs w:val="16"/>
          <w:color w:val="auto"/>
        </w:rPr>
        <w:t>Default remains unremedied within thirty-nine (39) days of the later of (i) the receipt by the Issuer of demand to cure such default and (ii) the receipt by the Lenders from either the Co-Trustee or the Trustee of a copy of such demand to cure, such notice to the Lenders to have been made in accordance with addresses and contact details of the representative of the Lenders provided by the Issuer to the Co-Trustee or to the Trustee from time to time.</w:t>
      </w:r>
    </w:p>
    <w:p>
      <w:pPr>
        <w:spacing w:after="0" w:line="16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case the Trustees shall have proceeded to enforce any right under this Indenture and such proceedings shall have been discontinued or abandoned because of such waiver or rescission and annulment or for any other reason or shall have been determined adversely to the Trustee, the Co-Trustee or both, then and in every such case the Issuer, the holders of Notes, and the Trustees shall be restored respectively to their several positions and rights hereunder, and all rights, remedies and powers of the Issuer, the holders of Notes, and the Trustees shall continue as though no such proceeding had been taken.</w:t>
      </w:r>
    </w:p>
    <w:p>
      <w:pPr>
        <w:spacing w:after="0" w:line="16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Payments of Notes on Default; Suit Therefor.</w:t>
      </w:r>
      <w:r>
        <w:rPr>
          <w:rFonts w:ascii="Arial" w:cs="Arial" w:eastAsia="Arial" w:hAnsi="Arial"/>
          <w:sz w:val="16"/>
          <w:szCs w:val="16"/>
          <w:color w:val="auto"/>
        </w:rPr>
        <w:t xml:space="preserve"> The Issuer covenants that (a) in case default shall be made in the payment of any installment of interest upon any of the Notes as and when the same shall become due and payable, and such default shall have continued for a period of fourteen (14) Business Days, or (b) in case a default shall be made in the payment of the principal of any of the Notes as and when the same shall have become due and payable, whether at maturity of the Notes or in connection with any redemption of the Notes, by acceleration or otherwise, and such default shall have continued for a period of fourteen (14) Business Days, then, upon demand of the Trustees, but subject to Article 8 below, the Issuer will pay to the Trustee, for the benefit of the holders of the Notes, the whole amount that then shall have become due and payable on all such Notes for principal or interest, as the case may be, with interest upon the overdue principal and, in addition thereto, such further amount as shall be sufficient to cover the costs and expenses of collection, including reasonable compensation to the Trustees, their agents, attorneys and counsel, and all other amounts due the Trustees under Section 7.05. Until such demand by the Trustees, the Issuer may pay the principal of and interest on the Notes to the registered holders, whether or not the Notes are overdue.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case the Issuer shall fail forthwith to pay such amounts upon such demand, the Trustees, in their own name and as trustees of an express trust, shall be entitled and empowered (but not required) to institute any actions or proceedings at law or in equity for the collection of the sums so due and unpaid, and may prosecute any such action or proceeding to judgment or final decree, and may enforce any such judgment or final decree against the Issuer and collect in the manner provided by law out of the property of the Issuer wherever situated the monies adjudged or decreed to be payable.</w:t>
      </w:r>
    </w:p>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case there shall be pending proceedings for the bankruptcy or for the reorganization of the Issuer under Title 11 of the United States Code, liquidation, insolvency or reorganization proceedings under the Israeli Companies Ordinance – 1983, Section 350 of the Israeli Companies Law – 2000, or under any other applicable law, or in case a receiver, assignee or trustee in bankruptcy or reorganization, liquidator, sequestrator or similar official shall have been appointed for or taken possession of the Issuer the property of the Issuer, or in the case of any other judicial proceedings relative to the Issuer upon the Notes, or to the creditors or property of the Issuer, the Trustees, irrespective of whether the principal of the Notes shall then be due and payable as therein expressed or by declaration or otherwise and irrespective of whether the Trustees shall have made any demand pursuant to the provisions of this Section 6.02, shall be entitled and empowered, by intervention in such proceedings or otherwise, to file and prove a claim or claims for the whole amount of principal and interest owing and unpaid in respect of the Notes, and, in case of any judicial proceedings, to file such proofs of claim and other papers or documents as may be necessary or advisable in order to have the claims of the Trustees and of the Noteholders allowed in such judicial proceedings relative to the Issuer, its creditors, or its property, and to collect and receive any monies or other property payable or deliverable on any such claims, and to distribute the same after the deduction of any amounts due the Trustees under Section 7.05, and any receiver, assignee or trustee in bankruptcy or reorganization, liquidator, custodian or similar official is hereby authorized by each of the Noteholders to make such payments to the Trustees, and, in the event that the Trustees shall consent to the making of such payments directly to the Noteholders, to pay to the Trustees any amount due it for reasonable compensation, expenses, advances and disbursements, including counsel fees and expenses incurred by them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which the holders of the Notes may be entitled to receive in such proceedings, whether in liquidation or under any plan of reorganization or arrangement or otherwise.</w:t>
      </w:r>
    </w:p>
    <w:p>
      <w:pPr>
        <w:spacing w:after="0" w:line="17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All rights of action and of asserting claims under this Indenture, or under any of the Notes, may be enforced by the Trustees without the possession of any of the Notes, or the production thereof at any trial or other proceeding relative thereto, and any such suit or proceeding instituted by the Trustees shall be brought in their own name as trustees of an express trust, and any recovery of judgment shall, after provision for the payment of the reasonable compensation, expenses, disbursements and advances of the Trustees, their agents and counsel, be for the ratable benefit of the holders of the Notes.</w:t>
      </w:r>
    </w:p>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any proceedings brought by the Trustee or the Co-Trustee, or both (and in any proceedings involving the interpretation of any provision of this Indenture to which the Trustee or the Co-Trustee, or both shall be a party) the Trustee or the Co-Trustee, or both shall be held to represent all the holders of the Notes, and it shall not be necessary to make any holders of the Notes parties to any such proceedings.</w:t>
      </w:r>
    </w:p>
    <w:p>
      <w:pPr>
        <w:spacing w:after="0" w:line="19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Application of Monies Collected by Trustees.</w:t>
      </w:r>
      <w:r>
        <w:rPr>
          <w:rFonts w:ascii="Arial" w:cs="Arial" w:eastAsia="Arial" w:hAnsi="Arial"/>
          <w:sz w:val="18"/>
          <w:szCs w:val="18"/>
          <w:color w:val="auto"/>
        </w:rPr>
        <w:t xml:space="preserve"> Any monies collected by the Trustee or the Co-Trustee, or both pursuant to this Article 6 shall be applied in the order following, at the date or dates fixed by the Trustees for the distribution of such monies, upon presentation of the several Notes, and stamping thereon the payment, if only partially paid, and upon surrender thereof, if fully paid:</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FIRST: To the payment of all amounts due (a) the Trustee and then (b) the Co-Trustee under Section 7.05;</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right="220"/>
        <w:spacing w:after="0" w:line="306" w:lineRule="auto"/>
        <w:rPr>
          <w:sz w:val="20"/>
          <w:szCs w:val="20"/>
          <w:color w:val="auto"/>
        </w:rPr>
      </w:pPr>
      <w:r>
        <w:rPr>
          <w:rFonts w:ascii="Arial" w:cs="Arial" w:eastAsia="Arial" w:hAnsi="Arial"/>
          <w:sz w:val="16"/>
          <w:szCs w:val="16"/>
          <w:color w:val="auto"/>
        </w:rPr>
        <w:t>SECOND: In case the principal of the outstanding Notes shall not have become due and be unpaid, to the payment of interest on the Notes in default in the order of the maturity of the installments of such interest, with interest (to the extent that such interest has been collected by the Trustees) upon the overdue installments of interest at the rate borne by the Notes, such payments to be made ratably to the Persons entitled thereto;</w:t>
      </w:r>
    </w:p>
    <w:p>
      <w:pPr>
        <w:spacing w:after="0" w:line="188" w:lineRule="exact"/>
        <w:rPr>
          <w:sz w:val="20"/>
          <w:szCs w:val="20"/>
          <w:color w:val="auto"/>
        </w:rPr>
      </w:pPr>
    </w:p>
    <w:p>
      <w:pPr>
        <w:ind w:left="580" w:right="300"/>
        <w:spacing w:after="0" w:line="370" w:lineRule="auto"/>
        <w:rPr>
          <w:sz w:val="20"/>
          <w:szCs w:val="20"/>
          <w:color w:val="auto"/>
        </w:rPr>
      </w:pPr>
      <w:r>
        <w:rPr>
          <w:rFonts w:ascii="Arial" w:cs="Arial" w:eastAsia="Arial" w:hAnsi="Arial"/>
          <w:sz w:val="15"/>
          <w:szCs w:val="15"/>
          <w:color w:val="auto"/>
        </w:rPr>
        <w:t>THIRD: In case the principal of the outstanding Notes shall have become due, by declaration or otherwise, and be unpaid to the payment of the whole amount then owing and unpaid upon the Notes for principal and interest with interest on the overdue principal and (to the extent that such interest has</w:t>
      </w:r>
    </w:p>
    <w:p>
      <w:pPr>
        <w:sectPr>
          <w:pgSz w:w="11900" w:h="16881" w:orient="portrait"/>
          <w:cols w:equalWidth="0" w:num="1">
            <w:col w:w="11420"/>
          </w:cols>
          <w:pgMar w:left="240" w:top="131" w:right="239" w:bottom="0" w:gutter="0" w:footer="0" w:header="0"/>
        </w:sectPr>
      </w:pPr>
    </w:p>
    <w:bookmarkStart w:id="60" w:name="page61"/>
    <w:bookmarkEnd w:id="60"/>
    <w:p>
      <w:pPr>
        <w:ind w:left="580" w:right="20"/>
        <w:spacing w:after="0" w:line="298" w:lineRule="auto"/>
        <w:rPr>
          <w:sz w:val="20"/>
          <w:szCs w:val="20"/>
          <w:color w:val="auto"/>
        </w:rPr>
      </w:pPr>
      <w:r>
        <w:rPr>
          <w:rFonts w:ascii="Arial" w:cs="Arial" w:eastAsia="Arial" w:hAnsi="Arial"/>
          <w:sz w:val="16"/>
          <w:szCs w:val="16"/>
          <w:color w:val="auto"/>
        </w:rPr>
        <w:t>been collected by the Trustees) upon overdue installments of interest at the rate borne by the Notes, and in case such monies shall be insufficient to pay in full the whole amounts so due and unpaid upon the Notes, then to the payment of such principal and interest without preference or priority of principal over interest or of interest over principal or of any installment of interest over any other installment of interest, or of any Note over any other Note, ratably to the aggregate of such principal and accrued and unpaid interest; and</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200" w:lineRule="exact"/>
        <w:rPr>
          <w:sz w:val="20"/>
          <w:szCs w:val="20"/>
          <w:color w:val="auto"/>
        </w:rPr>
      </w:pPr>
    </w:p>
    <w:p>
      <w:pPr>
        <w:spacing w:after="0" w:line="29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Proceedings by Noteholder.</w:t>
      </w:r>
      <w:r>
        <w:rPr>
          <w:rFonts w:ascii="Arial" w:cs="Arial" w:eastAsia="Arial" w:hAnsi="Arial"/>
          <w:sz w:val="16"/>
          <w:szCs w:val="16"/>
          <w:color w:val="auto"/>
        </w:rPr>
        <w:t xml:space="preserve"> Subject to the further provisions of this Section 6.04, no holder of any Note shall have any right by virtue of or by reference to any provision of this Indenture to institute any suit, action or proceeding in equity or at law upon or under or with respect to this Indenture, or for the appointment of a receiver, trustee, liquidator, custodian or other similar official, or for any other remedy hereunder.</w:t>
      </w:r>
    </w:p>
    <w:p>
      <w:pPr>
        <w:spacing w:after="0" w:line="16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Notwithstanding any other provision of this Indenture, the right of any holder of any Note to receive payment of the principal of and accrued interest on such Note, on or after the respective due dates expressed in such Note, or to institute suit for the enforcement of any such payment on or after such respective dates, shall not be impaired or affected without the consent of such holder.</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Notwithstanding any other provision of this Indenture, the right of any holder of any Note to institute suit for the enforcement of the right to convert the Note as provided herein, shall not be impaired or affected without the consent of the holder.</w:t>
      </w:r>
    </w:p>
    <w:p>
      <w:pPr>
        <w:spacing w:after="0" w:line="18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No one or more Holders shall have any right in any manner whatever by virtue of, or by availing of, any provision of this Indenture to affect, disturb or prejudice the rights of any other Holders, or to obtain or to seek to obtain priority or preference over any other Holders or to enforce any right under this Indenture, except in the manner herein provided and for the equal and ratable benefit of all the Holders.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Proceedings by Trustees.</w:t>
      </w:r>
      <w:r>
        <w:rPr>
          <w:rFonts w:ascii="Arial" w:cs="Arial" w:eastAsia="Arial" w:hAnsi="Arial"/>
          <w:sz w:val="18"/>
          <w:szCs w:val="18"/>
          <w:color w:val="auto"/>
        </w:rPr>
        <w:t xml:space="preserve"> In case of an Event of Default, the Trustee and the Co-Trustee may, jointly or separately in their discretion, proceed to protect and enforce the rights vested in it or them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Trustees by this Indenture or by law.</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Remedies Cumulative and Continuing.</w:t>
      </w:r>
      <w:r>
        <w:rPr>
          <w:rFonts w:ascii="Arial" w:cs="Arial" w:eastAsia="Arial" w:hAnsi="Arial"/>
          <w:sz w:val="16"/>
          <w:szCs w:val="16"/>
          <w:color w:val="auto"/>
        </w:rPr>
        <w:t xml:space="preserve"> Except as provided in Section 2.06, all powers and remedies given by this Article 6 to the Trustees or to the Noteholders shall, to the extent permitted by law, be deemed cumulative and not exclusive of any thereof or of any other powers and remedies available to the Trustees or the holders of the Notes, by judicial proceedings or otherwise, to enforce the performance or observance of the covenants and agreements contained in this Indenture, and no delay or omission of the Trustees or of any holder of any of the Notes to exercise any right or power accruing upon any default or Event of Default occurring and continuing as aforesaid shall impair any such right or power, or shall be construed to be a waiver of any such default or any acquiescence therein, and, subject to the provisions of Section 6.04, every power and remedy given by this Article 6 or by law to the Trustees or to the Noteholders may be exercised from time to time, and as often as shall be deemed expedient, by the Trustee, the Co-Trustee or by the Noteholders.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Direction of Proceedings and Waiver of Defaults by Noteholders.</w:t>
      </w:r>
    </w:p>
    <w:p>
      <w:pPr>
        <w:spacing w:after="0" w:line="225" w:lineRule="exact"/>
        <w:rPr>
          <w:sz w:val="20"/>
          <w:szCs w:val="20"/>
          <w:color w:val="auto"/>
        </w:rPr>
      </w:pPr>
    </w:p>
    <w:p>
      <w:pPr>
        <w:ind w:left="580" w:right="100" w:hanging="572"/>
        <w:spacing w:after="0" w:line="294" w:lineRule="auto"/>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Direction of Proceedings by Noteholders. </w:t>
      </w:r>
      <w:r>
        <w:rPr>
          <w:rFonts w:ascii="Arial" w:cs="Arial" w:eastAsia="Arial" w:hAnsi="Arial"/>
          <w:sz w:val="16"/>
          <w:szCs w:val="16"/>
          <w:color w:val="auto"/>
        </w:rPr>
        <w:t>The holders of a majority in aggregate principal amount of the Notes at the time outstanding determined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Section 9.04 shall have the right to direct in accordance with Section 9.01, the time, method and place of conducting any proceeding for any remedy available to the Trustees or exercising any trust or power conferred on the Trustees;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direction shall not be in conflict with any rule of law or with this Indenture, (b) the Trustees may take any other action which is not inconsistent with such direction and (c) the Trustees may decline to take any action that would benefit some Noteholder to the detriment of other Noteholders.</w:t>
      </w:r>
    </w:p>
    <w:p>
      <w:pPr>
        <w:spacing w:after="0" w:line="196" w:lineRule="exact"/>
        <w:rPr>
          <w:rFonts w:ascii="Arial" w:cs="Arial" w:eastAsia="Arial" w:hAnsi="Arial"/>
          <w:sz w:val="16"/>
          <w:szCs w:val="16"/>
          <w:color w:val="auto"/>
        </w:rPr>
      </w:pPr>
    </w:p>
    <w:p>
      <w:pPr>
        <w:ind w:left="580" w:right="100" w:hanging="572"/>
        <w:spacing w:after="0" w:line="294" w:lineRule="auto"/>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Waiver of Defaults by Noteholders. </w:t>
      </w:r>
      <w:r>
        <w:rPr>
          <w:rFonts w:ascii="Arial" w:cs="Arial" w:eastAsia="Arial" w:hAnsi="Arial"/>
          <w:sz w:val="16"/>
          <w:szCs w:val="16"/>
          <w:color w:val="auto"/>
        </w:rPr>
        <w:t>The holders of a majority in aggregate principal amount of the Notes at the time outstanding determined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Section 9.04, shall have the right (subject to the next paragraph below) to direct, in accordance with Section 9.01, a waiver, on behalf of the holders of all of the Notes, of any past default or Event of Default hereunder and its consequences, provided that such direction to waive is given at a meeting of the Noteholders, in accordance with Article 10, and that such waiver be approved by the vote of holders of at least 75% of the principal amount of the Notes present or represented in that Noteholders meeting.</w:t>
      </w:r>
    </w:p>
    <w:p>
      <w:pPr>
        <w:spacing w:after="0" w:line="196" w:lineRule="exact"/>
        <w:rPr>
          <w:rFonts w:ascii="Arial" w:cs="Arial" w:eastAsia="Arial" w:hAnsi="Arial"/>
          <w:sz w:val="16"/>
          <w:szCs w:val="16"/>
          <w:color w:val="auto"/>
        </w:rPr>
      </w:pPr>
    </w:p>
    <w:p>
      <w:pPr>
        <w:ind w:left="580" w:right="200"/>
        <w:spacing w:after="0" w:line="298" w:lineRule="auto"/>
        <w:rPr>
          <w:rFonts w:ascii="Arial" w:cs="Arial" w:eastAsia="Arial" w:hAnsi="Arial"/>
          <w:sz w:val="16"/>
          <w:szCs w:val="16"/>
          <w:color w:val="auto"/>
        </w:rPr>
      </w:pPr>
      <w:r>
        <w:rPr>
          <w:rFonts w:ascii="Arial" w:cs="Arial" w:eastAsia="Arial" w:hAnsi="Arial"/>
          <w:sz w:val="16"/>
          <w:szCs w:val="16"/>
          <w:color w:val="auto"/>
        </w:rPr>
        <w:t>Notwithstanding the former paragraph above, the following defaults may not be waived without the consent of the holders of each or all Notes then outstanding or affected thereby: (i) a default in the payment of interest on, or the principal of, the Notes, (ii) a failure by the Issuer to convert any Notes into Ordinary Shares, or (iii) a default in respect of a covenant or provisions hereof which under the provisions of the Trust Indenture Act cannot be modified or amended without the consent of the holders of each or all Notes then outstanding or affected thereby.</w:t>
      </w:r>
    </w:p>
    <w:p>
      <w:pPr>
        <w:spacing w:after="0" w:line="193" w:lineRule="exact"/>
        <w:rPr>
          <w:rFonts w:ascii="Arial" w:cs="Arial" w:eastAsia="Arial" w:hAnsi="Arial"/>
          <w:sz w:val="16"/>
          <w:szCs w:val="16"/>
          <w:color w:val="auto"/>
        </w:rPr>
      </w:pPr>
    </w:p>
    <w:p>
      <w:pPr>
        <w:ind w:left="580" w:right="100"/>
        <w:spacing w:after="0" w:line="255" w:lineRule="auto"/>
        <w:rPr>
          <w:rFonts w:ascii="Arial" w:cs="Arial" w:eastAsia="Arial" w:hAnsi="Arial"/>
          <w:sz w:val="16"/>
          <w:szCs w:val="16"/>
          <w:color w:val="auto"/>
        </w:rPr>
      </w:pPr>
      <w:r>
        <w:rPr>
          <w:rFonts w:ascii="Arial" w:cs="Arial" w:eastAsia="Arial" w:hAnsi="Arial"/>
          <w:sz w:val="18"/>
          <w:szCs w:val="18"/>
          <w:color w:val="auto"/>
        </w:rPr>
        <w:t>Upon any such waiver, the Issuer, the Trustees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6.07,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200" w:lineRule="exact"/>
        <w:rPr>
          <w:sz w:val="20"/>
          <w:szCs w:val="20"/>
          <w:color w:val="auto"/>
        </w:rPr>
      </w:pPr>
    </w:p>
    <w:p>
      <w:pPr>
        <w:spacing w:after="0" w:line="240"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i w:val="1"/>
          <w:iCs w:val="1"/>
          <w:color w:val="auto"/>
        </w:rPr>
        <w:t>Notice of Defaults.</w:t>
      </w:r>
      <w:r>
        <w:rPr>
          <w:rFonts w:ascii="Arial" w:cs="Arial" w:eastAsia="Arial" w:hAnsi="Arial"/>
          <w:sz w:val="16"/>
          <w:szCs w:val="16"/>
          <w:color w:val="auto"/>
        </w:rPr>
        <w:t xml:space="preserve"> The Trustees shall, within ninety (90) days after a Responsible Officer of the Trustee and of the Co-Trustee have actual knowledge of the occurrence of a default, mail to all Noteholders, as the names and addresses of such holders appear upon the Note register, notice of all defaults known them, unless such defaults shall have been cured or waived before the giving of such notice.</w:t>
      </w:r>
    </w:p>
    <w:p>
      <w:pPr>
        <w:spacing w:after="0" w:line="161"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 xml:space="preserve">Section 6.09. </w:t>
      </w:r>
      <w:r>
        <w:rPr>
          <w:rFonts w:ascii="Arial" w:cs="Arial" w:eastAsia="Arial" w:hAnsi="Arial"/>
          <w:sz w:val="15"/>
          <w:szCs w:val="15"/>
          <w:i w:val="1"/>
          <w:iCs w:val="1"/>
          <w:color w:val="auto"/>
        </w:rPr>
        <w:t>Undertaking to Pay Costs.</w:t>
      </w:r>
      <w:r>
        <w:rPr>
          <w:rFonts w:ascii="Arial" w:cs="Arial" w:eastAsia="Arial" w:hAnsi="Arial"/>
          <w:sz w:val="15"/>
          <w:szCs w:val="15"/>
          <w:color w:val="auto"/>
        </w:rPr>
        <w:t xml:space="preserve"> All parties to this Indenture agree, and each holder of any Note by his acceptance thereof shall be deemed to have agreed, that any court may, in its discretion, require, in any suit for the enforcement of any right or remedy under this Indenture, or in any suit against the Trustees for any action taken or omitted by them as Trustees,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provisions of this Section 6.09 (to the extent permitted by law) shall</w:t>
      </w:r>
    </w:p>
    <w:p>
      <w:pPr>
        <w:sectPr>
          <w:pgSz w:w="11900" w:h="16838" w:orient="portrait"/>
          <w:cols w:equalWidth="0" w:num="1">
            <w:col w:w="11420"/>
          </w:cols>
          <w:pgMar w:left="240" w:top="131" w:right="239" w:bottom="0" w:gutter="0" w:footer="0" w:header="0"/>
        </w:sectPr>
      </w:pPr>
    </w:p>
    <w:bookmarkStart w:id="61" w:name="page62"/>
    <w:bookmarkEnd w:id="61"/>
    <w:p>
      <w:pPr>
        <w:ind w:right="220"/>
        <w:spacing w:after="0" w:line="298" w:lineRule="auto"/>
        <w:rPr>
          <w:sz w:val="20"/>
          <w:szCs w:val="20"/>
          <w:color w:val="auto"/>
        </w:rPr>
      </w:pPr>
      <w:r>
        <w:rPr>
          <w:rFonts w:ascii="Arial" w:cs="Arial" w:eastAsia="Arial" w:hAnsi="Arial"/>
          <w:sz w:val="16"/>
          <w:szCs w:val="16"/>
          <w:color w:val="auto"/>
        </w:rPr>
        <w:t>not apply to any suit instituted by the Trustee or the Co-Trustee, or both, to any suit instituted by any Noteholder, or group of Noteholders, holding in the aggregate more than ten percent (10%) in principal amount of the Notes at the time outstanding determined in accordance with Section 9.04, or to any suit instituted by any Noteholder for the enforcement of the payment of the principal of or interest on any Note on or after the due date expressed in such Note or to any suit for the enforcement of the right to convert any Note in accordance with the provisions of Article 14.</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Indenture and Notes Solely Corporate Obligations</w:t>
      </w:r>
      <w:r>
        <w:rPr>
          <w:rFonts w:ascii="Arial" w:cs="Arial" w:eastAsia="Arial" w:hAnsi="Arial"/>
          <w:sz w:val="16"/>
          <w:szCs w:val="16"/>
          <w:color w:val="auto"/>
        </w:rPr>
        <w:t>. No recourse for the payment of the principal of or interest on any Note, or for any claim based thereon or otherwise in respect thereof, and no recourse under or upon any obligation, covenant or agreement of the Issuer in this Indenture or in any supplemental indenture or in any Note, or because of the creation of any indebtedness represented thereby, shall be had against any incorporator, stockholder, employee, agent, officer, director or subsidiary, as such, past, present or future, of the Issuer or of any successor corporation, either directly or through the Issuer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23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THE TRUSTEES</w:t>
      </w:r>
    </w:p>
    <w:p>
      <w:pPr>
        <w:spacing w:after="0" w:line="30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Duties and Responsibilities of Trustees.</w:t>
      </w:r>
      <w:r>
        <w:rPr>
          <w:rFonts w:ascii="Arial" w:cs="Arial" w:eastAsia="Arial" w:hAnsi="Arial"/>
          <w:sz w:val="16"/>
          <w:szCs w:val="16"/>
          <w:color w:val="auto"/>
        </w:rPr>
        <w:t xml:space="preserve"> The Trustees prior to the occurrence of an Event of Default and after the curing of all Events of Default which may have occurred, undertake to perform such duties and only such duties as are specifically set forth in this Indenture. In case an Event of Default has occurred (which has not been cured or waived), the Trustees shall exercise such of the rights and powers vested in them by this Indenture, and use the same degree of care and skill in their exercise, as a prudent person would exercise or use under the circumstances in the conduct of his own affairs.</w:t>
      </w:r>
    </w:p>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 provision of this Indenture shall be construed to relieve the Trustees from liability for their own negligent action, their own negligent failure to act or their own willful misconduct, except that:</w:t>
      </w:r>
    </w:p>
    <w:p>
      <w:pPr>
        <w:spacing w:after="0" w:line="186" w:lineRule="exact"/>
        <w:rPr>
          <w:sz w:val="20"/>
          <w:szCs w:val="20"/>
          <w:color w:val="auto"/>
        </w:rPr>
      </w:pPr>
    </w:p>
    <w:p>
      <w:pPr>
        <w:ind w:left="1160" w:hanging="571"/>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prior to the occurrence of an Event of Default and after the curing or waiving of all Events of Default which may have occurred:</w:t>
      </w:r>
    </w:p>
    <w:p>
      <w:pPr>
        <w:spacing w:after="0" w:line="252" w:lineRule="exact"/>
        <w:rPr>
          <w:rFonts w:ascii="Arial" w:cs="Arial" w:eastAsia="Arial" w:hAnsi="Arial"/>
          <w:sz w:val="18"/>
          <w:szCs w:val="18"/>
          <w:color w:val="auto"/>
        </w:rPr>
      </w:pPr>
    </w:p>
    <w:p>
      <w:pPr>
        <w:ind w:left="1720" w:right="80" w:hanging="564"/>
        <w:spacing w:after="0" w:line="323" w:lineRule="auto"/>
        <w:tabs>
          <w:tab w:leader="none" w:pos="1720" w:val="left"/>
        </w:tabs>
        <w:numPr>
          <w:ilvl w:val="1"/>
          <w:numId w:val="75"/>
        </w:numPr>
        <w:rPr>
          <w:rFonts w:ascii="Arial" w:cs="Arial" w:eastAsia="Arial" w:hAnsi="Arial"/>
          <w:sz w:val="15"/>
          <w:szCs w:val="15"/>
          <w:color w:val="auto"/>
        </w:rPr>
      </w:pPr>
      <w:r>
        <w:rPr>
          <w:rFonts w:ascii="Arial" w:cs="Arial" w:eastAsia="Arial" w:hAnsi="Arial"/>
          <w:sz w:val="15"/>
          <w:szCs w:val="15"/>
          <w:color w:val="auto"/>
        </w:rPr>
        <w:t>the duties and obligations of the Trustee shall be determined solely by the express provisions of this Indenture and the Trust Indenture Act (and, in the case of the Co-Trustee, by the express provisions of this Indenture and the Securities Law), and the Trustees shall not be liable except for the performance of such duties and obligations as are specifically set forth in this Indenture and no implied covenants or obligations shall be read into this Indenture, the Trust Indenture Act and/or the Securities Law (as applicable) against the Trustees; and</w:t>
      </w:r>
    </w:p>
    <w:p>
      <w:pPr>
        <w:spacing w:after="0" w:line="178" w:lineRule="exact"/>
        <w:rPr>
          <w:rFonts w:ascii="Arial" w:cs="Arial" w:eastAsia="Arial" w:hAnsi="Arial"/>
          <w:sz w:val="15"/>
          <w:szCs w:val="15"/>
          <w:color w:val="auto"/>
        </w:rPr>
      </w:pPr>
    </w:p>
    <w:p>
      <w:pPr>
        <w:ind w:left="1720" w:hanging="564"/>
        <w:spacing w:after="0" w:line="254" w:lineRule="auto"/>
        <w:tabs>
          <w:tab w:leader="none" w:pos="17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the absence of bad faith and willful misconduct on the part of the Trustees, the Trustees may conclusively rely as to the truth of the statements and the correctness of the opinions expressed therein, upon any certificates or opinions furnished to the Trustees and conforming to the requirements of this Indenture; but, in the case of any such certificates or opinions which by any provisions hereof are specifically required to be furnished to the Trustees, the Trustees shall be under a duty to examine the same to determine whether or not they conform to the requirements of this Indenture (but need not confirm or investigate the accuracy of mathematical calculations or other facts stated therein);</w:t>
      </w:r>
    </w:p>
    <w:p>
      <w:pPr>
        <w:spacing w:after="0" w:line="225" w:lineRule="exact"/>
        <w:rPr>
          <w:rFonts w:ascii="Arial" w:cs="Arial" w:eastAsia="Arial" w:hAnsi="Arial"/>
          <w:sz w:val="18"/>
          <w:szCs w:val="18"/>
          <w:color w:val="auto"/>
        </w:rPr>
      </w:pPr>
    </w:p>
    <w:p>
      <w:pPr>
        <w:ind w:left="1160" w:right="240" w:hanging="571"/>
        <w:spacing w:after="0" w:line="332" w:lineRule="auto"/>
        <w:tabs>
          <w:tab w:leader="none" w:pos="11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Trustees shall not be liable for any error of judgment made in good faith by a Responsible Officer or Officers of the Trustee or Responsible Officers or Officers of the Co-Trustee, unless the Trustees were negligent in ascertaining the pertinent facts;</w:t>
      </w:r>
    </w:p>
    <w:p>
      <w:pPr>
        <w:spacing w:after="0" w:line="166" w:lineRule="exact"/>
        <w:rPr>
          <w:rFonts w:ascii="Arial" w:cs="Arial" w:eastAsia="Arial" w:hAnsi="Arial"/>
          <w:sz w:val="16"/>
          <w:szCs w:val="16"/>
          <w:color w:val="auto"/>
        </w:rPr>
      </w:pPr>
    </w:p>
    <w:p>
      <w:pPr>
        <w:ind w:left="1160" w:right="560" w:hanging="571"/>
        <w:spacing w:after="0" w:line="305" w:lineRule="auto"/>
        <w:tabs>
          <w:tab w:leader="none" w:pos="11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Trustees shall not be liable with respect to any action taken or omitted to be taken by them in good faith in accordance with the written direction of the holders of not less than a majority in principal amount of the Notes at the time outstanding determined as provided in</w:t>
      </w:r>
    </w:p>
    <w:p>
      <w:pPr>
        <w:ind w:left="1160" w:right="40"/>
        <w:spacing w:after="0" w:line="261" w:lineRule="auto"/>
        <w:rPr>
          <w:rFonts w:ascii="Arial" w:cs="Arial" w:eastAsia="Arial" w:hAnsi="Arial"/>
          <w:sz w:val="15"/>
          <w:szCs w:val="15"/>
          <w:color w:val="auto"/>
        </w:rPr>
      </w:pPr>
      <w:r>
        <w:rPr>
          <w:rFonts w:ascii="Arial" w:cs="Arial" w:eastAsia="Arial" w:hAnsi="Arial"/>
          <w:sz w:val="18"/>
          <w:szCs w:val="18"/>
          <w:color w:val="auto"/>
        </w:rPr>
        <w:t>Section 9.04 relating to the time, method and place of conducting any proceeding for any remedy available to the Trustees, or exercising any trust or power conferred upon the Trustees under this Indenture;</w:t>
      </w:r>
    </w:p>
    <w:p>
      <w:pPr>
        <w:spacing w:after="0" w:line="200" w:lineRule="exact"/>
        <w:rPr>
          <w:rFonts w:ascii="Arial" w:cs="Arial" w:eastAsia="Arial" w:hAnsi="Arial"/>
          <w:sz w:val="15"/>
          <w:szCs w:val="15"/>
          <w:color w:val="auto"/>
        </w:rPr>
      </w:pPr>
    </w:p>
    <w:p>
      <w:pPr>
        <w:spacing w:after="0" w:line="234" w:lineRule="exact"/>
        <w:rPr>
          <w:rFonts w:ascii="Arial" w:cs="Arial" w:eastAsia="Arial" w:hAnsi="Arial"/>
          <w:sz w:val="15"/>
          <w:szCs w:val="15"/>
          <w:color w:val="auto"/>
        </w:rPr>
      </w:pPr>
    </w:p>
    <w:p>
      <w:pPr>
        <w:ind w:left="5620" w:hanging="96"/>
        <w:spacing w:after="0"/>
        <w:tabs>
          <w:tab w:leader="none" w:pos="56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18 -</w:t>
      </w:r>
    </w:p>
    <w:p>
      <w:pPr>
        <w:spacing w:after="0" w:line="346" w:lineRule="exact"/>
        <w:rPr>
          <w:rFonts w:ascii="Arial" w:cs="Arial" w:eastAsia="Arial" w:hAnsi="Arial"/>
          <w:sz w:val="18"/>
          <w:szCs w:val="18"/>
          <w:color w:val="auto"/>
        </w:rPr>
      </w:pPr>
    </w:p>
    <w:p>
      <w:pPr>
        <w:ind w:left="1160" w:right="240" w:hanging="571"/>
        <w:spacing w:after="0" w:line="268" w:lineRule="auto"/>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whether or not therein provided, every provision of this Indenture relating to the conduct or affecting the liability of, or affording protection to, the Trustees shall be subject to the provisions of this Section;</w:t>
      </w:r>
    </w:p>
    <w:p>
      <w:pPr>
        <w:spacing w:after="0" w:line="212" w:lineRule="exact"/>
        <w:rPr>
          <w:rFonts w:ascii="Arial" w:cs="Arial" w:eastAsia="Arial" w:hAnsi="Arial"/>
          <w:sz w:val="18"/>
          <w:szCs w:val="18"/>
          <w:color w:val="auto"/>
        </w:rPr>
      </w:pPr>
    </w:p>
    <w:p>
      <w:pPr>
        <w:ind w:left="1160" w:right="180" w:hanging="571"/>
        <w:spacing w:after="0" w:line="332" w:lineRule="auto"/>
        <w:tabs>
          <w:tab w:leader="none" w:pos="11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Trustees shall not be liable in respect of any payment (as to the correctness of amount, entitlement to receive or any other matters relating to payment) or notice effected by the Issuer or any paying agent or any records maintained by any co-registrar with respect to the Notes;</w:t>
      </w:r>
    </w:p>
    <w:p>
      <w:pPr>
        <w:spacing w:after="0" w:line="166" w:lineRule="exact"/>
        <w:rPr>
          <w:rFonts w:ascii="Arial" w:cs="Arial" w:eastAsia="Arial" w:hAnsi="Arial"/>
          <w:sz w:val="16"/>
          <w:szCs w:val="16"/>
          <w:color w:val="auto"/>
        </w:rPr>
      </w:pPr>
    </w:p>
    <w:p>
      <w:pPr>
        <w:ind w:left="1160" w:right="80" w:hanging="571"/>
        <w:spacing w:after="0" w:line="332" w:lineRule="auto"/>
        <w:tabs>
          <w:tab w:leader="none" w:pos="11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any party fails to deliver a notice relating to an event the fact of which, pursuant to this Indenture, requires notice to be sent to the Trustees, the Trustees may conclusively rely on their failure to receive such notice as reason to act as if no such event occurred; and</w:t>
      </w:r>
    </w:p>
    <w:p>
      <w:pPr>
        <w:spacing w:after="0" w:line="166" w:lineRule="exact"/>
        <w:rPr>
          <w:rFonts w:ascii="Arial" w:cs="Arial" w:eastAsia="Arial" w:hAnsi="Arial"/>
          <w:sz w:val="16"/>
          <w:szCs w:val="16"/>
          <w:color w:val="auto"/>
        </w:rPr>
      </w:pPr>
    </w:p>
    <w:p>
      <w:pPr>
        <w:ind w:left="1160" w:right="180" w:hanging="571"/>
        <w:spacing w:after="0" w:line="256" w:lineRule="auto"/>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or Co-Trustee, as the case may be, shall not be deemed to have notice of any default or Event of Default hereunder unless a Responsible Officer thereof shall have actual knowledge thereof or unless written notice of any event which is in fact such a default or Event of Default is received by a Responsible Officer of the Trustee or the Co-Trustee, as the case may be, and such notice references the Notes and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-1946275</wp:posOffset>
            </wp:positionV>
            <wp:extent cx="72504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None of the provisions contained in this Indenture shall require the Trustees to expend or risk their own funds or otherwise incur personal financial liability in the performance of any of their duties or in the exercise of any of their rights or powers, if there is reasonable ground for believing that the repayment of such funds or adequate indemnity against such risk or liability is not reasonably assured to them.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Rights of Trustees; Reliance on Documents, Opinions, Etc.</w:t>
      </w:r>
      <w:r>
        <w:rPr>
          <w:rFonts w:ascii="Arial" w:cs="Arial" w:eastAsia="Arial" w:hAnsi="Arial"/>
          <w:sz w:val="18"/>
          <w:szCs w:val="18"/>
          <w:color w:val="auto"/>
        </w:rPr>
        <w:t xml:space="preserve"> Except as otherwise provided in Section 7.01:</w:t>
      </w:r>
    </w:p>
    <w:p>
      <w:pPr>
        <w:spacing w:after="0" w:line="225" w:lineRule="exact"/>
        <w:rPr>
          <w:sz w:val="20"/>
          <w:szCs w:val="20"/>
          <w:color w:val="auto"/>
        </w:rPr>
      </w:pPr>
    </w:p>
    <w:p>
      <w:pPr>
        <w:ind w:left="1160" w:hanging="571"/>
        <w:spacing w:after="0"/>
        <w:tabs>
          <w:tab w:leader="none" w:pos="11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Trustees may conclusively rely and shall be protected in acting upon any resolution, certificate, statement, instrument, opinion, report, notice,</w:t>
      </w:r>
    </w:p>
    <w:p>
      <w:pPr>
        <w:sectPr>
          <w:pgSz w:w="11900" w:h="16838" w:orient="portrait"/>
          <w:cols w:equalWidth="0" w:num="1">
            <w:col w:w="11420"/>
          </w:cols>
          <w:pgMar w:left="240" w:top="131" w:right="239" w:bottom="0" w:gutter="0" w:footer="0" w:header="0"/>
        </w:sectPr>
      </w:pPr>
    </w:p>
    <w:bookmarkStart w:id="62" w:name="page63"/>
    <w:bookmarkEnd w:id="62"/>
    <w:p>
      <w:pPr>
        <w:ind w:left="571" w:right="80"/>
        <w:spacing w:after="0" w:line="268" w:lineRule="auto"/>
        <w:rPr>
          <w:sz w:val="20"/>
          <w:szCs w:val="20"/>
          <w:color w:val="auto"/>
        </w:rPr>
      </w:pPr>
      <w:r>
        <w:rPr>
          <w:rFonts w:ascii="Arial" w:cs="Arial" w:eastAsia="Arial" w:hAnsi="Arial"/>
          <w:sz w:val="18"/>
          <w:szCs w:val="18"/>
          <w:color w:val="auto"/>
        </w:rPr>
        <w:t>request, consent, order, bond, debenture, note, coupon or other paper or document (whether in its original or facsimile form) believed by them in good faith to be genuine and to have been signed or presented by the proper party or parties;</w:t>
      </w:r>
    </w:p>
    <w:p>
      <w:pPr>
        <w:spacing w:after="0" w:line="213" w:lineRule="exact"/>
        <w:rPr>
          <w:sz w:val="20"/>
          <w:szCs w:val="20"/>
          <w:color w:val="auto"/>
        </w:rPr>
      </w:pPr>
    </w:p>
    <w:p>
      <w:pPr>
        <w:ind w:left="571" w:right="60" w:hanging="571"/>
        <w:spacing w:after="0" w:line="259" w:lineRule="auto"/>
        <w:tabs>
          <w:tab w:leader="none" w:pos="5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Trustees by a copy thereof certified by the Secretary or an Assistant Secretary of the Issuer;</w:t>
      </w:r>
    </w:p>
    <w:p>
      <w:pPr>
        <w:spacing w:after="0" w:line="221" w:lineRule="exact"/>
        <w:rPr>
          <w:rFonts w:ascii="Arial" w:cs="Arial" w:eastAsia="Arial" w:hAnsi="Arial"/>
          <w:sz w:val="18"/>
          <w:szCs w:val="18"/>
          <w:color w:val="auto"/>
        </w:rPr>
      </w:pPr>
    </w:p>
    <w:p>
      <w:pPr>
        <w:jc w:val="both"/>
        <w:ind w:left="571" w:right="360" w:hanging="571"/>
        <w:spacing w:after="0" w:line="259" w:lineRule="auto"/>
        <w:tabs>
          <w:tab w:leader="none" w:pos="5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Trustees may each consult with counsel or other professional advisors of its own selection and any such advice so received or Opinion of Counsel shall be full and complete authorization and protection in respect of any action taken or omitted by it hereunder in good faith and in reliance on such advice or Opinion of Counsel;</w:t>
      </w:r>
    </w:p>
    <w:p>
      <w:pPr>
        <w:spacing w:after="0" w:line="221" w:lineRule="exact"/>
        <w:rPr>
          <w:rFonts w:ascii="Arial" w:cs="Arial" w:eastAsia="Arial" w:hAnsi="Arial"/>
          <w:sz w:val="18"/>
          <w:szCs w:val="18"/>
          <w:color w:val="auto"/>
        </w:rPr>
      </w:pPr>
    </w:p>
    <w:p>
      <w:pPr>
        <w:ind w:left="571" w:right="140" w:hanging="571"/>
        <w:spacing w:after="0" w:line="306" w:lineRule="auto"/>
        <w:tabs>
          <w:tab w:leader="none" w:pos="57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Trustees shall be under no obligation to exercise any of the rights or powers vested in it by this Indenture at the request, order or direction of any of the Noteholders pursuant to the provisions of this Indenture, unless such Noteholders shall have offered to the Trustees security or indemnity satisfactory to them against the costs, expenses and liabilities which may be incurred therein or thereby;</w:t>
      </w:r>
    </w:p>
    <w:p>
      <w:pPr>
        <w:spacing w:after="0" w:line="187" w:lineRule="exact"/>
        <w:rPr>
          <w:rFonts w:ascii="Arial" w:cs="Arial" w:eastAsia="Arial" w:hAnsi="Arial"/>
          <w:sz w:val="16"/>
          <w:szCs w:val="16"/>
          <w:color w:val="auto"/>
        </w:rPr>
      </w:pPr>
    </w:p>
    <w:p>
      <w:pPr>
        <w:ind w:left="571" w:right="40" w:hanging="571"/>
        <w:spacing w:after="0" w:line="294" w:lineRule="auto"/>
        <w:tabs>
          <w:tab w:leader="none" w:pos="57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Trustees shall not be bound to make any investigation into the facts or matters stated in any resolution, certificate, statement, instrument, opinion, report, notice, request, direction, consent, order, bond, debenture or other paper or document, but the Trustees may make such further inquiry or investigation into such facts or matters as they may see fit, and, if the Trustees shall determine to make such further inquiry or investigation, they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5031" w:hanging="96"/>
        <w:spacing w:after="0"/>
        <w:tabs>
          <w:tab w:leader="none" w:pos="5031" w:val="left"/>
        </w:tabs>
        <w:numPr>
          <w:ilvl w:val="1"/>
          <w:numId w:val="77"/>
        </w:numPr>
        <w:rPr>
          <w:rFonts w:ascii="Arial" w:cs="Arial" w:eastAsia="Arial" w:hAnsi="Arial"/>
          <w:sz w:val="18"/>
          <w:szCs w:val="18"/>
          <w:color w:val="auto"/>
        </w:rPr>
      </w:pPr>
      <w:r>
        <w:rPr>
          <w:rFonts w:ascii="Arial" w:cs="Arial" w:eastAsia="Arial" w:hAnsi="Arial"/>
          <w:sz w:val="18"/>
          <w:szCs w:val="18"/>
          <w:color w:val="auto"/>
        </w:rPr>
        <w:t>19 -</w:t>
      </w:r>
    </w:p>
    <w:p>
      <w:pPr>
        <w:spacing w:after="0" w:line="346" w:lineRule="exact"/>
        <w:rPr>
          <w:rFonts w:ascii="Arial" w:cs="Arial" w:eastAsia="Arial" w:hAnsi="Arial"/>
          <w:sz w:val="18"/>
          <w:szCs w:val="18"/>
          <w:color w:val="auto"/>
        </w:rPr>
      </w:pPr>
    </w:p>
    <w:p>
      <w:pPr>
        <w:ind w:left="571" w:right="100" w:hanging="571"/>
        <w:spacing w:after="0" w:line="259" w:lineRule="auto"/>
        <w:tabs>
          <w:tab w:leader="none" w:pos="5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Trustees may execute any of the trusts or powers hereunder or perform any duties hereunder either directly or by or through agents or attorneys and the Trustees shall not be responsible for any misconduct or negligence on the part of any agent or attorney appointed by them with due care hereunder;</w:t>
      </w:r>
    </w:p>
    <w:p>
      <w:pPr>
        <w:spacing w:after="0" w:line="221" w:lineRule="exact"/>
        <w:rPr>
          <w:rFonts w:ascii="Arial" w:cs="Arial" w:eastAsia="Arial" w:hAnsi="Arial"/>
          <w:sz w:val="18"/>
          <w:szCs w:val="18"/>
          <w:color w:val="auto"/>
        </w:rPr>
      </w:pPr>
    </w:p>
    <w:p>
      <w:pPr>
        <w:ind w:left="571" w:right="120" w:hanging="571"/>
        <w:spacing w:after="0" w:line="291" w:lineRule="auto"/>
        <w:tabs>
          <w:tab w:leader="none" w:pos="57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Trustees shall not be liable for any action taken, suffered or omitted to be taken by them in good faith and reasonably believed by them to be authorized or within the discretion or rights or powers conferred upon it by this Indenture;delivery of reports, information and documents to the Trustees under any Section 5.04 is for informational purposes only and the Trustees’ receipt of the foregoing shall not constitute actual or constructive notice of any information contained therein or determinable from information contained therein, including the Issuer’s compliance with any of their covenants hereunder (as to which the Trustees are entitled to rely exclusively on Officers’ Certificates) except as otherwise required in this Indenture or the terms of the Notes;</w:t>
      </w:r>
    </w:p>
    <w:p>
      <w:pPr>
        <w:spacing w:after="0" w:line="201" w:lineRule="exact"/>
        <w:rPr>
          <w:rFonts w:ascii="Arial" w:cs="Arial" w:eastAsia="Arial" w:hAnsi="Arial"/>
          <w:sz w:val="16"/>
          <w:szCs w:val="16"/>
          <w:color w:val="auto"/>
        </w:rPr>
      </w:pPr>
    </w:p>
    <w:p>
      <w:pPr>
        <w:ind w:left="571" w:hanging="571"/>
        <w:spacing w:after="0" w:line="256" w:lineRule="auto"/>
        <w:tabs>
          <w:tab w:leader="none" w:pos="5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Trustees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spacing w:after="0" w:line="224" w:lineRule="exact"/>
        <w:rPr>
          <w:rFonts w:ascii="Arial" w:cs="Arial" w:eastAsia="Arial" w:hAnsi="Arial"/>
          <w:sz w:val="18"/>
          <w:szCs w:val="18"/>
          <w:color w:val="auto"/>
        </w:rPr>
      </w:pPr>
    </w:p>
    <w:p>
      <w:pPr>
        <w:ind w:left="571" w:right="120" w:hanging="571"/>
        <w:spacing w:after="0" w:line="255" w:lineRule="auto"/>
        <w:tabs>
          <w:tab w:leader="none" w:pos="5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no event shall the Trustees be responsible or liable for any failure or delay in the performance of their obligations hereunder arising out of, or caused by, directly or indirectly, forces beyond their control, including, without limitation, strikes, work stoppages, accidents, acts of war or terrorism, civil or military disturbances, nuclear or natural catastrophes or acts of God; it being understood that the Trustees shall use reasonable efforts which are consistent with accepted practices in the banking industry to resume performance as soon as practicable under the circumstances;</w:t>
      </w:r>
    </w:p>
    <w:p>
      <w:pPr>
        <w:spacing w:after="0" w:line="223" w:lineRule="exact"/>
        <w:rPr>
          <w:rFonts w:ascii="Arial" w:cs="Arial" w:eastAsia="Arial" w:hAnsi="Arial"/>
          <w:sz w:val="18"/>
          <w:szCs w:val="18"/>
          <w:color w:val="auto"/>
        </w:rPr>
      </w:pPr>
    </w:p>
    <w:p>
      <w:pPr>
        <w:ind w:left="571" w:right="60" w:hanging="571"/>
        <w:spacing w:after="0" w:line="259" w:lineRule="auto"/>
        <w:tabs>
          <w:tab w:leader="none" w:pos="5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Trustees including, without limitation, its right to be indemnified, are extended to, and shall be enforceable by, the Trustees in each of their capacities hereunder, and each agent, custodian and other Person employed to act hereunder;</w:t>
      </w:r>
    </w:p>
    <w:p>
      <w:pPr>
        <w:spacing w:after="0" w:line="221" w:lineRule="exact"/>
        <w:rPr>
          <w:rFonts w:ascii="Arial" w:cs="Arial" w:eastAsia="Arial" w:hAnsi="Arial"/>
          <w:sz w:val="18"/>
          <w:szCs w:val="18"/>
          <w:color w:val="auto"/>
        </w:rPr>
      </w:pPr>
    </w:p>
    <w:p>
      <w:pPr>
        <w:ind w:left="571" w:right="20" w:hanging="571"/>
        <w:spacing w:after="0" w:line="306" w:lineRule="auto"/>
        <w:tabs>
          <w:tab w:leader="none" w:pos="57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Trustees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7" w:lineRule="exact"/>
        <w:rPr>
          <w:rFonts w:ascii="Arial" w:cs="Arial" w:eastAsia="Arial" w:hAnsi="Arial"/>
          <w:sz w:val="16"/>
          <w:szCs w:val="16"/>
          <w:color w:val="auto"/>
        </w:rPr>
      </w:pPr>
    </w:p>
    <w:p>
      <w:pPr>
        <w:ind w:left="571" w:right="160" w:hanging="571"/>
        <w:spacing w:after="0" w:line="268" w:lineRule="auto"/>
        <w:tabs>
          <w:tab w:leader="none" w:pos="5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Trustees are not required to give any bond or surety with respect to the performance or their duties or the exercise of their powers under this Indenture or the Notes;</w:t>
      </w:r>
    </w:p>
    <w:p>
      <w:pPr>
        <w:spacing w:after="0" w:line="212" w:lineRule="exact"/>
        <w:rPr>
          <w:rFonts w:ascii="Arial" w:cs="Arial" w:eastAsia="Arial" w:hAnsi="Arial"/>
          <w:sz w:val="18"/>
          <w:szCs w:val="18"/>
          <w:color w:val="auto"/>
        </w:rPr>
      </w:pPr>
    </w:p>
    <w:p>
      <w:pPr>
        <w:ind w:left="571" w:right="240" w:hanging="571"/>
        <w:spacing w:after="0" w:line="332" w:lineRule="auto"/>
        <w:tabs>
          <w:tab w:leader="none" w:pos="57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Trustees will not be liable to any person if prevented or delayed in performing any of their obligations or discretionary functions under this Indenture by reason of any present or future law applicable to them, by any governmental or regulatory authority;</w:t>
      </w:r>
    </w:p>
    <w:p>
      <w:pPr>
        <w:spacing w:after="0" w:line="382" w:lineRule="exact"/>
        <w:rPr>
          <w:rFonts w:ascii="Arial" w:cs="Arial" w:eastAsia="Arial" w:hAnsi="Arial"/>
          <w:sz w:val="16"/>
          <w:szCs w:val="16"/>
          <w:color w:val="auto"/>
        </w:rPr>
      </w:pPr>
    </w:p>
    <w:p>
      <w:pPr>
        <w:ind w:left="5031" w:hanging="96"/>
        <w:spacing w:after="0"/>
        <w:tabs>
          <w:tab w:leader="none" w:pos="5031" w:val="left"/>
        </w:tabs>
        <w:numPr>
          <w:ilvl w:val="1"/>
          <w:numId w:val="77"/>
        </w:numPr>
        <w:rPr>
          <w:rFonts w:ascii="Arial" w:cs="Arial" w:eastAsia="Arial" w:hAnsi="Arial"/>
          <w:sz w:val="18"/>
          <w:szCs w:val="18"/>
          <w:color w:val="auto"/>
        </w:rPr>
      </w:pPr>
      <w:r>
        <w:rPr>
          <w:rFonts w:ascii="Arial" w:cs="Arial" w:eastAsia="Arial" w:hAnsi="Arial"/>
          <w:sz w:val="18"/>
          <w:szCs w:val="18"/>
          <w:color w:val="auto"/>
        </w:rPr>
        <w:t>20 -</w:t>
      </w:r>
    </w:p>
    <w:p>
      <w:pPr>
        <w:spacing w:after="0" w:line="346" w:lineRule="exact"/>
        <w:rPr>
          <w:rFonts w:ascii="Arial" w:cs="Arial" w:eastAsia="Arial" w:hAnsi="Arial"/>
          <w:sz w:val="18"/>
          <w:szCs w:val="18"/>
          <w:color w:val="auto"/>
        </w:rPr>
      </w:pPr>
    </w:p>
    <w:p>
      <w:pPr>
        <w:ind w:left="571" w:right="60" w:hanging="571"/>
        <w:spacing w:after="0" w:line="256" w:lineRule="auto"/>
        <w:tabs>
          <w:tab w:leader="none" w:pos="5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event the Trustees receive inconsistent or conflicting requests and indemnity from two or more groups of Holders, each representing less than a majority in aggregate principal amount of the Notes then outstanding, pursuant to the provisions of this Indenture, the Trustees, in their sole discretion, may determine what action, if any, will be taken and shall not incur any liability for their failure to act until such inconsistency or conflict is, in their reasonable opinion, resolved;</w:t>
      </w:r>
    </w:p>
    <w:p>
      <w:pPr>
        <w:spacing w:after="0" w:line="224" w:lineRule="exact"/>
        <w:rPr>
          <w:rFonts w:ascii="Arial" w:cs="Arial" w:eastAsia="Arial" w:hAnsi="Arial"/>
          <w:sz w:val="18"/>
          <w:szCs w:val="18"/>
          <w:color w:val="auto"/>
        </w:rPr>
      </w:pPr>
    </w:p>
    <w:p>
      <w:pPr>
        <w:ind w:left="571" w:right="600" w:hanging="571"/>
        <w:spacing w:after="0" w:line="268" w:lineRule="auto"/>
        <w:tabs>
          <w:tab w:leader="none" w:pos="5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Trustees shall not be liable for any error of judgment made in good faith unless it is proved that the Trustees were grossly negligent in ascertaining the pertinent facts;</w:t>
      </w:r>
    </w:p>
    <w:p>
      <w:pPr>
        <w:spacing w:after="0" w:line="212" w:lineRule="exact"/>
        <w:rPr>
          <w:rFonts w:ascii="Arial" w:cs="Arial" w:eastAsia="Arial" w:hAnsi="Arial"/>
          <w:sz w:val="18"/>
          <w:szCs w:val="18"/>
          <w:color w:val="auto"/>
        </w:rPr>
      </w:pPr>
    </w:p>
    <w:p>
      <w:pPr>
        <w:ind w:left="571" w:hanging="571"/>
        <w:spacing w:after="0"/>
        <w:tabs>
          <w:tab w:leader="none" w:pos="57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Trustees shall not be liable for any consequential loss (being loss of business, goodwill, opportunity or profit of any kind) of the Issuer;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-6913880</wp:posOffset>
            </wp:positionV>
            <wp:extent cx="72504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-1348105</wp:posOffset>
            </wp:positionV>
            <wp:extent cx="72504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11"/>
          </w:cols>
          <w:pgMar w:left="829" w:top="131" w:right="259" w:bottom="0" w:gutter="0" w:footer="0" w:header="0"/>
        </w:sectPr>
      </w:pPr>
    </w:p>
    <w:bookmarkStart w:id="63" w:name="page64"/>
    <w:bookmarkEnd w:id="63"/>
    <w:p>
      <w:pPr>
        <w:ind w:left="1160" w:hanging="571"/>
        <w:spacing w:after="0"/>
        <w:tabs>
          <w:tab w:leader="none" w:pos="11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permissive right of the Trustees to take the actions permitted by this Indenture shall not be construed as an obligation or duty to do so.</w:t>
      </w:r>
    </w:p>
    <w:p>
      <w:pPr>
        <w:spacing w:after="0" w:line="200" w:lineRule="exact"/>
        <w:rPr>
          <w:sz w:val="20"/>
          <w:szCs w:val="20"/>
          <w:color w:val="auto"/>
        </w:rPr>
      </w:pPr>
    </w:p>
    <w:p>
      <w:pPr>
        <w:spacing w:after="0" w:line="29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No Responsibility for Recitals, Etc.</w:t>
      </w:r>
      <w:r>
        <w:rPr>
          <w:rFonts w:ascii="Arial" w:cs="Arial" w:eastAsia="Arial" w:hAnsi="Arial"/>
          <w:sz w:val="16"/>
          <w:szCs w:val="16"/>
          <w:color w:val="auto"/>
        </w:rPr>
        <w:t xml:space="preserve"> The recitals contained herein and in the Notes (except in the Trustee’s certificate of authentication) shall be taken as the statements of the Issuer, and the Trustees assume no responsibility for the correctness of the same. The Trustees make no representations as to the validity or sufficiency of this Indenture or of the Notes. The Trustees shall not be accountable for the use or application by the Issuer of any Notes or the proceeds of any Notes authenticated and delivered by the Trustee in conformity with the provisions of this Indenture.</w:t>
      </w:r>
    </w:p>
    <w:p>
      <w:pPr>
        <w:spacing w:after="0" w:line="16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Monies to Be Held in Trust.</w:t>
      </w:r>
      <w:r>
        <w:rPr>
          <w:rFonts w:ascii="Arial" w:cs="Arial" w:eastAsia="Arial" w:hAnsi="Arial"/>
          <w:sz w:val="18"/>
          <w:szCs w:val="18"/>
          <w:color w:val="auto"/>
        </w:rPr>
        <w:t xml:space="preserve"> Subject to the provisions of Section 13.04, all monies received by the Trustees shall, until used or applied as herein provided, be held in trust for the purposes for which they were received. The Trustee shall be under no liability for interest on any money received by it hereunder except as may be agreed in writing from time to time by the Issuer and the Trustee.</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Compensation and Expenses of Trustees.</w:t>
      </w:r>
      <w:r>
        <w:rPr>
          <w:rFonts w:ascii="Arial" w:cs="Arial" w:eastAsia="Arial" w:hAnsi="Arial"/>
          <w:sz w:val="16"/>
          <w:szCs w:val="16"/>
          <w:color w:val="auto"/>
        </w:rPr>
        <w:t xml:space="preserve"> (a) The Issuer covenants and agrees to pay to the Trustee from time to time, and the Trustee shall be entitled to, such compensation for all services rendered by it hereunder in any capacity (which shall not be limited by any provision of law in regard to the compensation of a trustee of an express trust) as mutually agreed to from time to time in writing between the Issuer and the Trustee, and the Issuer will pay or reimburse the Trustee upon its request for all reasonable expenses, disbursements and advances reasonably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willful misconduct or bad faith.</w:t>
      </w:r>
    </w:p>
    <w:p>
      <w:pPr>
        <w:spacing w:after="0" w:line="174" w:lineRule="exact"/>
        <w:rPr>
          <w:sz w:val="20"/>
          <w:szCs w:val="20"/>
          <w:color w:val="auto"/>
        </w:rPr>
      </w:pPr>
    </w:p>
    <w:p>
      <w:pPr>
        <w:ind w:left="600" w:hanging="241"/>
        <w:spacing w:after="0"/>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Issuer will pay to the Co-Trustee the following fees for its services under this Indenture:</w:t>
      </w:r>
    </w:p>
    <w:p>
      <w:pPr>
        <w:spacing w:after="0" w:line="225" w:lineRule="exact"/>
        <w:rPr>
          <w:rFonts w:ascii="Arial" w:cs="Arial" w:eastAsia="Arial" w:hAnsi="Arial"/>
          <w:sz w:val="18"/>
          <w:szCs w:val="18"/>
          <w:color w:val="auto"/>
        </w:rPr>
      </w:pPr>
    </w:p>
    <w:p>
      <w:pPr>
        <w:ind w:left="1720" w:hanging="564"/>
        <w:spacing w:after="0" w:line="288" w:lineRule="auto"/>
        <w:tabs>
          <w:tab w:leader="none" w:pos="17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For each of the years from the second year of the trust hereunder (that is from the expiry of 12 months from the date of this Indenture) in which there are still Notes outstanding, a sum of $10,000 (referred to in this section 7.05(b) as: the “Annual Fee”). The Annual Fee will be paid to the Co-Trustee at the beginning of each year of the trust. The Annual Fee will be paid to the Co- Trustee for the period until the end of the period of the trust pursuant to the terms of this Indenture even if a receiver and/or an administrative receiver is appointed for the Issuer and/or even if the trust pursuant to this Indenture is managed under the supervision of a court. If the term of the Co-Trustee’s office has come to an end, the Co-Trustee will not be entitled to the payment of its fee from the date on which its term of office has ended. Should the term of the Co-Trustee’s office come to an end during the course of a year of the trust, the Co-Trustee will refund to the Issuer the portion of the Annual Fee paid for the months on which the it has not acted as a Co-Trustee. The Annual Fee is not payable for the first year of the trust; and</w:t>
      </w: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ind w:left="5620" w:hanging="96"/>
        <w:spacing w:after="0"/>
        <w:tabs>
          <w:tab w:leader="none" w:pos="56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21 -</w:t>
      </w:r>
    </w:p>
    <w:p>
      <w:pPr>
        <w:spacing w:after="0" w:line="346" w:lineRule="exact"/>
        <w:rPr>
          <w:rFonts w:ascii="Arial" w:cs="Arial" w:eastAsia="Arial" w:hAnsi="Arial"/>
          <w:sz w:val="18"/>
          <w:szCs w:val="18"/>
          <w:color w:val="auto"/>
        </w:rPr>
      </w:pPr>
    </w:p>
    <w:p>
      <w:pPr>
        <w:ind w:left="1720" w:right="580" w:hanging="564"/>
        <w:spacing w:after="0" w:line="332" w:lineRule="auto"/>
        <w:tabs>
          <w:tab w:leader="none" w:pos="17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Co-Trustee is entitled to payment for the time actually spent by the Co-Trustee in connection with this Indenture and the trust hereunder prior the execution of this Indenture in the total amount of approximately $5,000; and</w:t>
      </w:r>
    </w:p>
    <w:p>
      <w:pPr>
        <w:spacing w:after="0" w:line="166" w:lineRule="exact"/>
        <w:rPr>
          <w:rFonts w:ascii="Arial" w:cs="Arial" w:eastAsia="Arial" w:hAnsi="Arial"/>
          <w:sz w:val="16"/>
          <w:szCs w:val="16"/>
          <w:color w:val="auto"/>
        </w:rPr>
      </w:pPr>
    </w:p>
    <w:p>
      <w:pPr>
        <w:ind w:left="1720" w:right="180" w:hanging="564"/>
        <w:spacing w:after="0" w:line="259" w:lineRule="auto"/>
        <w:tabs>
          <w:tab w:leader="none" w:pos="17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Co-Trustee will be entitled to the reimbursement of the reasonable expenses that it has incurred in the fulfillment of its roles and duties hereunder. Regarding expenses for an expert opinion, the Co-Trustee will give prior notice to the Issuer of its intention to request an expert opinion; and</w:t>
      </w:r>
    </w:p>
    <w:p>
      <w:pPr>
        <w:spacing w:after="0" w:line="221" w:lineRule="exact"/>
        <w:rPr>
          <w:rFonts w:ascii="Arial" w:cs="Arial" w:eastAsia="Arial" w:hAnsi="Arial"/>
          <w:sz w:val="18"/>
          <w:szCs w:val="18"/>
          <w:color w:val="auto"/>
        </w:rPr>
      </w:pPr>
    </w:p>
    <w:p>
      <w:pPr>
        <w:ind w:left="1720" w:right="60" w:hanging="564"/>
        <w:spacing w:after="0" w:line="306" w:lineRule="auto"/>
        <w:tabs>
          <w:tab w:leader="none" w:pos="17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Co-Trustee will also be entitled to additional payment to the extent that the Co-Trustee is required to take any action as a result of a default on this Indenture by the Issuer or an Event of Default. This payment will be calculated according to the time actually spent by the Co-Trustee in connection with these actions, based on an agreed hourly rate of up to $200; and</w:t>
      </w:r>
    </w:p>
    <w:p>
      <w:pPr>
        <w:spacing w:after="0" w:line="187" w:lineRule="exact"/>
        <w:rPr>
          <w:rFonts w:ascii="Arial" w:cs="Arial" w:eastAsia="Arial" w:hAnsi="Arial"/>
          <w:sz w:val="16"/>
          <w:szCs w:val="16"/>
          <w:color w:val="auto"/>
        </w:rPr>
      </w:pPr>
    </w:p>
    <w:p>
      <w:pPr>
        <w:ind w:left="1720" w:right="80" w:hanging="564"/>
        <w:spacing w:after="0" w:line="332" w:lineRule="auto"/>
        <w:tabs>
          <w:tab w:leader="none" w:pos="1720" w:val="left"/>
        </w:tabs>
        <w:numPr>
          <w:ilvl w:val="1"/>
          <w:numId w:val="79"/>
        </w:numPr>
        <w:rPr>
          <w:rFonts w:ascii="Arial" w:cs="Arial" w:eastAsia="Arial" w:hAnsi="Arial"/>
          <w:sz w:val="16"/>
          <w:szCs w:val="16"/>
          <w:color w:val="auto"/>
        </w:rPr>
      </w:pPr>
      <w:r>
        <w:rPr>
          <w:rFonts w:ascii="Arial" w:cs="Arial" w:eastAsia="Arial" w:hAnsi="Arial"/>
          <w:sz w:val="16"/>
          <w:szCs w:val="16"/>
          <w:color w:val="auto"/>
        </w:rPr>
        <w:t>In the event that, due to changes in the applicable law in Israel, the Co-Trustee shall be required to perform additional reviews or prepare additional reports, the Co-Trustee shall be entitled to additional fees as shall be agreed upon by the Co-Trustee and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-1983105</wp:posOffset>
            </wp:positionV>
            <wp:extent cx="72504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46" w:lineRule="exact"/>
        <w:rPr>
          <w:sz w:val="20"/>
          <w:szCs w:val="20"/>
          <w:color w:val="auto"/>
        </w:rPr>
      </w:pPr>
    </w:p>
    <w:p>
      <w:pPr>
        <w:ind w:left="1160" w:right="280"/>
        <w:spacing w:after="0" w:line="298" w:lineRule="auto"/>
        <w:rPr>
          <w:sz w:val="20"/>
          <w:szCs w:val="20"/>
          <w:color w:val="auto"/>
        </w:rPr>
      </w:pPr>
      <w:r>
        <w:rPr>
          <w:rFonts w:ascii="Arial" w:cs="Arial" w:eastAsia="Arial" w:hAnsi="Arial"/>
          <w:sz w:val="16"/>
          <w:szCs w:val="16"/>
          <w:color w:val="auto"/>
        </w:rPr>
        <w:t>Israeli Value added tax, if applicable, will be added to the payments due to the Co-Trustee hereunder and will be paid by the Issuer. The Issuer covenants and agrees to reimburse the Co-Trustee for the costs incurred by the Co-Trustee for an insurance policy providing for coverage in respect of expenses of the Co-Trustee resulting from any litigation action taken against the Co-Trustee under the competent jurisdiction of a United States court, in connection with the actions and duties of the Co-Trustee under this Indenture.</w:t>
      </w:r>
    </w:p>
    <w:p>
      <w:pPr>
        <w:spacing w:after="0" w:line="200" w:lineRule="exact"/>
        <w:rPr>
          <w:sz w:val="20"/>
          <w:szCs w:val="20"/>
          <w:color w:val="auto"/>
        </w:rPr>
      </w:pPr>
    </w:p>
    <w:p>
      <w:pPr>
        <w:spacing w:after="0" w:line="210" w:lineRule="exact"/>
        <w:rPr>
          <w:sz w:val="20"/>
          <w:szCs w:val="20"/>
          <w:color w:val="auto"/>
        </w:rPr>
      </w:pPr>
    </w:p>
    <w:p>
      <w:pPr>
        <w:ind w:firstLine="359"/>
        <w:spacing w:after="0" w:line="289" w:lineRule="auto"/>
        <w:tabs>
          <w:tab w:leader="none" w:pos="59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Issuer also covenants to indemnify each of the Trustee and the Co-Trustee and any predecessor Trustees (or any officer, director or employee of the Trustees), in any capacity under this Indenture and its agents and any authenticating agent for, and to hold them harmless against, any and all loss, liability, damage, claim or expense including taxes (other than taxes based on the income of the Trustees) incurred without negligence, willful misconduct or bad faith on the part of the Trustee or the Co-Trustee or such officers, directors, employees and agent or authenticating agent, as the case may be, and arising out of or in connection with the acceptance or administration of this trust or in any other capacity hereunder, including the costs and expenses of defending themselves against any claim (whether asserted by the Issuer, any holder or any other Person) of liability in the premises. For the avoidance of doubt, neither of the Trustee nor the Co-Trustee shall be denied any indemnification to which it is entitled pursuant to this Section 7.05(c) as the result of the other’s negligence, willful misconduct or bad faith. The obligation of the Issuer under this Section 7.05 shall survive the satisfaction and discharge of this Indenture.</w:t>
      </w:r>
    </w:p>
    <w:p>
      <w:pPr>
        <w:spacing w:after="0" w:line="172" w:lineRule="exact"/>
        <w:rPr>
          <w:rFonts w:ascii="Arial" w:cs="Arial" w:eastAsia="Arial" w:hAnsi="Arial"/>
          <w:sz w:val="16"/>
          <w:szCs w:val="16"/>
          <w:color w:val="auto"/>
        </w:rPr>
      </w:pPr>
    </w:p>
    <w:p>
      <w:pPr>
        <w:ind w:left="660" w:hanging="257"/>
        <w:spacing w:after="0"/>
        <w:tabs>
          <w:tab w:leader="none" w:pos="660" w:val="left"/>
        </w:tabs>
        <w:numPr>
          <w:ilvl w:val="2"/>
          <w:numId w:val="80"/>
        </w:numPr>
        <w:rPr>
          <w:rFonts w:ascii="Arial" w:cs="Arial" w:eastAsia="Arial" w:hAnsi="Arial"/>
          <w:sz w:val="15"/>
          <w:szCs w:val="15"/>
          <w:color w:val="auto"/>
        </w:rPr>
      </w:pPr>
      <w:r>
        <w:rPr>
          <w:rFonts w:ascii="Arial" w:cs="Arial" w:eastAsia="Arial" w:hAnsi="Arial"/>
          <w:sz w:val="15"/>
          <w:szCs w:val="15"/>
          <w:color w:val="auto"/>
        </w:rPr>
        <w:t>When the Trustees and its agents and any authenticating agent incur expenses or render services after an Event of Default specified in Section 6.01(c) or</w:t>
      </w:r>
    </w:p>
    <w:p>
      <w:pPr>
        <w:spacing w:after="0" w:line="49" w:lineRule="exact"/>
        <w:rPr>
          <w:rFonts w:ascii="Arial" w:cs="Arial" w:eastAsia="Arial" w:hAnsi="Arial"/>
          <w:sz w:val="15"/>
          <w:szCs w:val="15"/>
          <w:color w:val="auto"/>
        </w:rPr>
      </w:pPr>
    </w:p>
    <w:p>
      <w:pPr>
        <w:ind w:right="760" w:firstLine="8"/>
        <w:spacing w:after="0" w:line="261" w:lineRule="auto"/>
        <w:tabs>
          <w:tab w:leader="none" w:pos="2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with respect to the Issuer occurs, the expenses and the compensation for the services are intended to constitute expenses of administration under any bankruptcy, insolvency or similar laws.</w:t>
      </w:r>
    </w:p>
    <w:p>
      <w:pPr>
        <w:spacing w:after="0" w:line="192"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i w:val="1"/>
          <w:iCs w:val="1"/>
          <w:color w:val="auto"/>
        </w:rPr>
        <w:t>Officers’ Certificate as Evidence.</w:t>
      </w:r>
      <w:r>
        <w:rPr>
          <w:rFonts w:ascii="Arial" w:cs="Arial" w:eastAsia="Arial" w:hAnsi="Arial"/>
          <w:sz w:val="16"/>
          <w:szCs w:val="16"/>
          <w:color w:val="auto"/>
        </w:rPr>
        <w:t xml:space="preserve"> Except as otherwise provided in Section 7.01, whenever in the administration of the provisions of this Indenture the Trustees shall deem it necessary or desirable that a matter be proved or established prior to taking or omitting any action hereunder, such matter (unless other evidence in respect thereof be herein specifically prescribed) may, in the absence of bad faith or willful misconduct on the part of the Trustees, be deemed to be conclusively proved and established by an Officers’ Certificate delivered to the Trustees.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67" w:gutter="0" w:footer="0" w:header="0"/>
        </w:sectPr>
      </w:pPr>
    </w:p>
    <w:bookmarkStart w:id="64" w:name="page65"/>
    <w:bookmarkEnd w:id="64"/>
    <w:p>
      <w:pPr>
        <w:ind w:right="120" w:firstLine="351"/>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Conflicting Interests of Trustee and the Co-Trustee.</w:t>
      </w:r>
      <w:r>
        <w:rPr>
          <w:rFonts w:ascii="Arial" w:cs="Arial" w:eastAsia="Arial" w:hAnsi="Arial"/>
          <w:sz w:val="18"/>
          <w:szCs w:val="18"/>
          <w:color w:val="auto"/>
        </w:rPr>
        <w:t xml:space="preserve"> (a)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194" w:lineRule="exact"/>
        <w:rPr>
          <w:sz w:val="20"/>
          <w:szCs w:val="20"/>
          <w:color w:val="auto"/>
        </w:rPr>
      </w:pPr>
    </w:p>
    <w:p>
      <w:pPr>
        <w:ind w:right="40" w:firstLine="359"/>
        <w:spacing w:after="0" w:line="259" w:lineRule="auto"/>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with respect to the Co-Trustee, there at any time exist circumstances which may constitute a conflict of interests as provided in Section 35(E)(2) of the Securities Law, the Co-Trustee shall either eliminate such circumstances or resign, to the extent and in the manner provided by, and subject to the provisions of, the Securities Law.</w:t>
      </w:r>
    </w:p>
    <w:p>
      <w:pPr>
        <w:spacing w:after="0" w:line="194"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Eligibility of Trustee and Co-Trustee.</w:t>
      </w:r>
      <w:r>
        <w:rPr>
          <w:rFonts w:ascii="Arial" w:cs="Arial" w:eastAsia="Arial" w:hAnsi="Arial"/>
          <w:sz w:val="18"/>
          <w:szCs w:val="18"/>
          <w:color w:val="auto"/>
        </w:rPr>
        <w:t xml:space="preserve"> (a) There shall at all times be a Trustee hereunder which shall be a Person that is eligible pursuant to the Trust Indenture Act to act as such and has a combined capital and surplus of at least $50,000,000 (or if such Person is a member of a bank holding company system, its bank holding company shall have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7.08, it shall resign immediately in the manner and with the effect hereinafter specified in this Article.</w:t>
      </w:r>
    </w:p>
    <w:p>
      <w:pPr>
        <w:spacing w:after="0" w:line="201" w:lineRule="exact"/>
        <w:rPr>
          <w:sz w:val="20"/>
          <w:szCs w:val="20"/>
          <w:color w:val="auto"/>
        </w:rPr>
      </w:pPr>
    </w:p>
    <w:p>
      <w:pPr>
        <w:ind w:right="80" w:firstLine="359"/>
        <w:spacing w:after="0" w:line="259"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shall at all times be a Co-Trustee hereunder which shall be a Person that is eligible pursuant to the Securities Law to act as a trustee for debentures issued to the Israeli public. If at any time the Co-Trustee shall cease to be eligible in accordance with the provisions of the Securities Law, it shall resign immediately in the manner and with the effect specified in Section 7.09.</w:t>
      </w:r>
    </w:p>
    <w:p>
      <w:pPr>
        <w:spacing w:after="0" w:line="194" w:lineRule="exact"/>
        <w:rPr>
          <w:sz w:val="20"/>
          <w:szCs w:val="20"/>
          <w:color w:val="auto"/>
        </w:rPr>
      </w:pPr>
    </w:p>
    <w:p>
      <w:pPr>
        <w:ind w:right="140" w:firstLine="395"/>
        <w:spacing w:after="0" w:line="283" w:lineRule="auto"/>
        <w:rPr>
          <w:sz w:val="20"/>
          <w:szCs w:val="20"/>
          <w:color w:val="auto"/>
        </w:rPr>
      </w:pPr>
      <w:r>
        <w:rPr>
          <w:rFonts w:ascii="Arial" w:cs="Arial" w:eastAsia="Arial" w:hAnsi="Arial"/>
          <w:sz w:val="16"/>
          <w:szCs w:val="16"/>
          <w:color w:val="auto"/>
        </w:rPr>
        <w:t xml:space="preserve">Section 7.09. </w:t>
      </w:r>
      <w:r>
        <w:rPr>
          <w:rFonts w:ascii="Arial" w:cs="Arial" w:eastAsia="Arial" w:hAnsi="Arial"/>
          <w:sz w:val="16"/>
          <w:szCs w:val="16"/>
          <w:i w:val="1"/>
          <w:iCs w:val="1"/>
          <w:color w:val="auto"/>
        </w:rPr>
        <w:t>Resignation or Removal of the Trustee and of the Co-Trustee.</w:t>
      </w:r>
      <w:r>
        <w:rPr>
          <w:rFonts w:ascii="Arial" w:cs="Arial" w:eastAsia="Arial" w:hAnsi="Arial"/>
          <w:sz w:val="16"/>
          <w:szCs w:val="16"/>
          <w:color w:val="auto"/>
        </w:rPr>
        <w:t xml:space="preserve"> (a) (i) The Trustee may at any time resign by giving written notice of such resignation to the Issuer, the Co-Trustee and to the holders of Notes. Upon receiving such notice of resignation, the Issuer shall promptly appoint a successor trustee by written instrument, in triplicate, executed by order of the Board of Directors, one copy of which instrument shall be delivered to the resigning Trustee, one copy to the successor trustee and one copy to the Co-Trustee. If no successor trustee shall have been so appointed and have accepted appointment sixty</w:t>
      </w:r>
    </w:p>
    <w:p>
      <w:pPr>
        <w:spacing w:after="0" w:line="3" w:lineRule="exact"/>
        <w:rPr>
          <w:sz w:val="20"/>
          <w:szCs w:val="20"/>
          <w:color w:val="auto"/>
        </w:rPr>
      </w:pPr>
    </w:p>
    <w:p>
      <w:pPr>
        <w:ind w:right="80" w:firstLine="8"/>
        <w:spacing w:after="0" w:line="292" w:lineRule="auto"/>
        <w:tabs>
          <w:tab w:leader="none" w:pos="336" w:val="left"/>
        </w:tabs>
        <w:numPr>
          <w:ilvl w:val="0"/>
          <w:numId w:val="84"/>
        </w:numPr>
        <w:rPr>
          <w:rFonts w:ascii="Arial" w:cs="Arial" w:eastAsia="Arial" w:hAnsi="Arial"/>
          <w:sz w:val="16"/>
          <w:szCs w:val="16"/>
          <w:color w:val="auto"/>
        </w:rPr>
      </w:pPr>
      <w:r>
        <w:rPr>
          <w:rFonts w:ascii="Arial" w:cs="Arial" w:eastAsia="Arial" w:hAnsi="Arial"/>
          <w:sz w:val="16"/>
          <w:szCs w:val="16"/>
          <w:color w:val="auto"/>
        </w:rPr>
        <w:t>days after the mailing of such notice of resignation to the Noteholders, the resigning Trustee may, upon ten (10) Business Days’ notice to the Issuer, the Co-Trustee and the Noteholders, appoint a successor identified in such notice or may petition, at the expense of the Issuer, any court of competent jurisdiction for the appointment of a successor trustee, or, if any Noteholder who has been a bona fide holder of a Note or Notes for at least six (6) months may, subject to the provisions of Section 6.09, on behalf of himself and all others similarly situated, petition any such court for the appointment of a successor trustee. Such court may thereupon, after such notice, if any, as it may deem proper and prescribe, appoint a successor trustee.</w:t>
      </w:r>
    </w:p>
    <w:p>
      <w:pPr>
        <w:spacing w:after="0" w:line="170" w:lineRule="exact"/>
        <w:rPr>
          <w:rFonts w:ascii="Arial" w:cs="Arial" w:eastAsia="Arial" w:hAnsi="Arial"/>
          <w:sz w:val="16"/>
          <w:szCs w:val="16"/>
          <w:color w:val="auto"/>
        </w:rPr>
      </w:pPr>
    </w:p>
    <w:p>
      <w:pPr>
        <w:ind w:left="580" w:right="240" w:firstLine="184"/>
        <w:spacing w:after="0" w:line="268" w:lineRule="auto"/>
        <w:tabs>
          <w:tab w:leader="none" w:pos="1318"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provisions of the Securities Law will apply to the expiry of the appointment of the Co-Trustee as a trustee under this Indenture upon the occurrence of certain events specified therein and to the appointment of a successor trustee in such an event.</w:t>
      </w:r>
    </w:p>
    <w:p>
      <w:pPr>
        <w:spacing w:after="0" w:line="212" w:lineRule="exact"/>
        <w:rPr>
          <w:rFonts w:ascii="Arial" w:cs="Arial" w:eastAsia="Arial" w:hAnsi="Arial"/>
          <w:sz w:val="18"/>
          <w:szCs w:val="18"/>
          <w:color w:val="auto"/>
        </w:rPr>
      </w:pPr>
    </w:p>
    <w:p>
      <w:pPr>
        <w:ind w:left="580" w:right="60" w:firstLine="184"/>
        <w:spacing w:after="0" w:line="298" w:lineRule="auto"/>
        <w:tabs>
          <w:tab w:leader="none" w:pos="1370" w:val="left"/>
        </w:tabs>
        <w:numPr>
          <w:ilvl w:val="2"/>
          <w:numId w:val="84"/>
        </w:numPr>
        <w:rPr>
          <w:rFonts w:ascii="Arial" w:cs="Arial" w:eastAsia="Arial" w:hAnsi="Arial"/>
          <w:sz w:val="16"/>
          <w:szCs w:val="16"/>
          <w:color w:val="auto"/>
        </w:rPr>
      </w:pPr>
      <w:r>
        <w:rPr>
          <w:rFonts w:ascii="Arial" w:cs="Arial" w:eastAsia="Arial" w:hAnsi="Arial"/>
          <w:sz w:val="16"/>
          <w:szCs w:val="16"/>
          <w:color w:val="auto"/>
        </w:rPr>
        <w:t>Subject to the applicable provisions of the Securities Law, the Co-Trustee and any successor co-trustee that replaces the Co-Trustee may resign from their office as trustee after giving notice in writing to the Issuer, the Trustee and the Noteholders three (3) months in advance, in which the reasons for the resignation will be specified. Such resignation will come into effect only after it has been approved by a court of competent jurisdiction in the State of Israel and on the date specified in such court approval. The Issuer shall promptly notify the Trustees and the Noteholders of such approval.</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600" w:hanging="241"/>
        <w:spacing w:after="0"/>
        <w:tabs>
          <w:tab w:leader="none" w:pos="6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225" w:lineRule="exact"/>
        <w:rPr>
          <w:rFonts w:ascii="Arial" w:cs="Arial" w:eastAsia="Arial" w:hAnsi="Arial"/>
          <w:sz w:val="18"/>
          <w:szCs w:val="18"/>
          <w:color w:val="auto"/>
        </w:rPr>
      </w:pPr>
    </w:p>
    <w:p>
      <w:pPr>
        <w:ind w:left="1720" w:right="80" w:hanging="564"/>
        <w:spacing w:after="0" w:line="268" w:lineRule="auto"/>
        <w:tabs>
          <w:tab w:leader="none" w:pos="1720" w:val="left"/>
        </w:tabs>
        <w:numPr>
          <w:ilvl w:val="3"/>
          <w:numId w:val="84"/>
        </w:numPr>
        <w:rPr>
          <w:rFonts w:ascii="Arial" w:cs="Arial" w:eastAsia="Arial" w:hAnsi="Arial"/>
          <w:sz w:val="18"/>
          <w:szCs w:val="18"/>
          <w:color w:val="auto"/>
        </w:rPr>
      </w:pPr>
      <w:r>
        <w:rPr>
          <w:rFonts w:ascii="Arial" w:cs="Arial" w:eastAsia="Arial" w:hAnsi="Arial"/>
          <w:sz w:val="18"/>
          <w:szCs w:val="18"/>
          <w:color w:val="auto"/>
        </w:rPr>
        <w:t>the Trustee or the Co-Trustee shall fail to comply with Section 7.07 after written request therefor by the Issuer or by any Noteholder who has been a bona fide holder of a Note or Notes for at least six (6) months; or</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5620" w:hanging="96"/>
        <w:spacing w:after="0"/>
        <w:tabs>
          <w:tab w:leader="none" w:pos="5620" w:val="left"/>
        </w:tabs>
        <w:numPr>
          <w:ilvl w:val="4"/>
          <w:numId w:val="84"/>
        </w:numPr>
        <w:rPr>
          <w:rFonts w:ascii="Arial" w:cs="Arial" w:eastAsia="Arial" w:hAnsi="Arial"/>
          <w:sz w:val="18"/>
          <w:szCs w:val="18"/>
          <w:color w:val="auto"/>
        </w:rPr>
      </w:pPr>
      <w:r>
        <w:rPr>
          <w:rFonts w:ascii="Arial" w:cs="Arial" w:eastAsia="Arial" w:hAnsi="Arial"/>
          <w:sz w:val="18"/>
          <w:szCs w:val="18"/>
          <w:color w:val="auto"/>
        </w:rPr>
        <w:t>23 -</w:t>
      </w:r>
    </w:p>
    <w:p>
      <w:pPr>
        <w:spacing w:after="0" w:line="346" w:lineRule="exact"/>
        <w:rPr>
          <w:rFonts w:ascii="Arial" w:cs="Arial" w:eastAsia="Arial" w:hAnsi="Arial"/>
          <w:sz w:val="18"/>
          <w:szCs w:val="18"/>
          <w:color w:val="auto"/>
        </w:rPr>
      </w:pPr>
    </w:p>
    <w:p>
      <w:pPr>
        <w:ind w:left="1720" w:right="160" w:hanging="564"/>
        <w:spacing w:after="0" w:line="268" w:lineRule="auto"/>
        <w:tabs>
          <w:tab w:leader="none" w:pos="1720" w:val="left"/>
        </w:tabs>
        <w:numPr>
          <w:ilvl w:val="3"/>
          <w:numId w:val="84"/>
        </w:numPr>
        <w:rPr>
          <w:rFonts w:ascii="Arial" w:cs="Arial" w:eastAsia="Arial" w:hAnsi="Arial"/>
          <w:sz w:val="18"/>
          <w:szCs w:val="18"/>
          <w:color w:val="auto"/>
        </w:rPr>
      </w:pPr>
      <w:r>
        <w:rPr>
          <w:rFonts w:ascii="Arial" w:cs="Arial" w:eastAsia="Arial" w:hAnsi="Arial"/>
          <w:sz w:val="18"/>
          <w:szCs w:val="18"/>
          <w:color w:val="auto"/>
        </w:rPr>
        <w:t>the Trustee or the Co-Trustee shall cease to be eligible in accordance with the relevant provisions of Section 7.08 and shall fail to resign after written request therefor by the Issuer or by any such Noteholder; or</w:t>
      </w:r>
    </w:p>
    <w:p>
      <w:pPr>
        <w:spacing w:after="0" w:line="212" w:lineRule="exact"/>
        <w:rPr>
          <w:rFonts w:ascii="Arial" w:cs="Arial" w:eastAsia="Arial" w:hAnsi="Arial"/>
          <w:sz w:val="18"/>
          <w:szCs w:val="18"/>
          <w:color w:val="auto"/>
        </w:rPr>
      </w:pPr>
    </w:p>
    <w:p>
      <w:pPr>
        <w:ind w:left="1720" w:hanging="564"/>
        <w:spacing w:after="0" w:line="259" w:lineRule="auto"/>
        <w:tabs>
          <w:tab w:leader="none" w:pos="1720" w:val="left"/>
        </w:tabs>
        <w:numPr>
          <w:ilvl w:val="3"/>
          <w:numId w:val="84"/>
        </w:numPr>
        <w:rPr>
          <w:rFonts w:ascii="Arial" w:cs="Arial" w:eastAsia="Arial" w:hAnsi="Arial"/>
          <w:sz w:val="18"/>
          <w:szCs w:val="18"/>
          <w:color w:val="auto"/>
        </w:rPr>
      </w:pPr>
      <w:r>
        <w:rPr>
          <w:rFonts w:ascii="Arial" w:cs="Arial" w:eastAsia="Arial" w:hAnsi="Arial"/>
          <w:sz w:val="18"/>
          <w:szCs w:val="18"/>
          <w:color w:val="auto"/>
        </w:rPr>
        <w:t>the Trustee or the Co-Trustee shall become incapable of acting, or shall be adjudged a bankrupt or insolvent, or a receiver of the Trustee or the Co-Trustee or of its property shall be appointed, or any public officer shall take charge or control of the Trustee or of its property or affairs for the purpose of rehabilitation, conservation or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-953135</wp:posOffset>
            </wp:positionV>
            <wp:extent cx="72504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1" w:lineRule="exact"/>
        <w:rPr>
          <w:sz w:val="20"/>
          <w:szCs w:val="20"/>
          <w:color w:val="auto"/>
        </w:rPr>
      </w:pPr>
    </w:p>
    <w:p>
      <w:pPr>
        <w:ind w:left="580" w:right="40"/>
        <w:spacing w:after="0" w:line="288" w:lineRule="auto"/>
        <w:rPr>
          <w:sz w:val="20"/>
          <w:szCs w:val="20"/>
          <w:color w:val="auto"/>
        </w:rPr>
      </w:pPr>
      <w:r>
        <w:rPr>
          <w:rFonts w:ascii="Arial" w:cs="Arial" w:eastAsia="Arial" w:hAnsi="Arial"/>
          <w:sz w:val="16"/>
          <w:szCs w:val="16"/>
          <w:color w:val="auto"/>
        </w:rPr>
        <w:t xml:space="preserve">then, in any such case, the Issuer may remove the Trustee or the Co-Trustee and appoint a successor trustee by written instrument, in triplicate, executed by order of the Board of Directors, one copy of which instrument shall be delivered to the Trustee or the Co-Trustee so removed, one copy to the successor trustee and one copy to the Co-Trustee, or, subject to the provisions of Section 6.09, any Noteholder who has been a bona fide holder of a Note or Notes for at least six (6) months may, on behalf of himself and all others similarly situated, petition any court of competent jurisdiction for the removal of the Trustee or the Co-Trustee and the appointment of a successor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no successor trustee shall have been appointed and have accepted appointment sixty (60) days after either the Issuer or the Noteholders has removed the Trustee or the Co-Trustee , or the Trustee or the Co-Trustee resigns, the trustee so removed may petition, at the expense of the Issuer, any court of competent jurisdiction for an appointment of a successor trustee. Such court may thereupon, after such notice, if any, as it may deem proper and prescribe, remove the Trustee or the Co-Trustee and appoint a successor trustee.</w:t>
      </w:r>
    </w:p>
    <w:p>
      <w:pPr>
        <w:spacing w:after="0" w:line="200" w:lineRule="exact"/>
        <w:rPr>
          <w:sz w:val="20"/>
          <w:szCs w:val="20"/>
          <w:color w:val="auto"/>
        </w:rPr>
      </w:pPr>
    </w:p>
    <w:p>
      <w:pPr>
        <w:spacing w:after="0" w:line="217" w:lineRule="exact"/>
        <w:rPr>
          <w:sz w:val="20"/>
          <w:szCs w:val="20"/>
          <w:color w:val="auto"/>
        </w:rPr>
      </w:pPr>
    </w:p>
    <w:p>
      <w:pPr>
        <w:ind w:right="60" w:firstLine="359"/>
        <w:spacing w:after="0" w:line="255" w:lineRule="auto"/>
        <w:tabs>
          <w:tab w:leader="none" w:pos="5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Notes at the time outstanding may at any time by action pursuant to Section 9.01 remove the Trustee or the Co-Trustee and nominate a successor trustee which shall be deemed appointed as successor trustee unless, within ten (10) days after notice to the Issuer of such nomination, the Issuer objects thereto, in which case the trustee so removed or any Noteholder, or if such trustee so removed or any Noteholder fails to act, the Issuer, upon the terms and conditions and otherwise as in this Section 7.09(a) provided, may petition any court of competent jurisdiction for an appointment of a successor trustee.</w:t>
      </w:r>
    </w:p>
    <w:p>
      <w:pPr>
        <w:spacing w:after="0" w:line="196" w:lineRule="exact"/>
        <w:rPr>
          <w:rFonts w:ascii="Arial" w:cs="Arial" w:eastAsia="Arial" w:hAnsi="Arial"/>
          <w:sz w:val="18"/>
          <w:szCs w:val="18"/>
          <w:color w:val="auto"/>
        </w:rPr>
      </w:pPr>
    </w:p>
    <w:p>
      <w:pPr>
        <w:ind w:right="380" w:firstLine="359"/>
        <w:spacing w:after="0" w:line="332" w:lineRule="auto"/>
        <w:tabs>
          <w:tab w:leader="none" w:pos="995" w:val="left"/>
        </w:tabs>
        <w:numPr>
          <w:ilvl w:val="0"/>
          <w:numId w:val="85"/>
        </w:numPr>
        <w:rPr>
          <w:rFonts w:ascii="Arial" w:cs="Arial" w:eastAsia="Arial" w:hAnsi="Arial"/>
          <w:sz w:val="16"/>
          <w:szCs w:val="16"/>
          <w:color w:val="auto"/>
        </w:rPr>
      </w:pPr>
      <w:r>
        <w:rPr>
          <w:rFonts w:ascii="Arial" w:cs="Arial" w:eastAsia="Arial" w:hAnsi="Arial"/>
          <w:sz w:val="16"/>
          <w:szCs w:val="16"/>
          <w:color w:val="auto"/>
        </w:rPr>
        <w:t>(i) Any resignation or removal of the Trustee or the Co-Trustee and appointment of a successor trustee pursuant to any of the provisions of this Section 7.09 shall become effective upon acceptance of appointment by the successor trustee as provided in Section 7.10.</w:t>
      </w:r>
    </w:p>
    <w:p>
      <w:pPr>
        <w:sectPr>
          <w:pgSz w:w="11900" w:h="16838" w:orient="portrait"/>
          <w:cols w:equalWidth="0" w:num="1">
            <w:col w:w="11420"/>
          </w:cols>
          <w:pgMar w:left="240" w:top="131" w:right="239" w:bottom="8" w:gutter="0" w:footer="0" w:header="0"/>
        </w:sectPr>
      </w:pPr>
    </w:p>
    <w:bookmarkStart w:id="65" w:name="page66"/>
    <w:bookmarkEnd w:id="65"/>
    <w:p>
      <w:pPr>
        <w:spacing w:after="0" w:line="42" w:lineRule="exact"/>
        <w:rPr>
          <w:sz w:val="20"/>
          <w:szCs w:val="20"/>
          <w:color w:val="auto"/>
        </w:rPr>
      </w:pPr>
    </w:p>
    <w:p>
      <w:pPr>
        <w:jc w:val="both"/>
        <w:ind w:right="120" w:firstLine="1018"/>
        <w:spacing w:after="0" w:line="298" w:lineRule="auto"/>
        <w:tabs>
          <w:tab w:leader="none" w:pos="1268"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court of competent jurisdiction in the State of Israel may dismiss the Co-Trustee if it has not fulfilled its duties hereunder properly or if a court of competent jurisdiction in the State of Israel should find any other reason for its dismissal. Additionally, the holders of ten percent (10%) in aggregate principal amount of the Notes may convene a general meeting of the holders of the Notes in accordance with Article 10. At such a meeting, the Co-Trustee may be removed by an affirmative vote of the holders of a majority of the aggregate principal amount of the Notes.</w:t>
      </w:r>
    </w:p>
    <w:p>
      <w:pPr>
        <w:spacing w:after="0" w:line="16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ISA may petition a court of competent jurisdiction in the State of Israel to bring the Co-Trustee’s term of office to an end, pursuant to Section 35 of the Securities Law.</w:t>
      </w:r>
    </w:p>
    <w:p>
      <w:pPr>
        <w:spacing w:after="0" w:line="186"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i w:val="1"/>
          <w:iCs w:val="1"/>
          <w:color w:val="auto"/>
        </w:rPr>
        <w:t>Acceptance by Successor Trustee.</w:t>
      </w:r>
      <w:r>
        <w:rPr>
          <w:rFonts w:ascii="Arial" w:cs="Arial" w:eastAsia="Arial" w:hAnsi="Arial"/>
          <w:sz w:val="16"/>
          <w:szCs w:val="16"/>
          <w:color w:val="auto"/>
        </w:rPr>
        <w:t xml:space="preserve"> Any successor trustee appointed as provided in Section 7.09 shall execute, acknowledge and deliver to the Issuer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Issuer or of the successor trustee, the trustee ceasing to act shall, upon payment of any amount then due it pursuant to the provisions of Section 7.05, execute and deliver an instrument transferring to such successor trustee all the rights and powers of the trustee so ceasing to act. Upon request of any such successor trustee, the Issuer shall execute any and all instruments in writing for more fully and certainly vesting in and confirming to such successor trustee all such rights and powers. Any trustee ceasing to act shall, nevertheless, retain a lien upon all property and funds held or collected by such trustee as such, except for funds held in trust for the benefit of holders of particular Notes, to secure any amounts then due it pursuant to the provisions of Section 7.05.</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No successor trustee shall accept appointment as provided in this Section 7.10 unless, at the time of such acceptance, such successor trustee shall be qualified under the provisions of Section 7.09 and be eligible under the provisions of Section 7.08.</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Upon acceptance of appointment by a successor trustee as provided in this Section 7.10, the Issuer (or the former trustee, at the written direction of the Issuer) shall mail or cause to be mailed notice of the succession of such trustee hereunder to the holders of Notes at their addresses as they shall appear on the Note register. If the Issuer fails to mail such notice within ten (10) days after acceptance of appointment by the successor trustee, the successor trustee shall cause such notice to be mailed at the expense of the Issuer. The Issuer shall promptly file an Immediate Report regarding such an event, as provided in the Securities Law, as well as furnish such notice to the Commission on Form 6-K.</w:t>
      </w:r>
    </w:p>
    <w:p>
      <w:pPr>
        <w:spacing w:after="0" w:line="170"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Succession by Merger.</w:t>
      </w:r>
      <w:r>
        <w:rPr>
          <w:rFonts w:ascii="Arial" w:cs="Arial" w:eastAsia="Arial" w:hAnsi="Arial"/>
          <w:sz w:val="16"/>
          <w:szCs w:val="16"/>
          <w:color w:val="auto"/>
        </w:rPr>
        <w:t xml:space="preserve"> Any corporation into which either of the Trustees may be merged or converted or with which either of them may be consolidated, or any corporation resulting from any merger, conversion or consolidation to which the Trustee or Co-Trustee shall be a party, or any corporation succeeding to all or substantially all of the corporate trust business of the Trustee or Co-Trustee (including any trust created by this Indenture), shall be the successor to the Trustee or Co-Trustee hereunder without the execution or filing of any paper or any further act on the part of any of the parties hereto, provided that in the case of any corporation succeeding to all or substantially all of the corporate trust business of the Trustee or Co-Trustee, such corporation shall be qualified under the provisions of Section 7.07 and shall, in the case of the successor to the Trustee, be eligible under the provisions of Section 7.08.</w:t>
      </w:r>
    </w:p>
    <w:p>
      <w:pPr>
        <w:spacing w:after="0" w:line="17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case at the time such successor to the Trustee or the Co-Trustee shall succeed to the trusts created by this Indenture, any of the Notes shall have been authenticated but not delivered, any such successor to the Trustee or the Co-Trustee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the Co-Trustee or any authenticating agent appointed by such successor trustee may authenticate such Notes in the name of the successor trustee; and in all such cases such certificates shall have the full force that is provided in the Notes or in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right to adopt the certificate of authentication of any predecessor Trustee or authenticate Notes in the name of any predecessor Trustee or the Co-Trustee shall apply only to its successor or successors by merger, conversion or consolidation.</w:t>
      </w:r>
    </w:p>
    <w:p>
      <w:pPr>
        <w:spacing w:after="0" w:line="172"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Preferential Collection of Claims.</w:t>
      </w:r>
      <w:r>
        <w:rPr>
          <w:rFonts w:ascii="Arial" w:cs="Arial" w:eastAsia="Arial" w:hAnsi="Arial"/>
          <w:sz w:val="18"/>
          <w:szCs w:val="18"/>
          <w:color w:val="auto"/>
        </w:rPr>
        <w:t xml:space="preserve"> If and when the Trustee shall be or become a creditor of the Issuer, the Trustee shall be subject to the provisions of the Trust Indenture Act regarding the collection of the claims against the Issuer.</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Coordination between the Trustee and the Co-Trustee</w:t>
      </w:r>
      <w:r>
        <w:rPr>
          <w:rFonts w:ascii="Arial" w:cs="Arial" w:eastAsia="Arial" w:hAnsi="Arial"/>
          <w:sz w:val="18"/>
          <w:szCs w:val="18"/>
          <w:color w:val="auto"/>
        </w:rPr>
        <w:t>. (a) Except as duties, rights and obligations are specifically attributed to one of either the Trustee or the Co-Trustee herein, the Trustee and the Co-Trustee are to take or refrain from taking all actions in the exercise of the terms of this Indenture by mutual agreement.</w:t>
      </w:r>
    </w:p>
    <w:p>
      <w:pPr>
        <w:spacing w:after="0" w:line="194" w:lineRule="exact"/>
        <w:rPr>
          <w:sz w:val="20"/>
          <w:szCs w:val="20"/>
          <w:color w:val="auto"/>
        </w:rPr>
      </w:pPr>
    </w:p>
    <w:p>
      <w:pPr>
        <w:ind w:right="80" w:firstLine="359"/>
        <w:spacing w:after="0" w:line="255"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the extent that the Trustee and the Co-Trustee are unable to agree to take or refrain from taking an action in accordance with Section 7.13(a) in good faith (a “</w:t>
      </w:r>
      <w:r>
        <w:rPr>
          <w:rFonts w:ascii="Arial" w:cs="Arial" w:eastAsia="Arial" w:hAnsi="Arial"/>
          <w:sz w:val="18"/>
          <w:szCs w:val="18"/>
          <w:b w:val="1"/>
          <w:bCs w:val="1"/>
          <w:color w:val="auto"/>
        </w:rPr>
        <w:t>Trustee Disagreement</w:t>
      </w:r>
      <w:r>
        <w:rPr>
          <w:rFonts w:ascii="Arial" w:cs="Arial" w:eastAsia="Arial" w:hAnsi="Arial"/>
          <w:sz w:val="18"/>
          <w:szCs w:val="18"/>
          <w:color w:val="auto"/>
        </w:rPr>
        <w:t xml:space="preserve">”), the Trustee or the Co-Trustee, or both of them, shall be entitled, in its sole discretion, to convene a meeting of Noteholders in accordance with Article 10. At such meeting, the Noteholders, by a vote in accordance with Section 10.10, shall be entitled to adopt a resolution resolving the Trustee Disagreement, </w:t>
      </w:r>
      <w:r>
        <w:rPr>
          <w:rFonts w:ascii="Arial" w:cs="Arial" w:eastAsia="Arial" w:hAnsi="Arial"/>
          <w:sz w:val="18"/>
          <w:szCs w:val="18"/>
          <w:i w:val="1"/>
          <w:iCs w:val="1"/>
          <w:color w:val="auto"/>
        </w:rPr>
        <w:t>provided</w:t>
      </w:r>
      <w:r>
        <w:rPr>
          <w:rFonts w:ascii="Arial" w:cs="Arial" w:eastAsia="Arial" w:hAnsi="Arial"/>
          <w:sz w:val="18"/>
          <w:szCs w:val="18"/>
          <w:color w:val="auto"/>
        </w:rPr>
        <w:t>, that any actions to be taken by the Trustee or the Co-Trustee, or both of them, pursuant to this Section 7.13(b), shall be in accordance with Section 6.07(a).</w:t>
      </w:r>
    </w:p>
    <w:p>
      <w:pPr>
        <w:spacing w:after="0" w:line="196" w:lineRule="exact"/>
        <w:rPr>
          <w:rFonts w:ascii="Arial" w:cs="Arial" w:eastAsia="Arial" w:hAnsi="Arial"/>
          <w:sz w:val="18"/>
          <w:szCs w:val="18"/>
          <w:color w:val="auto"/>
        </w:rPr>
      </w:pPr>
    </w:p>
    <w:p>
      <w:pPr>
        <w:ind w:left="5620" w:hanging="96"/>
        <w:spacing w:after="0"/>
        <w:tabs>
          <w:tab w:leader="none" w:pos="5620" w:val="left"/>
        </w:tabs>
        <w:numPr>
          <w:ilvl w:val="2"/>
          <w:numId w:val="87"/>
        </w:numPr>
        <w:rPr>
          <w:rFonts w:ascii="Arial" w:cs="Arial" w:eastAsia="Arial" w:hAnsi="Arial"/>
          <w:sz w:val="18"/>
          <w:szCs w:val="18"/>
          <w:color w:val="auto"/>
        </w:rPr>
      </w:pPr>
      <w:r>
        <w:rPr>
          <w:rFonts w:ascii="Arial" w:cs="Arial" w:eastAsia="Arial" w:hAnsi="Arial"/>
          <w:sz w:val="18"/>
          <w:szCs w:val="18"/>
          <w:color w:val="auto"/>
        </w:rPr>
        <w:t>25 -</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right="20" w:firstLine="359"/>
        <w:spacing w:after="0" w:line="259" w:lineRule="auto"/>
        <w:tabs>
          <w:tab w:leader="none" w:pos="59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Upon receipt of any notice, information or other communication provided pursuant to this Indenture that is required to be made to both the Trustee and the Co-Trustee, the Trustee and Co-Trustee, if not previously contacted by the other pursuant to this Section 7.13(c), shall as promptly as practicable consult with the other, as applicable,</w:t>
      </w:r>
    </w:p>
    <w:p>
      <w:pPr>
        <w:spacing w:after="0" w:line="194" w:lineRule="exact"/>
        <w:rPr>
          <w:rFonts w:ascii="Arial" w:cs="Arial" w:eastAsia="Arial" w:hAnsi="Arial"/>
          <w:sz w:val="18"/>
          <w:szCs w:val="18"/>
          <w:color w:val="auto"/>
        </w:rPr>
      </w:pPr>
    </w:p>
    <w:p>
      <w:pPr>
        <w:ind w:left="1720" w:hanging="564"/>
        <w:spacing w:after="0"/>
        <w:tabs>
          <w:tab w:leader="none" w:pos="17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to confirm receipt of the notice, information or other communication;</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transmit such notice, information or other communication to the other if not yet received by the other; and</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to the extent necessary, the Trustee and Co-Trustee will consult in accordance with Section 7.13(a).</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right="80" w:firstLine="359"/>
        <w:spacing w:after="0" w:line="256"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any other provision of this Indenture, neither of the Trustee or the Co-Trustee shall be liable for actions taken by the other if such actions were (i) the result of negligence or willful misconduct on the part of the other; (ii) any action taken by either of the Trustee or the Co-Trustee without the knowledge of the other or (iii) any action taken or refrained from being taken by the Trustee or the Co-Trustee to which the other has stated an objection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-2289175</wp:posOffset>
            </wp:positionV>
            <wp:extent cx="72504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81" w:orient="portrait"/>
          <w:cols w:equalWidth="0" w:num="1">
            <w:col w:w="11360"/>
          </w:cols>
          <w:pgMar w:left="240" w:top="131" w:right="299" w:bottom="0" w:gutter="0" w:footer="0" w:header="0"/>
        </w:sectPr>
      </w:pPr>
    </w:p>
    <w:bookmarkStart w:id="66" w:name="page67"/>
    <w:bookmarkEnd w:id="66"/>
    <w:p>
      <w:pPr>
        <w:ind w:left="5220"/>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SUBORDINATION</w:t>
      </w:r>
    </w:p>
    <w:p>
      <w:pPr>
        <w:spacing w:after="0" w:line="2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Agreement to Subordinate.</w:t>
      </w:r>
    </w:p>
    <w:p>
      <w:pPr>
        <w:spacing w:after="0" w:line="225" w:lineRule="exact"/>
        <w:rPr>
          <w:sz w:val="20"/>
          <w:szCs w:val="20"/>
          <w:color w:val="auto"/>
        </w:rPr>
      </w:pPr>
    </w:p>
    <w:p>
      <w:pPr>
        <w:ind w:left="1160" w:right="40" w:hanging="571"/>
        <w:spacing w:after="0" w:line="259" w:lineRule="auto"/>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Issuer agrees, and each Holder by accepting a Note agrees, that all payments pursuant to the Notes made by or on behalf of the Issuer are subordinated to the extent and in the manner provided in this Article 8 to all existing and future obligations of the Issuer under the Credit Facility and that such subordination is for the benefit of and enforceable by the Lenders.</w:t>
      </w:r>
    </w:p>
    <w:p>
      <w:pPr>
        <w:spacing w:after="0" w:line="221" w:lineRule="exact"/>
        <w:rPr>
          <w:rFonts w:ascii="Arial" w:cs="Arial" w:eastAsia="Arial" w:hAnsi="Arial"/>
          <w:sz w:val="18"/>
          <w:szCs w:val="18"/>
          <w:color w:val="auto"/>
        </w:rPr>
      </w:pPr>
    </w:p>
    <w:p>
      <w:pPr>
        <w:ind w:left="1160" w:right="100" w:hanging="571"/>
        <w:spacing w:after="0" w:line="298" w:lineRule="auto"/>
        <w:tabs>
          <w:tab w:leader="none" w:pos="11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Each Noteholder agrees and acknowledges that the Trustee and or the Co-Trustee shall refrain from initiating any proceeding or acting in any other way against the Issuer due to the provisions of this Article 8. Each Noteholder waives any right or claim against the Trustee and/or the Co-Trustee based, </w:t>
      </w:r>
      <w:r>
        <w:rPr>
          <w:rFonts w:ascii="Arial" w:cs="Arial" w:eastAsia="Arial" w:hAnsi="Arial"/>
          <w:sz w:val="16"/>
          <w:szCs w:val="16"/>
          <w:i w:val="1"/>
          <w:iCs w:val="1"/>
          <w:color w:val="auto"/>
        </w:rPr>
        <w:t>inter-alia</w:t>
      </w:r>
      <w:r>
        <w:rPr>
          <w:rFonts w:ascii="Arial" w:cs="Arial" w:eastAsia="Arial" w:hAnsi="Arial"/>
          <w:sz w:val="16"/>
          <w:szCs w:val="16"/>
          <w:color w:val="auto"/>
        </w:rPr>
        <w:t>, on the grounds that the Trustee or the Co-Trustee should have initiated any proceeding or act in any other way in spite of the provisions of this Article 8 while claiming that Article 8 does not comply with any applicable law.</w:t>
      </w:r>
    </w:p>
    <w:p>
      <w:pPr>
        <w:spacing w:after="0" w:line="193" w:lineRule="exact"/>
        <w:rPr>
          <w:rFonts w:ascii="Arial" w:cs="Arial" w:eastAsia="Arial" w:hAnsi="Arial"/>
          <w:sz w:val="16"/>
          <w:szCs w:val="16"/>
          <w:color w:val="auto"/>
        </w:rPr>
      </w:pPr>
    </w:p>
    <w:p>
      <w:pPr>
        <w:ind w:left="1160" w:right="40" w:hanging="571"/>
        <w:spacing w:after="0" w:line="255" w:lineRule="auto"/>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event of any insolvency or bankruptcy case or proceeding, or any receivership, liquidation, reorganization or other similar case or proceeding in connection therewith, relating to the Issuer or its assets, or any liquidation, dissolution or other winding-up of the Issuer, whether voluntary or involuntary, or any assignment for the benefit of creditors or other marshalling of assets or liabilities of the Issue, all existing and future obligations of the Issuer under the Credit Facility must be paid in full in cash before any payment is made on account of the principal of or interest on the Notes.</w:t>
      </w:r>
    </w:p>
    <w:p>
      <w:pPr>
        <w:spacing w:after="0" w:line="200" w:lineRule="exact"/>
        <w:rPr>
          <w:sz w:val="20"/>
          <w:szCs w:val="20"/>
          <w:color w:val="auto"/>
        </w:rPr>
      </w:pPr>
    </w:p>
    <w:p>
      <w:pPr>
        <w:spacing w:after="0" w:line="24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Postponement of Payments.</w:t>
      </w:r>
      <w:r>
        <w:rPr>
          <w:rFonts w:ascii="Arial" w:cs="Arial" w:eastAsia="Arial" w:hAnsi="Arial"/>
          <w:sz w:val="16"/>
          <w:szCs w:val="16"/>
          <w:color w:val="auto"/>
        </w:rPr>
        <w:t xml:space="preserve"> Notwithstanding any provision herein to the contrary, the date for payment of any interest or principal on the Notes may be postponed in accordance with the provisions of Section 8.03 below, with interest continuing to accrue at its regular rate.</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Postponement of Payments to the Noteholders if Defaults Occur Under the Credit Facility</w:t>
      </w:r>
      <w:r>
        <w:rPr>
          <w:rFonts w:ascii="Arial" w:cs="Arial" w:eastAsia="Arial" w:hAnsi="Arial"/>
          <w:sz w:val="16"/>
          <w:szCs w:val="16"/>
          <w:color w:val="auto"/>
        </w:rPr>
        <w:t>. (a) In the event of the existence of a default, as such term is defined in the Credit Facility (a “</w:t>
      </w:r>
      <w:r>
        <w:rPr>
          <w:rFonts w:ascii="Arial" w:cs="Arial" w:eastAsia="Arial" w:hAnsi="Arial"/>
          <w:sz w:val="16"/>
          <w:szCs w:val="16"/>
          <w:b w:val="1"/>
          <w:bCs w:val="1"/>
          <w:color w:val="auto"/>
        </w:rPr>
        <w:t>Credit Facility Event of Default</w:t>
      </w:r>
      <w:r>
        <w:rPr>
          <w:rFonts w:ascii="Arial" w:cs="Arial" w:eastAsia="Arial" w:hAnsi="Arial"/>
          <w:sz w:val="16"/>
          <w:szCs w:val="16"/>
          <w:color w:val="auto"/>
        </w:rPr>
        <w:t>”), on a Bank Payment Date, then, subject to the provisions below, no payment of principal or interest on the Notes shall be made and the holders and any person or entity acting on their behalf (including the Trustees) shall not be entitled to take any action against the Issuer in connection with such non-payment, unless such non-payment shall continue for a period of more than six (6) months commencing on the applicable Bank Payment Date falling immediately prior to the date of the scheduled payment in respect of the Notes due immediately after the Bank Payment Date (a “</w:t>
      </w:r>
      <w:r>
        <w:rPr>
          <w:rFonts w:ascii="Arial" w:cs="Arial" w:eastAsia="Arial" w:hAnsi="Arial"/>
          <w:sz w:val="16"/>
          <w:szCs w:val="16"/>
          <w:b w:val="1"/>
          <w:bCs w:val="1"/>
          <w:color w:val="auto"/>
        </w:rPr>
        <w:t>Six Month Period</w:t>
      </w:r>
      <w:r>
        <w:rPr>
          <w:rFonts w:ascii="Arial" w:cs="Arial" w:eastAsia="Arial" w:hAnsi="Arial"/>
          <w:sz w:val="16"/>
          <w:szCs w:val="16"/>
          <w:color w:val="auto"/>
        </w:rPr>
        <w:t>”). The Issuer shall notify the holders and the Trustees of any Credit Facility Event of Default.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00" w:hanging="241"/>
        <w:spacing w:after="0"/>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During the Six Month Period, the following shall apply:</w:t>
      </w:r>
    </w:p>
    <w:p>
      <w:pPr>
        <w:spacing w:after="0" w:line="225" w:lineRule="exact"/>
        <w:rPr>
          <w:rFonts w:ascii="Arial" w:cs="Arial" w:eastAsia="Arial" w:hAnsi="Arial"/>
          <w:sz w:val="18"/>
          <w:szCs w:val="18"/>
          <w:color w:val="auto"/>
        </w:rPr>
      </w:pPr>
    </w:p>
    <w:p>
      <w:pPr>
        <w:ind w:left="1720" w:hanging="564"/>
        <w:spacing w:after="0" w:line="294" w:lineRule="auto"/>
        <w:tabs>
          <w:tab w:leader="none" w:pos="17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during such period, the Issuer shall make any payment to the Lenders on account of interest or principal under the Credit Facility, then, on the date of such payment to the Lenders, or promptly thereafter, the Issuer shall make a payment on account of interest or principal then due and payable in respect of the Notes, such payment to be made at the same percentage of the interest or principal then due and payable on the Notes proportionate to the portion of the payment actually made to the Lenders to the amount (interest and principal as the case may be) due and payable under the Credit Facility as of the payment date;</w:t>
      </w:r>
    </w:p>
    <w:p>
      <w:pPr>
        <w:spacing w:after="0" w:line="196" w:lineRule="exact"/>
        <w:rPr>
          <w:rFonts w:ascii="Arial" w:cs="Arial" w:eastAsia="Arial" w:hAnsi="Arial"/>
          <w:sz w:val="16"/>
          <w:szCs w:val="16"/>
          <w:color w:val="auto"/>
        </w:rPr>
      </w:pPr>
    </w:p>
    <w:p>
      <w:pPr>
        <w:ind w:left="1720" w:hanging="564"/>
        <w:spacing w:after="0" w:line="283" w:lineRule="auto"/>
        <w:tabs>
          <w:tab w:leader="none" w:pos="17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In the event that during such Six Month Period the Lenders and the Issuer shall reach an agreement regarding a rescheduling of payments by the Issuer to the Lenders under the Credit Facility, such rescheduling shall apply pro rata also to payments of principal and/or interest, as the case may be, in respect of the Notesand the holders of the Notes shall be bound by such rescheduling agreement, provided that any such rescheduling agreement shall apply only to payments (of principal and/or interest) scheduled to be made under the Notes and under the Credit Facility during the period of 12 (twelve) months from the relevant Bank Payment Date, and shall postpone the scheduled payment under the Notes to a date falling not more than 12 (twelve) months after the scheduled date for such payment pursuant to the terms of the Notes. (All payments, whether of interest or principal, in respect of the Notes rescheduled under any such rescheduling agreement, shall be hereinafter referred to as the “Rescheduled Note Payments”; the date of payment of Rescheduled Note Payments shall be hereinafter referred to as the “Rescheduled Note Payment Date”; and all payments, whether of interest or principal under the Credit Facility, rescheduled under such a Rescheduling Agreement, shall be hereinafter referred to as the “Rescheduled Facility Payments”.) Pursuant to any such rescheduling agreement, the Issuer shall pay to the holders of the Notes, such amounts on account of principal and/or interest, which, together with the aggregate of all payments (of principal and/or interest) actually made prior to such Rescheduled Note Payment Date in respect of the Rescheduled Note Payments under the rescheduling agreement comprises the same percentage of the scheduled repayments of principal or interest, of the aggregate Rescheduled Note Payments rescheduled under such Rescheduling Agreement as the aggregate Rescheduled Facility Payments under such rescheduling agreement actually made prior to such Rescheduled Note Payment Date comprise of the aggregate Rescheduled Facility Payments rescheduled under such Rescheduling Agreement. Alternatively, such rescheduling agreement may provide that payments of principal and interest on account of the Notes shall, with effect from the termination of such Six Month Period, be made to the holders of the Notes in accordance with the original schedule under the terms of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amounts not paid during such Six Month Period, or prior thereto shall be postponed to be paid pro rata to those payments not made to the Lenders during such Six Month Period or prior thereto and the holders of the Notes shall be bound by such an agreement. If during the rescheduling period another Credit Facility Event of Default shall occur, the aforementioned provisions shall again apply. For the removal of doubt, in the event of the existence of a Credit Facility Event of Default during or after any rescheduling period under this Article 8.03(b)(ii), (including non-payment on the due date of any amount of principal or interest, whether pursuant to any rescheduling agreement or otherwise), the provisions of this Article 8.03(b)(ii) shall again apply, mutatis mutandis (all without derogating from Article 8.03(c) below).</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620" w:hanging="96"/>
        <w:spacing w:after="0"/>
        <w:tabs>
          <w:tab w:leader="none" w:pos="5620" w:val="left"/>
        </w:tabs>
        <w:numPr>
          <w:ilvl w:val="2"/>
          <w:numId w:val="89"/>
        </w:numPr>
        <w:rPr>
          <w:rFonts w:ascii="Arial" w:cs="Arial" w:eastAsia="Arial" w:hAnsi="Arial"/>
          <w:sz w:val="18"/>
          <w:szCs w:val="18"/>
          <w:color w:val="auto"/>
        </w:rPr>
      </w:pPr>
      <w:r>
        <w:rPr>
          <w:rFonts w:ascii="Arial" w:cs="Arial" w:eastAsia="Arial" w:hAnsi="Arial"/>
          <w:sz w:val="18"/>
          <w:szCs w:val="18"/>
          <w:color w:val="auto"/>
        </w:rPr>
        <w:t>27 -</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00" w:hanging="241"/>
        <w:spacing w:after="0"/>
        <w:tabs>
          <w:tab w:leader="none" w:pos="6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Notwithstanding this Section 8.03, if, on a date scheduled for the payment of principal or interest on the Notes, any of the events described in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504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8"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8.03 (c) shall occur, then no amount of whatsoever nature shall be payable by the Issuer in respect of the Notes (whether in respect of principal, interest or any other amount) until all amounts owed by the Issuer under the Credit Facility shall have been paid in full. The events are as follows:</w:t>
      </w:r>
    </w:p>
    <w:p>
      <w:pPr>
        <w:sectPr>
          <w:pgSz w:w="11900" w:h="16838" w:orient="portrait"/>
          <w:cols w:equalWidth="0" w:num="1">
            <w:col w:w="11400"/>
          </w:cols>
          <w:pgMar w:left="240" w:top="125" w:right="259" w:bottom="0" w:gutter="0" w:footer="0" w:header="0"/>
        </w:sectPr>
      </w:pPr>
    </w:p>
    <w:bookmarkStart w:id="67" w:name="page68"/>
    <w:bookmarkEnd w:id="67"/>
    <w:p>
      <w:pPr>
        <w:ind w:left="1720" w:right="80" w:firstLine="3"/>
        <w:spacing w:after="0" w:line="285" w:lineRule="auto"/>
        <w:tabs>
          <w:tab w:leader="none" w:pos="2007"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existence of any of the following events: (i) the Issuer’s inability or admission of its inability to pay its debts as they fall due or the commencement by the Issuer of negotiations with any one or more of its creditors with a view to the general readjustment or rescheduling of its indebtedness or making a general assignment for the benefit of or a composition with its creditors (save for an event referred to in this sub-paragraph (A) comprising only the commencement of negotiations by the Issuer with individual suppliers of the Issuer to make an adjustment or rescheduling of its indebtedness to such suppliers), (ii) if the Issuer takes any corporate action or other steps are taken or proceedings are started or are consented to or any order is made for the Issuer’s winding-up, liquidation, bankruptcy, dissolution, administration or re-organisation (or for the suspension of payments generally or any process giving protection against creditors) or for the appointment of a liquidator, receiver, administrator, administrative receiver or any similar officer, against or in respect of the Issuer, its revenues or any of its assets) or any such person is appointed, provided that such actions, steps, proceedings, or orders are not cancelled or withdrawn within 60 days of the occurrence or institution thereof, (iii) any execution, attachment or sequestration or other process arises out of any third party claim against the Issuer where the amount being the subject of the relevant proceeding is in excess of $2.5 million, save where: (1) the Issuer is in good faith on reasonable grounds, contesting the execution, attachment, sequestration or other process by appropriate proceedings diligently pursued; (2) the Lenders are satisfied that the Issuer’s ability to comply with its respective obligations under the Credit Facility will not be adversely affected whilst such distress, execution, attachment, diligence or other process is being so contested; and (3) such process as aforesaid is cancelled or withdrawn not later than 45 (forty-five) days after the institution thereof;</w:t>
      </w:r>
    </w:p>
    <w:p>
      <w:pPr>
        <w:spacing w:after="0" w:line="204" w:lineRule="exact"/>
        <w:rPr>
          <w:rFonts w:ascii="Arial" w:cs="Arial" w:eastAsia="Arial" w:hAnsi="Arial"/>
          <w:sz w:val="16"/>
          <w:szCs w:val="16"/>
          <w:color w:val="auto"/>
        </w:rPr>
      </w:pPr>
    </w:p>
    <w:p>
      <w:pPr>
        <w:ind w:left="1720" w:right="160" w:firstLine="3"/>
        <w:spacing w:after="0" w:line="259" w:lineRule="auto"/>
        <w:tabs>
          <w:tab w:leader="none" w:pos="1998"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the Lenders under the Credit Facility shall declare that all loans and/or other credits received under the Credit Facility are immediately due and payable (including where any such declaration is made following a Credit Facility Event of Default constituted by proceedings as referred to in sub-section (C) below;</w:t>
      </w:r>
    </w:p>
    <w:p>
      <w:pPr>
        <w:spacing w:after="0" w:line="221" w:lineRule="exact"/>
        <w:rPr>
          <w:rFonts w:ascii="Arial" w:cs="Arial" w:eastAsia="Arial" w:hAnsi="Arial"/>
          <w:sz w:val="18"/>
          <w:szCs w:val="18"/>
          <w:color w:val="auto"/>
        </w:rPr>
      </w:pPr>
    </w:p>
    <w:p>
      <w:pPr>
        <w:ind w:left="1720" w:right="80" w:firstLine="3"/>
        <w:spacing w:after="0" w:line="290" w:lineRule="auto"/>
        <w:tabs>
          <w:tab w:leader="none" w:pos="1998" w:val="left"/>
        </w:tabs>
        <w:numPr>
          <w:ilvl w:val="1"/>
          <w:numId w:val="90"/>
        </w:numPr>
        <w:rPr>
          <w:rFonts w:ascii="Arial" w:cs="Arial" w:eastAsia="Arial" w:hAnsi="Arial"/>
          <w:sz w:val="16"/>
          <w:szCs w:val="16"/>
          <w:color w:val="auto"/>
        </w:rPr>
      </w:pPr>
      <w:r>
        <w:rPr>
          <w:rFonts w:ascii="Arial" w:cs="Arial" w:eastAsia="Arial" w:hAnsi="Arial"/>
          <w:sz w:val="16"/>
          <w:szCs w:val="16"/>
          <w:color w:val="auto"/>
        </w:rPr>
        <w:t>In the event that the holders of the Notes (or any person or entity acting on their behalf, including the Trustees), shall institute any legal proceedings against the Issuer other than in connection with excluded proceedings, and in accordance with the terms of the Notes. Excluded proceedings mean (i) proceedings where the sole claim relates to the Issuer’s failure to make payments of principal or interest on the Notes more than 14 Business Days from the date on which the Issuer is required to make them hereunder, as these dates may be postponed in accordance with the above provisions in this Section 8, provided that the Lenders are given 39 days prior notice as required under Section 6.01 before the institution of such proceedings; or (ii) proceedings instituted with relate only to a misleading statement in the prospectus pursuant to which the Notes were offered.</w:t>
      </w:r>
    </w:p>
    <w:p>
      <w:pPr>
        <w:spacing w:after="0" w:line="200" w:lineRule="exact"/>
        <w:rPr>
          <w:rFonts w:ascii="Arial" w:cs="Arial" w:eastAsia="Arial" w:hAnsi="Arial"/>
          <w:sz w:val="16"/>
          <w:szCs w:val="16"/>
          <w:color w:val="auto"/>
        </w:rPr>
      </w:pPr>
    </w:p>
    <w:p>
      <w:pPr>
        <w:spacing w:after="0" w:line="215" w:lineRule="exact"/>
        <w:rPr>
          <w:rFonts w:ascii="Arial" w:cs="Arial" w:eastAsia="Arial" w:hAnsi="Arial"/>
          <w:sz w:val="16"/>
          <w:szCs w:val="16"/>
          <w:color w:val="auto"/>
        </w:rPr>
      </w:pPr>
    </w:p>
    <w:p>
      <w:pPr>
        <w:ind w:left="5620" w:hanging="96"/>
        <w:spacing w:after="0"/>
        <w:tabs>
          <w:tab w:leader="none" w:pos="56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28 -</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right="120" w:firstLine="359"/>
        <w:spacing w:after="0" w:line="259" w:lineRule="auto"/>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After the conclusion of a Six Month Period, the Issuer may not make payments of principal and interest on the Notes unless the Issuer has either (i) paid the Lenders all amounts then owing to them under the Credit Facility in full; or (ii) the holders of the Notes shall have obtained a final judgment requiring the Issuer to make payment to them.</w:t>
      </w:r>
    </w:p>
    <w:p>
      <w:pPr>
        <w:spacing w:after="0" w:line="194" w:lineRule="exact"/>
        <w:rPr>
          <w:rFonts w:ascii="Arial" w:cs="Arial" w:eastAsia="Arial" w:hAnsi="Arial"/>
          <w:sz w:val="18"/>
          <w:szCs w:val="18"/>
          <w:color w:val="auto"/>
        </w:rPr>
      </w:pPr>
    </w:p>
    <w:p>
      <w:pPr>
        <w:ind w:right="140" w:firstLine="359"/>
        <w:spacing w:after="0" w:line="306" w:lineRule="auto"/>
        <w:tabs>
          <w:tab w:leader="none" w:pos="59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the event that, contrary to the provisions of this Section 8.03, the holders of the Notes (or, as applicable, any person or entity acting on their behalf, including, subject at all times to Section 8.08, the Trustees) shall receive any payment, distribution or benefit, the recipient thereof shall be deemed to hold same on trust for the Lenders and shall forthwith pay or transfer to the Lenders any payment, distribution or benefit so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-1163320</wp:posOffset>
            </wp:positionV>
            <wp:extent cx="72504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8.04. Reserved.</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Provisions Solely to Define Relative Rights</w:t>
      </w:r>
      <w:r>
        <w:rPr>
          <w:rFonts w:ascii="Arial" w:cs="Arial" w:eastAsia="Arial" w:hAnsi="Arial"/>
          <w:sz w:val="18"/>
          <w:szCs w:val="18"/>
          <w:color w:val="auto"/>
        </w:rPr>
        <w:t>. The provisions of this Article 8 are and are intended solely for the purpose of defining the relative rights of the Holders of the Notes on the one hand and the Lenders on the other hand. Nothing contained in this Article 8 or elsewhere in this Indenture or in the Notes is intended to or shall</w:t>
      </w:r>
    </w:p>
    <w:p>
      <w:pPr>
        <w:spacing w:after="0" w:line="194" w:lineRule="exact"/>
        <w:rPr>
          <w:sz w:val="20"/>
          <w:szCs w:val="20"/>
          <w:color w:val="auto"/>
        </w:rPr>
      </w:pPr>
    </w:p>
    <w:p>
      <w:pPr>
        <w:jc w:val="both"/>
        <w:ind w:left="1720" w:right="120" w:hanging="564"/>
        <w:spacing w:after="0" w:line="259" w:lineRule="auto"/>
        <w:tabs>
          <w:tab w:leader="none" w:pos="1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impair, as among the Issuer, its creditors other than Lenders and the Holders of the Notes, the obligation of the Issuer, which is absolute and unconditional, to pay to the Holders of the Notes the principal and interest on the Notes as and when the same shall become due and payable in accordance with their terms;</w:t>
      </w:r>
    </w:p>
    <w:p>
      <w:pPr>
        <w:spacing w:after="0" w:line="221" w:lineRule="exact"/>
        <w:rPr>
          <w:rFonts w:ascii="Arial" w:cs="Arial" w:eastAsia="Arial" w:hAnsi="Arial"/>
          <w:sz w:val="18"/>
          <w:szCs w:val="18"/>
          <w:color w:val="auto"/>
        </w:rPr>
      </w:pPr>
    </w:p>
    <w:p>
      <w:pPr>
        <w:ind w:left="1720" w:hanging="564"/>
        <w:spacing w:after="0"/>
        <w:tabs>
          <w:tab w:leader="none" w:pos="17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affect the relative rights against the Issuer of the Holders of the Notes and creditors of the Issuer other than the Lenders; or</w:t>
      </w:r>
    </w:p>
    <w:p>
      <w:pPr>
        <w:spacing w:after="0" w:line="275" w:lineRule="exact"/>
        <w:rPr>
          <w:rFonts w:ascii="Arial" w:cs="Arial" w:eastAsia="Arial" w:hAnsi="Arial"/>
          <w:sz w:val="16"/>
          <w:szCs w:val="16"/>
          <w:color w:val="auto"/>
        </w:rPr>
      </w:pPr>
    </w:p>
    <w:p>
      <w:pPr>
        <w:ind w:left="1720" w:right="220" w:hanging="564"/>
        <w:spacing w:after="0" w:line="268" w:lineRule="auto"/>
        <w:tabs>
          <w:tab w:leader="none" w:pos="1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prevent the Trustees or the Holder of any Notes from exercising all remedies otherwise permitted by applicable law upon default under this Indenture subject to this Article 8.</w:t>
      </w:r>
    </w:p>
    <w:p>
      <w:pPr>
        <w:spacing w:after="0" w:line="200" w:lineRule="exact"/>
        <w:rPr>
          <w:sz w:val="20"/>
          <w:szCs w:val="20"/>
          <w:color w:val="auto"/>
        </w:rPr>
      </w:pPr>
    </w:p>
    <w:p>
      <w:pPr>
        <w:spacing w:after="0" w:line="22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Trustee to Effectuate Subordination</w:t>
      </w:r>
      <w:r>
        <w:rPr>
          <w:rFonts w:ascii="Arial" w:cs="Arial" w:eastAsia="Arial" w:hAnsi="Arial"/>
          <w:sz w:val="18"/>
          <w:szCs w:val="18"/>
          <w:color w:val="auto"/>
        </w:rPr>
        <w:t>. Each Holder of a Note by its acceptance thereof authorizes and directs the Trustees on its behalf to take such action as may be necessary or appropriate to effectuate the subordination provided in this Article 8 and appoints the Trustees, and each of them, its attorney-in-fact for any and all such purposes.</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No Waiver of Subordination Provisions</w:t>
      </w:r>
      <w:r>
        <w:rPr>
          <w:rFonts w:ascii="Arial" w:cs="Arial" w:eastAsia="Arial" w:hAnsi="Arial"/>
          <w:sz w:val="16"/>
          <w:szCs w:val="16"/>
          <w:color w:val="auto"/>
        </w:rPr>
        <w:t>. No right of any present or future Lender to enforce subordination as herein provided shall at any time in any way be prejudiced or impaired by any act or failure to act on the part of the Issuer or by any act or failure to act, in good faith, by any such Lender, or by any non-compliance by the Issuer with the terms, provisions and covenants of this Indenture, regardless of any knowledge thereof any such Lender may have or be otherwise charged with. Without in any way limiting the generality of the foregoing paragraph, the Lenders may, at any time and from time to time, without the consent of or notice to the Trustees or the Holders of the Notes, without incurring responsibility to the Holders of the Notes and without impairing or releasing the subordination provided in this Article 8 or the obligations hereunder of the Holders of the Notes to the Lenders, do any one or more of the following: (i) change the manner, place or terms of payment or extend the time of payment of, or renew or alter, existing and future obligations of the Issuer under the Credit Facility, or otherwise amend or supplement in any manner existing and future obligations of the Issuer under the Credit Facility or any instrument evidencing the same or any agreement under which other indebtedness is outstanding; (ii) sell, exchange, release or otherwise deal with any property pledged, mortgaged or otherwise securing senior indebtedness; (iii) release any Person liable in any manner for the collection of senior indebtedness; and (iv) exercise or refrain from exercising any rights against the Issuer and any other Person. For the removal of doubt, any variation of the terms of the Credit Facility Agreement, shall not require the consent of the Noteholders or anyone acting on their behalf (including the Trustees), nor shall it constitute a default hereunder.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4763"/>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68" w:name="page69"/>
    <w:bookmarkEnd w:id="68"/>
    <w:p>
      <w:pPr>
        <w:ind w:right="20" w:firstLine="35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7940"/>
                    </a:xfrm>
                    <a:prstGeom prst="rect">
                      <a:avLst/>
                    </a:prstGeom>
                    <a:noFill/>
                  </pic:spPr>
                </pic:pic>
              </a:graphicData>
            </a:graphic>
          </wp:anchor>
        </w:drawing>
        <w:t xml:space="preserve">Section 8.08. </w:t>
      </w:r>
      <w:r>
        <w:rPr>
          <w:rFonts w:ascii="Arial" w:cs="Arial" w:eastAsia="Arial" w:hAnsi="Arial"/>
          <w:sz w:val="16"/>
          <w:szCs w:val="16"/>
          <w:i w:val="1"/>
          <w:iCs w:val="1"/>
          <w:color w:val="auto"/>
        </w:rPr>
        <w:t>Notice to Trustee</w:t>
      </w:r>
      <w:r>
        <w:rPr>
          <w:rFonts w:ascii="Arial" w:cs="Arial" w:eastAsia="Arial" w:hAnsi="Arial"/>
          <w:sz w:val="16"/>
          <w:szCs w:val="16"/>
          <w:color w:val="auto"/>
        </w:rPr>
        <w:t xml:space="preserve">. The Issuer shall give prompt written notice to the Trustees of any fact known to the Issuer which would prohibit the making of any payment to or by the Trustee or the Co-Trustee, or both, in respect of the Notes. Notwithstanding the provisions of this Article 8 or any other provision of this Indenture, the Trustees shall not be charged with knowledge of the existence of any facts that would prohibit the making of any payment to or by the Trustees in respect of the Notes, unless and until the Trustees shall have received written notice thereof from the Issuer or a Lender or from any trustee thereof; and, prior to the receipt of any such written notice, the Trustees, subject to the provisions of Section 6.01, shall be entitled in all respects to assume that no such facts exist; </w:t>
      </w:r>
      <w:r>
        <w:rPr>
          <w:rFonts w:ascii="Arial" w:cs="Arial" w:eastAsia="Arial" w:hAnsi="Arial"/>
          <w:sz w:val="16"/>
          <w:szCs w:val="16"/>
          <w:i w:val="1"/>
          <w:iCs w:val="1"/>
          <w:color w:val="auto"/>
        </w:rPr>
        <w:t>provided</w:t>
      </w:r>
      <w:r>
        <w:rPr>
          <w:rFonts w:ascii="Arial" w:cs="Arial" w:eastAsia="Arial" w:hAnsi="Arial"/>
          <w:sz w:val="16"/>
          <w:szCs w:val="16"/>
          <w:color w:val="auto"/>
        </w:rPr>
        <w:t>, that if the Trustee shall not have received at its Corporate Trust Office or the Co-Trustee at the address specified in Section 15.03, the notice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for in this Section at least three (3) Business Days prior to the date upon which by the terms hereof any money may become payable for any purpose (including, without limitation, the payment in cash of the principal of or interest on any Note), then, anything herein contained to the contrary notwithstanding, the Trustees shall have full power and authority to receive such money and to apply the same to the purpose for which such money was received and shall not be affected by any notice to the contrary which may be received by it within three (3) Business Days prior to such date.</w:t>
      </w:r>
    </w:p>
    <w:p>
      <w:pPr>
        <w:spacing w:after="0" w:line="17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Section 8.09. </w:t>
      </w:r>
      <w:r>
        <w:rPr>
          <w:rFonts w:ascii="Arial" w:cs="Arial" w:eastAsia="Arial" w:hAnsi="Arial"/>
          <w:sz w:val="16"/>
          <w:szCs w:val="16"/>
          <w:i w:val="1"/>
          <w:iCs w:val="1"/>
          <w:color w:val="auto"/>
        </w:rPr>
        <w:t>Trustees Not Fiduciary for the Lenders under the Credit Facility</w:t>
      </w:r>
      <w:r>
        <w:rPr>
          <w:rFonts w:ascii="Arial" w:cs="Arial" w:eastAsia="Arial" w:hAnsi="Arial"/>
          <w:sz w:val="16"/>
          <w:szCs w:val="16"/>
          <w:color w:val="auto"/>
        </w:rPr>
        <w:t>. The Trustees shall not be deemed to owe any fiduciary duty to the Lenders and shall not be liable to any Lender if they shall in good faith mistakenly pay over or distribute to holders or the Issuer or any other Person, cash, property or securities to which any Lender shall be entitled by virtue of this Article 8 or otherwise. With respect to the Lenders and the Issuer, the Trustees undertake to perform or to observe only such of its or their covenants or obligations as are specifically set forth in this Indenture and no implied covenants or obligations with respect to the Lenders or the Issuer shall be read into this Indenture against the Trustees.</w:t>
      </w:r>
    </w:p>
    <w:p>
      <w:pPr>
        <w:spacing w:after="0" w:line="170"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Trustees’ Compensation Not Prejudiced</w:t>
      </w:r>
      <w:r>
        <w:rPr>
          <w:rFonts w:ascii="Arial" w:cs="Arial" w:eastAsia="Arial" w:hAnsi="Arial"/>
          <w:sz w:val="18"/>
          <w:szCs w:val="18"/>
          <w:color w:val="auto"/>
        </w:rPr>
        <w:t>. Nothing in this Article 8 shall apply to amounts due to the Trustees pursuant to other Sections of this Indenture.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NOTEHOLDERS</w:t>
      </w:r>
    </w:p>
    <w:p>
      <w:pPr>
        <w:spacing w:after="0" w:line="300"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Action by Noteholders.</w:t>
      </w:r>
      <w:r>
        <w:rPr>
          <w:rFonts w:ascii="Arial" w:cs="Arial" w:eastAsia="Arial" w:hAnsi="Arial"/>
          <w:sz w:val="16"/>
          <w:szCs w:val="16"/>
          <w:color w:val="auto"/>
        </w:rPr>
        <w:t xml:space="preserve"> Whenever in this Indenture it is provided that the holders of a specified percentage in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Noteholders in person or by agent or proxy appointed in writing, or (b) by the record of the holders of Notes voting in favor thereof at any meeting of Noteholders duly called and held in accordance with the provisions of Article 10, or (c) by a combination of such instrument or instruments and any such record of such a meeting of Noteholders. Whenever the Issuer or the Trustees (acting jointly or separately) solicits the taking of any action by the holders of the Notes, the Issuer or the Trustees may fix in advance of such solicitation, a date as the record date for determining holders entitled to take such action. The record date shall be not more than fifteen (15) days prior to the date of commencement of solicitation of such action.</w:t>
      </w:r>
    </w:p>
    <w:p>
      <w:pPr>
        <w:spacing w:after="0" w:line="172" w:lineRule="exact"/>
        <w:rPr>
          <w:sz w:val="20"/>
          <w:szCs w:val="20"/>
          <w:color w:val="auto"/>
        </w:rPr>
      </w:pPr>
    </w:p>
    <w:p>
      <w:pPr>
        <w:jc w:val="both"/>
        <w:ind w:right="160" w:firstLine="351"/>
        <w:spacing w:after="0" w:line="294"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i w:val="1"/>
          <w:iCs w:val="1"/>
          <w:color w:val="auto"/>
        </w:rPr>
        <w:t>Proof of Execution by Noteholders.</w:t>
      </w:r>
      <w:r>
        <w:rPr>
          <w:rFonts w:ascii="Arial" w:cs="Arial" w:eastAsia="Arial" w:hAnsi="Arial"/>
          <w:sz w:val="16"/>
          <w:szCs w:val="16"/>
          <w:color w:val="auto"/>
        </w:rPr>
        <w:t xml:space="preserve"> Subject to the provisions of Sections 7.01, 7.02 and 10.05, proof of the execution of any instrument by a Noteholder or its agent or proxy shall be sufficient if made in accordance with such reasonable rules and regulations as may be prescribed by the Trustees or in such manner as shall be satisfactory to the Trustees, each acting in its sole discretion. The holding of Notes shall be proved by the registry of such Notes or by a certificate of the Note registrar. With respect to any Notes held through the Clearing House of the TASE and the Hevra Le-Rishumim of Bank Leumi Le-Israel Ltd, (Nominee Company), the holding of such Notes may be proven by a TASE Member through which such Notes are held.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record of any Noteholders’ meeting shall be proved in the manner provided in Section 10.06.</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Who Are Deemed Absolute Owners.</w:t>
      </w:r>
      <w:r>
        <w:rPr>
          <w:rFonts w:ascii="Arial" w:cs="Arial" w:eastAsia="Arial" w:hAnsi="Arial"/>
          <w:sz w:val="16"/>
          <w:szCs w:val="16"/>
          <w:color w:val="auto"/>
        </w:rPr>
        <w:t xml:space="preserve"> The Issuer, the Trustees, any paying agent, any conversion agent and any Note registrar may deem the Person in whose name such Note shall be registered upon the Note register to be, and may treat it as, the absolute owner of such Note (whether or not such Note shall be overdue and notwithstanding any notation of ownership or other writing thereon made by any Person other than the Issuer or any Note registrar) for the purpose of receiving payment of or on account of the principal of and interest on such Note, for conversion of such Note and for all other purposes; and neither the Issuer nor the Trustees nor any paying agent nor any conversion agent nor any Note registrar shall be affected by any notice to the contrary. All such payments so made to any holder for the time being, or upon his order, shall be valid, and, to the extent of the sum or sums so paid, effectual to satisfy and discharge the liability for monies payable upon any such Note.</w:t>
      </w:r>
    </w:p>
    <w:p>
      <w:pPr>
        <w:spacing w:after="0" w:line="172"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i w:val="1"/>
          <w:iCs w:val="1"/>
          <w:color w:val="auto"/>
        </w:rPr>
        <w:t>Notes Held by Subsidiaries or Affiliates of the Issuer may be Disregarded.</w:t>
      </w:r>
      <w:r>
        <w:rPr>
          <w:rFonts w:ascii="Arial" w:cs="Arial" w:eastAsia="Arial" w:hAnsi="Arial"/>
          <w:sz w:val="16"/>
          <w:szCs w:val="16"/>
          <w:color w:val="auto"/>
        </w:rPr>
        <w:t xml:space="preserve"> (a) In determining whether the holders of the requisite aggregate principal amount of Notes have concurred in any direction, consent, waiver, vote or other action under this Indenture, Notes which are owned by a Subsidiary of the Issuer shall be disregarded and deemed not to be outstanding for the purpose of any such determination;</w:t>
      </w:r>
    </w:p>
    <w:p>
      <w:pPr>
        <w:spacing w:after="0" w:line="161" w:lineRule="exact"/>
        <w:rPr>
          <w:sz w:val="20"/>
          <w:szCs w:val="20"/>
          <w:color w:val="auto"/>
        </w:rPr>
      </w:pPr>
    </w:p>
    <w:p>
      <w:pPr>
        <w:ind w:firstLine="8"/>
        <w:spacing w:after="0" w:line="259" w:lineRule="auto"/>
        <w:tabs>
          <w:tab w:leader="none" w:pos="249"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addition to paragraph (a) above, with respect to Section 6.07 above – in determining whether the holders of the requisite aggregate principal amount of Notes have concurred in any direction, consent, waiver, vote or other action specified in Section 6.07, Notes which are owned by an Affiliate of the Issuer shall be disregarded and deemed not to be outstanding for the purpose of any such determination;</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the purposes of determining whether the Trustees shall be protected in relying on any such direction, consent, waiver, vote or other action, only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which a Responsible Officer of the Trustee or of the Co-Trustee knows are owned by a Subsidiary or an Affiliate of the Issuer (as applicable) shall be so disregarded. In the case of a dispute as to such right, any decision by the Trustees taken upon the advice of counsel shall be full protection to the Trustees. Upon request of the Trustees, the Issuer shall furnish to the Trustees promptly an Officers’ Certificate listing and identifying all Notes, if any, known by the Issuer to be owned or held by or for the account of any of the above described Persons, and, subject to Section 7.01, the Trustees shall be entitled to accept such Officers’ Certificate as conclusive evidence of the facts therein set forth and of the fact that all Notes not listed therein are outstanding for the purpose of any such determination.</w:t>
      </w:r>
    </w:p>
    <w:p>
      <w:pPr>
        <w:spacing w:after="0" w:line="20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i w:val="1"/>
          <w:iCs w:val="1"/>
          <w:color w:val="auto"/>
        </w:rPr>
        <w:t>Revocation of Consents, Future Holders Bound.</w:t>
      </w:r>
      <w:r>
        <w:rPr>
          <w:rFonts w:ascii="Arial" w:cs="Arial" w:eastAsia="Arial" w:hAnsi="Arial"/>
          <w:sz w:val="16"/>
          <w:szCs w:val="16"/>
          <w:color w:val="auto"/>
        </w:rPr>
        <w:t xml:space="preserve"> At any time prior to (but not after) the evidencing to the Trustees, as provided in Section 9.01, of the taking of any action by the holders of the percentage in aggregate principal amount of the Notes specified in this Indenture in connection with such action, any holder of a Note which is shown by the evidence to be included in the Notes the holders of which have consented to such action may, by filing written notice with the Trustee at its Corporate Trust Office and the Co-Trustee at its office as specified in Section 15.03 and upon proof of holding as provided in Section 9.02,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irrespective of whether any notation in regard thereto is made upon such Note or any Note issued in exchange or substitution therefor.</w:t>
      </w:r>
    </w:p>
    <w:p>
      <w:pPr>
        <w:sectPr>
          <w:pgSz w:w="11900" w:h="16838" w:orient="portrait"/>
          <w:cols w:equalWidth="0" w:num="1">
            <w:col w:w="11400"/>
          </w:cols>
          <w:pgMar w:left="240" w:top="388" w:right="259" w:bottom="0" w:gutter="0" w:footer="0" w:header="0"/>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NOTEHOLDERS</w:t>
      </w:r>
    </w:p>
    <w:p>
      <w:pPr>
        <w:spacing w:after="0" w:line="2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Purpose of Meetings.</w:t>
      </w:r>
      <w:r>
        <w:rPr>
          <w:rFonts w:ascii="Arial" w:cs="Arial" w:eastAsia="Arial" w:hAnsi="Arial"/>
          <w:sz w:val="18"/>
          <w:szCs w:val="18"/>
          <w:color w:val="auto"/>
        </w:rPr>
        <w:t xml:space="preserve"> A meeting of Noteholders may be called at any time and from time to time pursuant to the provisions of this Article 10 for any of the following purposes: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80" w:hanging="564"/>
        <w:spacing w:after="0" w:line="306" w:lineRule="auto"/>
        <w:tabs>
          <w:tab w:leader="none" w:pos="17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give any notice to the Issuer or to the Trustee and/or the Co-Trustee or to give any directions to the Trustee and/or the Co-Trustee permitted under this Indenture, or to consent to the waiving of any default or Event of Default hereunder and its consequences, or to take any other action authorized to be taken by Noteholders pursuant to any of the provisions of Article 6;</w:t>
      </w:r>
    </w:p>
    <w:p>
      <w:pPr>
        <w:spacing w:after="0" w:line="187" w:lineRule="exact"/>
        <w:rPr>
          <w:rFonts w:ascii="Arial" w:cs="Arial" w:eastAsia="Arial" w:hAnsi="Arial"/>
          <w:sz w:val="16"/>
          <w:szCs w:val="16"/>
          <w:color w:val="auto"/>
        </w:rPr>
      </w:pPr>
    </w:p>
    <w:p>
      <w:pPr>
        <w:ind w:left="1720" w:hanging="564"/>
        <w:spacing w:after="0"/>
        <w:tabs>
          <w:tab w:leader="none" w:pos="1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remove the Trustees (or either of them) and nominate a successor trustee pursuant to the provisions of Article 7;</w:t>
      </w:r>
    </w:p>
    <w:p>
      <w:pPr>
        <w:spacing w:after="0" w:line="252" w:lineRule="exact"/>
        <w:rPr>
          <w:rFonts w:ascii="Arial" w:cs="Arial" w:eastAsia="Arial" w:hAnsi="Arial"/>
          <w:sz w:val="18"/>
          <w:szCs w:val="18"/>
          <w:color w:val="auto"/>
        </w:rPr>
      </w:pPr>
    </w:p>
    <w:p>
      <w:pPr>
        <w:ind w:left="1720" w:hanging="564"/>
        <w:spacing w:after="0"/>
        <w:tabs>
          <w:tab w:leader="none" w:pos="17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consent to the execution of an indenture or indentures supplemental hereto pursuant to the provisions of Section 11.02; or</w:t>
      </w:r>
    </w:p>
    <w:p>
      <w:pPr>
        <w:spacing w:after="0" w:line="275" w:lineRule="exact"/>
        <w:rPr>
          <w:rFonts w:ascii="Arial" w:cs="Arial" w:eastAsia="Arial" w:hAnsi="Arial"/>
          <w:sz w:val="16"/>
          <w:szCs w:val="16"/>
          <w:color w:val="auto"/>
        </w:rPr>
      </w:pPr>
    </w:p>
    <w:p>
      <w:pPr>
        <w:ind w:left="1720" w:right="300" w:hanging="564"/>
        <w:spacing w:after="0" w:line="268" w:lineRule="auto"/>
        <w:tabs>
          <w:tab w:leader="none" w:pos="1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200" w:lineRule="exact"/>
        <w:rPr>
          <w:sz w:val="20"/>
          <w:szCs w:val="20"/>
          <w:color w:val="auto"/>
        </w:rPr>
      </w:pPr>
    </w:p>
    <w:p>
      <w:pPr>
        <w:spacing w:after="0" w:line="229"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i w:val="1"/>
          <w:iCs w:val="1"/>
          <w:color w:val="auto"/>
        </w:rPr>
        <w:t>Call of Meetings by Trustees.</w:t>
      </w:r>
      <w:r>
        <w:rPr>
          <w:rFonts w:ascii="Arial" w:cs="Arial" w:eastAsia="Arial" w:hAnsi="Arial"/>
          <w:sz w:val="16"/>
          <w:szCs w:val="16"/>
          <w:color w:val="auto"/>
        </w:rPr>
        <w:t xml:space="preserve"> The Trustees, either jointly or separately may at any time call a meeting of Noteholders to take any action specified in Section 10.01, to be held at such time and at such place as the Trustee, Co-Trustee or both of them shall determine. Notice of every meeting of the Noteholders, setting forth the time and the place of such meeting and in general terms the action proposed to be taken at such meeting and the establishment of any record date pursuant to Section 9.01, shall be mailed to holders of Notes at their addresses as they shall appear on the Note register. Such notice shall also be mailed to the Issuer and the Issuer shall publish an Immediate Report (under the Securities Law) and furnish a report to the Commission on Form 6-K thereof. Such notices shall be mailed not less than twenty (20) nor more than ninety (90) days prior to the date fixed for the meeting.</w:t>
      </w:r>
    </w:p>
    <w:p>
      <w:pPr>
        <w:spacing w:after="0" w:line="174"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Any meeting of Noteholders shall be valid without notice if the holders of all Notes then outstanding are present in person or by proxy or if notice is waived before or after the meeting by the holders of all Notes outstanding, and if the Issuer, the Trustee and the Co-Trustee are either present by duly authorized representatives or have, before or after the meeting, waived notice.</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i w:val="1"/>
          <w:iCs w:val="1"/>
          <w:color w:val="auto"/>
        </w:rPr>
        <w:t>Call of Meetings by Issuer or Noteholders.</w:t>
      </w:r>
      <w:r>
        <w:rPr>
          <w:rFonts w:ascii="Arial" w:cs="Arial" w:eastAsia="Arial" w:hAnsi="Arial"/>
          <w:sz w:val="16"/>
          <w:szCs w:val="16"/>
          <w:color w:val="auto"/>
        </w:rPr>
        <w:t xml:space="preserve"> In case at any time the Issuer, pursuant to a resolution of its Board of Directors, or the holders of at least ten percent (10%) in aggregate principal amount of the Notes then outstanding, shall have requested the Trustees to call a meeting of Noteholders, by written request setting forth in reasonable detail the action proposed to be taken at the meeting, and the Trustees shall not have mailed the notice of such meeting within twenty (20) days after receipt of such request, then the Issuer or such Noteholders may determine the time and the place for such meeting and may call such meeting to take any action authorized in Section 10.01, by mailing notice thereof as provided in Section 10.02. The Issuer shall publish such notice in an Immediate Report and furnish a report to the Commission on Form 6-K which shall include such notice or the substance thereof.</w:t>
      </w:r>
    </w:p>
    <w:p>
      <w:pPr>
        <w:spacing w:after="0" w:line="174"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i w:val="1"/>
          <w:iCs w:val="1"/>
          <w:color w:val="auto"/>
        </w:rPr>
        <w:t>Qualifications for Voting.</w:t>
      </w:r>
      <w:r>
        <w:rPr>
          <w:rFonts w:ascii="Arial" w:cs="Arial" w:eastAsia="Arial" w:hAnsi="Arial"/>
          <w:sz w:val="16"/>
          <w:szCs w:val="16"/>
          <w:color w:val="auto"/>
        </w:rPr>
        <w:t xml:space="preserve"> To be entitled to vote at any meeting of Noteholders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Noteholders shall be the persons entitled to vote at such meeting and their counsel and any representatives of the Trustees and their counsel and any representatives of the Issuer and its counsel, unless the Trustees, in their sole discretion, consent to the participation of other Persons.</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Regulations.</w:t>
      </w:r>
      <w:r>
        <w:rPr>
          <w:rFonts w:ascii="Arial" w:cs="Arial" w:eastAsia="Arial" w:hAnsi="Arial"/>
          <w:sz w:val="18"/>
          <w:szCs w:val="18"/>
          <w:color w:val="auto"/>
        </w:rPr>
        <w:t xml:space="preserve"> Notwithstanding any other provisions of this Indenture, the Trustees may make such reasonable regulations as they may deem advisable for any meeting of Noteholders,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Trustees shall, by an instrument in writing, appoint a temporary chairman of the meeting, unless the meeting shall have been called by the Issuer or by Noteholders as provided in Section 9.03, in which case the Issuer or the Noteholders calling the meeting, as the case may be, shall in like manner appoint a temporary chairman. A permanent chairman and a permanent secretary of the meeting shall be elected by vote of the holders of a majority in principal amount of the Notes represented at the meeting and entitled to vote at the meeting.</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Subject to the provisions of Section 9.04, at any meeting each Noteholder or proxyholder shall be entitled to one vote for each $1.00 principal amount of Notes held or represented by him;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vote shall be cast or counted at any meeting in respect of any Note challenged as not outstanding and ruled by the chairman of the meeting to be not outstanding. The chairman of the meeting shall have no right to vote other than by virtue of Notes held by him or instruments in writing as aforesaid duly designating him as the proxy to vote on behalf of other Noteholders. Any meeting of Noteholders duly called pursuant to the provisions of Section 10.02 or 10.03 may be adjourned from time to time by the holders of a majority of the aggregate principal amount of Notes represented at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Responsible Officer of the Co-Trustee shall participate, without voting privileges, in all meetings of the shareholders of the Issuer.</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i w:val="1"/>
          <w:iCs w:val="1"/>
          <w:color w:val="auto"/>
        </w:rPr>
        <w:t>Voting.</w:t>
      </w:r>
      <w:r>
        <w:rPr>
          <w:rFonts w:ascii="Arial" w:cs="Arial" w:eastAsia="Arial" w:hAnsi="Arial"/>
          <w:sz w:val="16"/>
          <w:szCs w:val="16"/>
          <w:color w:val="auto"/>
        </w:rPr>
        <w:t xml:space="preserve"> The vote upon any resolution submitted to any meeting of Noteholders shall be by written ballot on which shall be subscribed the signatures of the holders of Notes or of their representatives by proxy and the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Noteholders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10.02. The record shall show the principal amount of the Notes voting in favor of or against any resolution. The record shall be signed and verified by the affidavits of the permanent chairman and secretary of the meeting and one of the duplicates shall be delivered to the Issuer and the other to the Trustees to be preserved by the Trustees, the latter to have attached thereto the ballots voted at the meeting.</w:t>
      </w:r>
    </w:p>
    <w:p>
      <w:pPr>
        <w:sectPr>
          <w:pgSz w:w="11900" w:h="16838" w:orient="portrait"/>
          <w:cols w:equalWidth="0" w:num="1">
            <w:col w:w="11420"/>
          </w:cols>
          <w:pgMar w:left="240" w:top="125" w:right="239" w:bottom="0" w:gutter="0" w:footer="0" w:header="0"/>
        </w:sectPr>
      </w:pPr>
    </w:p>
    <w:bookmarkStart w:id="70" w:name="page71"/>
    <w:bookmarkEnd w:id="70"/>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i w:val="1"/>
          <w:iCs w:val="1"/>
          <w:color w:val="auto"/>
        </w:rPr>
        <w:t>No Delay of Rights by Meeting.</w:t>
      </w:r>
      <w:r>
        <w:rPr>
          <w:rFonts w:ascii="Arial" w:cs="Arial" w:eastAsia="Arial" w:hAnsi="Arial"/>
          <w:sz w:val="16"/>
          <w:szCs w:val="16"/>
          <w:color w:val="auto"/>
        </w:rPr>
        <w:t xml:space="preserve"> Nothing contained in this Article 10 shall be deemed or construed to authorize or permit, by reason of any call of a meeting of Noteholders or any rights expressly or impliedly conferred hereunder to make such call, any hindrance or delay in the exercise of any right or rights conferred upon or reserved to the Trustees or to the Noteholders under any of the provisions of this Indenture or of the Notes.</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i w:val="1"/>
          <w:iCs w:val="1"/>
          <w:color w:val="auto"/>
        </w:rPr>
        <w:t>Separate Meetings of Groups of Noteholders</w:t>
      </w:r>
      <w:r>
        <w:rPr>
          <w:rFonts w:ascii="Arial" w:cs="Arial" w:eastAsia="Arial" w:hAnsi="Arial"/>
          <w:sz w:val="16"/>
          <w:szCs w:val="16"/>
          <w:color w:val="auto"/>
        </w:rPr>
        <w:t xml:space="preserve">. When a meeting of Noteholders is convened, the Co-Trustee may determine according to the circumstances at that time that the different interests of certain groups of Noteholders dictate the convening of separate meetings of certain group of Noteholders, pursuant to the provisions of the Israeli law, including Israeli case law and the instructions of the ISA (as applicable). In such an event, such separate meetings shall be convened, and the procedural provisions in this Article 10, shall apply in those meetings,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6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Quorum.</w:t>
      </w:r>
      <w:r>
        <w:rPr>
          <w:rFonts w:ascii="Arial" w:cs="Arial" w:eastAsia="Arial" w:hAnsi="Arial"/>
          <w:sz w:val="18"/>
          <w:szCs w:val="18"/>
          <w:color w:val="auto"/>
        </w:rPr>
        <w:t>(a) Two Noteholders present in person or by proxy who together hold or represent at least 50% in aggregate principal amount of the Notes then outstanding will constitute a quorum for any meeting of the Noteholders.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9"/>
        <w:spacing w:after="0" w:line="294" w:lineRule="auto"/>
        <w:tabs>
          <w:tab w:leader="none" w:pos="6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within thirty (30) minutes of the time specified for the meeting to start there is no quorum present, the meeting will be postponed to the same day in the following week (and in the event that such day is not a Business Day, to the Business Day immediately following such day) and to the same venue without it being necessary to give notice to that effect to the Noteholders or to another day, venue and time as the Issuer selects and of which notice will be given to the Noteholders and the Trustees at least three Business Days in advance. If no quorum is present at the aforesaid postponed meeting, at that meeting two Noteholders who are present in person or by proxy regardless of the principal amount they hold, will constitute a quorum.</w:t>
      </w:r>
    </w:p>
    <w:p>
      <w:pPr>
        <w:spacing w:after="0" w:line="17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Majority Controls.</w:t>
      </w:r>
      <w:r>
        <w:rPr>
          <w:rFonts w:ascii="Arial" w:cs="Arial" w:eastAsia="Arial" w:hAnsi="Arial"/>
          <w:sz w:val="18"/>
          <w:szCs w:val="18"/>
          <w:color w:val="auto"/>
        </w:rPr>
        <w:t xml:space="preserve"> Resolutions in meetings of the Noteholders shall be adopted by a simple majority (50.01%), subject to any other specific provision herein requiring any other majority with respect to certain resolutions.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Supplemental Indentures Without Consent of Noteholders.</w:t>
      </w:r>
      <w:r>
        <w:rPr>
          <w:rFonts w:ascii="Arial" w:cs="Arial" w:eastAsia="Arial" w:hAnsi="Arial"/>
          <w:sz w:val="16"/>
          <w:szCs w:val="16"/>
          <w:color w:val="auto"/>
        </w:rPr>
        <w:t xml:space="preserve"> The Issuer, when authorized by the resolutions of the Board of Directors,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Trustees may, from time to time, and at any time enter into an indenture or indentures supplemental hereto for one or more of the following purposes:</w:t>
      </w:r>
    </w:p>
    <w:p>
      <w:pPr>
        <w:spacing w:after="0" w:line="242" w:lineRule="exact"/>
        <w:rPr>
          <w:sz w:val="20"/>
          <w:szCs w:val="20"/>
          <w:color w:val="auto"/>
        </w:rPr>
      </w:pPr>
    </w:p>
    <w:p>
      <w:pPr>
        <w:ind w:left="1160" w:right="740" w:hanging="571"/>
        <w:spacing w:after="0" w:line="268" w:lineRule="auto"/>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Issuer, or successive successions, and the assumption by the successor Person of the covenants, agreements and obligations of the Issuer pursuant to Article 12;</w:t>
      </w:r>
    </w:p>
    <w:p>
      <w:pPr>
        <w:spacing w:after="0" w:line="212" w:lineRule="exact"/>
        <w:rPr>
          <w:rFonts w:ascii="Arial" w:cs="Arial" w:eastAsia="Arial" w:hAnsi="Arial"/>
          <w:sz w:val="18"/>
          <w:szCs w:val="18"/>
          <w:color w:val="auto"/>
        </w:rPr>
      </w:pPr>
    </w:p>
    <w:p>
      <w:pPr>
        <w:ind w:left="1160" w:right="20" w:hanging="571"/>
        <w:spacing w:after="0" w:line="291" w:lineRule="auto"/>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to add to the covenants of the Issuer such further covenants, restrictions or conditions as the Board of Directors and the Trustees shall consider to be for the benefit of the holders of Notes, and to make the occurrence, or the occurrence and continuance, of a default in any such additional covenants, restrictions or conditions a default or an Event of Default permitting the enforcement of all or any of the several remedies provided in this Indenture as herein set forth;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respect of any such additional covenant, restriction or condition,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Trustees upon such default;</w:t>
      </w:r>
    </w:p>
    <w:p>
      <w:pPr>
        <w:spacing w:after="0" w:line="201" w:lineRule="exact"/>
        <w:rPr>
          <w:rFonts w:ascii="Arial" w:cs="Arial" w:eastAsia="Arial" w:hAnsi="Arial"/>
          <w:sz w:val="16"/>
          <w:szCs w:val="16"/>
          <w:color w:val="auto"/>
        </w:rPr>
      </w:pPr>
    </w:p>
    <w:p>
      <w:pPr>
        <w:ind w:left="1160" w:right="340" w:hanging="571"/>
        <w:spacing w:after="0" w:line="370" w:lineRule="auto"/>
        <w:tabs>
          <w:tab w:leader="none" w:pos="11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to provide for the issuance under this Indenture of Notes in coupon form (including Notes registrable as to principal only) and to provide for exchangeability of such Notes with the Notes issued hereunder in fully registered form and to make all appropriate changes for such purpose;</w:t>
      </w:r>
    </w:p>
    <w:p>
      <w:pPr>
        <w:spacing w:after="0" w:line="143" w:lineRule="exact"/>
        <w:rPr>
          <w:rFonts w:ascii="Arial" w:cs="Arial" w:eastAsia="Arial" w:hAnsi="Arial"/>
          <w:sz w:val="15"/>
          <w:szCs w:val="15"/>
          <w:color w:val="auto"/>
        </w:rPr>
      </w:pPr>
    </w:p>
    <w:p>
      <w:pPr>
        <w:ind w:left="1160" w:right="100" w:hanging="571"/>
        <w:spacing w:after="0" w:line="306" w:lineRule="auto"/>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herein or in any supplemental indenture that may be defective or inconsistent with any other provision contained herein or in any supplemental indenture, or to make such other provisions in regard to matters or questions arising under this Indenture that shall not materially adversely affect the interests of the holders of the Notes;</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Notes;</w:t>
      </w:r>
    </w:p>
    <w:p>
      <w:pPr>
        <w:spacing w:after="0" w:line="252" w:lineRule="exact"/>
        <w:rPr>
          <w:rFonts w:ascii="Arial" w:cs="Arial" w:eastAsia="Arial" w:hAnsi="Arial"/>
          <w:sz w:val="18"/>
          <w:szCs w:val="18"/>
          <w:color w:val="auto"/>
        </w:rPr>
      </w:pPr>
    </w:p>
    <w:p>
      <w:pPr>
        <w:ind w:left="1160" w:right="340" w:hanging="571"/>
        <w:spacing w:after="0" w:line="332" w:lineRule="auto"/>
        <w:tabs>
          <w:tab w:leader="none" w:pos="11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modify, eliminate or add to the provisions of this Indenture to such extent as shall be necessary to effect the qualifications of this Indenture under the Trust Indenture Act, or under any similar federal statute hereafter enacted or the Securities Law; or</w:t>
      </w:r>
    </w:p>
    <w:p>
      <w:pPr>
        <w:spacing w:after="0" w:line="166" w:lineRule="exact"/>
        <w:rPr>
          <w:rFonts w:ascii="Arial" w:cs="Arial" w:eastAsia="Arial" w:hAnsi="Arial"/>
          <w:sz w:val="16"/>
          <w:szCs w:val="16"/>
          <w:color w:val="auto"/>
        </w:rPr>
      </w:pPr>
    </w:p>
    <w:p>
      <w:pPr>
        <w:ind w:left="1160" w:hanging="571"/>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any right of the holders of Notes under this Indenture.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Upon the written request of the Issuer, accompanied by a copy of the resolutions of the Board of Directors certified by its Secretary or Assistant Secretary authorizing the execution of any supplemental indenture, the Trustees are hereby authorized to join with the Issuer in the execution of any such supplemental indenture, to make any further appropriate agreements and stipulations that may be therein contained and to accept the conveyance, transfer and assignment of any property thereunder, but the Trustees shall not be obligated to, but may in its discretion, enter into any supplemental indenture that affects the Trustees’ own rights, duties or immunities under this Indenture or otherwise.</w:t>
      </w:r>
    </w:p>
    <w:p>
      <w:pPr>
        <w:spacing w:after="0" w:line="19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 xml:space="preserve">Any supplemental indenture authorized by the provisions of this Section 11.01 may be executed by the Issuer and the Trustees without the consent of the holders of any of the Notes at the time outstanding, notwithstanding any of the provisions of Section 11.02 </w:t>
      </w:r>
      <w:r>
        <w:rPr>
          <w:rFonts w:ascii="Arial" w:cs="Arial" w:eastAsia="Arial" w:hAnsi="Arial"/>
          <w:sz w:val="16"/>
          <w:szCs w:val="16"/>
          <w:i w:val="1"/>
          <w:iCs w:val="1"/>
          <w:color w:val="auto"/>
        </w:rPr>
        <w:t>provided</w:t>
      </w:r>
      <w:r>
        <w:rPr>
          <w:rFonts w:ascii="Arial" w:cs="Arial" w:eastAsia="Arial" w:hAnsi="Arial"/>
          <w:sz w:val="16"/>
          <w:szCs w:val="16"/>
          <w:color w:val="auto"/>
        </w:rPr>
        <w:t>, the Trustee and the Co-Trustee shall have received an opinion of counsel stating that such supplemental indenture does not adversely affect any rights of the Noteholders.</w:t>
      </w:r>
    </w:p>
    <w:p>
      <w:pPr>
        <w:spacing w:after="0" w:line="161" w:lineRule="exact"/>
        <w:rPr>
          <w:sz w:val="20"/>
          <w:szCs w:val="20"/>
          <w:color w:val="auto"/>
        </w:rPr>
      </w:pPr>
    </w:p>
    <w:p>
      <w:pPr>
        <w:ind w:right="80" w:firstLine="351"/>
        <w:spacing w:after="0" w:line="318" w:lineRule="auto"/>
        <w:rPr>
          <w:sz w:val="20"/>
          <w:szCs w:val="20"/>
          <w:color w:val="auto"/>
        </w:rPr>
      </w:pPr>
      <w:r>
        <w:rPr>
          <w:rFonts w:ascii="Arial" w:cs="Arial" w:eastAsia="Arial" w:hAnsi="Arial"/>
          <w:sz w:val="15"/>
          <w:szCs w:val="15"/>
          <w:color w:val="auto"/>
        </w:rPr>
        <w:t xml:space="preserve">Section 11.02. </w:t>
      </w:r>
      <w:r>
        <w:rPr>
          <w:rFonts w:ascii="Arial" w:cs="Arial" w:eastAsia="Arial" w:hAnsi="Arial"/>
          <w:sz w:val="15"/>
          <w:szCs w:val="15"/>
          <w:i w:val="1"/>
          <w:iCs w:val="1"/>
          <w:color w:val="auto"/>
        </w:rPr>
        <w:t>Supplemental Indenture with Consent of Noteholders.</w:t>
      </w:r>
      <w:r>
        <w:rPr>
          <w:rFonts w:ascii="Arial" w:cs="Arial" w:eastAsia="Arial" w:hAnsi="Arial"/>
          <w:sz w:val="15"/>
          <w:szCs w:val="15"/>
          <w:color w:val="auto"/>
        </w:rPr>
        <w:t xml:space="preserve"> With the approval of the Noteholders, the Trustees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of the Notes;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entering into such supplemental indenture is approved by a resolution of the Noteholders meeting in accordance with Article 10, by the vote of Noteholders who (i) hold not less than a majority of the aggregate principal amount of the Notes at the time outstanding, determined in accordance with Section 9.04; and also (ii) hold at least</w:t>
      </w:r>
    </w:p>
    <w:p>
      <w:pPr>
        <w:sectPr>
          <w:pgSz w:w="11900" w:h="16965" w:orient="portrait"/>
          <w:cols w:equalWidth="0" w:num="1">
            <w:col w:w="11420"/>
          </w:cols>
          <w:pgMar w:left="240" w:top="131" w:right="239" w:bottom="0" w:gutter="0" w:footer="0" w:header="0"/>
        </w:sectPr>
      </w:pPr>
    </w:p>
    <w:bookmarkStart w:id="71" w:name="page72"/>
    <w:bookmarkEnd w:id="71"/>
    <w:p>
      <w:pPr>
        <w:spacing w:after="0" w:line="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 xml:space="preserve">75% of the principal amount of the Notes present or represented in that Noteholders meeting;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such supplemental indenture shall modify any term, covenant or provisions hereof which under the provisions of the Trust Indenture Act cannot be modified or amended without the consent of the holders of each or all Notes then outstanding or affected thereby, without the consent of the holder of each Note so affected.</w:t>
      </w:r>
    </w:p>
    <w:p>
      <w:pPr>
        <w:spacing w:after="0" w:line="16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Upon the written request of the Issuer, accompanied by a copy of the resolutions of the Board of Directors certified by its Secretary or Assistant Secretary authorizing the execution of any such supplemental indenture, and upon the filing with the Trustees of evidence of the consent of Noteholders as aforesaid, the Trustees shall join with the Issuer in the execution of such supplemental indenture unless such supplemental indenture affects the Trustees’ own rights, duties or immunities under this Indenture or otherwise, in which case the Trustees may in their discretion, but shall not be obligated to, enter into such supplemental indenture.</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It shall not be necessary for the consent of the Noteholders under this Section 10.02 to approve the particular form of any proposed supplemental indenture, but it shall be sufficient if such consent shall approve the substance thereof.</w:t>
      </w:r>
    </w:p>
    <w:p>
      <w:pPr>
        <w:spacing w:after="0" w:line="186"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Effect of Supplemental Indenture.</w:t>
      </w:r>
      <w:r>
        <w:rPr>
          <w:rFonts w:ascii="Arial" w:cs="Arial" w:eastAsia="Arial" w:hAnsi="Arial"/>
          <w:sz w:val="18"/>
          <w:szCs w:val="18"/>
          <w:color w:val="auto"/>
        </w:rPr>
        <w:t xml:space="preserve"> Any supplemental indenture executed pursuant to the provisions of this Article 11 shall comply with the Trust Indenture Act provided that this Section 11.03 shall not require such supplemental indenture or the Trustee to be qualified under the Trust Indenture Act. Upon the execution of any supplemental indenture pursuant to the provisions of this Article 11, this Indenture shall be and be deemed to be modified and amended in accordance therewith and the respective rights, limitation of rights, obligations, duties and immunities under this Indenture of the Trustee, the Issuer and the holders of Notes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20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 xml:space="preserve">Section 11.04. </w:t>
      </w:r>
      <w:r>
        <w:rPr>
          <w:rFonts w:ascii="Arial" w:cs="Arial" w:eastAsia="Arial" w:hAnsi="Arial"/>
          <w:sz w:val="15"/>
          <w:szCs w:val="15"/>
          <w:i w:val="1"/>
          <w:iCs w:val="1"/>
          <w:color w:val="auto"/>
        </w:rPr>
        <w:t>Notation on Notes.</w:t>
      </w:r>
      <w:r>
        <w:rPr>
          <w:rFonts w:ascii="Arial" w:cs="Arial" w:eastAsia="Arial" w:hAnsi="Arial"/>
          <w:sz w:val="15"/>
          <w:szCs w:val="15"/>
          <w:color w:val="auto"/>
        </w:rPr>
        <w:t xml:space="preserve"> Notes authenticated and delivered after the execution of any supplemental indenture pursuant to the provisions of this Article 11 may bear a notation in form approved by the Trustees as to any matter provided for in such supplemental indenture. If the Issuer or the Trustees shall so determine, new Notes so modified as to conform, in the opinion of the Trustees and the Board of Directors, to any modification of this Indenture contained in any such supplemental indenture may, at the Issuer’s expense, be prepared and executed by the Issuer, authenticated by the Trustee (or an authenticating agent duly appointed by the Trustee pursuant to Section 15.10) and delivered in exchange for the Notes then outstanding, upon surrender of such Notes then outstanding.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Evidence of Compliance of Supplemental Indenture to Be Furnished to Trustees.</w:t>
      </w:r>
      <w:r>
        <w:rPr>
          <w:rFonts w:ascii="Arial" w:cs="Arial" w:eastAsia="Arial" w:hAnsi="Arial"/>
          <w:sz w:val="18"/>
          <w:szCs w:val="18"/>
          <w:color w:val="auto"/>
        </w:rPr>
        <w:t xml:space="preserve"> Prior to entering into any supplemental indenture, the Trustees shall be provided with an Officers’ Certificate and an Opinion of Counsel as conclusive evidence that any supplemental indenture executed pursuant hereto complies with the requirements of this Article 11.</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MERGER AND CONSOLIDATION</w:t>
      </w:r>
    </w:p>
    <w:p>
      <w:pPr>
        <w:spacing w:after="0" w:line="30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Issuer May Merge on Certain Terms.</w:t>
      </w:r>
      <w:r>
        <w:rPr>
          <w:rFonts w:ascii="Arial" w:cs="Arial" w:eastAsia="Arial" w:hAnsi="Arial"/>
          <w:sz w:val="18"/>
          <w:szCs w:val="18"/>
          <w:color w:val="auto"/>
        </w:rPr>
        <w:t xml:space="preserve"> The Issuer shall not consolidate or merge with or into any other Person or Persons (whether or not affiliated with the Issuer), nor shall the Issuer or its successor or successors be a party or parties to successive consolidations or mergers unless: upon any such consolidation or merger, such successor Person assumes (either expressly as a matter of law or assume) the obligation to pay the principal of and interest on all of the Notes when due and payable hereunder and the obligation to observe all of the covenants and conditions that under this Indenture are to be performed by the Issuer.</w:t>
      </w:r>
    </w:p>
    <w:p>
      <w:pPr>
        <w:spacing w:after="0" w:line="197" w:lineRule="exact"/>
        <w:rPr>
          <w:sz w:val="20"/>
          <w:szCs w:val="20"/>
          <w:color w:val="auto"/>
        </w:rPr>
      </w:pPr>
    </w:p>
    <w:p>
      <w:pPr>
        <w:ind w:right="80" w:firstLine="351"/>
        <w:spacing w:after="0" w:line="307" w:lineRule="auto"/>
        <w:rPr>
          <w:sz w:val="20"/>
          <w:szCs w:val="20"/>
          <w:color w:val="auto"/>
        </w:rPr>
      </w:pPr>
      <w:r>
        <w:rPr>
          <w:rFonts w:ascii="Arial" w:cs="Arial" w:eastAsia="Arial" w:hAnsi="Arial"/>
          <w:sz w:val="15"/>
          <w:szCs w:val="15"/>
          <w:color w:val="auto"/>
        </w:rPr>
        <w:t xml:space="preserve">Section 12.02. </w:t>
      </w:r>
      <w:r>
        <w:rPr>
          <w:rFonts w:ascii="Arial" w:cs="Arial" w:eastAsia="Arial" w:hAnsi="Arial"/>
          <w:sz w:val="15"/>
          <w:szCs w:val="15"/>
          <w:i w:val="1"/>
          <w:iCs w:val="1"/>
          <w:color w:val="auto"/>
        </w:rPr>
        <w:t>Successor to Be Substituted.</w:t>
      </w:r>
      <w:r>
        <w:rPr>
          <w:rFonts w:ascii="Arial" w:cs="Arial" w:eastAsia="Arial" w:hAnsi="Arial"/>
          <w:sz w:val="15"/>
          <w:szCs w:val="15"/>
          <w:color w:val="auto"/>
        </w:rPr>
        <w:t xml:space="preserve"> In case of any such consolidation or merger, such successor Person shall succeed to and be substituted for the Issuer, with the same effect as if it had been named herein as the party of this first part. Such successor Person thereupon may cause to be signed, and may issue either in its own name or in the name of Tower Semiconductor Ltd. any or all of the Notes, issuable hereunder that theretofore shall not have been signed by the Issuer and delivered to the Trustees; and, upon the order of such successor Person instead of the Issuer and subject to all the terms, conditions and limitations in this Indenture prescribed, the Trustee shall authenticate and shall deliver, or cause to be authenticated and delivered, any Notes that previously shall have been signed and delivered by the officers of the Issuer to the Trustee for authentication, and any Notes that such successor Person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transfer or lease, the Person named as the “</w:t>
      </w:r>
      <w:r>
        <w:rPr>
          <w:rFonts w:ascii="Arial" w:cs="Arial" w:eastAsia="Arial" w:hAnsi="Arial"/>
          <w:sz w:val="15"/>
          <w:szCs w:val="15"/>
          <w:b w:val="1"/>
          <w:bCs w:val="1"/>
          <w:color w:val="auto"/>
        </w:rPr>
        <w:t>Issuer</w:t>
      </w:r>
      <w:r>
        <w:rPr>
          <w:rFonts w:ascii="Arial" w:cs="Arial" w:eastAsia="Arial" w:hAnsi="Arial"/>
          <w:sz w:val="15"/>
          <w:szCs w:val="15"/>
          <w:color w:val="auto"/>
        </w:rPr>
        <w:t>” in the first paragraph of this Indenture or any successor that shall thereafter have become such in the manner prescribed in this Article 11 may be dissolved, wound up and liquidated at any time thereafter and such Person shall be released from its liabilities as obligor and maker of the Notes and from its obligations under this Indenture.</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case of any such consolidation or merger, such changes in phraseology and form (but not in substance) may be made in the Notes thereafter to be issued as may be appropriate.</w:t>
      </w:r>
    </w:p>
    <w:p>
      <w:pPr>
        <w:spacing w:after="0" w:line="186" w:lineRule="exact"/>
        <w:rPr>
          <w:sz w:val="20"/>
          <w:szCs w:val="20"/>
          <w:color w:val="auto"/>
        </w:rPr>
      </w:pPr>
    </w:p>
    <w:p>
      <w:pPr>
        <w:ind w:right="440" w:firstLine="351"/>
        <w:spacing w:after="0" w:line="370" w:lineRule="auto"/>
        <w:rPr>
          <w:sz w:val="20"/>
          <w:szCs w:val="20"/>
          <w:color w:val="auto"/>
        </w:rPr>
      </w:pPr>
      <w:r>
        <w:rPr>
          <w:rFonts w:ascii="Arial" w:cs="Arial" w:eastAsia="Arial" w:hAnsi="Arial"/>
          <w:sz w:val="15"/>
          <w:szCs w:val="15"/>
          <w:color w:val="auto"/>
        </w:rPr>
        <w:t xml:space="preserve">Section 12.03. </w:t>
      </w:r>
      <w:r>
        <w:rPr>
          <w:rFonts w:ascii="Arial" w:cs="Arial" w:eastAsia="Arial" w:hAnsi="Arial"/>
          <w:sz w:val="15"/>
          <w:szCs w:val="15"/>
          <w:i w:val="1"/>
          <w:iCs w:val="1"/>
          <w:color w:val="auto"/>
        </w:rPr>
        <w:t>Opinion of Counsel to Be Given to Trustees.</w:t>
      </w:r>
      <w:r>
        <w:rPr>
          <w:rFonts w:ascii="Arial" w:cs="Arial" w:eastAsia="Arial" w:hAnsi="Arial"/>
          <w:sz w:val="15"/>
          <w:szCs w:val="15"/>
          <w:color w:val="auto"/>
        </w:rPr>
        <w:t xml:space="preserve"> The Trustees shall receive an Officers’ Certificate and an Opinion of Counsel as conclusive evidence that any such consolidation or merger and any such assumption by the successor Person complies with the provisions of this Article 12.</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300"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 xml:space="preserve">Section 13.01. </w:t>
      </w:r>
      <w:r>
        <w:rPr>
          <w:rFonts w:ascii="Arial" w:cs="Arial" w:eastAsia="Arial" w:hAnsi="Arial"/>
          <w:sz w:val="15"/>
          <w:szCs w:val="15"/>
          <w:i w:val="1"/>
          <w:iCs w:val="1"/>
          <w:color w:val="auto"/>
        </w:rPr>
        <w:t>Discharge of Indenture.</w:t>
      </w:r>
      <w:r>
        <w:rPr>
          <w:rFonts w:ascii="Arial" w:cs="Arial" w:eastAsia="Arial" w:hAnsi="Arial"/>
          <w:sz w:val="15"/>
          <w:szCs w:val="15"/>
          <w:color w:val="auto"/>
        </w:rPr>
        <w:t xml:space="preserve"> When (a) the Issuer shall deliver to the Trustee for cancellation all Notes theretofore authenticated (other than any Notes that have been destroyed, lost or stolen and in lieu of or in substitution for which other Notes shall have been authenticated and delivered) and not theretofore canceled, or (b) all the Notes not theretofore canceled or delivered to the Trustee for cancellation shall have become due and payable, or are by their terms to become due and payable within one year or are to be called for redemption within one year under arrangements satisfactory to the Trustees for the giving of notice of redemption, and the Issuer shall deposit with the Trustees, in trust, funds sufficient to pay at maturity or upon redemption of all of the Notes (other than any Notes that shall have been mutilated, destroyed, lost or stolen and in lieu of or in substitution for which other Notes shall have been authenticated and delivered) not theretofore canceled or delivered to the Trustee for cancellation, including principal and interest due or to become due to such date of maturity or redemption date, as the case may be, accompanied by a verification report, as to the sufficiency of the deposited amount, from an independent certified accountant</w:t>
      </w:r>
    </w:p>
    <w:p>
      <w:pPr>
        <w:sectPr>
          <w:pgSz w:w="11900" w:h="16916" w:orient="portrait"/>
          <w:cols w:equalWidth="0" w:num="1">
            <w:col w:w="11420"/>
          </w:cols>
          <w:pgMar w:left="240" w:top="131" w:right="239" w:bottom="0" w:gutter="0" w:footer="0" w:header="0"/>
        </w:sectPr>
      </w:pPr>
    </w:p>
    <w:bookmarkStart w:id="72" w:name="page73"/>
    <w:bookmarkEnd w:id="72"/>
    <w:p>
      <w:pPr>
        <w:ind w:right="100"/>
        <w:spacing w:after="0" w:line="305" w:lineRule="auto"/>
        <w:rPr>
          <w:sz w:val="20"/>
          <w:szCs w:val="20"/>
          <w:color w:val="auto"/>
        </w:rPr>
      </w:pPr>
      <w:r>
        <w:rPr>
          <w:rFonts w:ascii="Arial" w:cs="Arial" w:eastAsia="Arial" w:hAnsi="Arial"/>
          <w:sz w:val="15"/>
          <w:szCs w:val="15"/>
          <w:color w:val="auto"/>
        </w:rPr>
        <w:t>or other financial professional satisfactory to the Trustees, and if the Issuer shall also pay or cause to be paid all other sums payable hereunder by the Issuer, then this Indenture shall cease to be of further effect (except as to (i) remaining rights of registration of transfer, substitution and exchange and conversion of Notes,</w:t>
      </w:r>
    </w:p>
    <w:p>
      <w:pPr>
        <w:ind w:right="40" w:firstLine="8"/>
        <w:spacing w:after="0" w:line="290" w:lineRule="auto"/>
        <w:tabs>
          <w:tab w:leader="none" w:pos="258" w:val="left"/>
        </w:tabs>
        <w:numPr>
          <w:ilvl w:val="0"/>
          <w:numId w:val="97"/>
        </w:numPr>
        <w:rPr>
          <w:rFonts w:ascii="Arial" w:cs="Arial" w:eastAsia="Arial" w:hAnsi="Arial"/>
          <w:sz w:val="16"/>
          <w:szCs w:val="16"/>
          <w:color w:val="auto"/>
        </w:rPr>
      </w:pPr>
      <w:r>
        <w:rPr>
          <w:rFonts w:ascii="Arial" w:cs="Arial" w:eastAsia="Arial" w:hAnsi="Arial"/>
          <w:sz w:val="16"/>
          <w:szCs w:val="16"/>
          <w:color w:val="auto"/>
        </w:rPr>
        <w:t>rights hereunder of Noteholders to receive payments of principal of and interest on, the Notes and the other rights, duties and obligations of Noteholders, as beneficiaries hereof with respect to the amounts, if any, so deposited with the Trustees and (iii) the rights, obligations and immunities of the Trustees hereunder), and the Trustees, on written demand of the Issuer accompanied by an Officers’ Certificate and an Opinion of Counsel as required by Section 15.05 and at the cost and expense of the Issuer, shall execute proper instruments acknowledging satisfaction of and discharging this Indenture; the Issuer, however, hereby agrees to reimburse the Trustees for any costs or expenses thereafter reasonably and properly incurred by the Trustees and to compensate the Trustees for any services thereafter reasonably and properly rendered by the Trustees in connection with this Indenture or the Notes.</w:t>
      </w:r>
    </w:p>
    <w:p>
      <w:pPr>
        <w:spacing w:after="0" w:line="17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i w:val="1"/>
          <w:iCs w:val="1"/>
          <w:color w:val="auto"/>
        </w:rPr>
        <w:t>Deposited Monies to Be Held in Trust by Trustees.</w:t>
      </w:r>
      <w:r>
        <w:rPr>
          <w:rFonts w:ascii="Arial" w:cs="Arial" w:eastAsia="Arial" w:hAnsi="Arial"/>
          <w:sz w:val="16"/>
          <w:szCs w:val="16"/>
          <w:color w:val="auto"/>
        </w:rPr>
        <w:t xml:space="preserve"> Subject to Section 13.04, all monies deposited with the Trustees pursuant to Section 13.01 shall be held in trust for the sole benefit of the Noteholders, and such monies shall be applied by the Trustee to the payment, either directly or through any paying agent (including the Issuer if acting as its own paying agent), to the holders of the particular Notes for the payment or redemption of which such monies have been deposited with the Trustees, of all sums due and to become due thereon for principal and interest.</w:t>
      </w:r>
    </w:p>
    <w:p>
      <w:pPr>
        <w:spacing w:after="0" w:line="167"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i w:val="1"/>
          <w:iCs w:val="1"/>
          <w:color w:val="auto"/>
        </w:rPr>
        <w:t>Paying Agent to Repay Monies Held.</w:t>
      </w:r>
      <w:r>
        <w:rPr>
          <w:rFonts w:ascii="Arial" w:cs="Arial" w:eastAsia="Arial" w:hAnsi="Arial"/>
          <w:sz w:val="18"/>
          <w:szCs w:val="18"/>
          <w:color w:val="auto"/>
        </w:rPr>
        <w:t xml:space="preserve"> Upon the satisfaction and discharge of this Indenture, all monies then held by any paying agent of the Notes (other than the Trustees) shall, upon written request of the Issuer, be repaid to it or paid to the Trustees, and thereupon such paying agent shall be released from all further liability with respect to such monies.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i w:val="1"/>
          <w:iCs w:val="1"/>
          <w:color w:val="auto"/>
        </w:rPr>
        <w:t>Return of Unclaimed Monies.</w:t>
      </w:r>
      <w:r>
        <w:rPr>
          <w:rFonts w:ascii="Arial" w:cs="Arial" w:eastAsia="Arial" w:hAnsi="Arial"/>
          <w:sz w:val="16"/>
          <w:szCs w:val="16"/>
          <w:color w:val="auto"/>
        </w:rPr>
        <w:t xml:space="preserve"> Subject to the requirements of applicable law, any monies deposited with or paid to the Trustees for payment of the principal of or interest on Notes and not applied but remaining unclaimed by the holders of Notes for two years after the date upon which the principal of or interest on such Notes, as the case may be, shall have become due and payable, shall be repaid to the Issuer by the Trustee on demand and all liability of the Trustees shall thereupon cease with respect to such monies; and the holder of any of the Notes shall thereafter look only to the Issuer for any payment that such holder may be entitled to collect unless an applicable abandoned property law designates another Person.</w:t>
      </w:r>
    </w:p>
    <w:p>
      <w:pPr>
        <w:spacing w:after="0" w:line="17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Reinstatement.</w:t>
      </w:r>
      <w:r>
        <w:rPr>
          <w:rFonts w:ascii="Arial" w:cs="Arial" w:eastAsia="Arial" w:hAnsi="Arial"/>
          <w:sz w:val="18"/>
          <w:szCs w:val="18"/>
          <w:color w:val="auto"/>
        </w:rPr>
        <w:t xml:space="preserve"> If the Trustees or the paying agent are unable to apply any money in accordance with Section 13.02 by reason of any order or judgment of any court or governmental authority enjoining, restraining or otherwise prohibiting such application, the Issuer’s obligations under this Indenture and the Notes shall be revived and reinstated as though no deposit had occurred pursuant to Section 13.01 until such time as the Trustees or the paying agent are permitted to apply all such money in accordance with Section 13.02;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Issuer makes any payment of interest on or principal of any Note following the reinstatement of its obligations, the Issuer shall be subrogated to the rights of the holders of such Notes to receive such payment from the money held by the Trustees or paying agent.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OF NOTES</w:t>
      </w:r>
    </w:p>
    <w:p>
      <w:pPr>
        <w:spacing w:after="0" w:line="30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Section 14.01. </w:t>
      </w:r>
      <w:r>
        <w:rPr>
          <w:rFonts w:ascii="Arial" w:cs="Arial" w:eastAsia="Arial" w:hAnsi="Arial"/>
          <w:sz w:val="16"/>
          <w:szCs w:val="16"/>
          <w:i w:val="1"/>
          <w:iCs w:val="1"/>
          <w:color w:val="auto"/>
        </w:rPr>
        <w:t>Right to Convert.</w:t>
      </w:r>
      <w:r>
        <w:rPr>
          <w:rFonts w:ascii="Arial" w:cs="Arial" w:eastAsia="Arial" w:hAnsi="Arial"/>
          <w:sz w:val="16"/>
          <w:szCs w:val="16"/>
          <w:color w:val="auto"/>
        </w:rPr>
        <w:t xml:space="preserve"> (a) Subject to and upon compliance with the provisions of this Indenture, but subject to Section 14.04 below, at any time commencing on the first trading date on the TASE after the date on which the Notes are listed for trading on the TASE and until 5:00 p.m. (New York City time) on December , 27 , 2011, inclusive (but if such last date is not a trading day on the TASE, then the last date to convert the Notes will be the first trading day on the TASE after such date), the holder of any Note shall have the right, at such holder’s option, to convert the principal amount of the Note, in integral multiples of $1.00, into fully paid and non-assessable Ordinary Shares at the Conversion Price in effect at such time, by surrender of the Note so to be converted, together with any required funds, under the circumstances described in this Section 14.01 and in the manner provided in Section 14.02.</w:t>
      </w:r>
    </w:p>
    <w:p>
      <w:pPr>
        <w:spacing w:after="0" w:line="174" w:lineRule="exact"/>
        <w:rPr>
          <w:sz w:val="20"/>
          <w:szCs w:val="20"/>
          <w:color w:val="auto"/>
        </w:rPr>
      </w:pPr>
    </w:p>
    <w:p>
      <w:pPr>
        <w:ind w:right="240" w:firstLine="359"/>
        <w:spacing w:after="0" w:line="268"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holder of Notes is not entitled to any rights of a holder of Ordinary Shares until such holder has converted his Notes to Ordinary Shares, and only to the extent such Notes are deemed to have been converted to Ordinary Shares under this Article 14.</w:t>
      </w:r>
    </w:p>
    <w:p>
      <w:pPr>
        <w:spacing w:after="0" w:line="185" w:lineRule="exact"/>
        <w:rPr>
          <w:rFonts w:ascii="Arial" w:cs="Arial" w:eastAsia="Arial" w:hAnsi="Arial"/>
          <w:sz w:val="18"/>
          <w:szCs w:val="18"/>
          <w:color w:val="auto"/>
        </w:rPr>
      </w:pPr>
    </w:p>
    <w:p>
      <w:pPr>
        <w:ind w:right="120" w:firstLine="359"/>
        <w:spacing w:after="0" w:line="268" w:lineRule="auto"/>
        <w:tabs>
          <w:tab w:leader="none" w:pos="5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accrued interest will be payable by the Issuer upon the conversion of the Notes into Ordinary Shares. A holder’s right to accrued interest, if any, will be lost up conversion of the Notes into Ordinary Shares.</w:t>
      </w:r>
    </w:p>
    <w:p>
      <w:pPr>
        <w:spacing w:after="0" w:line="185" w:lineRule="exact"/>
        <w:rPr>
          <w:rFonts w:ascii="Arial" w:cs="Arial" w:eastAsia="Arial" w:hAnsi="Arial"/>
          <w:sz w:val="18"/>
          <w:szCs w:val="18"/>
          <w:color w:val="auto"/>
        </w:rPr>
      </w:pPr>
    </w:p>
    <w:p>
      <w:pPr>
        <w:ind w:right="120" w:firstLine="359"/>
        <w:spacing w:after="0" w:line="268"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Fractional shares will not be issued upon conversion of the Notes. The number of shares issuable upon conversion of the Notes will be rounded down to the nearest whole number. No payment of cash or in kind will be made in lieu of fractional shares.</w:t>
      </w:r>
    </w:p>
    <w:p>
      <w:pPr>
        <w:spacing w:after="0" w:line="186" w:lineRule="exact"/>
        <w:rPr>
          <w:sz w:val="20"/>
          <w:szCs w:val="20"/>
          <w:color w:val="auto"/>
        </w:rPr>
      </w:pPr>
    </w:p>
    <w:p>
      <w:pPr>
        <w:jc w:val="both"/>
        <w:ind w:right="20" w:firstLine="351"/>
        <w:spacing w:after="0" w:line="291" w:lineRule="auto"/>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i w:val="1"/>
          <w:iCs w:val="1"/>
          <w:color w:val="auto"/>
        </w:rPr>
        <w:t>Exercise of Conversion Privilege; Issuance of Ordinary Shares on Conversion; No Adjustment for Interest.</w:t>
      </w:r>
      <w:r>
        <w:rPr>
          <w:rFonts w:ascii="Arial" w:cs="Arial" w:eastAsia="Arial" w:hAnsi="Arial"/>
          <w:sz w:val="16"/>
          <w:szCs w:val="16"/>
          <w:color w:val="auto"/>
        </w:rPr>
        <w:t xml:space="preserve"> In order to exercise the conversion privilege with respect to any Note in certificated form, the Issuer must receive at the office or agency of the Issuer maintained for that purpose or, at the option of such holder, the Corporate Trust Office, such Note with the original or facsimile of the form entitled “</w:t>
      </w:r>
      <w:r>
        <w:rPr>
          <w:rFonts w:ascii="Arial" w:cs="Arial" w:eastAsia="Arial" w:hAnsi="Arial"/>
          <w:sz w:val="16"/>
          <w:szCs w:val="16"/>
          <w:b w:val="1"/>
          <w:bCs w:val="1"/>
          <w:color w:val="auto"/>
        </w:rPr>
        <w:t>Conversion Notice</w:t>
      </w:r>
      <w:r>
        <w:rPr>
          <w:rFonts w:ascii="Arial" w:cs="Arial" w:eastAsia="Arial" w:hAnsi="Arial"/>
          <w:sz w:val="16"/>
          <w:szCs w:val="16"/>
          <w:color w:val="auto"/>
        </w:rPr>
        <w:t>” on the reverse thereof, duly completed and manually signed, together with such Notes duly endorsed for transfer. Such notice shall also state the name or names (with address or addresses) in which the certificate or certificates for Ordinary Shares which shall be issuable on such conversion shall be issued, and shall be accompanied by transfer or similar taxes, if required pursuant to this Indenture.</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promptly as practicable after satisfaction of the requirements for conversion set forth above, subject to compliance with any restrictions on transfer if shares issuable on conversion are to be issued in a name other than that of the Noteholder (as if such transfer were a transfer of the Note or Notes so converted), the Issuer shall issue and shall deliver to such Noteholder at the office or agency maintained by the Issuer for such purpose pursuant to Section 4.02, a certificate or certificates for the number of full Ordinary Shares issuable upon the conversion of such Note as determined by the Issuer in accordance with the provisions of this Article 14, calculated by the Issuer as provided in Section 14.03.</w:t>
      </w:r>
    </w:p>
    <w:p>
      <w:pPr>
        <w:spacing w:after="0" w:line="1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Each conversion shall be deemed to have been effected as to any such Note on the date on which the requirements set forth above in this Section 14.02 have been satisfied as to such Note, and the Person in whose name any certificate or certificates for Ordinary Shares shall be issuable upon such conversion shall be deemed to have become on said date the holder of record of the shares represented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surrender on any date when the stock transfer books of the Issuer shall be closed shall constitute the Person in whose name the certificates are to be issued as the record holder thereof for all purposes on the next succeeding day on which such stock transfer books are open, but such conversion shall be at the Conversion Price in effect on the date upon which such Note shall be surrendered.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Upon conversion of a Note, and thereafter, no amount of principal and/or interest on account of the Note shall be payable by the Issuer.</w:t>
      </w:r>
    </w:p>
    <w:p>
      <w:pPr>
        <w:sectPr>
          <w:pgSz w:w="11900" w:h="16838" w:orient="portrait"/>
          <w:cols w:equalWidth="0" w:num="1">
            <w:col w:w="11400"/>
          </w:cols>
          <w:pgMar w:left="240" w:top="131" w:right="259" w:bottom="0" w:gutter="0" w:footer="0" w:header="0"/>
        </w:sectPr>
      </w:pPr>
    </w:p>
    <w:bookmarkStart w:id="73" w:name="page74"/>
    <w:bookmarkEnd w:id="73"/>
    <w:p>
      <w:pPr>
        <w:ind w:right="220" w:firstLine="351"/>
        <w:spacing w:after="0" w:line="323" w:lineRule="auto"/>
        <w:rPr>
          <w:sz w:val="20"/>
          <w:szCs w:val="20"/>
          <w:color w:val="auto"/>
        </w:rPr>
      </w:pPr>
      <w:r>
        <w:rPr>
          <w:rFonts w:ascii="Arial" w:cs="Arial" w:eastAsia="Arial" w:hAnsi="Arial"/>
          <w:sz w:val="15"/>
          <w:szCs w:val="15"/>
          <w:color w:val="auto"/>
        </w:rPr>
        <w:t xml:space="preserve">Section 14.03. </w:t>
      </w:r>
      <w:r>
        <w:rPr>
          <w:rFonts w:ascii="Arial" w:cs="Arial" w:eastAsia="Arial" w:hAnsi="Arial"/>
          <w:sz w:val="15"/>
          <w:szCs w:val="15"/>
          <w:i w:val="1"/>
          <w:iCs w:val="1"/>
          <w:color w:val="auto"/>
        </w:rPr>
        <w:t>Conversion Price.</w:t>
      </w:r>
      <w:r>
        <w:rPr>
          <w:rFonts w:ascii="Arial" w:cs="Arial" w:eastAsia="Arial" w:hAnsi="Arial"/>
          <w:sz w:val="15"/>
          <w:szCs w:val="15"/>
          <w:color w:val="auto"/>
        </w:rPr>
        <w:t xml:space="preserve"> Each $1.10 principal amount of the Notes shall be convertible into one Ordinary Share specified in the form of Note (herein called the “Conversion Price”) attached as Exhibit A hereto, subject to adjustment as provided in this Article 14. The adjusted Conversion Price to the debentures shall under no circumstances be lower than $0.01. Fractional shares will not be issued upon conversion of the Notes. The number of shares issuable upon conversion of the Notes will be rounded down to the nearest whole number. No payment of cash or in kind will be made in lieu of fractional shares.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14.04. </w:t>
      </w:r>
      <w:r>
        <w:rPr>
          <w:rFonts w:ascii="Arial" w:cs="Arial" w:eastAsia="Arial" w:hAnsi="Arial"/>
          <w:sz w:val="18"/>
          <w:szCs w:val="18"/>
          <w:i w:val="1"/>
          <w:iCs w:val="1"/>
          <w:color w:val="auto"/>
        </w:rPr>
        <w:t>Adjustment of Conversion Price.</w:t>
      </w:r>
      <w:r>
        <w:rPr>
          <w:rFonts w:ascii="Arial" w:cs="Arial" w:eastAsia="Arial" w:hAnsi="Arial"/>
          <w:sz w:val="18"/>
          <w:szCs w:val="18"/>
          <w:color w:val="auto"/>
        </w:rPr>
        <w:t xml:space="preserve"> Except as set forth in this Section 14.04 below, the Conversion Price will be adjusted if:</w:t>
      </w:r>
    </w:p>
    <w:p>
      <w:pPr>
        <w:spacing w:after="0" w:line="225" w:lineRule="exact"/>
        <w:rPr>
          <w:sz w:val="20"/>
          <w:szCs w:val="20"/>
          <w:color w:val="auto"/>
        </w:rPr>
      </w:pPr>
    </w:p>
    <w:p>
      <w:pPr>
        <w:ind w:left="1160" w:right="160" w:hanging="571"/>
        <w:spacing w:after="0" w:line="290" w:lineRule="auto"/>
        <w:tabs>
          <w:tab w:leader="none" w:pos="11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event that by December 20 , 2006, the Issuer consummates one or more financings (excluding the offering under which the Notes were issued) in which the Issuer receives gross proceeds from each such financing that equal or exceed $5 million, the Conversion Price of the Notes will be adjusted to 90% of the lowest price per share (as calculated below) at which the Issuer sold securities in any one of these financings, provided that the lowest price per share at which the Issuer sold securities in any one of these financings is lower than the original Conversion Price. The Issuer shall issue a press release, with a copy to the Trustee and Co-Trustee, to announce the adjusted Conversion Price on the fifth TASE Trading Day after December 20 , 2006 and the adjustment will take effect on the first TASE Trading Day following the twenty-first day after the date of the press release.</w:t>
      </w:r>
    </w:p>
    <w:p>
      <w:pPr>
        <w:spacing w:after="0" w:line="199" w:lineRule="exact"/>
        <w:rPr>
          <w:rFonts w:ascii="Arial" w:cs="Arial" w:eastAsia="Arial" w:hAnsi="Arial"/>
          <w:sz w:val="16"/>
          <w:szCs w:val="16"/>
          <w:color w:val="auto"/>
        </w:rPr>
      </w:pPr>
    </w:p>
    <w:p>
      <w:pPr>
        <w:ind w:left="1160" w:right="20" w:hanging="571"/>
        <w:spacing w:after="0" w:line="288" w:lineRule="auto"/>
        <w:tabs>
          <w:tab w:leader="none" w:pos="11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In the event that by December 20 , 2006, the Issuer does not receive in any one financing (excluding the offering under which the Notes were issued) gross proceeds that equal or exceed $5 million, but executes prior to December 20 , 2006, one or more agreements relating to transactions which have not closed, letters of intent, memorandums of understanding or similar agreements or understandings, for a proposed financing or financings, which have not been abandoned prior to December 20 , 2006, and the Issuer receives in any one of these financings gross proceeds that equal or exceed $5 million by June 20 , 2007, then, the Conversion Price will be adjusted to 90% of the lowest price per share (as calculated below) at which the Issuer sold securities in any of these financings,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lowest price per share at which the Issuer sold securities in any one of these financings is lower than the original Conversion Price. The Issuer shall issue a press release, with a copy to the Trustee and Co-Trustee, to announce the adjusted Conversion Price on the fifth TASE Trading Day after June 20 , 2007 and the adjustment will take effect on the first TASE Trading Day following the twenty-first day after the date of the press release.</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“financing” for purposes of adjustments to the Conversion Price means:</w:t>
      </w:r>
    </w:p>
    <w:p>
      <w:pPr>
        <w:spacing w:after="0" w:line="279" w:lineRule="exact"/>
        <w:rPr>
          <w:sz w:val="20"/>
          <w:szCs w:val="20"/>
          <w:color w:val="auto"/>
        </w:rPr>
      </w:pPr>
    </w:p>
    <w:p>
      <w:pPr>
        <w:ind w:left="1160" w:right="640" w:hanging="571"/>
        <w:spacing w:after="0" w:line="268" w:lineRule="auto"/>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sale of the Issuer’s Ordinary Shares, warrants or additional convertible debentures, other than employee options, existing outstanding warrants, employee options, convertible debentures or other rights; and</w:t>
      </w:r>
    </w:p>
    <w:p>
      <w:pPr>
        <w:spacing w:after="0" w:line="212" w:lineRule="exact"/>
        <w:rPr>
          <w:rFonts w:ascii="Arial" w:cs="Arial" w:eastAsia="Arial" w:hAnsi="Arial"/>
          <w:sz w:val="18"/>
          <w:szCs w:val="18"/>
          <w:color w:val="auto"/>
        </w:rPr>
      </w:pPr>
    </w:p>
    <w:p>
      <w:pPr>
        <w:ind w:left="1160" w:right="120" w:hanging="571"/>
        <w:spacing w:after="0" w:line="268" w:lineRule="auto"/>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conversion of existing debt of the Issuer into equity, other than the conversion of existing wafer credits into the Issuer’s Ordinary Shares and existing convertible debentures.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Issuer shall calculate the price per share for the purposes of the adjustment to the Conversion Price as follows:</w:t>
      </w:r>
    </w:p>
    <w:p>
      <w:pPr>
        <w:spacing w:after="0" w:line="279" w:lineRule="exact"/>
        <w:rPr>
          <w:sz w:val="20"/>
          <w:szCs w:val="20"/>
          <w:color w:val="auto"/>
        </w:rPr>
      </w:pPr>
    </w:p>
    <w:p>
      <w:pPr>
        <w:ind w:left="1160" w:right="80" w:hanging="571"/>
        <w:spacing w:after="0" w:line="268" w:lineRule="auto"/>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in the financing or financings the Issuer issues only Ordinary Shares, the price per share for the purposes of calculating the adjustment will be the price per Ordinary Share in the financing or financings.</w:t>
      </w:r>
    </w:p>
    <w:p>
      <w:pPr>
        <w:spacing w:after="0" w:line="212" w:lineRule="exact"/>
        <w:rPr>
          <w:rFonts w:ascii="Arial" w:cs="Arial" w:eastAsia="Arial" w:hAnsi="Arial"/>
          <w:sz w:val="18"/>
          <w:szCs w:val="18"/>
          <w:color w:val="auto"/>
        </w:rPr>
      </w:pPr>
    </w:p>
    <w:p>
      <w:pPr>
        <w:ind w:left="1160" w:right="160" w:hanging="571"/>
        <w:spacing w:after="0" w:line="298" w:lineRule="auto"/>
        <w:tabs>
          <w:tab w:leader="none" w:pos="11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in the financing or financings the Issuer issues only convertible debentures, the price per share for the purposes of calculating the adjustment will be the result of dividing the purchase price of the debentures issued in the financing or financings less the present value of the cumulative amount of interest payable prior to the last conversion date of the debentures issued in the financing or financings, by the number of Ordinary Shares issuable upon conversion of the debentures issued in the financing or financings.</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5620" w:hanging="96"/>
        <w:spacing w:after="0"/>
        <w:tabs>
          <w:tab w:leader="none" w:pos="5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39 -</w:t>
      </w:r>
    </w:p>
    <w:p>
      <w:pPr>
        <w:spacing w:after="0" w:line="346" w:lineRule="exact"/>
        <w:rPr>
          <w:rFonts w:ascii="Arial" w:cs="Arial" w:eastAsia="Arial" w:hAnsi="Arial"/>
          <w:sz w:val="18"/>
          <w:szCs w:val="18"/>
          <w:color w:val="auto"/>
        </w:rPr>
      </w:pPr>
    </w:p>
    <w:p>
      <w:pPr>
        <w:jc w:val="both"/>
        <w:ind w:left="1160" w:right="320" w:hanging="571"/>
        <w:spacing w:after="0" w:line="259" w:lineRule="auto"/>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in the financing or financings the Issuer issues only warrants, the price per share for the purposes of calculating the adjustment will be the purchase price of the warrants less the difference between the economic value of the warrants and the purchase price of the warrants, plus the present value of the exercise price of the warrants.</w:t>
      </w:r>
    </w:p>
    <w:p>
      <w:pPr>
        <w:spacing w:after="0" w:line="221" w:lineRule="exact"/>
        <w:rPr>
          <w:rFonts w:ascii="Arial" w:cs="Arial" w:eastAsia="Arial" w:hAnsi="Arial"/>
          <w:sz w:val="18"/>
          <w:szCs w:val="18"/>
          <w:color w:val="auto"/>
        </w:rPr>
      </w:pPr>
    </w:p>
    <w:p>
      <w:pPr>
        <w:ind w:left="1160" w:right="140" w:hanging="571"/>
        <w:spacing w:after="0" w:line="306" w:lineRule="auto"/>
        <w:tabs>
          <w:tab w:leader="none" w:pos="11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in the financing or financings the Issuer issues units consisting of Ordinary Shares and warrants, the price per share for the purposes of calculating the adjustment will be the result of dividing the purchase price per unit in the financing or financings, less the economic value of the warrants, by the number of Ordinary Shares in each unit (not including the number of Ordinary Shares issuable upon exercise of the warrants).</w:t>
      </w:r>
    </w:p>
    <w:p>
      <w:pPr>
        <w:spacing w:after="0" w:line="187" w:lineRule="exact"/>
        <w:rPr>
          <w:rFonts w:ascii="Arial" w:cs="Arial" w:eastAsia="Arial" w:hAnsi="Arial"/>
          <w:sz w:val="16"/>
          <w:szCs w:val="16"/>
          <w:color w:val="auto"/>
        </w:rPr>
      </w:pPr>
    </w:p>
    <w:p>
      <w:pPr>
        <w:ind w:left="1160" w:right="60" w:hanging="571"/>
        <w:spacing w:after="0" w:line="294" w:lineRule="auto"/>
        <w:tabs>
          <w:tab w:leader="none" w:pos="11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in the financing or financings the Issuer issues units consisting of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Ordinary Shares in each unit issuable upon conversion of the debentures issued in the financing or financings, but not including the number of Ordinary Shares issuable upon exercise of the warrants.</w:t>
      </w:r>
    </w:p>
    <w:p>
      <w:pPr>
        <w:spacing w:after="0" w:line="196" w:lineRule="exact"/>
        <w:rPr>
          <w:rFonts w:ascii="Arial" w:cs="Arial" w:eastAsia="Arial" w:hAnsi="Arial"/>
          <w:sz w:val="16"/>
          <w:szCs w:val="16"/>
          <w:color w:val="auto"/>
        </w:rPr>
      </w:pPr>
    </w:p>
    <w:p>
      <w:pPr>
        <w:ind w:left="1160" w:right="40" w:hanging="571"/>
        <w:spacing w:after="0" w:line="255" w:lineRule="auto"/>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in the financing or financings the Issuer issues units consisting of Ordinary Shares and convertible debentures, the price per share for the purposes of calculating the adjustment will be the result of dividing the purchase price per unit in the financing or financings, less the present value of the cumulative amount of interest payable prior to the last conversion date of the debentures issued in the financing or financings, by the number of Ordinary Shares in each unit including the number of Ordinary Shares issuable upon conversion of the debentures issued in the financing or financings.</w:t>
      </w:r>
    </w:p>
    <w:p>
      <w:pPr>
        <w:spacing w:after="0" w:line="223" w:lineRule="exact"/>
        <w:rPr>
          <w:rFonts w:ascii="Arial" w:cs="Arial" w:eastAsia="Arial" w:hAnsi="Arial"/>
          <w:sz w:val="18"/>
          <w:szCs w:val="18"/>
          <w:color w:val="auto"/>
        </w:rPr>
      </w:pPr>
    </w:p>
    <w:p>
      <w:pPr>
        <w:ind w:left="1160" w:hanging="571"/>
        <w:spacing w:after="0" w:line="298" w:lineRule="auto"/>
        <w:tabs>
          <w:tab w:leader="none" w:pos="11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in the financing or financings the Issuer issues units consisting of Ordinary Shares,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Ordinary Shares in each unit including the number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-3491865</wp:posOffset>
            </wp:positionV>
            <wp:extent cx="72504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74" w:name="page75"/>
    <w:bookmarkEnd w:id="74"/>
    <w:p>
      <w:pPr>
        <w:ind w:left="1160" w:right="120"/>
        <w:spacing w:after="0" w:line="268" w:lineRule="auto"/>
        <w:rPr>
          <w:sz w:val="20"/>
          <w:szCs w:val="20"/>
          <w:color w:val="auto"/>
        </w:rPr>
      </w:pPr>
      <w:r>
        <w:rPr>
          <w:rFonts w:ascii="Arial" w:cs="Arial" w:eastAsia="Arial" w:hAnsi="Arial"/>
          <w:sz w:val="18"/>
          <w:szCs w:val="18"/>
          <w:color w:val="auto"/>
        </w:rPr>
        <w:t>issuable upon conversion of the debentures issued in the financing or financings, but not including the number of Ordinary Shares issuable upon exercise of the warrants.</w:t>
      </w:r>
    </w:p>
    <w:p>
      <w:pPr>
        <w:spacing w:after="0" w:line="200" w:lineRule="exact"/>
        <w:rPr>
          <w:sz w:val="20"/>
          <w:szCs w:val="20"/>
          <w:color w:val="auto"/>
        </w:rPr>
      </w:pPr>
    </w:p>
    <w:p>
      <w:pPr>
        <w:spacing w:after="0" w:line="22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For the purposes of the adjustments set forth above, the “economic value” of the warrants will be calculated according to the Black and Scholes model as set forth in the TASE Rules for registered companies based on the average closing price of the Issuer’s Ordinary Shares on NASDAQ (or such other stock exchange or quotation system on which the Issuer’s Ordinary Shares are listed in that the event that they cease to be traded on NASDAQ) during the 15 consecutive trading days immediately prior to the date on which the financing agreement is signed. The interest rate for this calculation will be the interest rate as published by the TASE on the date of the relevant financing.</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For the purposes of the adjustments set forth above, the “present value” will be calculated using the interest rate then applicable to the long term loans (more than 12 months maturity) under the Credit Facility. In the event that the financing or financings is denominated in a currency other than United States dollars, the amounts in the financing or financings will be converted to United States dollars according to the last known exchange rate on the date of the consummation of the relevant financing.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14.05. </w:t>
      </w:r>
      <w:r>
        <w:rPr>
          <w:rFonts w:ascii="Arial" w:cs="Arial" w:eastAsia="Arial" w:hAnsi="Arial"/>
          <w:sz w:val="18"/>
          <w:szCs w:val="18"/>
          <w:i w:val="1"/>
          <w:iCs w:val="1"/>
          <w:color w:val="auto"/>
        </w:rPr>
        <w:t>Effect of Reclassification, Consolidation, Merger, Bonus Shares, Rights Offerings.</w:t>
      </w:r>
    </w:p>
    <w:p>
      <w:pPr>
        <w:spacing w:after="0" w:line="225" w:lineRule="exact"/>
        <w:rPr>
          <w:sz w:val="20"/>
          <w:szCs w:val="20"/>
          <w:color w:val="auto"/>
        </w:rPr>
      </w:pPr>
    </w:p>
    <w:p>
      <w:pPr>
        <w:ind w:left="1160" w:right="140" w:hanging="571"/>
        <w:spacing w:after="0" w:line="294" w:lineRule="auto"/>
        <w:tabs>
          <w:tab w:leader="none" w:pos="11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the Issuer shall effect a subdivision or consolidation of its Ordinary Shares into a greater or lesser number of Ordinary Shares (by reclassification, stock split, reverse stock split or otherwise than by payment of a dividend in Ordinary Shares) then, upon conversion of Notes following the record date for the determination of holders of Ordinary Shares to be affected by such subdivision or consolidation, the number of Ordinary Shares issuable upon the conversion of each Note will be increased or decreased, as the case may be, by such number of Ordinary Shares that would have been received if such Note had been converted on the record date fixed for such subdivision or consolidation.</w:t>
      </w:r>
    </w:p>
    <w:p>
      <w:pPr>
        <w:spacing w:after="0" w:line="196" w:lineRule="exact"/>
        <w:rPr>
          <w:rFonts w:ascii="Arial" w:cs="Arial" w:eastAsia="Arial" w:hAnsi="Arial"/>
          <w:sz w:val="16"/>
          <w:szCs w:val="16"/>
          <w:color w:val="auto"/>
        </w:rPr>
      </w:pPr>
    </w:p>
    <w:p>
      <w:pPr>
        <w:ind w:left="1160" w:hanging="571"/>
        <w:spacing w:after="0" w:line="256" w:lineRule="auto"/>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Issuer shall effect a distribution of bonus Ordinary Shares then, upon conversion of Notes following the record date for the determination of holders of Ordinary Shares entitled to the bonus share distribution, the number of Ordinary Shares issuable upon the conversion of each Note will be increased by such number of Ordinary Shares that would have been received if such Note had been converted on the record date fixed for the bonus share distribution.</w:t>
      </w:r>
    </w:p>
    <w:p>
      <w:pPr>
        <w:spacing w:after="0" w:line="224" w:lineRule="exact"/>
        <w:rPr>
          <w:rFonts w:ascii="Arial" w:cs="Arial" w:eastAsia="Arial" w:hAnsi="Arial"/>
          <w:sz w:val="18"/>
          <w:szCs w:val="18"/>
          <w:color w:val="auto"/>
        </w:rPr>
      </w:pPr>
    </w:p>
    <w:p>
      <w:pPr>
        <w:ind w:left="1160" w:right="140" w:hanging="571"/>
        <w:spacing w:after="0" w:line="291" w:lineRule="auto"/>
        <w:tabs>
          <w:tab w:leader="none" w:pos="11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the event of the Issuer shall consummate a rights offering to its shareholders of any type of its securities prior to the conversion of the Notes, the number of Ordinary Shares issuable upon the conversion of the Notes shall be adjusted to take into account the element of economic benefit in the future rights offering as is represented by the ratio between the price per share of the Issuer’s Ordinary Shares on the effective date of the future rights offering and the opening price per share of the Issuer’s Ordinary Shares that is established by the TASE on the following TASE Trading Day. If the TASE does not establish an opening price per share of the Issuer’s Ordinary Shares, no adjustment in the number of shares issuable upon conversion of the Notes will be made with respect to such future rights offering.</w:t>
      </w:r>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ind w:left="5620" w:hanging="96"/>
        <w:spacing w:after="0"/>
        <w:tabs>
          <w:tab w:leader="none" w:pos="56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41 -</w:t>
      </w:r>
    </w:p>
    <w:p>
      <w:pPr>
        <w:spacing w:after="0" w:line="346" w:lineRule="exact"/>
        <w:rPr>
          <w:rFonts w:ascii="Arial" w:cs="Arial" w:eastAsia="Arial" w:hAnsi="Arial"/>
          <w:sz w:val="18"/>
          <w:szCs w:val="18"/>
          <w:color w:val="auto"/>
        </w:rPr>
      </w:pPr>
    </w:p>
    <w:p>
      <w:pPr>
        <w:ind w:left="1160" w:right="40" w:hanging="571"/>
        <w:spacing w:after="0" w:line="254" w:lineRule="auto"/>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event of a consolidation or merger of the Issuer with another Person as a result of which the Issuer is not the surviving Person, the Issuer shall provide notice to the Trustees prior to the date of consummation of such consolidation or merger. Notes which are not converted prior to the date of consummation of such consolidation or merger shall no longer be convertible. The surviving Person shall execute with the Trustee a supplemental indenture (which shall comply with the Trust Indenture Act as in force at the date of execution of such supplemental indenture) providing that each Note shall continue to hold such rights and/or privileges with respect to payment of interest and/or principal from the surviving Person as further set forth in section 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-933450</wp:posOffset>
            </wp:positionV>
            <wp:extent cx="72504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Issuer shall cause notice of the execution of such supplemental indenture to be mailed to each holder of Notes, at its address appearing on the Note register provided for in Section 2.05 of this Indenture, within twenty (20) days after execution thereof. Failure to deliver such notice shall not affect the legality or validity of such supplemental indenture.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above provisions of this Section shall similarly apply to successive reclassifications, consolidations, mergers and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Section 14.05(d) applies, thereafter, the adjustments under Section 14.04 shall no longer apply.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14.06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Section 14.07. </w:t>
      </w:r>
      <w:r>
        <w:rPr>
          <w:rFonts w:ascii="Arial" w:cs="Arial" w:eastAsia="Arial" w:hAnsi="Arial"/>
          <w:sz w:val="16"/>
          <w:szCs w:val="16"/>
          <w:i w:val="1"/>
          <w:iCs w:val="1"/>
          <w:color w:val="auto"/>
        </w:rPr>
        <w:t>Taxes on Shares Issued.</w:t>
      </w:r>
      <w:r>
        <w:rPr>
          <w:rFonts w:ascii="Arial" w:cs="Arial" w:eastAsia="Arial" w:hAnsi="Arial"/>
          <w:sz w:val="16"/>
          <w:szCs w:val="16"/>
          <w:color w:val="auto"/>
        </w:rPr>
        <w:t xml:space="preserve"> The issue of stock certificates on conversions of Notes shall be made without charge to the converting Noteholder for any documentary, stamp or similar issue or transfer tax in respect of the issue thereof. The Issuer shall not, however, be required to pay any such tax which may be payable in respect of any transfer involved in the issue and delivery of stock in any name other than that of the holder of any Note converted, and the Issuer shall not be required to issue or deliver any such stock certificate unless and until the Person or Persons requesting the issue thereof shall have paid to the Issuer the amount of such tax or shall have established to the satisfaction of the Issuer that such tax has been paid.</w:t>
      </w:r>
    </w:p>
    <w:p>
      <w:pPr>
        <w:spacing w:after="0" w:line="170"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 xml:space="preserve">Section 14.08. </w:t>
      </w:r>
      <w:r>
        <w:rPr>
          <w:rFonts w:ascii="Arial" w:cs="Arial" w:eastAsia="Arial" w:hAnsi="Arial"/>
          <w:sz w:val="18"/>
          <w:szCs w:val="18"/>
          <w:i w:val="1"/>
          <w:iCs w:val="1"/>
          <w:color w:val="auto"/>
        </w:rPr>
        <w:t>Reservation of Shares, Shares to Be Fully Paid; Compliance with Governmental Requirements; Listing of Ordinary Shares.</w:t>
      </w:r>
      <w:r>
        <w:rPr>
          <w:rFonts w:ascii="Arial" w:cs="Arial" w:eastAsia="Arial" w:hAnsi="Arial"/>
          <w:sz w:val="18"/>
          <w:szCs w:val="18"/>
          <w:color w:val="auto"/>
        </w:rPr>
        <w:t xml:space="preserve"> The Issuer shall provide, free from preemptive rights, out of its authorized but unissued shares or shares held in treasury, sufficient Ordinary Shares to provide for the conversion of the Notes from time to time as such Notes are presented for conversion.</w:t>
      </w:r>
    </w:p>
    <w:p>
      <w:pPr>
        <w:spacing w:after="0" w:line="19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Upon taking any action which would cause an adjustment to the Conversion Price to an amount that would cause the Conversion Price to be reduced below the then par value, if any, of the Ordinary Shares issuable upon conversion of the Notes, the Issuer will take all corporate action which may, in the opinion of its counsel, be necessary in order that the Issuer may validly and legally issue Ordinary Shares at such adjusted Conversion Price.</w:t>
      </w:r>
    </w:p>
    <w:p>
      <w:pPr>
        <w:spacing w:after="0" w:line="1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Issuer covenants that all Ordinary Shares which may be issued upon conversion of Notes will upon issue be fully paid and non-assessable by the Issuer and free from all taxes, liens and charges with respect to the issue thereof.</w:t>
      </w:r>
    </w:p>
    <w:p>
      <w:pPr>
        <w:sectPr>
          <w:pgSz w:w="11900" w:h="16838" w:orient="portrait"/>
          <w:cols w:equalWidth="0" w:num="1">
            <w:col w:w="11400"/>
          </w:cols>
          <w:pgMar w:left="240" w:top="131" w:right="259" w:bottom="0" w:gutter="0" w:footer="0" w:header="0"/>
        </w:sectPr>
      </w:pPr>
    </w:p>
    <w:bookmarkStart w:id="75" w:name="page76"/>
    <w:bookmarkEnd w:id="75"/>
    <w:p>
      <w:pPr>
        <w:spacing w:after="0" w:line="256" w:lineRule="auto"/>
        <w:rPr>
          <w:sz w:val="20"/>
          <w:szCs w:val="20"/>
          <w:color w:val="auto"/>
        </w:rPr>
      </w:pPr>
      <w:r>
        <w:rPr>
          <w:rFonts w:ascii="Arial" w:cs="Arial" w:eastAsia="Arial" w:hAnsi="Arial"/>
          <w:sz w:val="18"/>
          <w:szCs w:val="18"/>
          <w:color w:val="auto"/>
        </w:rPr>
        <w:t>The Issuer covenants that, if any Ordinary Shares to be provided for the purpose of conversion of Notes hereunder require registration with or approval of any governmental authority under any federal or state law before such shares may be validly issued upon conversion, the Issuer will in good faith and as expeditiously as possible, to the extent then permitted by the rules and interpretations of the Commission (or any successor thereto), endeavor to secure such registration or approval, as the case may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 Issuer further covenants that, if at any time the Ordinary Shares shall be listed on the NASDAQ National Market and the TASE or any other national securities exchange or automated quotation system, the Issuer will, if permitted by the rules of such exchange or automated quotation system, list and keep listed, so long as the Ordinary Shares shall be so listed on such exchange or automated quotation system, all Ordinary Shares issuable upon conversion of the Notes;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rules of such exchange or automated quotation system permit the Issuer to defer the listing of such Ordinary Shares until the first conversion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Notes into Ordinary Shares in accordance with the provisions of this Indenture, the Issuer covenants to list such Ordinary Shares issuable upon conversion of the Notes in accordance with the requirements of such exchange or automated quotation system at such time.</w:t>
      </w:r>
    </w:p>
    <w:p>
      <w:pPr>
        <w:spacing w:after="0" w:line="17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Section 14.09. </w:t>
      </w:r>
      <w:r>
        <w:rPr>
          <w:rFonts w:ascii="Arial" w:cs="Arial" w:eastAsia="Arial" w:hAnsi="Arial"/>
          <w:sz w:val="16"/>
          <w:szCs w:val="16"/>
          <w:i w:val="1"/>
          <w:iCs w:val="1"/>
          <w:color w:val="auto"/>
        </w:rPr>
        <w:t>Responsibility of Trustees.</w:t>
      </w:r>
      <w:r>
        <w:rPr>
          <w:rFonts w:ascii="Arial" w:cs="Arial" w:eastAsia="Arial" w:hAnsi="Arial"/>
          <w:sz w:val="16"/>
          <w:szCs w:val="16"/>
          <w:color w:val="auto"/>
        </w:rPr>
        <w:t xml:space="preserve"> The Trustees and any other conversion agent shall not at any time be under any duty or responsibility to any holder of Notes to determine the Conversion Price or whether any facts exist which may require any adjustment of the Conversion Price, or with respect to the nature or extent or calculation of any such adjustment when made, or with respect to the method employed, or herein or in any supplemental indenture provided to be employed, in making the same. The Trustees and any other conversion agent shall not be accountable with respect to the validity or value (or the kind or amount) of any Ordinary Shares, or of any securities or property, which may at any time be issued or delivered upon the conversion of any Note; and the Trustees and any other conversion agent make no representations with respect thereto. Neither the Trustees nor any conversion agent shall be responsible for any failure of the Issuer to issue, transfer or deliver any Ordinary Shares or stock certificates or other securities or property or cash upon the surrender of any Note for the purpose of conversion or to comply with any of the duties, responsibilities or covenants of the Issuer contained in this Article 14. Without limiting the generality of the foregoing, neither the Trustees nor any conversion agent shall be under any responsibility to determine the correctness of any provisions contained in any supplemental indenture entered into pursuant to Section 14.05 relating to any adjustment to be made with respect thereto, but, subject to the provisions of Section 7.01, may accept as conclusive evidence of the correctness of any such provisions, and shall be protected in relying upon, the Officers’ Certificate (which the Issuer shall be obligated to file with the Trustees prior to the execution of any such supplemental indenture) with respect thereto.</w:t>
      </w:r>
    </w:p>
    <w:p>
      <w:pPr>
        <w:spacing w:after="0" w:line="178"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 xml:space="preserve">Section 14.10. </w:t>
      </w:r>
      <w:r>
        <w:rPr>
          <w:rFonts w:ascii="Arial" w:cs="Arial" w:eastAsia="Arial" w:hAnsi="Arial"/>
          <w:sz w:val="16"/>
          <w:szCs w:val="16"/>
          <w:i w:val="1"/>
          <w:iCs w:val="1"/>
          <w:color w:val="auto"/>
        </w:rPr>
        <w:t>Notice to Holders Prior to Certain Actions.</w:t>
      </w:r>
      <w:r>
        <w:rPr>
          <w:rFonts w:ascii="Arial" w:cs="Arial" w:eastAsia="Arial" w:hAnsi="Arial"/>
          <w:sz w:val="16"/>
          <w:szCs w:val="16"/>
          <w:color w:val="auto"/>
        </w:rPr>
        <w:t xml:space="preserve"> In case of the taking of any of the actions listed in Section 14.05 above or of the voluntary or involuntary dissolution, liquidation or winding up of the Issuer, the Issuer shall cause to be filed with the Trustees and to be mailed to each holder of Notes at his address appearing on the Note register provided for in Section 2.05 of this Indenture, as promptly as possible but in any event at least ten (10) days prior to the applicable date hereinafter specified, a notice stating (x) the date on which a record is to be taken for the purpose of such distribution of bonus shares, or rights offering, or, if a record is not to be taken, the date as of which the holders of Ordinary Shares of record to be entitled to such bonus shares, or to participate in such rights offering are to be determined, or (y) the date on which such, consolidation, merger dissolution, liquidation or winding up is expected to become effective or occur. Failure to give such notice, or any defect therein, shall not affect the legality or validity of such dividend, distribution, reclassification, consolidation, merger, dissolution, liquidation or winding up.</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30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i w:val="1"/>
          <w:iCs w:val="1"/>
          <w:color w:val="auto"/>
        </w:rPr>
        <w:t>Provisions Binding on Issuer’s Successors.</w:t>
      </w:r>
      <w:r>
        <w:rPr>
          <w:rFonts w:ascii="Arial" w:cs="Arial" w:eastAsia="Arial" w:hAnsi="Arial"/>
          <w:sz w:val="18"/>
          <w:szCs w:val="18"/>
          <w:color w:val="auto"/>
        </w:rPr>
        <w:t xml:space="preserve"> All the covenants, stipulations, promises and agreements by the Issuer contained in this Indenture shall bind its successors and assigns whether so expressed or not.</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i w:val="1"/>
          <w:iCs w:val="1"/>
          <w:color w:val="auto"/>
        </w:rPr>
        <w:t>Official Acts by Successor Corporation.</w:t>
      </w:r>
      <w:r>
        <w:rPr>
          <w:rFonts w:ascii="Arial" w:cs="Arial" w:eastAsia="Arial" w:hAnsi="Arial"/>
          <w:sz w:val="18"/>
          <w:szCs w:val="18"/>
          <w:color w:val="auto"/>
        </w:rPr>
        <w:t xml:space="preserve"> Any act or proceeding by any provision of this Indenture authorized or required to be done or performed by any board, committee or officer of the Issuer shall and may be done and performed with like force and effect by the like board, committee or officer of any Person that shall at the time be the lawful sole successor of the Issuer.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 xml:space="preserve">Section 15.03. </w:t>
      </w:r>
      <w:r>
        <w:rPr>
          <w:rFonts w:ascii="Arial" w:cs="Arial" w:eastAsia="Arial" w:hAnsi="Arial"/>
          <w:sz w:val="16"/>
          <w:szCs w:val="16"/>
          <w:i w:val="1"/>
          <w:iCs w:val="1"/>
          <w:color w:val="auto"/>
        </w:rPr>
        <w:t>Notices; Addresses for Notices, Etc.</w:t>
      </w:r>
      <w:r>
        <w:rPr>
          <w:rFonts w:ascii="Arial" w:cs="Arial" w:eastAsia="Arial" w:hAnsi="Arial"/>
          <w:sz w:val="16"/>
          <w:szCs w:val="16"/>
          <w:color w:val="auto"/>
        </w:rPr>
        <w:t xml:space="preserve"> Any notice or demand which by any provision of this Indenture is to be given by publication and/or the filing of a report with the Commission and/or the ISA, shall, if and to the extent so required by the provision of any applicable law or stock exchange rule, be mailed to each holder of Notes at his address appearing on the Note register provided for in Section 2.05 of this Indenture.</w:t>
      </w:r>
    </w:p>
    <w:p>
      <w:pPr>
        <w:spacing w:after="0" w:line="16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Any notice or demand which by any provision of this Indenture is required or permitted to be given or served by the Trustees or by the holders of Notes on the Issuer shall be deemed to have been sufficiently given or made, for all purposes, if given or served by being deposited postage prepaid by registered or certified mail in a post office letter box or sent by telecopier transmission addressed as follows: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the Issuer: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Ramat Gavriel Industrial Park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 Box 619 Migdal Haemek 23150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Attention: Chief Financial Officer</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Facsimile: +972 (0) 4-654-6510.</w:t>
      </w:r>
    </w:p>
    <w:p>
      <w:pPr>
        <w:spacing w:after="0" w:line="21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Any notice, direction, request or demand hereunder to or upon the Trustees shall be deemed to have been sufficiently given or made, for all purposes, if given or served by being deposited, postage prepaid, by registered or certified mail in a post office letter box or sent by telecopier transmission addressed as follows: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Bank of New York</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Canada Square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London E14 5AL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United Kingdom</w:t>
      </w:r>
    </w:p>
    <w:p>
      <w:pPr>
        <w:sectPr>
          <w:pgSz w:w="11900" w:h="16838" w:orient="portrait"/>
          <w:cols w:equalWidth="0" w:num="1">
            <w:col w:w="11400"/>
          </w:cols>
          <w:pgMar w:left="240" w:top="131" w:right="259" w:bottom="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color w:val="auto"/>
        </w:rPr>
        <w:t>Facsimile: +44 (0) 207-964 6399</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Trust Administration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Hermetic Trust (1975) Ltd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Hayarkon Street 113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 Aviv</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Facsimile: +972 (0) 3-527 1736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Dan Avnon, Esq.</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Trustees, by notice to the Issuer, may designate additional or different addresses for subsequent notices or communications.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Any notice or communication mailed to a Noteholder shall be mailed to him by first class mail, postage prepaid, at his address as it appears on the Note register and shall be sufficiently given to him if so mailed within the time prescribed.</w:t>
      </w:r>
    </w:p>
    <w:p>
      <w:pPr>
        <w:spacing w:after="0" w:line="18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Failure to mail a notice or communication to a Noteholder or any defect in it shall not affect its sufficiency with respect to other Noteholders. If a notice or communication is mailed in the manner provided above, it is duly given, whether or not the addressee receives it.</w:t>
      </w:r>
    </w:p>
    <w:p>
      <w:pPr>
        <w:spacing w:after="0" w:line="13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 xml:space="preserve">Section 15.04.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INDENTURE AND EACH NOTE SHALL BE DEEMED TO BE A CONTRACT MADE UNDER THE LAWS OF THE STATE OF NEW YORK, AND FOR ALL PURPOSES SHALL BE CONSTRUED IN ACCORDANCE WITH THE LAWS OF THE STATE OF NEW YORK.</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i w:val="1"/>
          <w:iCs w:val="1"/>
          <w:color w:val="auto"/>
        </w:rPr>
        <w:t>Evidence of Compliance with Conditions Precedent, Certificates to Trustees.</w:t>
      </w:r>
      <w:r>
        <w:rPr>
          <w:rFonts w:ascii="Arial" w:cs="Arial" w:eastAsia="Arial" w:hAnsi="Arial"/>
          <w:sz w:val="18"/>
          <w:szCs w:val="18"/>
          <w:color w:val="auto"/>
        </w:rPr>
        <w:t xml:space="preserve"> Upon any application or demand by the Issuer to the Trustees to take any action under any of the provisions of this Indenture, the Issuer shall furnish to the Trustees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Each certificate or opinion provided for in this Indenture and delivered to the Trustees with respect to compliance with a condition or covenant provided for in this Indenture shall include: (1) a statement that the person making such certificate or opinion has read such covenant or condition; (2) a brief statement as to the nature and scope of the examination or investigation upon which the statement or opinion contained in such certificate or opinion is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98" w:lineRule="exact"/>
        <w:rPr>
          <w:sz w:val="20"/>
          <w:szCs w:val="20"/>
          <w:color w:val="auto"/>
        </w:rPr>
      </w:pPr>
    </w:p>
    <w:p>
      <w:pPr>
        <w:jc w:val="both"/>
        <w:ind w:right="120" w:firstLine="351"/>
        <w:spacing w:after="0" w:line="335" w:lineRule="auto"/>
        <w:rPr>
          <w:sz w:val="20"/>
          <w:szCs w:val="20"/>
          <w:color w:val="auto"/>
        </w:rPr>
      </w:pPr>
      <w:r>
        <w:rPr>
          <w:rFonts w:ascii="Arial" w:cs="Arial" w:eastAsia="Arial" w:hAnsi="Arial"/>
          <w:sz w:val="15"/>
          <w:szCs w:val="15"/>
          <w:color w:val="auto"/>
        </w:rPr>
        <w:t xml:space="preserve">Section 15.06. </w:t>
      </w:r>
      <w:r>
        <w:rPr>
          <w:rFonts w:ascii="Arial" w:cs="Arial" w:eastAsia="Arial" w:hAnsi="Arial"/>
          <w:sz w:val="15"/>
          <w:szCs w:val="15"/>
          <w:i w:val="1"/>
          <w:iCs w:val="1"/>
          <w:color w:val="auto"/>
        </w:rPr>
        <w:t>Legal Holidays.</w:t>
      </w:r>
      <w:r>
        <w:rPr>
          <w:rFonts w:ascii="Arial" w:cs="Arial" w:eastAsia="Arial" w:hAnsi="Arial"/>
          <w:sz w:val="15"/>
          <w:szCs w:val="15"/>
          <w:color w:val="auto"/>
        </w:rPr>
        <w:t xml:space="preserve"> In any case in which the date of maturity of interest on or principal of the Notes or the redemption date of any Note will not be a Business Day, then payment of such interest on or principal of the Notes need not be made on such date, but may be made on the next succeeding Business Day with the same force and effect as if made on the date of maturity or the redemption date, and no interest shall accrue for the period from and after such date.</w:t>
      </w:r>
    </w:p>
    <w:p>
      <w:pPr>
        <w:spacing w:after="0" w:line="142"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 xml:space="preserve">Section 15.07. </w:t>
      </w:r>
      <w:r>
        <w:rPr>
          <w:rFonts w:ascii="Arial" w:cs="Arial" w:eastAsia="Arial" w:hAnsi="Arial"/>
          <w:sz w:val="16"/>
          <w:szCs w:val="16"/>
          <w:i w:val="1"/>
          <w:iCs w:val="1"/>
          <w:color w:val="auto"/>
        </w:rPr>
        <w:t>Trust Indenture Act.</w:t>
      </w:r>
      <w:r>
        <w:rPr>
          <w:rFonts w:ascii="Arial" w:cs="Arial" w:eastAsia="Arial" w:hAnsi="Arial"/>
          <w:sz w:val="16"/>
          <w:szCs w:val="16"/>
          <w:color w:val="auto"/>
        </w:rPr>
        <w:t xml:space="preserve"> This Indenture is hereby made subject to, and shall be governed by, the provisions of the Trust Indenture Act required to be part of and to govern indentures qualified under the Trust Indenture Act;If any provision hereof limits, qualifies or conflicts with another provision hereof which is required to be included in an indenture qualified under the Trust Indenture Act, such required provision shall control.</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15.08. </w:t>
      </w:r>
      <w:r>
        <w:rPr>
          <w:rFonts w:ascii="Arial" w:cs="Arial" w:eastAsia="Arial" w:hAnsi="Arial"/>
          <w:sz w:val="18"/>
          <w:szCs w:val="18"/>
          <w:i w:val="1"/>
          <w:iCs w:val="1"/>
          <w:color w:val="auto"/>
        </w:rPr>
        <w:t>No Security Interest Created.</w:t>
      </w:r>
      <w:r>
        <w:rPr>
          <w:rFonts w:ascii="Arial" w:cs="Arial" w:eastAsia="Arial" w:hAnsi="Arial"/>
          <w:sz w:val="18"/>
          <w:szCs w:val="18"/>
          <w:color w:val="auto"/>
        </w:rPr>
        <w:t xml:space="preserve"> The Notes are not secured. Nothing in this Indenture or in the Notes, expressed or implied, shall be construed to constitute a security interest under the Uniform Commercial Code or similar legislation, as now or hereafter enacted and in effect, in any jurisdiction in which property of the Issuer or its subsidiaries is located.</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Section 15.09. </w:t>
      </w:r>
      <w:r>
        <w:rPr>
          <w:rFonts w:ascii="Arial" w:cs="Arial" w:eastAsia="Arial" w:hAnsi="Arial"/>
          <w:sz w:val="18"/>
          <w:szCs w:val="18"/>
          <w:i w:val="1"/>
          <w:iCs w:val="1"/>
          <w:color w:val="auto"/>
        </w:rPr>
        <w:t>No limitation on the Issuer’s Future Financings</w:t>
      </w:r>
      <w:r>
        <w:rPr>
          <w:rFonts w:ascii="Arial" w:cs="Arial" w:eastAsia="Arial" w:hAnsi="Arial"/>
          <w:sz w:val="18"/>
          <w:szCs w:val="18"/>
          <w:color w:val="auto"/>
        </w:rPr>
        <w:t>. For the removal of doubt, it is clarified that the Issuer shall be entitled to create pledges and security interests over any of its assets, without the consent of the Trustees and/or the Noteholders, and that the Issuer shall be entitled at any time to take any credit with no limitation, to issue additional series of debentures, with any terms whatsoever as the Issuer decide, whether subordinated or senior or equal to the rights of the Noteholders hereunder.</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Section 15.10. </w:t>
      </w:r>
      <w:r>
        <w:rPr>
          <w:rFonts w:ascii="Arial" w:cs="Arial" w:eastAsia="Arial" w:hAnsi="Arial"/>
          <w:sz w:val="18"/>
          <w:szCs w:val="18"/>
          <w:i w:val="1"/>
          <w:iCs w:val="1"/>
          <w:color w:val="auto"/>
        </w:rPr>
        <w:t>Benefits of Indenture.</w:t>
      </w:r>
      <w:r>
        <w:rPr>
          <w:rFonts w:ascii="Arial" w:cs="Arial" w:eastAsia="Arial" w:hAnsi="Arial"/>
          <w:sz w:val="18"/>
          <w:szCs w:val="18"/>
          <w:color w:val="auto"/>
        </w:rPr>
        <w:t xml:space="preserve"> Nothing in this Indenture or in the Notes, express or implied, shall give to any Person, other than the parties hereto, any paying agent, any authenticating agent, any Note registrar and their successors hereunder and the holders of Notes any benefit or any legal or equitable right, remedy or claim under this Indenture.</w:t>
      </w:r>
    </w:p>
    <w:p>
      <w:pPr>
        <w:spacing w:after="0" w:line="194" w:lineRule="exact"/>
        <w:rPr>
          <w:sz w:val="20"/>
          <w:szCs w:val="20"/>
          <w:color w:val="auto"/>
        </w:rPr>
      </w:pPr>
    </w:p>
    <w:p>
      <w:pPr>
        <w:ind w:right="280" w:firstLine="351"/>
        <w:spacing w:after="0" w:line="370" w:lineRule="auto"/>
        <w:rPr>
          <w:sz w:val="20"/>
          <w:szCs w:val="20"/>
          <w:color w:val="auto"/>
        </w:rPr>
      </w:pPr>
      <w:r>
        <w:rPr>
          <w:rFonts w:ascii="Arial" w:cs="Arial" w:eastAsia="Arial" w:hAnsi="Arial"/>
          <w:sz w:val="15"/>
          <w:szCs w:val="15"/>
          <w:color w:val="auto"/>
        </w:rPr>
        <w:t xml:space="preserve">Section 15.11. </w:t>
      </w:r>
      <w:r>
        <w:rPr>
          <w:rFonts w:ascii="Arial" w:cs="Arial" w:eastAsia="Arial" w:hAnsi="Arial"/>
          <w:sz w:val="15"/>
          <w:szCs w:val="15"/>
          <w:i w:val="1"/>
          <w:iCs w:val="1"/>
          <w:color w:val="auto"/>
        </w:rPr>
        <w:t>Table of Contents, Headings, Etc.</w:t>
      </w:r>
      <w:r>
        <w:rPr>
          <w:rFonts w:ascii="Arial" w:cs="Arial" w:eastAsia="Arial" w:hAnsi="Arial"/>
          <w:sz w:val="15"/>
          <w:szCs w:val="15"/>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1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Section 15.12. </w:t>
      </w:r>
      <w:r>
        <w:rPr>
          <w:rFonts w:ascii="Arial" w:cs="Arial" w:eastAsia="Arial" w:hAnsi="Arial"/>
          <w:sz w:val="16"/>
          <w:szCs w:val="16"/>
          <w:i w:val="1"/>
          <w:iCs w:val="1"/>
          <w:color w:val="auto"/>
        </w:rPr>
        <w:t>Authenticating Agent.</w:t>
      </w:r>
      <w:r>
        <w:rPr>
          <w:rFonts w:ascii="Arial" w:cs="Arial" w:eastAsia="Arial" w:hAnsi="Arial"/>
          <w:sz w:val="16"/>
          <w:szCs w:val="16"/>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Sections 2.04, 2.05, 2.06, 2.07 and 3.02,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7.09.</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4763"/>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7" w:name="page78"/>
    <w:bookmarkEnd w:id="77"/>
    <w:p>
      <w:pPr>
        <w:ind w:right="2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7940"/>
                    </a:xfrm>
                    <a:prstGeom prst="rect">
                      <a:avLst/>
                    </a:prstGeom>
                    <a:noFill/>
                  </pic:spPr>
                </pic:pic>
              </a:graphicData>
            </a:graphic>
          </wp:anchor>
        </w:drawing>
        <w:t>Any corporation into which any authenticating agent may be merged or converted or with which it may be consolidated, or any corporation resulting from any merger, consolidation or conversion to which any authenticating agent shall be a party, or any corporation succeeding to the corporate trust business of any authenticating agent, shall be the successor of the authenticating agent hereunder, if such successor corporation is otherwise eligible under this Section 15.12, without the execution or filing of any paper or any further act on the part of the parties hereto or the authenticating agent or such successor corporation.</w:t>
      </w:r>
    </w:p>
    <w:p>
      <w:pPr>
        <w:spacing w:after="0" w:line="1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Issuer. The Trustee may at any time terminate the agency of any authenticating agent by giving written notice of termination to such authenticating agent and to the Issuer. Upon receiving such a notice of resignation or upon such a termination, or in case at any time any authenticating agent shall cease to be eligible under this Section, the Trustee shall either promptly appoint a successor authenticating agent or itself assume the duties and obligations of the former authenticating agent under this Indenture and, upon such appointment of a successor authenticating agent, if made, shall give written notice of such appointment of a successor authenticating agent to the Issuer and shall mail notice of such appointment of a successor authenticating agent to all holders of Notes as the names and addresses of such holders appear on the Note register.</w:t>
      </w:r>
    </w:p>
    <w:p>
      <w:pPr>
        <w:spacing w:after="0" w:line="20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Issuer agrees to pay to the authenticating agent from time to time such reasonable compensation for its services as shall be agreed upon in writing between the Issuer and the authenticating agent.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Sections 7.02, 7.03, 7.04 and 8.03 and this Section 15.12 shall be applicable to any authenticating agent.</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 xml:space="preserve">Section 15.13. </w:t>
      </w:r>
      <w:r>
        <w:rPr>
          <w:rFonts w:ascii="Arial" w:cs="Arial" w:eastAsia="Arial" w:hAnsi="Arial"/>
          <w:sz w:val="18"/>
          <w:szCs w:val="18"/>
          <w:i w:val="1"/>
          <w:iCs w:val="1"/>
          <w:color w:val="auto"/>
        </w:rPr>
        <w:t>Execution in Counterparts.</w:t>
      </w:r>
      <w:r>
        <w:rPr>
          <w:rFonts w:ascii="Arial" w:cs="Arial" w:eastAsia="Arial" w:hAnsi="Arial"/>
          <w:sz w:val="18"/>
          <w:szCs w:val="18"/>
          <w:color w:val="auto"/>
        </w:rPr>
        <w:t xml:space="preserve"> This Indenture may be executed in any number of counterparts, each of which shall be an original, but such counterparts shall together constitute but one and the same instrument.</w:t>
      </w:r>
    </w:p>
    <w:p>
      <w:pPr>
        <w:spacing w:after="0" w:line="186"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 xml:space="preserve">Section 15.14.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In case any provision in this Indenture or in the Notes shall be invalid, illegal or unenforceable, then (to the extent permitted by law) the validity, legality and enforceability of the remaining provisions shall not in any way be affected or impaired thereby.</w:t>
      </w:r>
    </w:p>
    <w:p>
      <w:pPr>
        <w:spacing w:after="0" w:line="13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Bank of New York and Hermetic Trust (1975) Ltd. each hereby accepts the trusts in this Indenture declared and provided, upon the terms and conditions herein above set forth.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hereto have caused this Indenture to be duly executed.</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THE BANK OF NEW YORK, </w:t>
      </w:r>
      <w:r>
        <w:rPr>
          <w:rFonts w:ascii="Arial" w:cs="Arial" w:eastAsia="Arial" w:hAnsi="Arial"/>
          <w:sz w:val="18"/>
          <w:szCs w:val="18"/>
          <w:color w:val="auto"/>
        </w:rPr>
        <w:t>as Trustee</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HERMETIC TRUST (1975) LTD</w:t>
      </w:r>
      <w:r>
        <w:rPr>
          <w:rFonts w:ascii="Arial" w:cs="Arial" w:eastAsia="Arial" w:hAnsi="Arial"/>
          <w:sz w:val="18"/>
          <w:szCs w:val="18"/>
          <w:color w:val="auto"/>
        </w:rPr>
        <w:t>., as Co-Trustee</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2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LEGEND SHALL APPEAR ON THE FACE OF EACH RESTRICTED NOTE]</w:t>
      </w:r>
    </w:p>
    <w:p>
      <w:pPr>
        <w:spacing w:after="0" w:line="306"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THE NOTE EVIDENCED HEREBY AND THE ORDINARY SHARES ISSUABLE UPON CONVERSION THEREOF HAVE NOT BEEN REGISTERED UNDER THE UNITED STATES SECURITIES ACT OF 1933, AS AMENDED (THE “SECURITIES ACT”), OR ANY STATE SECURITIES LAWS AND, ACCORDINGLY, MAY NOT BE OFFERED OR SOLD IN THE ABSENCE OF A REGISTRATION STATEMENT WITH</w:t>
      </w:r>
    </w:p>
    <w:p>
      <w:pPr>
        <w:sectPr>
          <w:pgSz w:w="11900" w:h="16838" w:orient="portrait"/>
          <w:cols w:equalWidth="0" w:num="1">
            <w:col w:w="11420"/>
          </w:cols>
          <w:pgMar w:left="240" w:top="388" w:right="239" w:bottom="0" w:gutter="0" w:footer="0" w:header="0"/>
        </w:sectPr>
      </w:pPr>
    </w:p>
    <w:bookmarkStart w:id="78" w:name="page79"/>
    <w:bookmarkEnd w:id="78"/>
    <w:p>
      <w:pPr>
        <w:ind w:right="620"/>
        <w:spacing w:after="0" w:line="275" w:lineRule="auto"/>
        <w:rPr>
          <w:sz w:val="20"/>
          <w:szCs w:val="20"/>
          <w:color w:val="auto"/>
        </w:rPr>
      </w:pPr>
      <w:r>
        <w:rPr>
          <w:rFonts w:ascii="Arial" w:cs="Arial" w:eastAsia="Arial" w:hAnsi="Arial"/>
          <w:sz w:val="18"/>
          <w:szCs w:val="18"/>
          <w:b w:val="1"/>
          <w:bCs w:val="1"/>
          <w:color w:val="auto"/>
        </w:rPr>
        <w:t>RESPECT TO THE SECURITIES SO OFFERED OR SOLD IN EFFECT UNDER THE SECURITIES ACT OR AN OPINION OF COUNSEL (SATISFACTORY IN FORM AND SUBSTANCE TO THE ISSUER) THAT SUCH REGISTRATION IS NOT REQUIRED.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 SUBORDINATED CONVERTIBLE DEBENTURES DUE 201 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CUSIP: </w:t>
      </w:r>
      <w:r>
        <w:rPr>
          <w:rFonts w:ascii="Arial" w:cs="Arial" w:eastAsia="Arial" w:hAnsi="Arial"/>
          <w:sz w:val="18"/>
          <w:szCs w:val="18"/>
          <w:color w:val="auto"/>
        </w:rPr>
        <w:t>M87915 AB 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25" w:lineRule="exact"/>
        <w:rPr>
          <w:sz w:val="20"/>
          <w:szCs w:val="20"/>
          <w:color w:val="auto"/>
        </w:rPr>
      </w:pPr>
    </w:p>
    <w:p>
      <w:pPr>
        <w:ind w:left="10360"/>
        <w:spacing w:after="0"/>
        <w:rPr>
          <w:sz w:val="20"/>
          <w:szCs w:val="20"/>
          <w:color w:val="auto"/>
        </w:rPr>
      </w:pPr>
      <w:r>
        <w:rPr>
          <w:rFonts w:ascii="Arial" w:cs="Arial" w:eastAsia="Arial" w:hAnsi="Arial"/>
          <w:sz w:val="15"/>
          <w:szCs w:val="15"/>
          <w:color w:val="auto"/>
        </w:rPr>
        <w:t>$___________</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Tower Semiconductor Ltd., a company with limited liability incorporated under the laws of the State of Israel (herein called the “</w:t>
      </w:r>
      <w:r>
        <w:rPr>
          <w:rFonts w:ascii="Arial" w:cs="Arial" w:eastAsia="Arial" w:hAnsi="Arial"/>
          <w:sz w:val="16"/>
          <w:szCs w:val="16"/>
          <w:b w:val="1"/>
          <w:bCs w:val="1"/>
          <w:color w:val="auto"/>
        </w:rPr>
        <w:t>Issuer</w:t>
      </w:r>
      <w:r>
        <w:rPr>
          <w:rFonts w:ascii="Arial" w:cs="Arial" w:eastAsia="Arial" w:hAnsi="Arial"/>
          <w:sz w:val="16"/>
          <w:szCs w:val="16"/>
          <w:color w:val="auto"/>
        </w:rPr>
        <w:t>), for value received</w:t>
      </w:r>
    </w:p>
    <w:p>
      <w:pPr>
        <w:spacing w:after="0" w:line="44"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hereby promises to pay to [ ] or its registered assigns, the principal sum of Dollars at maturity on January 12 , 201 2 , and to pay interest on said principal sum, at the rate per annum of 5%, from January 13 , 200 6 until the principal hereof is duly paid or provided for. Interest on the Notes shall be computed on the basis of a 365-day year.</w:t>
      </w:r>
    </w:p>
    <w:p>
      <w:pPr>
        <w:spacing w:after="0" w:line="198" w:lineRule="exact"/>
        <w:rPr>
          <w:sz w:val="20"/>
          <w:szCs w:val="20"/>
          <w:color w:val="auto"/>
        </w:rPr>
      </w:pPr>
    </w:p>
    <w:p>
      <w:pPr>
        <w:jc w:val="both"/>
        <w:ind w:right="320" w:firstLine="341"/>
        <w:spacing w:after="0" w:line="306" w:lineRule="auto"/>
        <w:rPr>
          <w:sz w:val="20"/>
          <w:szCs w:val="20"/>
          <w:color w:val="auto"/>
        </w:rPr>
      </w:pPr>
      <w:r>
        <w:rPr>
          <w:rFonts w:ascii="Arial" w:cs="Arial" w:eastAsia="Arial" w:hAnsi="Arial"/>
          <w:sz w:val="16"/>
          <w:szCs w:val="16"/>
          <w:color w:val="auto"/>
        </w:rPr>
        <w:t>All payments of the principal of and interest due and payable on this Note at the maturity thereof or on any redemption date, shall be made only upon the surrender of this Note, at the option of the holder, at the Corporate Trust Office or at the office or agency maintained by the Issuer for that purpose in London, England, in such coin or currency of the United States of America as at the time of payment is legal tender for payment of public and private debts.</w:t>
      </w:r>
    </w:p>
    <w:p>
      <w:pPr>
        <w:spacing w:after="0" w:line="16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No accrued interest will be payable upon portion of this Note converted into the Issuer’s Ordinary Shares, as provided on the reverse hereof and in the Indenture.</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Reference is made to the further provisions of this Note set forth on the reverse hereof. Such further provisions shall for all purposes have the same effect as though fully set forth at this place.</w:t>
      </w:r>
    </w:p>
    <w:p>
      <w:pPr>
        <w:spacing w:after="0" w:line="186"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This Note shall not be valid or become obligatory for any purpose until the certificate of authentication hereon shall have been manually signed by the Trustee or a duly authorized authenticating agent under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Issuer has caused this Note to be duly executed.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340" w:type="dxa"/>
            <w:vAlign w:val="bottom"/>
          </w:tcPr>
          <w:p>
            <w:pPr>
              <w:ind w:left="560"/>
              <w:spacing w:after="0"/>
              <w:rPr>
                <w:sz w:val="20"/>
                <w:szCs w:val="20"/>
                <w:color w:val="auto"/>
              </w:rPr>
            </w:pPr>
            <w:r>
              <w:rPr>
                <w:rFonts w:ascii="Arial" w:cs="Arial" w:eastAsia="Arial" w:hAnsi="Arial"/>
                <w:sz w:val="18"/>
                <w:szCs w:val="18"/>
                <w:b w:val="1"/>
                <w:bCs w:val="1"/>
                <w:color w:val="auto"/>
                <w:w w:val="97"/>
              </w:rPr>
              <w:t>TOWER SEMICONDUCTOR LTD.,</w:t>
            </w:r>
          </w:p>
        </w:tc>
      </w:tr>
      <w:tr>
        <w:trPr>
          <w:trHeight w:val="426"/>
        </w:trPr>
        <w:tc>
          <w:tcPr>
            <w:tcW w:w="5160" w:type="dxa"/>
            <w:vAlign w:val="bottom"/>
            <w:gridSpan w:val="2"/>
          </w:tcPr>
          <w:p>
            <w:pPr>
              <w:spacing w:after="0"/>
              <w:rPr>
                <w:sz w:val="20"/>
                <w:szCs w:val="20"/>
                <w:color w:val="auto"/>
              </w:rPr>
            </w:pPr>
            <w:r>
              <w:rPr>
                <w:rFonts w:ascii="Arial" w:cs="Arial" w:eastAsia="Arial" w:hAnsi="Arial"/>
                <w:sz w:val="18"/>
                <w:szCs w:val="18"/>
                <w:color w:val="auto"/>
              </w:rPr>
              <w:t>Attest:</w:t>
            </w:r>
          </w:p>
        </w:tc>
        <w:tc>
          <w:tcPr>
            <w:tcW w:w="334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By:</w:t>
            </w:r>
          </w:p>
        </w:tc>
        <w:tc>
          <w:tcPr>
            <w:tcW w:w="3340" w:type="dxa"/>
            <w:vAlign w:val="bottom"/>
          </w:tcPr>
          <w:p>
            <w:pPr>
              <w:ind w:left="560"/>
              <w:spacing w:after="0"/>
              <w:rPr>
                <w:sz w:val="20"/>
                <w:szCs w:val="20"/>
                <w:color w:val="auto"/>
              </w:rPr>
            </w:pPr>
            <w:r>
              <w:rPr>
                <w:rFonts w:ascii="Arial" w:cs="Arial" w:eastAsia="Arial" w:hAnsi="Arial"/>
                <w:sz w:val="18"/>
                <w:szCs w:val="18"/>
                <w:color w:val="auto"/>
              </w:rPr>
              <w:t>By:</w:t>
            </w:r>
          </w:p>
        </w:tc>
      </w:tr>
      <w:tr>
        <w:trPr>
          <w:trHeight w:val="216"/>
        </w:trPr>
        <w:tc>
          <w:tcPr>
            <w:tcW w:w="48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w:t>
            </w:r>
          </w:p>
        </w:tc>
        <w:tc>
          <w:tcPr>
            <w:tcW w:w="334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48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Name:</w:t>
            </w:r>
          </w:p>
        </w:tc>
        <w:tc>
          <w:tcPr>
            <w:tcW w:w="3340" w:type="dxa"/>
            <w:vAlign w:val="bottom"/>
          </w:tcPr>
          <w:p>
            <w:pPr>
              <w:ind w:left="560"/>
              <w:spacing w:after="0"/>
              <w:rPr>
                <w:sz w:val="20"/>
                <w:szCs w:val="20"/>
                <w:color w:val="auto"/>
              </w:rPr>
            </w:pPr>
            <w:r>
              <w:rPr>
                <w:rFonts w:ascii="Arial" w:cs="Arial" w:eastAsia="Arial" w:hAnsi="Arial"/>
                <w:sz w:val="18"/>
                <w:szCs w:val="18"/>
                <w:color w:val="auto"/>
              </w:rPr>
              <w:t>Name:</w:t>
            </w:r>
          </w:p>
        </w:tc>
      </w:tr>
      <w:tr>
        <w:trPr>
          <w:trHeight w:val="222"/>
        </w:trPr>
        <w:tc>
          <w:tcPr>
            <w:tcW w:w="480" w:type="dxa"/>
            <w:vAlign w:val="bottom"/>
          </w:tcPr>
          <w:p>
            <w:pPr>
              <w:spacing w:after="0"/>
              <w:rPr>
                <w:sz w:val="19"/>
                <w:szCs w:val="19"/>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Title:</w:t>
            </w:r>
          </w:p>
        </w:tc>
        <w:tc>
          <w:tcPr>
            <w:tcW w:w="3340" w:type="dxa"/>
            <w:vAlign w:val="bottom"/>
          </w:tcPr>
          <w:p>
            <w:pPr>
              <w:ind w:left="560"/>
              <w:spacing w:after="0"/>
              <w:rPr>
                <w:sz w:val="20"/>
                <w:szCs w:val="20"/>
                <w:color w:val="auto"/>
              </w:rPr>
            </w:pPr>
            <w:r>
              <w:rPr>
                <w:rFonts w:ascii="Arial" w:cs="Arial" w:eastAsia="Arial" w:hAnsi="Arial"/>
                <w:sz w:val="18"/>
                <w:szCs w:val="18"/>
                <w:color w:val="auto"/>
              </w:rPr>
              <w:t>Title:</w:t>
            </w:r>
          </w:p>
        </w:tc>
      </w:tr>
      <w:tr>
        <w:trPr>
          <w:trHeight w:val="880"/>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Dated:</w:t>
            </w:r>
          </w:p>
        </w:tc>
        <w:tc>
          <w:tcPr>
            <w:tcW w:w="46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51"/>
        </w:trPr>
        <w:tc>
          <w:tcPr>
            <w:tcW w:w="5160" w:type="dxa"/>
            <w:vAlign w:val="bottom"/>
            <w:gridSpan w:val="2"/>
          </w:tcPr>
          <w:p>
            <w:pPr>
              <w:spacing w:after="0"/>
              <w:rPr>
                <w:sz w:val="20"/>
                <w:szCs w:val="20"/>
                <w:color w:val="auto"/>
              </w:rPr>
            </w:pPr>
            <w:r>
              <w:rPr>
                <w:rFonts w:ascii="Arial" w:cs="Arial" w:eastAsia="Arial" w:hAnsi="Arial"/>
                <w:sz w:val="18"/>
                <w:szCs w:val="18"/>
                <w:color w:val="auto"/>
              </w:rPr>
              <w:t>TRUSTEE’S CERTIFICATE OF AUTHENTICATION</w:t>
            </w:r>
          </w:p>
        </w:tc>
        <w:tc>
          <w:tcPr>
            <w:tcW w:w="3340" w:type="dxa"/>
            <w:vAlign w:val="bottom"/>
          </w:tcPr>
          <w:p>
            <w:pPr>
              <w:spacing w:after="0"/>
              <w:rPr>
                <w:sz w:val="24"/>
                <w:szCs w:val="24"/>
                <w:color w:val="auto"/>
              </w:rPr>
            </w:pPr>
          </w:p>
        </w:tc>
      </w:tr>
      <w:tr>
        <w:trPr>
          <w:trHeight w:val="648"/>
        </w:trPr>
        <w:tc>
          <w:tcPr>
            <w:tcW w:w="5160" w:type="dxa"/>
            <w:vAlign w:val="bottom"/>
            <w:gridSpan w:val="2"/>
          </w:tcPr>
          <w:p>
            <w:pPr>
              <w:spacing w:after="0"/>
              <w:rPr>
                <w:sz w:val="20"/>
                <w:szCs w:val="20"/>
                <w:color w:val="auto"/>
              </w:rPr>
            </w:pPr>
            <w:r>
              <w:rPr>
                <w:rFonts w:ascii="Arial" w:cs="Arial" w:eastAsia="Arial" w:hAnsi="Arial"/>
                <w:sz w:val="18"/>
                <w:szCs w:val="18"/>
                <w:color w:val="auto"/>
                <w:w w:val="98"/>
              </w:rPr>
              <w:t>This is one of the Notes described in the within-named Indenture.</w:t>
            </w:r>
          </w:p>
        </w:tc>
        <w:tc>
          <w:tcPr>
            <w:tcW w:w="3340" w:type="dxa"/>
            <w:vAlign w:val="bottom"/>
          </w:tcPr>
          <w:p>
            <w:pPr>
              <w:spacing w:after="0"/>
              <w:rPr>
                <w:sz w:val="24"/>
                <w:szCs w:val="24"/>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THE BANK OF NEW YORK</w:t>
            </w:r>
            <w:r>
              <w:rPr>
                <w:rFonts w:ascii="Arial" w:cs="Arial" w:eastAsia="Arial" w:hAnsi="Arial"/>
                <w:sz w:val="18"/>
                <w:szCs w:val="18"/>
                <w:color w:val="auto"/>
              </w:rPr>
              <w:t>, as Trustee</w:t>
            </w:r>
          </w:p>
        </w:tc>
        <w:tc>
          <w:tcPr>
            <w:tcW w:w="3340" w:type="dxa"/>
            <w:vAlign w:val="bottom"/>
          </w:tcPr>
          <w:p>
            <w:pPr>
              <w:spacing w:after="0"/>
              <w:rPr>
                <w:sz w:val="24"/>
                <w:szCs w:val="24"/>
                <w:color w:val="auto"/>
              </w:rPr>
            </w:pPr>
          </w:p>
        </w:tc>
      </w:tr>
      <w:tr>
        <w:trPr>
          <w:trHeight w:val="1080"/>
        </w:trPr>
        <w:tc>
          <w:tcPr>
            <w:tcW w:w="5160" w:type="dxa"/>
            <w:vAlign w:val="bottom"/>
            <w:gridSpan w:val="2"/>
          </w:tcPr>
          <w:p>
            <w:pPr>
              <w:spacing w:after="0"/>
              <w:rPr>
                <w:sz w:val="20"/>
                <w:szCs w:val="20"/>
                <w:color w:val="auto"/>
              </w:rPr>
            </w:pPr>
            <w:r>
              <w:rPr>
                <w:rFonts w:ascii="Arial" w:cs="Arial" w:eastAsia="Arial" w:hAnsi="Arial"/>
                <w:sz w:val="18"/>
                <w:szCs w:val="18"/>
                <w:color w:val="auto"/>
              </w:rPr>
              <w:t>By: ______________________________</w:t>
            </w:r>
          </w:p>
        </w:tc>
        <w:tc>
          <w:tcPr>
            <w:tcW w:w="3340" w:type="dxa"/>
            <w:vAlign w:val="bottom"/>
          </w:tcPr>
          <w:p>
            <w:pPr>
              <w:spacing w:after="0"/>
              <w:rPr>
                <w:sz w:val="24"/>
                <w:szCs w:val="24"/>
                <w:color w:val="auto"/>
              </w:rPr>
            </w:pPr>
          </w:p>
        </w:tc>
      </w:tr>
      <w:tr>
        <w:trPr>
          <w:trHeight w:val="432"/>
        </w:trPr>
        <w:tc>
          <w:tcPr>
            <w:tcW w:w="5160" w:type="dxa"/>
            <w:vAlign w:val="bottom"/>
            <w:gridSpan w:val="2"/>
          </w:tcPr>
          <w:p>
            <w:pPr>
              <w:ind w:left="300"/>
              <w:spacing w:after="0"/>
              <w:rPr>
                <w:sz w:val="20"/>
                <w:szCs w:val="20"/>
                <w:color w:val="auto"/>
              </w:rPr>
            </w:pPr>
            <w:r>
              <w:rPr>
                <w:rFonts w:ascii="Arial" w:cs="Arial" w:eastAsia="Arial" w:hAnsi="Arial"/>
                <w:sz w:val="18"/>
                <w:szCs w:val="18"/>
                <w:color w:val="auto"/>
              </w:rPr>
              <w:t>Authorized Signatory</w:t>
            </w:r>
          </w:p>
        </w:tc>
        <w:tc>
          <w:tcPr>
            <w:tcW w:w="3340" w:type="dxa"/>
            <w:vAlign w:val="bottom"/>
          </w:tcPr>
          <w:p>
            <w:pPr>
              <w:spacing w:after="0"/>
              <w:rPr>
                <w:sz w:val="24"/>
                <w:szCs w:val="24"/>
                <w:color w:val="auto"/>
              </w:rPr>
            </w:pPr>
          </w:p>
        </w:tc>
      </w:tr>
      <w:tr>
        <w:trPr>
          <w:trHeight w:val="648"/>
        </w:trPr>
        <w:tc>
          <w:tcPr>
            <w:tcW w:w="480" w:type="dxa"/>
            <w:vAlign w:val="bottom"/>
          </w:tcPr>
          <w:p>
            <w:pPr>
              <w:spacing w:after="0"/>
              <w:rPr>
                <w:sz w:val="24"/>
                <w:szCs w:val="24"/>
                <w:color w:val="auto"/>
              </w:rPr>
            </w:pPr>
          </w:p>
        </w:tc>
        <w:tc>
          <w:tcPr>
            <w:tcW w:w="4680" w:type="dxa"/>
            <w:vAlign w:val="bottom"/>
          </w:tcPr>
          <w:p>
            <w:pPr>
              <w:ind w:left="760"/>
              <w:spacing w:after="0"/>
              <w:rPr>
                <w:sz w:val="20"/>
                <w:szCs w:val="20"/>
                <w:color w:val="auto"/>
              </w:rPr>
            </w:pPr>
            <w:r>
              <w:rPr>
                <w:rFonts w:ascii="Arial" w:cs="Arial" w:eastAsia="Arial" w:hAnsi="Arial"/>
                <w:sz w:val="18"/>
                <w:szCs w:val="18"/>
                <w:color w:val="auto"/>
              </w:rPr>
              <w:t>, or</w:t>
            </w:r>
          </w:p>
        </w:tc>
        <w:tc>
          <w:tcPr>
            <w:tcW w:w="3340" w:type="dxa"/>
            <w:vAlign w:val="bottom"/>
          </w:tcPr>
          <w:p>
            <w:pPr>
              <w:spacing w:after="0"/>
              <w:rPr>
                <w:sz w:val="24"/>
                <w:szCs w:val="24"/>
                <w:color w:val="auto"/>
              </w:rPr>
            </w:pPr>
          </w:p>
        </w:tc>
      </w:tr>
      <w:tr>
        <w:trPr>
          <w:trHeight w:val="1107"/>
        </w:trPr>
        <w:tc>
          <w:tcPr>
            <w:tcW w:w="5160" w:type="dxa"/>
            <w:vAlign w:val="bottom"/>
            <w:gridSpan w:val="2"/>
          </w:tcPr>
          <w:p>
            <w:pPr>
              <w:spacing w:after="0"/>
              <w:rPr>
                <w:sz w:val="20"/>
                <w:szCs w:val="20"/>
                <w:color w:val="auto"/>
              </w:rPr>
            </w:pPr>
            <w:r>
              <w:rPr>
                <w:rFonts w:ascii="Arial" w:cs="Arial" w:eastAsia="Arial" w:hAnsi="Arial"/>
                <w:sz w:val="18"/>
                <w:szCs w:val="18"/>
                <w:color w:val="auto"/>
              </w:rPr>
              <w:t>By: ______________________________</w:t>
            </w:r>
          </w:p>
        </w:tc>
        <w:tc>
          <w:tcPr>
            <w:tcW w:w="3340" w:type="dxa"/>
            <w:vAlign w:val="bottom"/>
          </w:tcPr>
          <w:p>
            <w:pPr>
              <w:spacing w:after="0"/>
              <w:rPr>
                <w:sz w:val="24"/>
                <w:szCs w:val="24"/>
                <w:color w:val="auto"/>
              </w:rPr>
            </w:pPr>
          </w:p>
        </w:tc>
      </w:tr>
      <w:tr>
        <w:trPr>
          <w:trHeight w:val="426"/>
        </w:trPr>
        <w:tc>
          <w:tcPr>
            <w:tcW w:w="5160" w:type="dxa"/>
            <w:vAlign w:val="bottom"/>
            <w:gridSpan w:val="2"/>
          </w:tcPr>
          <w:p>
            <w:pPr>
              <w:ind w:left="300"/>
              <w:spacing w:after="0"/>
              <w:rPr>
                <w:sz w:val="20"/>
                <w:szCs w:val="20"/>
                <w:color w:val="auto"/>
              </w:rPr>
            </w:pPr>
            <w:r>
              <w:rPr>
                <w:rFonts w:ascii="Arial" w:cs="Arial" w:eastAsia="Arial" w:hAnsi="Arial"/>
                <w:sz w:val="18"/>
                <w:szCs w:val="18"/>
                <w:color w:val="auto"/>
              </w:rPr>
              <w:t>As Authenticating Agent</w:t>
            </w:r>
          </w:p>
        </w:tc>
        <w:tc>
          <w:tcPr>
            <w:tcW w:w="3340" w:type="dxa"/>
            <w:vAlign w:val="bottom"/>
          </w:tcPr>
          <w:p>
            <w:pPr>
              <w:spacing w:after="0"/>
              <w:rPr>
                <w:sz w:val="24"/>
                <w:szCs w:val="24"/>
                <w:color w:val="auto"/>
              </w:rPr>
            </w:pPr>
          </w:p>
        </w:tc>
      </w:tr>
      <w:tr>
        <w:trPr>
          <w:trHeight w:val="222"/>
        </w:trPr>
        <w:tc>
          <w:tcPr>
            <w:tcW w:w="5160" w:type="dxa"/>
            <w:vAlign w:val="bottom"/>
            <w:gridSpan w:val="2"/>
          </w:tcPr>
          <w:p>
            <w:pPr>
              <w:ind w:left="320"/>
              <w:spacing w:after="0"/>
              <w:rPr>
                <w:sz w:val="20"/>
                <w:szCs w:val="20"/>
                <w:color w:val="auto"/>
              </w:rPr>
            </w:pPr>
            <w:r>
              <w:rPr>
                <w:rFonts w:ascii="Arial" w:cs="Arial" w:eastAsia="Arial" w:hAnsi="Arial"/>
                <w:sz w:val="18"/>
                <w:szCs w:val="18"/>
                <w:color w:val="auto"/>
              </w:rPr>
              <w:t>(if different from Trustee)</w:t>
            </w:r>
          </w:p>
        </w:tc>
        <w:tc>
          <w:tcPr>
            <w:tcW w:w="33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color w:val="auto"/>
        </w:rPr>
        <w:t>By: ______________________________</w:t>
      </w:r>
    </w:p>
    <w:p>
      <w:pPr>
        <w:sectPr>
          <w:pgSz w:w="11900" w:h="16838" w:orient="portrait"/>
          <w:cols w:equalWidth="0" w:num="1">
            <w:col w:w="11420"/>
          </w:cols>
          <w:pgMar w:left="240" w:top="125" w:right="239" w:bottom="0" w:gutter="0" w:footer="0" w:header="0"/>
          <w:type w:val="continuous"/>
        </w:sectPr>
      </w:pPr>
    </w:p>
    <w:bookmarkStart w:id="79" w:name="page80"/>
    <w:bookmarkEnd w:id="79"/>
    <w:p>
      <w:pPr>
        <w:ind w:left="3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REVERSE OF NOTE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TOWER SEMICONDUCTOR LTD.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 SUBORDINATED CONVERTIBLE DEBENTURES DUE 201 2</w:t>
      </w:r>
    </w:p>
    <w:p>
      <w:pPr>
        <w:spacing w:after="0" w:line="293" w:lineRule="exact"/>
        <w:rPr>
          <w:sz w:val="20"/>
          <w:szCs w:val="20"/>
          <w:color w:val="auto"/>
        </w:rPr>
      </w:pPr>
    </w:p>
    <w:p>
      <w:pPr>
        <w:ind w:right="260" w:firstLine="351"/>
        <w:spacing w:after="0" w:line="320" w:lineRule="auto"/>
        <w:rPr>
          <w:sz w:val="20"/>
          <w:szCs w:val="20"/>
          <w:color w:val="auto"/>
        </w:rPr>
      </w:pPr>
      <w:r>
        <w:rPr>
          <w:rFonts w:ascii="Arial" w:cs="Arial" w:eastAsia="Arial" w:hAnsi="Arial"/>
          <w:sz w:val="15"/>
          <w:szCs w:val="15"/>
          <w:b w:val="1"/>
          <w:bCs w:val="1"/>
          <w:i w:val="1"/>
          <w:iCs w:val="1"/>
          <w:color w:val="auto"/>
        </w:rPr>
        <w:t>Notes; Indenture; Trustees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Note is one of a duly authorized issue of Notes of the Issuer, designated as its 5% Subordinated Convertible Debentures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due 201 2 (the “</w:t>
      </w:r>
      <w:r>
        <w:rPr>
          <w:rFonts w:ascii="Arial" w:cs="Arial" w:eastAsia="Arial" w:hAnsi="Arial"/>
          <w:sz w:val="15"/>
          <w:szCs w:val="15"/>
          <w:b w:val="1"/>
          <w:bCs w:val="1"/>
          <w:color w:val="auto"/>
        </w:rPr>
        <w:t>Notes</w:t>
      </w:r>
      <w:r>
        <w:rPr>
          <w:rFonts w:ascii="Arial" w:cs="Arial" w:eastAsia="Arial" w:hAnsi="Arial"/>
          <w:sz w:val="15"/>
          <w:szCs w:val="15"/>
          <w:color w:val="auto"/>
        </w:rPr>
        <w:t>”), limited in aggregate principal amount to $50,000,000 and to be issued under and pursuant to an Indenture dated as of December 15 , 2005 (the “</w:t>
      </w:r>
      <w:r>
        <w:rPr>
          <w:rFonts w:ascii="Arial" w:cs="Arial" w:eastAsia="Arial" w:hAnsi="Arial"/>
          <w:sz w:val="15"/>
          <w:szCs w:val="15"/>
          <w:b w:val="1"/>
          <w:bCs w:val="1"/>
          <w:color w:val="auto"/>
        </w:rPr>
        <w:t>Indenture</w:t>
      </w:r>
      <w:r>
        <w:rPr>
          <w:rFonts w:ascii="Arial" w:cs="Arial" w:eastAsia="Arial" w:hAnsi="Arial"/>
          <w:sz w:val="15"/>
          <w:szCs w:val="15"/>
          <w:color w:val="auto"/>
        </w:rPr>
        <w:t>”), by and between the Issuer, and The Bank of New York, as trustee (the “</w:t>
      </w:r>
      <w:r>
        <w:rPr>
          <w:rFonts w:ascii="Arial" w:cs="Arial" w:eastAsia="Arial" w:hAnsi="Arial"/>
          <w:sz w:val="15"/>
          <w:szCs w:val="15"/>
          <w:b w:val="1"/>
          <w:bCs w:val="1"/>
          <w:color w:val="auto"/>
        </w:rPr>
        <w:t>Trustee</w:t>
      </w:r>
      <w:r>
        <w:rPr>
          <w:rFonts w:ascii="Arial" w:cs="Arial" w:eastAsia="Arial" w:hAnsi="Arial"/>
          <w:sz w:val="15"/>
          <w:szCs w:val="15"/>
          <w:color w:val="auto"/>
        </w:rPr>
        <w:t>”) and Hermetic Trust (1975) Ltd., as co-trustee (the “</w:t>
      </w:r>
      <w:r>
        <w:rPr>
          <w:rFonts w:ascii="Arial" w:cs="Arial" w:eastAsia="Arial" w:hAnsi="Arial"/>
          <w:sz w:val="15"/>
          <w:szCs w:val="15"/>
          <w:b w:val="1"/>
          <w:bCs w:val="1"/>
          <w:color w:val="auto"/>
        </w:rPr>
        <w:t>Co-Trustee</w:t>
      </w:r>
      <w:r>
        <w:rPr>
          <w:rFonts w:ascii="Arial" w:cs="Arial" w:eastAsia="Arial" w:hAnsi="Arial"/>
          <w:sz w:val="15"/>
          <w:szCs w:val="15"/>
          <w:color w:val="auto"/>
        </w:rPr>
        <w:t>”, and, together with the Trustee, the “</w:t>
      </w:r>
      <w:r>
        <w:rPr>
          <w:rFonts w:ascii="Arial" w:cs="Arial" w:eastAsia="Arial" w:hAnsi="Arial"/>
          <w:sz w:val="15"/>
          <w:szCs w:val="15"/>
          <w:b w:val="1"/>
          <w:bCs w:val="1"/>
          <w:color w:val="auto"/>
        </w:rPr>
        <w:t>Trustees</w:t>
      </w:r>
      <w:r>
        <w:rPr>
          <w:rFonts w:ascii="Arial" w:cs="Arial" w:eastAsia="Arial" w:hAnsi="Arial"/>
          <w:sz w:val="15"/>
          <w:szCs w:val="15"/>
          <w:color w:val="auto"/>
        </w:rPr>
        <w:t>”), to which Indenture and all indentures supplemental thereto reference is hereby made for a description of the rights, limitations of rights, obligations, duties and immunities thereunder of the Trustees, the Issuer and the holders of the Notes.</w:t>
      </w:r>
    </w:p>
    <w:p>
      <w:pPr>
        <w:spacing w:after="0" w:line="153"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No reference herein to the Indenture and no provision of this Note or of the Indenture shall (i) alter or impair the obligation of the Issuer, which is absolute and unconditional, to pay the principal and interest on this Note at the place, at the respective times, at the rate and in the coin or currency herein prescribed; (ii) affect the relative rights against the Issuer of the Holders of the Notes and creditors of the Issuer other than the Lenders; or (iii) prevent the Trustees or the holder of any Notes from exercising all remedies otherwise permitted by applicable law upon default under the Indenture (subject to any conditions and limitations set forth therein).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Capitalized but otherwise undefined terms used in this Note that are defined in the Indenture are used herein as therein defined.</w:t>
      </w:r>
    </w:p>
    <w:p>
      <w:pPr>
        <w:spacing w:after="0" w:line="21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i w:val="1"/>
          <w:iCs w:val="1"/>
          <w:color w:val="auto"/>
        </w:rPr>
        <w:t>Form; Denomination; Exchange; Transfer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are issuable in fully registered form, without coupons, in denominations of $1.00 principal amount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any integral multiple of $1.00, at the office or agency of the Issuer referred to on the face hereof, and in the manner and subject to the limitations provided in the Indenture, without payment of any service charge but with payment of a sum sufficient to cover any tax, assessment or other governmental charge that may be imposed in connection with any registration or exchange of Notes, Notes may be exchanged for a like aggregate principal amount of Notes of any other authorized denominations. Upon surrender for registration of transfer of this Note to the Note registrar or any co-registrar, and satisfaction of the requirements for such transfer set forth in Section 2.05 of the Indenture, the Issuer shall execute, and the Trustee shall authenticate and deliver, in the name of the designated transferee or transferees, one or more new Notes of authorized denominations and of like aggregate principal amount and bearing such restrictive legends as may be required by this Indenture, subject to the limitations provided in the Indenture and without charge except for any tax, assessment or other governmental charge imposed in connection therewith.</w:t>
      </w:r>
    </w:p>
    <w:p>
      <w:pPr>
        <w:spacing w:after="0" w:line="173" w:lineRule="exact"/>
        <w:rPr>
          <w:sz w:val="20"/>
          <w:szCs w:val="20"/>
          <w:color w:val="auto"/>
        </w:rPr>
      </w:pPr>
    </w:p>
    <w:p>
      <w:pPr>
        <w:ind w:right="32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Redemption. </w:t>
      </w:r>
      <w:r>
        <w:rPr>
          <w:rFonts w:ascii="Arial" w:cs="Arial" w:eastAsia="Arial" w:hAnsi="Arial"/>
          <w:sz w:val="15"/>
          <w:szCs w:val="15"/>
          <w:color w:val="auto"/>
        </w:rPr>
        <w:t>The Issuer may, at its option, announce the early redemption of the Notes, provided that the outstanding aggregate balance of principal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account of the Notes is equal to or less than $500,000. In such case, the Issuer shall redeem 100% of the Notes; no partial redemptions shall be permitted. The Issuer will provide notice to the holders of the Notes and the Trustees at least 30 days (but not more than 45 days) prior to any such redemption.</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not subject to redemption through the operation of any sinking fund.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i w:val="1"/>
          <w:iCs w:val="1"/>
          <w:color w:val="auto"/>
        </w:rPr>
        <w:t>Subordination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payments pursuant to the Notes made by or on behalf of the Issuer are subordinated to the extent and in the manner provided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Indenture to all existing and future obligations of the Issuer under the Credit Facility. Any Holder by accepting this Note agrees to and shall be bound by the subordination provisions set forth in the Indenture. Upon any dissolution, winding up, liquidation or reorganization of the Issuer, the Lenders will be entitled to receive payment in full of all amounts due to them under the Credit Facility before the holders of Notes are entitled to receive any payment. In addition, the dates for payment of the principal and interest on the Notes may be postponed (with interest continuing to accrue at regular rates), under certain circumstances as described in the Indenture. The Lenders may, at any time and from time to time, without the consent of or notice to the Trustees or the holders of the Notes, take any action under the Credit Facility or vary any terms of the Credit Facility agreement, as set forth in Article 8 of the Indenture.</w:t>
      </w:r>
    </w:p>
    <w:p>
      <w:pPr>
        <w:spacing w:after="0" w:line="16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i w:val="1"/>
          <w:iCs w:val="1"/>
          <w:color w:val="auto"/>
        </w:rPr>
        <w:t>Conversion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and in compliance with the provisions of the Indenture, commencing on the first trading date on the TASE after the date on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Notes are listed for trading on the TASE and until 5:00 p.m. (New York City time) on December 27 , 2011, inclusive (but if such last date is not a trading day on the TASE, then the last date to convert the Notes will be the first trading day on the TASE after such date), the holder hereof has the right, at its option, to convert the principal amount of the Notes, in integral multiples of $1.00, into the Issuer’s Ordinary Shares at the Conversion Price in effect at such time, subject to adjustment from time to time as provided in Section 14.04 of the Indenture, upon surrender of this Note with the form entitled “</w:t>
      </w:r>
      <w:r>
        <w:rPr>
          <w:rFonts w:ascii="Arial" w:cs="Arial" w:eastAsia="Arial" w:hAnsi="Arial"/>
          <w:sz w:val="16"/>
          <w:szCs w:val="16"/>
          <w:b w:val="1"/>
          <w:bCs w:val="1"/>
          <w:color w:val="auto"/>
        </w:rPr>
        <w:t>Conversion Notice</w:t>
      </w:r>
      <w:r>
        <w:rPr>
          <w:rFonts w:ascii="Arial" w:cs="Arial" w:eastAsia="Arial" w:hAnsi="Arial"/>
          <w:sz w:val="16"/>
          <w:szCs w:val="16"/>
          <w:color w:val="auto"/>
        </w:rPr>
        <w:t>” on the reverse hereof duly completed, to the Issuer at the office or agency of the Issuer maintained for that purpose in accordance with the terms of the Indenture, or at the option of such holder, the Corporate Trust Office, and, unless the shares issuable on conversion are to be issued in the same name as this Note, duly endorsed for transfer.</w:t>
      </w:r>
    </w:p>
    <w:p>
      <w:pPr>
        <w:spacing w:after="0" w:line="172"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Conversion Price is subject to adjustment if the Issuer consummates one or more financings as described in Section 14.04 of the Indenture on or before December 20, 2006, or in certain circumstances on or before June 20, 2007, subject to and as provided in Section 14.04 of the Indenture.</w:t>
      </w:r>
    </w:p>
    <w:p>
      <w:pPr>
        <w:spacing w:after="0" w:line="13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Conversion Price is also subject to adjustment as a result of certain corporate events such as consolidation, reclassification, stock split, payment of bonus shares (stock dividends), mergers or rights offering, as provided in Section 14.05 of the Indenture.</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Fractional shares will not be issued upon any conversion of this Note. The number of Ordinary Shares issuable upon conversion of this Note will be rounded down to the nearest whole number. No payment of cash or in kind will be made in lieu of fractional shares.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No accrued interest will be payable by the Issuer upon the conversion of this Note into the Issuer’s Ordinary Shares. The holder’s right to accrued interest, if any, will be lost upon conversion of this Note into Ordinary Shares.</w:t>
      </w:r>
    </w:p>
    <w:p>
      <w:pPr>
        <w:sectPr>
          <w:pgSz w:w="11900" w:h="16838" w:orient="portrait"/>
          <w:cols w:equalWidth="0" w:num="1">
            <w:col w:w="11420"/>
          </w:cols>
          <w:pgMar w:left="240" w:top="347" w:right="239" w:bottom="0" w:gutter="0" w:footer="0" w:header="0"/>
        </w:sectPr>
      </w:pPr>
    </w:p>
    <w:bookmarkStart w:id="80" w:name="page81"/>
    <w:bookmarkEnd w:id="80"/>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Persons Deemed Owners. </w:t>
      </w:r>
      <w:r>
        <w:rPr>
          <w:rFonts w:ascii="Arial" w:cs="Arial" w:eastAsia="Arial" w:hAnsi="Arial"/>
          <w:sz w:val="16"/>
          <w:szCs w:val="16"/>
          <w:color w:val="auto"/>
        </w:rPr>
        <w:t>The Issuer, the Trustees, any authenticating agent, any paying agent, any conversion agent and any Note registrar may deem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the registered holder hereof as the absolute owner of this Note (whether or not this Note shall be overdue and notwithstanding any notation of ownership or other writing hereon made by anyone other than the Issuer or any Note registrar) for the purpose of receiving payment hereof, or on account hereof, for the conversion hereof and for all other purposes, and neither the Issuer nor the Trustees nor any other authenticating agent nor any paying agent nor other conversion agent nor any Note registrar shall be affected by any notice to the contrary. All payments made to or upon the order of such registered holder shall, to the extent of the sum or sums paid, satisfy and discharge liability for monies payable on this Note.</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No Recourse Against Incorporator, Stockholder, Etc</w:t>
      </w:r>
      <w:r>
        <w:rPr>
          <w:rFonts w:ascii="Arial" w:cs="Arial" w:eastAsia="Arial" w:hAnsi="Arial"/>
          <w:sz w:val="16"/>
          <w:szCs w:val="16"/>
          <w:color w:val="auto"/>
        </w:rPr>
        <w:t>. No recourse for the payment of the principal of or interest on this Note, or for any claim based hereon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otherwise in respect hereof, and no recourse under or upon any obligation, covenant or agreement of the Issuer in the Indenture or any supplemental indenture or in any Note, or because of the creation of any indebtedness represented thereby, shall be had against any incorporator, stockholder, employee, agent, officer or director or subsidiary, as such, past, present or future, of the Issuer or of any successor corporation, either directly or through the Issuer or any successor corporation, whether by virtue of any constitution, statute or rule of law or by the enforcement of any assessment or penalty or otherwise, all such liability being expressly waived and released as a condition of, and as a consideration for, the execution of the Indenture and the issue of this Note.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Events of Default. </w:t>
      </w:r>
      <w:r>
        <w:rPr>
          <w:rFonts w:ascii="Arial" w:cs="Arial" w:eastAsia="Arial" w:hAnsi="Arial"/>
          <w:sz w:val="16"/>
          <w:szCs w:val="16"/>
          <w:color w:val="auto"/>
        </w:rPr>
        <w:t>An Event of Default on this Note is (i) any corporate action taken by the Issuer or other steps taken or proceedings started or consented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any order made for the Issuer’s winding up, liquidation, bankruptcy, dissolution, administration or re-organization (or for the suspension of payments generally or any process giving protection against creditors), or for the appointment of a liquidator, receiver, administrator, administrative receiver or similar officer for all or any part of the Issuer’s revenues or assets or such a person is appointed, which action, steps, proceedings or order are not cancelled or withdrawn within 60 days of the occurrence or the institution thereof, or (ii) failure by the Issuer to pay an amount of principal or interest due hereon within 14 Business Days of the date the Issuer is required to make the payment hereon as such date may be postponed in accordance with the terms hereof.</w:t>
      </w:r>
    </w:p>
    <w:p>
      <w:pPr>
        <w:spacing w:after="0" w:line="17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In case an Event of Default shall have occurred and be continuing, the principal and accrued interest on all Notes may be declared by the Trustee, the Co-Trustee or both acting jointly, and upon said declaration shall become, due and payable, in the manner, with the effect and subject to the conditions provided in the Indenture.</w:t>
      </w:r>
    </w:p>
    <w:p>
      <w:pPr>
        <w:spacing w:after="0" w:line="194" w:lineRule="exact"/>
        <w:rPr>
          <w:sz w:val="20"/>
          <w:szCs w:val="20"/>
          <w:color w:val="auto"/>
        </w:rPr>
      </w:pPr>
    </w:p>
    <w:p>
      <w:pPr>
        <w:ind w:right="80" w:firstLine="351"/>
        <w:spacing w:after="0" w:line="285" w:lineRule="auto"/>
        <w:rPr>
          <w:sz w:val="20"/>
          <w:szCs w:val="20"/>
          <w:color w:val="auto"/>
        </w:rPr>
      </w:pPr>
      <w:r>
        <w:rPr>
          <w:rFonts w:ascii="Arial" w:cs="Arial" w:eastAsia="Arial" w:hAnsi="Arial"/>
          <w:sz w:val="16"/>
          <w:szCs w:val="16"/>
          <w:b w:val="1"/>
          <w:bCs w:val="1"/>
          <w:i w:val="1"/>
          <w:iCs w:val="1"/>
          <w:color w:val="auto"/>
        </w:rPr>
        <w:t xml:space="preserve">Waivers of Events of Default. </w:t>
      </w:r>
      <w:r>
        <w:rPr>
          <w:rFonts w:ascii="Arial" w:cs="Arial" w:eastAsia="Arial" w:hAnsi="Arial"/>
          <w:sz w:val="16"/>
          <w:szCs w:val="16"/>
          <w:color w:val="auto"/>
        </w:rPr>
        <w:t>The holders of a majority in aggregate principal amount of the Notes at the time outstanding determined in accordance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9.04 of the Indenture, shall have the right (subject to the next sentence below) to direct, in accordance with Section 9.01 of the Indenture, a waiver, on behalf of the holders of all of the Notes, of any past default or Event of Default and its consequences, provided that such direction to waive is given at a meeting of the Noteholders, in accordance with Article 10 of the Indenture, and that such waiver be approved by the vote of holders of at least a majority of the aggregate principal amount of the Notes at the time outstanding, determined in accordance with Section 9.04, who also hold at least 75% of the principal amount of the Notes present or represented in that Noteholders meeting. Notwithstanding the preceding sentence, the following defaults may not be waived without the consent of the holders of each or all Notes then outstanding or affected thereby: (i) a default in the payment of interest on, or the principal of, the Notes, (ii) a failure by the Issuer to convert any Notes into Ordinary Shares, or (iii) a default in respect of a covenant or provisions of the Indenture which under the provisions of the Trust Indenture Act cannot be modified or amended without the consent of the holders of each or all Notes then outstanding or affected thereby. Upon any such waiver, the Issuer, the Trustees and the holders of the Notes shall be restored to their former positions and rights under the Indenture; but no such waiver shall extend to any subsequent or other default or Event of Default or impair any right consequent thereon. Whenever any default or Event of Default under the Indenture shall have been waived as permitted by Section 6.07 of the Indenture, said default or Event of Default shall for all purposes of the Notes and the Indenture be deemed to have been cured and to be not continuing; but no such waiver shall extend to any subsequent or other default or Event of Default or impair any right consequent thereon.</w:t>
      </w:r>
    </w:p>
    <w:p>
      <w:pPr>
        <w:spacing w:after="0" w:line="182"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b w:val="1"/>
          <w:bCs w:val="1"/>
          <w:i w:val="1"/>
          <w:iCs w:val="1"/>
          <w:color w:val="auto"/>
        </w:rPr>
        <w:t xml:space="preserve">Supplemental Indentures. </w:t>
      </w:r>
      <w:r>
        <w:rPr>
          <w:rFonts w:ascii="Arial" w:cs="Arial" w:eastAsia="Arial" w:hAnsi="Arial"/>
          <w:sz w:val="15"/>
          <w:szCs w:val="15"/>
          <w:color w:val="auto"/>
        </w:rPr>
        <w:t>The Issuer, when authorized by the resolutions of the Board of Directors, and the Trustees may, from time to time, and at any time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enter into an indenture or indentures supplemental hereto for one or more of the following purposes: (i) evidence the succession of another Person to the Issuer, or successive successions, and the assumption by the successor Person of the covenants, agreements and obligations of the Issuer pursuant to Article 12 of the Indenture; (ii) add covenants, restrictions or conditions to the Issuer so long as they are deemed by the Board of Directors and the Trustees as for the benefit of the Noteholders (provided the Trustees shall first have received an opinion of counsel to this effect), (iii) provide for the issuance of Notes in coupon form; (iv) to cure any ambiguity or to correct or supplement any provision in the Indenture or in any supplemental indenture; (v) evidence and provide for the acceptance of appointment hereunder by a successor trustee with respect to the Notes; (vi) modify, eliminate or add to the provisions of this Indenture to such extent as shall be necessary to effect the qualifications of this Indenture under the Trust Indenture Act, or under any similar federal statute hereafter enacted or the Securities Law; or (vii) make any other change that does not adversely affect any right of the Noteholders under the Indenture. The Indenture contains provisions permitting the Issuer and the Trustee, with the consent of the Noteholders, to execute supplemental indentures adding any provisions to or changing in any manner or eliminating any of the provisions of the Indenture or of any supplemental indenture or modifying in any manner the rights of the Noteholders; provided that the entering into such supplemental indenture is approved by a resolution of the Noteholders meeting in accordance with Article 10 of the Indenture, by the vote of Noteholders who (i) hold not less than a majority of the aggregate principal amount of the Notes at the time outstanding, determined in accordance with Section</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9.04 of the Indenture; and also (ii) hold at least 75% of the principal amount of the Notes present or represented in that Noteholders meeting; and provided further that no such supplemental indenture shall modify any term, covenant or provisions hereof which under the provisions of the Trust Indenture Act cannot be modified or amended without the consent of the holders of each or all Notes then outstanding or affected thereby, without the consent of the holder of each Note so affected.</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NOTE SHALL BE DEEMED TO BE A CONTRACT MADE UNDER THE LAWS OF NEW YORK, AND FOR ALL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CONSTRUED IN ACCORDANCE WITH THE LAWS OF NEW YORK.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ABBREVIATIONS</w:t>
      </w:r>
    </w:p>
    <w:p>
      <w:pPr>
        <w:spacing w:after="0" w:line="312"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abbreviations, when used in the inscription of the face of this Note, shall be construed as though they were written out in full according to applicable laws or regulations.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TEN COM -</w:t>
            </w:r>
          </w:p>
        </w:tc>
        <w:tc>
          <w:tcPr>
            <w:tcW w:w="3060" w:type="dxa"/>
            <w:vAlign w:val="bottom"/>
          </w:tcPr>
          <w:p>
            <w:pPr>
              <w:ind w:left="380"/>
              <w:spacing w:after="0"/>
              <w:rPr>
                <w:sz w:val="20"/>
                <w:szCs w:val="20"/>
                <w:color w:val="auto"/>
              </w:rPr>
            </w:pPr>
            <w:r>
              <w:rPr>
                <w:rFonts w:ascii="Arial" w:cs="Arial" w:eastAsia="Arial" w:hAnsi="Arial"/>
                <w:sz w:val="18"/>
                <w:szCs w:val="18"/>
                <w:color w:val="auto"/>
              </w:rPr>
              <w:t>as tenants in common</w:t>
            </w:r>
          </w:p>
        </w:tc>
        <w:tc>
          <w:tcPr>
            <w:tcW w:w="2700" w:type="dxa"/>
            <w:vAlign w:val="bottom"/>
          </w:tcPr>
          <w:p>
            <w:pPr>
              <w:ind w:left="720"/>
              <w:spacing w:after="0"/>
              <w:rPr>
                <w:sz w:val="20"/>
                <w:szCs w:val="20"/>
                <w:color w:val="auto"/>
              </w:rPr>
            </w:pPr>
            <w:r>
              <w:rPr>
                <w:rFonts w:ascii="Arial" w:cs="Arial" w:eastAsia="Arial" w:hAnsi="Arial"/>
                <w:sz w:val="18"/>
                <w:szCs w:val="18"/>
                <w:color w:val="auto"/>
              </w:rPr>
              <w:t>UNIF GIFT MIN ACT-</w:t>
            </w:r>
          </w:p>
        </w:tc>
        <w:tc>
          <w:tcPr>
            <w:tcW w:w="2780" w:type="dxa"/>
            <w:vAlign w:val="bottom"/>
            <w:gridSpan w:val="2"/>
          </w:tcPr>
          <w:p>
            <w:pPr>
              <w:ind w:left="300"/>
              <w:spacing w:after="0"/>
              <w:rPr>
                <w:sz w:val="20"/>
                <w:szCs w:val="20"/>
                <w:color w:val="auto"/>
              </w:rPr>
            </w:pPr>
            <w:r>
              <w:rPr>
                <w:rFonts w:ascii="Arial" w:cs="Arial" w:eastAsia="Arial" w:hAnsi="Arial"/>
                <w:sz w:val="18"/>
                <w:szCs w:val="18"/>
                <w:color w:val="auto"/>
                <w:w w:val="87"/>
              </w:rPr>
              <w:t>__________Custodian__________</w:t>
            </w:r>
          </w:p>
        </w:tc>
      </w:tr>
      <w:tr>
        <w:trPr>
          <w:trHeight w:val="216"/>
        </w:trPr>
        <w:tc>
          <w:tcPr>
            <w:tcW w:w="1320" w:type="dxa"/>
            <w:vAlign w:val="bottom"/>
          </w:tcPr>
          <w:p>
            <w:pPr>
              <w:spacing w:after="0"/>
              <w:rPr>
                <w:sz w:val="20"/>
                <w:szCs w:val="20"/>
                <w:color w:val="auto"/>
              </w:rPr>
            </w:pPr>
            <w:r>
              <w:rPr>
                <w:rFonts w:ascii="Arial" w:cs="Arial" w:eastAsia="Arial" w:hAnsi="Arial"/>
                <w:sz w:val="18"/>
                <w:szCs w:val="18"/>
                <w:b w:val="1"/>
                <w:bCs w:val="1"/>
                <w:color w:val="auto"/>
              </w:rPr>
              <w:t>TEN ENT -</w:t>
            </w:r>
          </w:p>
        </w:tc>
        <w:tc>
          <w:tcPr>
            <w:tcW w:w="3060" w:type="dxa"/>
            <w:vAlign w:val="bottom"/>
          </w:tcPr>
          <w:p>
            <w:pPr>
              <w:ind w:left="380"/>
              <w:spacing w:after="0"/>
              <w:rPr>
                <w:sz w:val="20"/>
                <w:szCs w:val="20"/>
                <w:color w:val="auto"/>
              </w:rPr>
            </w:pPr>
            <w:r>
              <w:rPr>
                <w:rFonts w:ascii="Arial" w:cs="Arial" w:eastAsia="Arial" w:hAnsi="Arial"/>
                <w:sz w:val="18"/>
                <w:szCs w:val="18"/>
                <w:color w:val="auto"/>
              </w:rPr>
              <w:t>as tenant by the entireties</w:t>
            </w:r>
          </w:p>
        </w:tc>
        <w:tc>
          <w:tcPr>
            <w:tcW w:w="2700" w:type="dxa"/>
            <w:vAlign w:val="bottom"/>
          </w:tcPr>
          <w:p>
            <w:pPr>
              <w:spacing w:after="0"/>
              <w:rPr>
                <w:sz w:val="18"/>
                <w:szCs w:val="18"/>
                <w:color w:val="auto"/>
              </w:rPr>
            </w:pPr>
          </w:p>
        </w:tc>
        <w:tc>
          <w:tcPr>
            <w:tcW w:w="1500" w:type="dxa"/>
            <w:vAlign w:val="bottom"/>
          </w:tcPr>
          <w:p>
            <w:pPr>
              <w:ind w:left="520"/>
              <w:spacing w:after="0"/>
              <w:rPr>
                <w:sz w:val="20"/>
                <w:szCs w:val="20"/>
                <w:color w:val="auto"/>
              </w:rPr>
            </w:pPr>
            <w:r>
              <w:rPr>
                <w:rFonts w:ascii="Arial" w:cs="Arial" w:eastAsia="Arial" w:hAnsi="Arial"/>
                <w:sz w:val="18"/>
                <w:szCs w:val="18"/>
                <w:color w:val="auto"/>
              </w:rPr>
              <w:t>(Cust)</w:t>
            </w:r>
          </w:p>
        </w:tc>
        <w:tc>
          <w:tcPr>
            <w:tcW w:w="1280" w:type="dxa"/>
            <w:vAlign w:val="bottom"/>
          </w:tcPr>
          <w:p>
            <w:pPr>
              <w:ind w:left="560"/>
              <w:spacing w:after="0"/>
              <w:rPr>
                <w:sz w:val="20"/>
                <w:szCs w:val="20"/>
                <w:color w:val="auto"/>
              </w:rPr>
            </w:pPr>
            <w:r>
              <w:rPr>
                <w:rFonts w:ascii="Arial" w:cs="Arial" w:eastAsia="Arial" w:hAnsi="Arial"/>
                <w:sz w:val="18"/>
                <w:szCs w:val="18"/>
                <w:color w:val="auto"/>
              </w:rPr>
              <w:t>(Minor)</w:t>
            </w:r>
          </w:p>
        </w:tc>
      </w:tr>
      <w:tr>
        <w:trPr>
          <w:trHeight w:val="228"/>
        </w:trPr>
        <w:tc>
          <w:tcPr>
            <w:tcW w:w="1320" w:type="dxa"/>
            <w:vAlign w:val="bottom"/>
          </w:tcPr>
          <w:p>
            <w:pPr>
              <w:spacing w:after="0"/>
              <w:rPr>
                <w:sz w:val="20"/>
                <w:szCs w:val="20"/>
                <w:color w:val="auto"/>
              </w:rPr>
            </w:pPr>
            <w:r>
              <w:rPr>
                <w:rFonts w:ascii="Arial" w:cs="Arial" w:eastAsia="Arial" w:hAnsi="Arial"/>
                <w:sz w:val="18"/>
                <w:szCs w:val="18"/>
                <w:b w:val="1"/>
                <w:bCs w:val="1"/>
                <w:color w:val="auto"/>
              </w:rPr>
              <w:t>JT TEN -</w:t>
            </w:r>
          </w:p>
        </w:tc>
        <w:tc>
          <w:tcPr>
            <w:tcW w:w="3060" w:type="dxa"/>
            <w:vAlign w:val="bottom"/>
          </w:tcPr>
          <w:p>
            <w:pPr>
              <w:ind w:left="380"/>
              <w:spacing w:after="0"/>
              <w:rPr>
                <w:sz w:val="20"/>
                <w:szCs w:val="20"/>
                <w:color w:val="auto"/>
              </w:rPr>
            </w:pPr>
            <w:r>
              <w:rPr>
                <w:rFonts w:ascii="Arial" w:cs="Arial" w:eastAsia="Arial" w:hAnsi="Arial"/>
                <w:sz w:val="18"/>
                <w:szCs w:val="18"/>
                <w:color w:val="auto"/>
              </w:rPr>
              <w:t>as joint tenants with right of</w:t>
            </w:r>
          </w:p>
        </w:tc>
        <w:tc>
          <w:tcPr>
            <w:tcW w:w="4200" w:type="dxa"/>
            <w:vAlign w:val="bottom"/>
            <w:gridSpan w:val="2"/>
          </w:tcPr>
          <w:p>
            <w:pPr>
              <w:ind w:left="720"/>
              <w:spacing w:after="0"/>
              <w:rPr>
                <w:sz w:val="20"/>
                <w:szCs w:val="20"/>
                <w:color w:val="auto"/>
              </w:rPr>
            </w:pPr>
            <w:r>
              <w:rPr>
                <w:rFonts w:ascii="Arial" w:cs="Arial" w:eastAsia="Arial" w:hAnsi="Arial"/>
                <w:sz w:val="18"/>
                <w:szCs w:val="18"/>
                <w:color w:val="auto"/>
              </w:rPr>
              <w:t>under Uniform Gifts to Minors Act</w:t>
            </w:r>
          </w:p>
        </w:tc>
        <w:tc>
          <w:tcPr>
            <w:tcW w:w="1280" w:type="dxa"/>
            <w:vAlign w:val="bottom"/>
          </w:tcPr>
          <w:p>
            <w:pPr>
              <w:spacing w:after="0"/>
              <w:rPr>
                <w:sz w:val="19"/>
                <w:szCs w:val="19"/>
                <w:color w:val="auto"/>
              </w:rPr>
            </w:pPr>
          </w:p>
        </w:tc>
      </w:tr>
    </w:tbl>
    <w:p>
      <w:pPr>
        <w:sectPr>
          <w:pgSz w:w="11900" w:h="16838" w:orient="portrait"/>
          <w:cols w:equalWidth="0" w:num="1">
            <w:col w:w="11420"/>
          </w:cols>
          <w:pgMar w:left="240" w:top="131" w:right="239" w:bottom="0" w:gutter="0" w:footer="0" w:header="0"/>
        </w:sectPr>
      </w:pPr>
    </w:p>
    <w:bookmarkStart w:id="81" w:name="page82"/>
    <w:bookmarkEnd w:id="81"/>
    <w:p>
      <w:pPr>
        <w:ind w:left="1700"/>
        <w:spacing w:after="0"/>
        <w:rPr>
          <w:sz w:val="20"/>
          <w:szCs w:val="20"/>
          <w:color w:val="auto"/>
        </w:rPr>
      </w:pPr>
      <w:r>
        <w:rPr>
          <w:rFonts w:ascii="Arial" w:cs="Arial" w:eastAsia="Arial" w:hAnsi="Arial"/>
          <w:sz w:val="15"/>
          <w:szCs w:val="15"/>
          <w:color w:val="auto"/>
        </w:rPr>
        <w:t>survivorship and not as tenants in</w:t>
      </w:r>
    </w:p>
    <w:p>
      <w:pPr>
        <w:spacing w:after="0" w:line="5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00" w:lineRule="exact"/>
        <w:rPr>
          <w:sz w:val="20"/>
          <w:szCs w:val="20"/>
          <w:color w:val="auto"/>
        </w:rPr>
      </w:pPr>
    </w:p>
    <w:p>
      <w:pPr>
        <w:sectPr>
          <w:pgSz w:w="11900" w:h="16838" w:orient="portrait"/>
          <w:cols w:equalWidth="0" w:num="2">
            <w:col w:w="4380" w:space="720"/>
            <w:col w:w="6300"/>
          </w:cols>
          <w:pgMar w:left="240" w:top="131" w:right="259" w:bottom="0" w:gutter="0" w:footer="0" w:header="0"/>
        </w:sect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NOTICE: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TOWER SEMICONDUCTOR LTD.</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undersigned registered owner of this Note hereby irrevocably exercises the option to convert this Note, or the portion thereof (which is $1.00 or an integral multiple thereof) below designated, into Ordinary Shares of Tower Semiconductor Ltd. in accordance with the terms of the Indenture referred to in this Note, and directs that the shares issuable and deliverable upon such conversion, be issued and delivered to the registered holder hereof unless a different name has been indicated below. Capitalized terms used herein but not defined shall have the meanings ascribed to such terms in the Indenture. If shares or any portion of this Note not converted are to be issued in the name of a person other than the undersigned, the undersigned will provide the appropriate information below and pay all transfer taxes payable with respect thereto.</w:t>
      </w:r>
    </w:p>
    <w:p>
      <w:pPr>
        <w:sectPr>
          <w:pgSz w:w="11900" w:h="16838" w:orient="portrait"/>
          <w:cols w:equalWidth="0" w:num="1">
            <w:col w:w="11400"/>
          </w:cols>
          <w:pgMar w:left="240" w:top="131" w:right="259" w:bottom="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Dated: __________________________</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ectPr>
          <w:pgSz w:w="11900" w:h="16838" w:orient="portrait"/>
          <w:cols w:equalWidth="0" w:num="2">
            <w:col w:w="5000" w:space="720"/>
            <w:col w:w="5680"/>
          </w:cols>
          <w:pgMar w:left="240" w:top="131" w:right="259" w:bottom="0" w:gutter="0" w:footer="0" w:header="0"/>
          <w:type w:val="continuous"/>
        </w:sectPr>
      </w:pPr>
    </w:p>
    <w:p>
      <w:pPr>
        <w:spacing w:after="0" w:line="1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Signature(s) must be guaranteed by an “</w:t>
      </w:r>
      <w:r>
        <w:rPr>
          <w:rFonts w:ascii="Arial" w:cs="Arial" w:eastAsia="Arial" w:hAnsi="Arial"/>
          <w:sz w:val="15"/>
          <w:szCs w:val="15"/>
          <w:b w:val="1"/>
          <w:bCs w:val="1"/>
          <w:color w:val="auto"/>
        </w:rPr>
        <w:t>eligible guarantor institution</w:t>
      </w:r>
      <w:r>
        <w:rPr>
          <w:rFonts w:ascii="Arial" w:cs="Arial" w:eastAsia="Arial" w:hAnsi="Arial"/>
          <w:sz w:val="15"/>
          <w:szCs w:val="15"/>
          <w:color w:val="auto"/>
        </w:rPr>
        <w:t>” meeting</w:t>
      </w:r>
    </w:p>
    <w:p>
      <w:pPr>
        <w:spacing w:after="0" w:line="5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the requirements of the Note registrar, which requirements include membership</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or such other “</w:t>
      </w:r>
      <w:r>
        <w:rPr>
          <w:rFonts w:ascii="Arial" w:cs="Arial" w:eastAsia="Arial" w:hAnsi="Arial"/>
          <w:sz w:val="16"/>
          <w:szCs w:val="16"/>
          <w:b w:val="1"/>
          <w:bCs w:val="1"/>
          <w:color w:val="auto"/>
        </w:rPr>
        <w:t>signature guarantee program</w:t>
      </w:r>
      <w:r>
        <w:rPr>
          <w:rFonts w:ascii="Arial" w:cs="Arial" w:eastAsia="Arial" w:hAnsi="Arial"/>
          <w:sz w:val="16"/>
          <w:szCs w:val="16"/>
          <w:color w:val="auto"/>
        </w:rPr>
        <w:t>” as may be determined by the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Note registrar in a substitution for, STAMP, all in accordance with Act of 1934,</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amended.</w:t>
      </w:r>
    </w:p>
    <w:p>
      <w:pPr>
        <w:sectPr>
          <w:pgSz w:w="11900" w:h="16838" w:orient="portrait"/>
          <w:cols w:equalWidth="0" w:num="1">
            <w:col w:w="11400"/>
          </w:cols>
          <w:pgMar w:left="240" w:top="131" w:right="259" w:bottom="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Guarantee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Fill in the registration of Ordinary Shares if to be issued, and Notes if to be delivered, other than to and in the name of the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to be converted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(if less than all):</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Other Taxpayer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Identification Number: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A-7 -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w:t>
      </w:r>
    </w:p>
    <w:p>
      <w:pPr>
        <w:spacing w:after="0" w:line="312"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For value received THE UNDERSIGNED hereby sells assigns and transfers unto (Please insert name of assignee and social security or other Taxpayer Identification Number of assignee) the within Note, and hereby irrevocably constitutes and appoints attorney to transfer said</w:t>
      </w:r>
    </w:p>
    <w:p>
      <w:pPr>
        <w:spacing w:after="0"/>
        <w:rPr>
          <w:sz w:val="20"/>
          <w:szCs w:val="20"/>
          <w:color w:val="auto"/>
        </w:rPr>
      </w:pPr>
      <w:r>
        <w:rPr>
          <w:rFonts w:ascii="Arial" w:cs="Arial" w:eastAsia="Arial" w:hAnsi="Arial"/>
          <w:sz w:val="18"/>
          <w:szCs w:val="18"/>
          <w:color w:val="auto"/>
        </w:rPr>
        <w:t>Note on the books of the Issuer, with full power of substitution in the premises.</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Signature(s)</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Signature(s) must be guaranteed by an “</w:t>
      </w:r>
      <w:r>
        <w:rPr>
          <w:rFonts w:ascii="Arial" w:cs="Arial" w:eastAsia="Arial" w:hAnsi="Arial"/>
          <w:sz w:val="15"/>
          <w:szCs w:val="15"/>
          <w:b w:val="1"/>
          <w:bCs w:val="1"/>
          <w:color w:val="auto"/>
        </w:rPr>
        <w:t>eligible guarantor institution</w:t>
      </w:r>
      <w:r>
        <w:rPr>
          <w:rFonts w:ascii="Arial" w:cs="Arial" w:eastAsia="Arial" w:hAnsi="Arial"/>
          <w:sz w:val="15"/>
          <w:szCs w:val="15"/>
          <w:color w:val="auto"/>
        </w:rPr>
        <w:t>” meeting</w:t>
      </w:r>
    </w:p>
    <w:p>
      <w:pPr>
        <w:spacing w:after="0" w:line="5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the requirements of the Note registrar, which requirements include membership</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or such other “</w:t>
      </w:r>
      <w:r>
        <w:rPr>
          <w:rFonts w:ascii="Arial" w:cs="Arial" w:eastAsia="Arial" w:hAnsi="Arial"/>
          <w:sz w:val="16"/>
          <w:szCs w:val="16"/>
          <w:b w:val="1"/>
          <w:bCs w:val="1"/>
          <w:color w:val="auto"/>
        </w:rPr>
        <w:t>signature guarantee program</w:t>
      </w:r>
      <w:r>
        <w:rPr>
          <w:rFonts w:ascii="Arial" w:cs="Arial" w:eastAsia="Arial" w:hAnsi="Arial"/>
          <w:sz w:val="16"/>
          <w:szCs w:val="16"/>
          <w:color w:val="auto"/>
        </w:rPr>
        <w:t>” as may be determined by the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Note registrar in a substitution for, STAMP, all in accordance with Act of 1934,</w:t>
      </w:r>
    </w:p>
    <w:p>
      <w:pPr>
        <w:sectPr>
          <w:pgSz w:w="11900" w:h="16838" w:orient="portrait"/>
          <w:cols w:equalWidth="0" w:num="1">
            <w:col w:w="11400"/>
          </w:cols>
          <w:pgMar w:left="240" w:top="131" w:right="259" w:bottom="0" w:gutter="0" w:footer="0" w:header="0"/>
          <w:type w:val="continuous"/>
        </w:sectPr>
      </w:pPr>
    </w:p>
    <w:bookmarkStart w:id="82" w:name="page83"/>
    <w:bookmarkEnd w:id="82"/>
    <w:p>
      <w:pPr>
        <w:ind w:left="5720"/>
        <w:spacing w:after="0"/>
        <w:rPr>
          <w:sz w:val="20"/>
          <w:szCs w:val="20"/>
          <w:color w:val="auto"/>
        </w:rPr>
      </w:pPr>
      <w:r>
        <w:rPr>
          <w:rFonts w:ascii="Arial" w:cs="Arial" w:eastAsia="Arial" w:hAnsi="Arial"/>
          <w:sz w:val="18"/>
          <w:szCs w:val="18"/>
          <w:color w:val="auto"/>
        </w:rPr>
        <w:t>as amended.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Guarantee</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NOTICE: The signature on the Conversion Notice or the Assignment must correspond with the name as written upon the face of the Note in every particular without alteration or enlargement or any change whatever.</w:t>
      </w:r>
    </w:p>
    <w:p>
      <w:pPr>
        <w:spacing w:after="0" w:line="18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 A-8 -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9116695</wp:posOffset>
            </wp:positionV>
            <wp:extent cx="726757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020"/>
          </w:cols>
          <w:pgMar w:left="240" w:top="131" w:right="6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u w:val="single" w:color="auto"/>
          <w:color w:val="auto"/>
        </w:rPr>
        <w:t>Exhibit 5.3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ROBERTS &amp; HOLLAND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 903-8700</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14,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Post Office Box 619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23105 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acted as special U.S. tax counsel to Tower Semiconductor Limited (the “Company”) in connection with the preparation of the prospectus included in registration statement no. 333-126909 and filed with the Securities and Exchange Commission under the Securities Act of 1933, as amended (the “Prospectus”) with respect to the distribution by the Company of rights (the “Rights”) to purchase debentures convertible into its ordinary shares (the “Convertible Debentures”). All other defined terms used herein shall have the meaning ascribed in the Prospectus.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rendering the opinion set forth below, we have examined and are relying on the factual statements set forth in the Prospectus.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Based upon the foregoing, and in reliance thereon and subject to the limitations set forth herein and in the portion of the Prospectus captioned “United States Tax Considerations,” the legal conclusions as to United States federal income tax consequences set forth in that portion of the Prospectus are the opinion of this firm. We have not verified, and express no opinion with respect to, any of the factual matters set forth in the Prospectus, including, without limitation, the Company’s current or accumulated earnings and profits at any time during the taxable year. We also express no opinion as to whether the Company may be classified, currently or in the future, as a passive foreign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71"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color w:val="auto"/>
        </w:rPr>
        <w:t>Tower Semiconductor Limited</w:t>
      </w:r>
      <w:r>
        <w:rPr>
          <w:sz w:val="20"/>
          <w:szCs w:val="20"/>
          <w:color w:val="auto"/>
        </w:rPr>
        <w:tab/>
      </w:r>
      <w:r>
        <w:rPr>
          <w:rFonts w:ascii="Arial" w:cs="Arial" w:eastAsia="Arial" w:hAnsi="Arial"/>
          <w:sz w:val="15"/>
          <w:szCs w:val="15"/>
          <w:color w:val="auto"/>
        </w:rPr>
        <w:t>December 14, 2005</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opinion herein is limited to the Federal income tax laws of the United States as of the date hereof, and we express no opinion as to the effect on the matters covered by this opinion of the laws of any state (or subdivision thereof) or foreign country. This opinion letter shall not be construed as or deemed to be a guaranty or insuring agreement. We express no opinion on any matter other than the matters set forth in the preceding paragraph. Any change in applicable law or in the facts or documents on which our opinion is based or any inaccuracy of the representations or assumptions on which we have relied may affect the validity of the foregoing opinion. Our conclusion is based on the Code and administrative and judicial guidance and interpretations promulgated thereunder or applicable thereto, all as in effect on the date hereof or as assumed to apply as described herein. The Code, Regulations promulgated by the Treasury Department, and interpretations of the courts and the Internal Revenue Service are subject to change at any time, and, in some circumstances, with retroactive effect. Any such change after the date of this letter could affect our opinion herein. This firm undertakes no obligation to update this letter after the effective date of the Registration Statement in the event of a change in the legal authorities, facts, or documents on which our opinion is based or of any inaccuracy of the representations or assumptions on which we have relied in rendering this opinion. An opinion of counsel represents only counsel’s best legal judgment and has no binding effect or official status of any kind. No assurance can be given that contrary positions may not be taken by the Internal Revenue Service or that a court considering the issues would not hold otherwise.</w:t>
      </w:r>
    </w:p>
    <w:p>
      <w:pPr>
        <w:spacing w:after="0" w:line="178"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have acted as counsel solely to the Company. This opinion may be relied upon only by the Company and holders of Rights, Convertible Debentures, and ordinary shares received upon conversion of the Convertible Debentures. We consent to being named in the Prospectus and to the filing of this opinion as an exhibit to the Prospectus. This opinion may not be used or relied upon by any person other than the Company and holders of Rights, Convertible Debentures, and ordinary shares received upon conversion of the Convertible Debentures and may not otherwise be disclosed, quoted, filed with a governmental agency, or referred to without our prior written consent.</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ROBERTS &amp; HOLLAND LLP</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2710180</wp:posOffset>
            </wp:positionV>
            <wp:extent cx="726757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31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consent to the incorporation by reference in this Registration Statement, Amendment No. 6 to Form F-1, of our report dated February 3, 2005 (May 30, 2005 as for Note 20), relating to the financial statements of Tower Semiconductor Ltd. appearing in the Annual Report on Form 20-F of Tower Semiconductor Ltd. for the year ended December 31, 2004, and to the references to us under the headings “Selected Financial Data” and “Experts” in the prospectus, which is part of this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&amp; Co.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Deloitte Touche Tohmatsu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8023225</wp:posOffset>
            </wp:positionV>
            <wp:extent cx="726757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b w:val="1"/>
          <w:bCs w:val="1"/>
          <w:color w:val="auto"/>
        </w:rPr>
        <w:t>EILENBERG &amp; KRAUSE LLP</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EAST 44TH STREET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(212) 986-9700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FACSIMILE: (212) 986-2399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14,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Peggy A. Fisher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Amendment No. 5 on Form F-1 to Registration Statement on Form F-2</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Filed December 8, 2005</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File No. 333-126909</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Dear Ms. Fisher:</w:t>
      </w:r>
    </w:p>
    <w:p>
      <w:pPr>
        <w:spacing w:after="0" w:line="225"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This letter is submitted on behalf of Tower Semiconductor Ltd. (“Tower” or the “Company”), in response to the comments of the Staff of the Division of Corporation Finance of the Securities and Exchange Commission regarding Amendment No. 5 on Form F-1 to the Registration Statement on Form F-2 (Registration No. 333-126909) filed on December 8, 2005. With a courtesy copy of this letter, we are including a copy of Amendment No. 6 to the Registration Statement on Form F-1 as filed with the Securities and Exchange Commission on the date hereof. The Amendment reflects Tower’s responses to the comments contained in your letter of December 13, 2005, as well as updated information. We have also enclosed copies of Amendment No. 6, which have been marked to show changes from Amendment No. 5 to the Registration Statement.</w:t>
      </w:r>
    </w:p>
    <w:p>
      <w:pPr>
        <w:spacing w:after="0" w:line="17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numbered responses correlate to the numbers in your letter dated December 13, 2005, and we have set forth in full the text of the comments included in your letter for convenience purposes. All references in our responses to page numbers are to the pages in the unmarked copies of the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2504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6" w:name="page87"/>
    <w:bookmarkEnd w:id="86"/>
    <w:p>
      <w:pPr>
        <w:ind w:firstLine="348"/>
        <w:spacing w:after="0" w:line="294" w:lineRule="auto"/>
        <w:rPr>
          <w:sz w:val="20"/>
          <w:szCs w:val="20"/>
          <w:color w:val="auto"/>
        </w:rPr>
      </w:pPr>
      <w:r>
        <w:rPr>
          <w:rFonts w:ascii="Arial" w:cs="Arial" w:eastAsia="Arial" w:hAnsi="Arial"/>
          <w:sz w:val="16"/>
          <w:szCs w:val="16"/>
          <w:color w:val="auto"/>
        </w:rPr>
        <w:t>We note that we have made certain other changes to the Registration Statement, primarily to reflect the elimination of the provisions which were added in Amendment No. 3 and which had provided for the cancellation at the election of the Company of the adjustment of the conversion price called for under the Indenture and the mandatory redemption of the debentures in certain circumstances. These provisions, and the related tax disclosures, have been eliminated and the disclosures have reverted to be substantially as included in Amendment No. 3. The prospectus included in Amendment No. 6 also reflects changes made to fill in the contemplated final conversion price and other offering terms.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respond to the Staff’s comments as follows: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F-2</w:t>
      </w:r>
    </w:p>
    <w:p>
      <w:pPr>
        <w:spacing w:after="0" w:line="31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Part II</w:t>
      </w:r>
    </w:p>
    <w:p>
      <w:pPr>
        <w:spacing w:after="0" w:line="279" w:lineRule="exact"/>
        <w:rPr>
          <w:sz w:val="20"/>
          <w:szCs w:val="20"/>
          <w:color w:val="auto"/>
        </w:rPr>
      </w:pPr>
    </w:p>
    <w:p>
      <w:pPr>
        <w:ind w:left="1720" w:hanging="564"/>
        <w:spacing w:after="0"/>
        <w:tabs>
          <w:tab w:leader="none" w:pos="172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provide the information required by Item 701 of Regulation S-K.</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We have provided the information required by Item 701 of Regulation S-K in Part II of the Registration Statement.</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Exhibit 5.3</w:t>
      </w:r>
    </w:p>
    <w:p>
      <w:pPr>
        <w:spacing w:after="0" w:line="279" w:lineRule="exact"/>
        <w:rPr>
          <w:sz w:val="20"/>
          <w:szCs w:val="20"/>
          <w:color w:val="auto"/>
        </w:rPr>
      </w:pPr>
    </w:p>
    <w:p>
      <w:pPr>
        <w:ind w:left="1720" w:right="40" w:hanging="564"/>
        <w:spacing w:after="0" w:line="298" w:lineRule="auto"/>
        <w:tabs>
          <w:tab w:leader="none" w:pos="172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reissue the comment. If you retain the language that the opinion is limited to the Federal income tax laws of the United States “as of the date hereof,” either refile the opinion on the date you intend to go effective, dated as of the effective date, or revise the opinion to state explicitly that counsel has an obligation to update the opinion prior to the effective date of the Registration Statement and will do so upon the occurrence of the events stated in the fourth paragraph.</w:t>
      </w:r>
    </w:p>
    <w:p>
      <w:pPr>
        <w:spacing w:after="0" w:line="194" w:lineRule="exact"/>
        <w:rPr>
          <w:sz w:val="20"/>
          <w:szCs w:val="20"/>
          <w:color w:val="auto"/>
        </w:rPr>
      </w:pPr>
    </w:p>
    <w:p>
      <w:pPr>
        <w:jc w:val="both"/>
        <w:ind w:left="1160" w:right="280"/>
        <w:spacing w:after="0" w:line="294" w:lineRule="auto"/>
        <w:rPr>
          <w:sz w:val="20"/>
          <w:szCs w:val="20"/>
          <w:color w:val="auto"/>
        </w:rPr>
      </w:pPr>
      <w:r>
        <w:rPr>
          <w:rFonts w:ascii="Arial" w:cs="Arial" w:eastAsia="Arial" w:hAnsi="Arial"/>
          <w:sz w:val="16"/>
          <w:szCs w:val="16"/>
          <w:color w:val="auto"/>
        </w:rPr>
        <w:t>We have refiled the opinion which has been reissued by tax counsel and is dated the date of this letter. The revised opinion reflects the revised disclosure included in Amendment No. 6. As we state below, we have by separate correspondence asked that effectiveness of the Registration Statement be accelerated to tomorrow, Thursday, December 15, 2005 at 12:00 noon. We respectfully request, if the acceleration order will be issued tomorrow as requested, that no additional opinion dated the effective date be required to be filed in a pre-effective amendment to cover possible changes of law in the few hours between today’s filing and the effectiveness time.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87" w:name="page88"/>
    <w:bookmarkEnd w:id="87"/>
    <w:p>
      <w:pPr>
        <w:ind w:left="352"/>
        <w:spacing w:after="0"/>
        <w:rPr>
          <w:sz w:val="20"/>
          <w:szCs w:val="20"/>
          <w:color w:val="auto"/>
        </w:rPr>
      </w:pPr>
      <w:r>
        <w:rPr>
          <w:rFonts w:ascii="Arial" w:cs="Arial" w:eastAsia="Arial" w:hAnsi="Arial"/>
          <w:sz w:val="15"/>
          <w:szCs w:val="15"/>
          <w:color w:val="auto"/>
        </w:rPr>
        <w:t>If you have any questions, please feel free to call the undersigned at (212) 986-9700 (extension 17).</w:t>
      </w:r>
    </w:p>
    <w:p>
      <w:pPr>
        <w:spacing w:after="0" w:line="260"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Sheldon Krause</w:t>
      </w:r>
    </w:p>
    <w:p>
      <w:pPr>
        <w:spacing w:after="0" w:line="252" w:lineRule="exact"/>
        <w:rPr>
          <w:sz w:val="20"/>
          <w:szCs w:val="20"/>
          <w:color w:val="auto"/>
        </w:rPr>
      </w:pPr>
    </w:p>
    <w:p>
      <w:pPr>
        <w:ind w:left="572" w:right="7819" w:hanging="572"/>
        <w:spacing w:after="0" w:line="259" w:lineRule="auto"/>
        <w:tabs>
          <w:tab w:leader="none" w:pos="57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Adelaja K. Heyliger, Esq. Mr. Thomas Dyer David Schapiro, Esq.</w:t>
      </w:r>
    </w:p>
    <w:p>
      <w:pPr>
        <w:spacing w:after="0" w:line="200" w:lineRule="exact"/>
        <w:rPr>
          <w:sz w:val="20"/>
          <w:szCs w:val="20"/>
          <w:color w:val="auto"/>
        </w:rPr>
      </w:pPr>
    </w:p>
    <w:p>
      <w:pPr>
        <w:spacing w:after="0" w:line="237" w:lineRule="exact"/>
        <w:rPr>
          <w:sz w:val="20"/>
          <w:szCs w:val="20"/>
          <w:color w:val="auto"/>
        </w:rPr>
      </w:pPr>
    </w:p>
    <w:p>
      <w:pPr>
        <w:ind w:left="567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211"/>
      </w:cols>
      <w:pgMar w:left="248" w:top="3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emdash "/>
      <w:numFmt w:val="bullet"/>
      <w:start w:val="1"/>
    </w:lvl>
  </w:abstractNum>
  <w:abstractNum w:abstractNumId="1">
    <w:nsid w:val="520EEDD1"/>
    <w:multiLevelType w:val="hybridMultilevel"/>
    <w:lvl w:ilvl="0">
      <w:lvlJc w:val="left"/>
      <w:lvlText w:val="\emdash "/>
      <w:numFmt w:val="bullet"/>
      <w:start w:val="1"/>
    </w:lvl>
  </w:abstractNum>
  <w:abstractNum w:abstractNumId="2">
    <w:nsid w:val="374A3FE6"/>
    <w:multiLevelType w:val="hybridMultilevel"/>
    <w:lvl w:ilvl="0">
      <w:lvlJc w:val="left"/>
      <w:lvlText w:val="\emdash "/>
      <w:numFmt w:val="bullet"/>
      <w:start w:val="1"/>
    </w:lvl>
  </w:abstractNum>
  <w:abstractNum w:abstractNumId="3">
    <w:nsid w:val="4F4EF005"/>
    <w:multiLevelType w:val="hybridMultilevel"/>
    <w:lvl w:ilvl="0">
      <w:lvlJc w:val="left"/>
      <w:lvlText w:val="\emdash "/>
      <w:numFmt w:val="bullet"/>
      <w:start w:val="1"/>
    </w:lvl>
  </w:abstractNum>
  <w:abstractNum w:abstractNumId="4">
    <w:nsid w:val="23F9C13C"/>
    <w:multiLevelType w:val="hybridMultilevel"/>
    <w:lvl w:ilvl="0">
      <w:lvlJc w:val="left"/>
      <w:lvlText w:val="\emdash "/>
      <w:numFmt w:val="bullet"/>
      <w:start w:val="1"/>
    </w:lvl>
  </w:abstractNum>
  <w:abstractNum w:abstractNumId="5">
    <w:nsid w:val="649BB77C"/>
    <w:multiLevelType w:val="hybridMultilevel"/>
    <w:lvl w:ilvl="0">
      <w:lvlJc w:val="left"/>
      <w:lvlText w:val="\emdash "/>
      <w:numFmt w:val="bullet"/>
      <w:start w:val="1"/>
    </w:lvl>
  </w:abstractNum>
  <w:abstractNum w:abstractNumId="6">
    <w:nsid w:val="275AC794"/>
    <w:multiLevelType w:val="hybridMultilevel"/>
    <w:lvl w:ilvl="0">
      <w:lvlJc w:val="left"/>
      <w:lvlText w:val="\emdash "/>
      <w:numFmt w:val="bullet"/>
      <w:start w:val="1"/>
    </w:lvl>
  </w:abstractNum>
  <w:abstractNum w:abstractNumId="7">
    <w:nsid w:val="39386575"/>
    <w:multiLevelType w:val="hybridMultilevel"/>
    <w:lvl w:ilvl="0">
      <w:lvlJc w:val="left"/>
      <w:lvlText w:val="\emdash "/>
      <w:numFmt w:val="bullet"/>
      <w:start w:val="1"/>
    </w:lvl>
  </w:abstractNum>
  <w:abstractNum w:abstractNumId="8">
    <w:nsid w:val="1CF10FD8"/>
    <w:multiLevelType w:val="hybridMultilevel"/>
    <w:lvl w:ilvl="0">
      <w:lvlJc w:val="left"/>
      <w:lvlText w:val="\emdash "/>
      <w:numFmt w:val="bullet"/>
      <w:start w:val="1"/>
    </w:lvl>
  </w:abstractNum>
  <w:abstractNum w:abstractNumId="9">
    <w:nsid w:val="180115BE"/>
    <w:multiLevelType w:val="hybridMultilevel"/>
    <w:lvl w:ilvl="0">
      <w:lvlJc w:val="left"/>
      <w:lvlText w:val="\emdash "/>
      <w:numFmt w:val="bullet"/>
      <w:start w:val="1"/>
    </w:lvl>
  </w:abstractNum>
  <w:abstractNum w:abstractNumId="10">
    <w:nsid w:val="235BA861"/>
    <w:multiLevelType w:val="hybridMultilevel"/>
    <w:lvl w:ilvl="0">
      <w:lvlJc w:val="left"/>
      <w:lvlText w:val="(%1)"/>
      <w:numFmt w:val="decimal"/>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1)"/>
      <w:numFmt w:val="decimal"/>
      <w:start w:val="1"/>
    </w:lvl>
  </w:abstractNum>
  <w:abstractNum w:abstractNumId="13">
    <w:nsid w:val="15B5AF5C"/>
    <w:multiLevelType w:val="hybridMultilevel"/>
    <w:lvl w:ilvl="0">
      <w:lvlJc w:val="left"/>
      <w:lvlText w:val="(%1)"/>
      <w:numFmt w:val="lowerRoman"/>
      <w:start w:val="2"/>
    </w:lvl>
  </w:abstractNum>
  <w:abstractNum w:abstractNumId="14">
    <w:nsid w:val="741226BB"/>
    <w:multiLevelType w:val="hybridMultilevel"/>
    <w:lvl w:ilvl="0">
      <w:lvlJc w:val="left"/>
      <w:lvlText w:val="(%1)"/>
      <w:numFmt w:val="decimal"/>
      <w:start w:val="1"/>
    </w:lvl>
  </w:abstractNum>
  <w:abstractNum w:abstractNumId="15">
    <w:nsid w:val="D34B6A8"/>
    <w:multiLevelType w:val="hybridMultilevel"/>
    <w:lvl w:ilvl="0">
      <w:lvlJc w:val="left"/>
      <w:lvlText w:val="(%1)"/>
      <w:numFmt w:val="decimal"/>
      <w:start w:val="2"/>
    </w:lvl>
  </w:abstractNum>
  <w:abstractNum w:abstractNumId="16">
    <w:nsid w:val="10233C99"/>
    <w:multiLevelType w:val="hybridMultilevel"/>
    <w:lvl w:ilvl="0">
      <w:lvlJc w:val="left"/>
      <w:lvlText w:val="\emdash "/>
      <w:numFmt w:val="bullet"/>
      <w:start w:val="1"/>
    </w:lvl>
  </w:abstractNum>
  <w:abstractNum w:abstractNumId="17">
    <w:nsid w:val="3F6AB60F"/>
    <w:multiLevelType w:val="hybridMultilevel"/>
    <w:lvl w:ilvl="0">
      <w:lvlJc w:val="left"/>
      <w:lvlText w:val="\emdash "/>
      <w:numFmt w:val="bullet"/>
      <w:start w:val="1"/>
    </w:lvl>
  </w:abstractNum>
  <w:abstractNum w:abstractNumId="18">
    <w:nsid w:val="61574095"/>
    <w:multiLevelType w:val="hybridMultilevel"/>
    <w:lvl w:ilvl="0">
      <w:lvlJc w:val="left"/>
      <w:lvlText w:val="\emdash "/>
      <w:numFmt w:val="bullet"/>
      <w:start w:val="1"/>
    </w:lvl>
  </w:abstractNum>
  <w:abstractNum w:abstractNumId="19">
    <w:nsid w:val="7E0C57B1"/>
    <w:multiLevelType w:val="hybridMultilevel"/>
    <w:lvl w:ilvl="0">
      <w:lvlJc w:val="left"/>
      <w:lvlText w:val="\emdash "/>
      <w:numFmt w:val="bullet"/>
      <w:start w:val="1"/>
    </w:lvl>
  </w:abstractNum>
  <w:abstractNum w:abstractNumId="20">
    <w:nsid w:val="77AE35EB"/>
    <w:multiLevelType w:val="hybridMultilevel"/>
    <w:lvl w:ilvl="0">
      <w:lvlJc w:val="left"/>
      <w:lvlText w:val="\emdash "/>
      <w:numFmt w:val="bullet"/>
      <w:start w:val="1"/>
    </w:lvl>
  </w:abstractNum>
  <w:abstractNum w:abstractNumId="21">
    <w:nsid w:val="579BE4F1"/>
    <w:multiLevelType w:val="hybridMultilevel"/>
    <w:lvl w:ilvl="0">
      <w:lvlJc w:val="left"/>
      <w:lvlText w:val="(%1)"/>
      <w:numFmt w:val="lowerRoman"/>
      <w:start w:val="1"/>
    </w:lvl>
  </w:abstractNum>
  <w:abstractNum w:abstractNumId="22">
    <w:nsid w:val="310C50B3"/>
    <w:multiLevelType w:val="hybridMultilevel"/>
    <w:lvl w:ilvl="0">
      <w:lvlJc w:val="left"/>
      <w:lvlText w:val="(%1)"/>
      <w:numFmt w:val="lowerRoman"/>
      <w:start w:val="4"/>
    </w:lvl>
    <w:lvl w:ilvl="1">
      <w:lvlJc w:val="left"/>
      <w:lvlText w:val="\emdash "/>
      <w:numFmt w:val="bullet"/>
      <w:start w:val="1"/>
    </w:lvl>
  </w:abstractNum>
  <w:abstractNum w:abstractNumId="23">
    <w:nsid w:val="5FF87E05"/>
    <w:multiLevelType w:val="hybridMultilevel"/>
    <w:lvl w:ilvl="0">
      <w:lvlJc w:val="left"/>
      <w:lvlText w:val="(%1)"/>
      <w:numFmt w:val="lowerRoman"/>
      <w:start w:val="11"/>
    </w:lvl>
    <w:lvl w:ilvl="1">
      <w:lvlJc w:val="left"/>
      <w:lvlText w:val="\emdash "/>
      <w:numFmt w:val="bullet"/>
      <w:start w:val="1"/>
    </w:lvl>
  </w:abstractNum>
  <w:abstractNum w:abstractNumId="24">
    <w:nsid w:val="2F305DEF"/>
    <w:multiLevelType w:val="hybridMultilevel"/>
    <w:lvl w:ilvl="0">
      <w:lvlJc w:val="left"/>
      <w:lvlText w:val="(%1)"/>
      <w:numFmt w:val="lowerRoman"/>
      <w:start w:val="14"/>
    </w:lvl>
    <w:lvl w:ilvl="1">
      <w:lvlJc w:val="left"/>
      <w:lvlText w:val="\emdash "/>
      <w:numFmt w:val="bullet"/>
      <w:start w:val="1"/>
    </w:lvl>
  </w:abstractNum>
  <w:abstractNum w:abstractNumId="25">
    <w:nsid w:val="25A70BF7"/>
    <w:multiLevelType w:val="hybridMultilevel"/>
    <w:lvl w:ilvl="0">
      <w:lvlJc w:val="left"/>
      <w:lvlText w:val="(%1)"/>
      <w:numFmt w:val="lowerRoman"/>
      <w:start w:val="15"/>
    </w:lvl>
  </w:abstractNum>
  <w:abstractNum w:abstractNumId="26">
    <w:nsid w:val="1DBABF00"/>
    <w:multiLevelType w:val="hybridMultilevel"/>
    <w:lvl w:ilvl="0">
      <w:lvlJc w:val="left"/>
      <w:lvlText w:val="(%1)"/>
      <w:numFmt w:val="lowerRoman"/>
      <w:start w:val="27"/>
    </w:lvl>
  </w:abstractNum>
  <w:abstractNum w:abstractNumId="27">
    <w:nsid w:val="4AD084E9"/>
    <w:multiLevelType w:val="hybridMultilevel"/>
    <w:lvl w:ilvl="0">
      <w:lvlJc w:val="left"/>
      <w:lvlText w:val="(%1)"/>
      <w:numFmt w:val="lowerRoman"/>
      <w:start w:val="29"/>
    </w:lvl>
  </w:abstractNum>
  <w:abstractNum w:abstractNumId="28">
    <w:nsid w:val="1F48EAA1"/>
    <w:multiLevelType w:val="hybridMultilevel"/>
    <w:lvl w:ilvl="0">
      <w:lvlJc w:val="left"/>
      <w:lvlText w:val="(%1)"/>
      <w:numFmt w:val="lowerRoman"/>
      <w:start w:val="32"/>
    </w:lvl>
    <w:lvl w:ilvl="1">
      <w:lvlJc w:val="left"/>
      <w:lvlText w:val="\emdash "/>
      <w:numFmt w:val="bullet"/>
      <w:start w:val="1"/>
    </w:lvl>
  </w:abstractNum>
  <w:abstractNum w:abstractNumId="29">
    <w:nsid w:val="1381823A"/>
    <w:multiLevelType w:val="hybridMultilevel"/>
    <w:lvl w:ilvl="0">
      <w:lvlJc w:val="left"/>
      <w:lvlText w:val="\emdash "/>
      <w:numFmt w:val="bullet"/>
      <w:start w:val="1"/>
    </w:lvl>
  </w:abstractNum>
  <w:abstractNum w:abstractNumId="30">
    <w:nsid w:val="5DB70AE5"/>
    <w:multiLevelType w:val="hybridMultilevel"/>
    <w:lvl w:ilvl="0">
      <w:lvlJc w:val="left"/>
      <w:lvlText w:val="\emdash "/>
      <w:numFmt w:val="bullet"/>
      <w:start w:val="1"/>
    </w:lvl>
  </w:abstractNum>
  <w:abstractNum w:abstractNumId="31">
    <w:nsid w:val="100F8FCA"/>
    <w:multiLevelType w:val="hybridMultilevel"/>
    <w:lvl w:ilvl="0">
      <w:lvlJc w:val="left"/>
      <w:lvlText w:val="%1."/>
      <w:numFmt w:val="upperLetter"/>
      <w:start w:val="1"/>
    </w:lvl>
  </w:abstractNum>
  <w:abstractNum w:abstractNumId="32">
    <w:nsid w:val="6590700B"/>
    <w:multiLevelType w:val="hybridMultilevel"/>
    <w:lvl w:ilvl="0">
      <w:lvlJc w:val="left"/>
      <w:lvlText w:val="%1."/>
      <w:numFmt w:val="upperLetter"/>
      <w:start w:val="2"/>
    </w:lvl>
  </w:abstractNum>
  <w:abstractNum w:abstractNumId="33">
    <w:nsid w:val="15014ACB"/>
    <w:multiLevelType w:val="hybridMultilevel"/>
    <w:lvl w:ilvl="0">
      <w:lvlJc w:val="left"/>
      <w:lvlText w:val="%1."/>
      <w:numFmt w:val="upperLetter"/>
      <w:start w:val="3"/>
    </w:lvl>
  </w:abstractNum>
  <w:abstractNum w:abstractNumId="34">
    <w:nsid w:val="5F5E7FD0"/>
    <w:multiLevelType w:val="hybridMultilevel"/>
    <w:lvl w:ilvl="0">
      <w:lvlJc w:val="left"/>
      <w:lvlText w:val="%1."/>
      <w:numFmt w:val="upperLetter"/>
      <w:start w:val="4"/>
    </w:lvl>
  </w:abstractNum>
  <w:abstractNum w:abstractNumId="35">
    <w:nsid w:val="98A3148"/>
    <w:multiLevelType w:val="hybridMultilevel"/>
    <w:lvl w:ilvl="0">
      <w:lvlJc w:val="left"/>
      <w:lvlText w:val="\emdash "/>
      <w:numFmt w:val="bullet"/>
      <w:start w:val="1"/>
    </w:lvl>
  </w:abstractNum>
  <w:abstractNum w:abstractNumId="36">
    <w:nsid w:val="799D0247"/>
    <w:multiLevelType w:val="hybridMultilevel"/>
    <w:lvl w:ilvl="0">
      <w:lvlJc w:val="left"/>
      <w:lvlText w:val="\emdash "/>
      <w:numFmt w:val="bullet"/>
      <w:start w:val="1"/>
    </w:lvl>
  </w:abstractNum>
  <w:abstractNum w:abstractNumId="37">
    <w:nsid w:val="6B94764"/>
    <w:multiLevelType w:val="hybridMultilevel"/>
    <w:lvl w:ilvl="0">
      <w:lvlJc w:val="left"/>
      <w:lvlText w:val="\emdash "/>
      <w:numFmt w:val="bullet"/>
      <w:start w:val="1"/>
    </w:lvl>
  </w:abstractNum>
  <w:abstractNum w:abstractNumId="38">
    <w:nsid w:val="42C296BD"/>
    <w:multiLevelType w:val="hybridMultilevel"/>
    <w:lvl w:ilvl="0">
      <w:lvlJc w:val="left"/>
      <w:lvlText w:val="\emdash "/>
      <w:numFmt w:val="bullet"/>
      <w:start w:val="1"/>
    </w:lvl>
  </w:abstractNum>
  <w:abstractNum w:abstractNumId="39">
    <w:nsid w:val="168E121F"/>
    <w:multiLevelType w:val="hybridMultilevel"/>
    <w:lvl w:ilvl="0">
      <w:lvlJc w:val="left"/>
      <w:lvlText w:val="(%1)"/>
      <w:numFmt w:val="decimal"/>
      <w:start w:val="1"/>
    </w:lvl>
  </w:abstractNum>
  <w:abstractNum w:abstractNumId="40">
    <w:nsid w:val="1EBA5D23"/>
    <w:multiLevelType w:val="hybridMultilevel"/>
    <w:lvl w:ilvl="0">
      <w:lvlJc w:val="left"/>
      <w:lvlText w:val="\emdash "/>
      <w:numFmt w:val="bullet"/>
      <w:start w:val="1"/>
    </w:lvl>
  </w:abstractNum>
  <w:abstractNum w:abstractNumId="41">
    <w:nsid w:val="661E3F1E"/>
    <w:multiLevelType w:val="hybridMultilevel"/>
    <w:lvl w:ilvl="0">
      <w:lvlJc w:val="left"/>
      <w:lvlText w:val="(%1)"/>
      <w:numFmt w:val="lowerLetter"/>
      <w:start w:val="1"/>
    </w:lvl>
  </w:abstractNum>
  <w:abstractNum w:abstractNumId="42">
    <w:nsid w:val="5DC79EA8"/>
    <w:multiLevelType w:val="hybridMultilevel"/>
    <w:lvl w:ilvl="0">
      <w:lvlJc w:val="left"/>
      <w:lvlText w:val="\emdash "/>
      <w:numFmt w:val="bullet"/>
      <w:start w:val="1"/>
    </w:lvl>
  </w:abstractNum>
  <w:abstractNum w:abstractNumId="43">
    <w:nsid w:val="540A471C"/>
    <w:multiLevelType w:val="hybridMultilevel"/>
    <w:lvl w:ilvl="0">
      <w:lvlJc w:val="left"/>
      <w:lvlText w:val="\emdash "/>
      <w:numFmt w:val="bullet"/>
      <w:start w:val="1"/>
    </w:lvl>
  </w:abstractNum>
  <w:abstractNum w:abstractNumId="44">
    <w:nsid w:val="7BD3EE7B"/>
    <w:multiLevelType w:val="hybridMultilevel"/>
    <w:lvl w:ilvl="0">
      <w:lvlJc w:val="left"/>
      <w:lvlText w:val="%1."/>
      <w:numFmt w:val="decimal"/>
      <w:start w:val="1"/>
    </w:lvl>
    <w:lvl w:ilvl="1">
      <w:lvlJc w:val="left"/>
      <w:lvlText w:val="(%2)"/>
      <w:numFmt w:val="lowerLetter"/>
      <w:start w:val="1"/>
    </w:lvl>
  </w:abstractNum>
  <w:abstractNum w:abstractNumId="45">
    <w:nsid w:val="51D9C564"/>
    <w:multiLevelType w:val="hybridMultilevel"/>
    <w:lvl w:ilvl="0">
      <w:lvlJc w:val="left"/>
      <w:lvlText w:val="(%1)"/>
      <w:numFmt w:val="lowerLetter"/>
      <w:start w:val="1"/>
    </w:lvl>
  </w:abstractNum>
  <w:abstractNum w:abstractNumId="46">
    <w:nsid w:val="613EFDC5"/>
    <w:multiLevelType w:val="hybridMultilevel"/>
    <w:lvl w:ilvl="0">
      <w:lvlJc w:val="left"/>
      <w:lvlText w:val="%1."/>
      <w:numFmt w:val="lowerRoman"/>
      <w:start w:val="1"/>
    </w:lvl>
  </w:abstractNum>
  <w:abstractNum w:abstractNumId="47">
    <w:nsid w:val="BF72B14"/>
    <w:multiLevelType w:val="hybridMultilevel"/>
    <w:lvl w:ilvl="0">
      <w:lvlJc w:val="left"/>
      <w:lvlText w:val="\emdash "/>
      <w:numFmt w:val="bullet"/>
      <w:start w:val="1"/>
    </w:lvl>
  </w:abstractNum>
  <w:abstractNum w:abstractNumId="48">
    <w:nsid w:val="11447B73"/>
    <w:multiLevelType w:val="hybridMultilevel"/>
    <w:lvl w:ilvl="0">
      <w:lvlJc w:val="left"/>
      <w:lvlText w:val="(%1)"/>
      <w:numFmt w:val="lowerLetter"/>
      <w:start w:val="1"/>
    </w:lvl>
  </w:abstractNum>
  <w:abstractNum w:abstractNumId="49">
    <w:nsid w:val="42963E5A"/>
    <w:multiLevelType w:val="hybridMultilevel"/>
    <w:lvl w:ilvl="0">
      <w:lvlJc w:val="left"/>
      <w:lvlText w:val="(%1)"/>
      <w:numFmt w:val="lowerLetter"/>
      <w:start w:val="5"/>
    </w:lvl>
    <w:lvl w:ilvl="1">
      <w:lvlJc w:val="left"/>
      <w:lvlText w:val="%2"/>
      <w:numFmt w:val="upperLetter"/>
      <w:start w:val="1"/>
    </w:lvl>
  </w:abstractNum>
  <w:abstractNum w:abstractNumId="50">
    <w:nsid w:val="A0382C5"/>
    <w:multiLevelType w:val="hybridMultilevel"/>
    <w:lvl w:ilvl="0">
      <w:lvlJc w:val="left"/>
      <w:lvlText w:val="(%1)"/>
      <w:numFmt w:val="lowerLetter"/>
      <w:start w:val="1"/>
    </w:lvl>
  </w:abstractNum>
  <w:abstractNum w:abstractNumId="51">
    <w:nsid w:val="8F2B15E"/>
    <w:multiLevelType w:val="hybridMultilevel"/>
    <w:lvl w:ilvl="0">
      <w:lvlJc w:val="left"/>
      <w:lvlText w:val="(%1)"/>
      <w:numFmt w:val="decimal"/>
      <w:start w:val="1"/>
    </w:lvl>
    <w:lvl w:ilvl="1">
      <w:lvlJc w:val="left"/>
      <w:lvlText w:val="(%2)"/>
      <w:numFmt w:val="lowerRoman"/>
      <w:start w:val="1"/>
    </w:lvl>
  </w:abstractNum>
  <w:abstractNum w:abstractNumId="52">
    <w:nsid w:val="1A32234B"/>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upperLetter"/>
      <w:start w:val="1"/>
    </w:lvl>
    <w:lvl w:ilvl="4">
      <w:lvlJc w:val="left"/>
      <w:lvlText w:val="%5"/>
      <w:numFmt w:val="upperLetter"/>
      <w:start w:val="1"/>
    </w:lvl>
    <w:lvl w:ilvl="5">
      <w:lvlJc w:val="left"/>
      <w:lvlText w:val="%6"/>
      <w:numFmt w:val="upperLetter"/>
      <w:start w:val="1"/>
    </w:lvl>
  </w:abstractNum>
  <w:abstractNum w:abstractNumId="53">
    <w:nsid w:val="3B0FD379"/>
    <w:multiLevelType w:val="hybridMultilevel"/>
    <w:lvl w:ilvl="0">
      <w:lvlJc w:val="left"/>
      <w:lvlText w:val="(%1)"/>
      <w:numFmt w:val="decimal"/>
      <w:start w:val="2"/>
    </w:lvl>
    <w:lvl w:ilvl="1">
      <w:lvlJc w:val="left"/>
      <w:lvlText w:val="(%2)"/>
      <w:numFmt w:val="decimal"/>
      <w:start w:val="5"/>
    </w:lvl>
    <w:lvl w:ilvl="2">
      <w:lvlJc w:val="left"/>
      <w:lvlText w:val="(%3)"/>
      <w:numFmt w:val="lowerRoman"/>
      <w:start w:val="1"/>
    </w:lvl>
    <w:lvl w:ilvl="3">
      <w:lvlJc w:val="left"/>
      <w:lvlText w:val="%4"/>
      <w:numFmt w:val="upperLetter"/>
      <w:start w:val="1"/>
    </w:lvl>
    <w:lvl w:ilvl="4">
      <w:lvlJc w:val="left"/>
      <w:lvlText w:val="(%5)"/>
      <w:numFmt w:val="upperLetter"/>
      <w:start w:val="1"/>
    </w:lvl>
    <w:lvl w:ilvl="5">
      <w:lvlJc w:val="left"/>
      <w:lvlText w:val="%6"/>
      <w:numFmt w:val="upperLetter"/>
      <w:start w:val="1"/>
    </w:lvl>
  </w:abstractNum>
  <w:abstractNum w:abstractNumId="54">
    <w:nsid w:val="68EB2F63"/>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55">
    <w:nsid w:val="4962813B"/>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56">
    <w:nsid w:val="60B6DF70"/>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57">
    <w:nsid w:val="6A5EE6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8">
    <w:nsid w:val="14330624"/>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59">
    <w:nsid w:val="7FFFCA1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0">
    <w:nsid w:val="1A27709E"/>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35"/>
    </w:lvl>
  </w:abstractNum>
  <w:abstractNum w:abstractNumId="61">
    <w:nsid w:val="71EA1109"/>
    <w:multiLevelType w:val="hybridMultilevel"/>
    <w:lvl w:ilvl="0">
      <w:lvlJc w:val="left"/>
      <w:lvlText w:val="(%1)"/>
      <w:numFmt w:val="lowerLetter"/>
      <w:start w:val="1"/>
    </w:lvl>
  </w:abstractNum>
  <w:abstractNum w:abstractNumId="62">
    <w:nsid w:val="100F59DC"/>
    <w:multiLevelType w:val="hybridMultilevel"/>
    <w:lvl w:ilvl="0">
      <w:lvlJc w:val="left"/>
      <w:lvlText w:val="(%1)"/>
      <w:numFmt w:val="lowerLetter"/>
      <w:start w:val="3"/>
    </w:lvl>
  </w:abstractNum>
  <w:abstractNum w:abstractNumId="63">
    <w:nsid w:val="7FB7E0AA"/>
    <w:multiLevelType w:val="hybridMultilevel"/>
    <w:lvl w:ilvl="0">
      <w:lvlJc w:val="left"/>
      <w:lvlText w:val="(%1)"/>
      <w:numFmt w:val="lowerLetter"/>
      <w:start w:val="2"/>
    </w:lvl>
  </w:abstractNum>
  <w:abstractNum w:abstractNumId="64">
    <w:nsid w:val="6EB5BD4"/>
    <w:multiLevelType w:val="hybridMultilevel"/>
    <w:lvl w:ilvl="0">
      <w:lvlJc w:val="left"/>
      <w:lvlText w:val="(%1)"/>
      <w:numFmt w:val="lowerLetter"/>
      <w:start w:val="3"/>
    </w:lvl>
  </w:abstractNum>
  <w:abstractNum w:abstractNumId="65">
    <w:nsid w:val="6F6DD9AC"/>
    <w:multiLevelType w:val="hybridMultilevel"/>
    <w:lvl w:ilvl="0">
      <w:lvlJc w:val="left"/>
      <w:lvlText w:val="(%1)"/>
      <w:numFmt w:val="lowerLetter"/>
      <w:start w:val="4"/>
    </w:lvl>
  </w:abstractNum>
  <w:abstractNum w:abstractNumId="66">
    <w:nsid w:val="94211F2"/>
    <w:multiLevelType w:val="hybridMultilevel"/>
    <w:lvl w:ilvl="0">
      <w:lvlJc w:val="left"/>
      <w:lvlText w:val="(%1)"/>
      <w:numFmt w:val="lowerLetter"/>
      <w:start w:val="2"/>
    </w:lvl>
    <w:lvl w:ilvl="1">
      <w:lvlJc w:val="left"/>
      <w:lvlText w:val="-"/>
      <w:numFmt w:val="bullet"/>
      <w:start w:val="1"/>
    </w:lvl>
  </w:abstractNum>
  <w:abstractNum w:abstractNumId="67">
    <w:nsid w:val="885E1B"/>
    <w:multiLevelType w:val="hybridMultilevel"/>
    <w:lvl w:ilvl="0">
      <w:lvlJc w:val="left"/>
      <w:lvlText w:val="(%1)"/>
      <w:numFmt w:val="decimal"/>
      <w:start w:val="1"/>
    </w:lvl>
  </w:abstractNum>
  <w:abstractNum w:abstractNumId="68">
    <w:nsid w:val="76272110"/>
    <w:multiLevelType w:val="hybridMultilevel"/>
    <w:lvl w:ilvl="0">
      <w:lvlJc w:val="left"/>
      <w:lvlText w:val="(%1)"/>
      <w:numFmt w:val="decimal"/>
      <w:start w:val="2"/>
    </w:lvl>
  </w:abstractNum>
  <w:abstractNum w:abstractNumId="69">
    <w:nsid w:val="4C04A8AF"/>
    <w:multiLevelType w:val="hybridMultilevel"/>
    <w:lvl w:ilvl="0">
      <w:lvlJc w:val="left"/>
      <w:lvlText w:val="(%1)"/>
      <w:numFmt w:val="lowerLetter"/>
      <w:start w:val="2"/>
    </w:lvl>
  </w:abstractNum>
  <w:abstractNum w:abstractNumId="70">
    <w:nsid w:val="1716703B"/>
    <w:multiLevelType w:val="hybridMultilevel"/>
    <w:lvl w:ilvl="0">
      <w:lvlJc w:val="left"/>
      <w:lvlText w:val="(%1)"/>
      <w:numFmt w:val="lowerLetter"/>
      <w:start w:val="2"/>
    </w:lvl>
  </w:abstractNum>
  <w:abstractNum w:abstractNumId="71">
    <w:nsid w:val="14E17E33"/>
    <w:multiLevelType w:val="hybridMultilevel"/>
    <w:lvl w:ilvl="0">
      <w:lvlJc w:val="left"/>
      <w:lvlText w:val="(%1)"/>
      <w:numFmt w:val="lowerLetter"/>
      <w:start w:val="2"/>
    </w:lvl>
    <w:lvl w:ilvl="1">
      <w:lvlJc w:val="left"/>
      <w:lvlText w:val="-"/>
      <w:numFmt w:val="bullet"/>
      <w:start w:val="1"/>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1)"/>
      <w:numFmt w:val="lowerLetter"/>
      <w:start w:val="1"/>
    </w:lvl>
  </w:abstractNum>
  <w:abstractNum w:abstractNumId="74">
    <w:nsid w:val="68EBC55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lowerLetter"/>
      <w:start w:val="2"/>
    </w:lvl>
    <w:lvl w:ilvl="1">
      <w:lvlJc w:val="left"/>
      <w:lvlText w:val="-"/>
      <w:numFmt w:val="bullet"/>
      <w:start w:val="1"/>
    </w:lvl>
  </w:abstractNum>
  <w:abstractNum w:abstractNumId="77">
    <w:nsid w:val="4A2AC315"/>
    <w:multiLevelType w:val="hybridMultilevel"/>
    <w:lvl w:ilvl="0">
      <w:lvlJc w:val="left"/>
      <w:lvlText w:val="(%1)"/>
      <w:numFmt w:val="lowerLetter"/>
      <w:start w:val="17"/>
    </w:lvl>
  </w:abstractNum>
  <w:abstractNum w:abstractNumId="78">
    <w:nsid w:val="39EE015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79">
    <w:nsid w:val="57FC4FBB"/>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abstractNum>
  <w:abstractNum w:abstractNumId="80">
    <w:nsid w:val="CC1016F"/>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81">
    <w:nsid w:val="43F18422"/>
    <w:multiLevelType w:val="hybridMultilevel"/>
    <w:lvl w:ilvl="0">
      <w:lvlJc w:val="left"/>
      <w:lvlText w:val="(%1)"/>
      <w:numFmt w:val="lowerLetter"/>
      <w:start w:val="2"/>
    </w:lvl>
  </w:abstractNum>
  <w:abstractNum w:abstractNumId="82">
    <w:nsid w:val="60EF0119"/>
    <w:multiLevelType w:val="hybridMultilevel"/>
    <w:lvl w:ilvl="0">
      <w:lvlJc w:val="left"/>
      <w:lvlText w:val="(%1)"/>
      <w:numFmt w:val="lowerLetter"/>
      <w:start w:val="2"/>
    </w:lvl>
  </w:abstractNum>
  <w:abstractNum w:abstractNumId="83">
    <w:nsid w:val="26F324BA"/>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2"/>
    </w:lvl>
    <w:lvl w:ilvl="3">
      <w:lvlJc w:val="left"/>
      <w:lvlText w:val="(%4)"/>
      <w:numFmt w:val="lowerRoman"/>
      <w:start w:val="1"/>
    </w:lvl>
    <w:lvl w:ilvl="4">
      <w:lvlJc w:val="left"/>
      <w:lvlText w:val="-"/>
      <w:numFmt w:val="bullet"/>
      <w:start w:val="1"/>
    </w:lvl>
  </w:abstractNum>
  <w:abstractNum w:abstractNumId="84">
    <w:nsid w:val="7F01579B"/>
    <w:multiLevelType w:val="hybridMultilevel"/>
    <w:lvl w:ilvl="0">
      <w:lvlJc w:val="left"/>
      <w:lvlText w:val="(%1)"/>
      <w:numFmt w:val="lowerLetter"/>
      <w:start w:val="3"/>
    </w:lvl>
  </w:abstractNum>
  <w:abstractNum w:abstractNumId="85">
    <w:nsid w:val="49DA307D"/>
    <w:multiLevelType w:val="hybridMultilevel"/>
    <w:lvl w:ilvl="0">
      <w:lvlJc w:val="left"/>
      <w:lvlText w:val="(%1)"/>
      <w:numFmt w:val="lowerRoman"/>
      <w:start w:val="2"/>
    </w:lvl>
  </w:abstractNum>
  <w:abstractNum w:abstractNumId="86">
    <w:nsid w:val="7055A5F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7">
    <w:nsid w:val="5FB8370B"/>
    <w:multiLevelType w:val="hybridMultilevel"/>
    <w:lvl w:ilvl="0">
      <w:lvlJc w:val="left"/>
      <w:lvlText w:val="(%1)"/>
      <w:numFmt w:val="lowerLetter"/>
      <w:start w:val="1"/>
    </w:lvl>
  </w:abstractNum>
  <w:abstractNum w:abstractNumId="88">
    <w:nsid w:val="50801EE1"/>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9">
    <w:nsid w:val="488AC1A"/>
    <w:multiLevelType w:val="hybridMultilevel"/>
    <w:lvl w:ilvl="0">
      <w:lvlJc w:val="left"/>
      <w:lvlText w:val="%1"/>
      <w:numFmt w:val="lowerLetter"/>
      <w:start w:val="1"/>
    </w:lvl>
    <w:lvl w:ilvl="1">
      <w:lvlJc w:val="left"/>
      <w:lvlText w:val="(%2)"/>
      <w:numFmt w:val="upperLetter"/>
      <w:start w:val="1"/>
    </w:lvl>
    <w:lvl w:ilvl="2">
      <w:lvlJc w:val="left"/>
      <w:lvlText w:val="-"/>
      <w:numFmt w:val="bullet"/>
      <w:start w:val="1"/>
    </w:lvl>
  </w:abstractNum>
  <w:abstractNum w:abstractNumId="90">
    <w:nsid w:val="5FB8011C"/>
    <w:multiLevelType w:val="hybridMultilevel"/>
    <w:lvl w:ilvl="0">
      <w:lvlJc w:val="left"/>
      <w:lvlText w:val="(%1)"/>
      <w:numFmt w:val="lowerLetter"/>
      <w:start w:val="4"/>
    </w:lvl>
    <w:lvl w:ilvl="1">
      <w:lvlJc w:val="left"/>
      <w:lvlText w:val="%2"/>
      <w:numFmt w:val="upperLetter"/>
      <w:start w:val="1"/>
    </w:lvl>
    <w:lvl w:ilvl="2">
      <w:lvlJc w:val="left"/>
      <w:lvlText w:val="-"/>
      <w:numFmt w:val="bullet"/>
      <w:start w:val="1"/>
    </w:lvl>
  </w:abstractNum>
  <w:abstractNum w:abstractNumId="91">
    <w:nsid w:val="6AA78F7F"/>
    <w:multiLevelType w:val="hybridMultilevel"/>
    <w:lvl w:ilvl="0">
      <w:lvlJc w:val="left"/>
      <w:lvlText w:val="(%1)"/>
      <w:numFmt w:val="lowerRoman"/>
      <w:start w:val="1"/>
    </w:lvl>
  </w:abstractNum>
  <w:abstractNum w:abstractNumId="92">
    <w:nsid w:val="7672BD23"/>
    <w:multiLevelType w:val="hybridMultilevel"/>
    <w:lvl w:ilvl="0">
      <w:lvlJc w:val="left"/>
      <w:lvlText w:val="(%1)"/>
      <w:numFmt w:val="lowerLetter"/>
      <w:start w:val="2"/>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1)"/>
      <w:numFmt w:val="lowerLetter"/>
      <w:start w:val="2"/>
    </w:lvl>
  </w:abstractNum>
  <w:abstractNum w:abstractNumId="95">
    <w:nsid w:val="7D5E18F8"/>
    <w:multiLevelType w:val="hybridMultilevel"/>
    <w:lvl w:ilvl="0">
      <w:lvlJc w:val="left"/>
      <w:lvlText w:val="(%1)"/>
      <w:numFmt w:val="lowerLetter"/>
      <w:start w:val="1"/>
    </w:lvl>
  </w:abstractNum>
  <w:abstractNum w:abstractNumId="96">
    <w:nsid w:val="5F3534A4"/>
    <w:multiLevelType w:val="hybridMultilevel"/>
    <w:lvl w:ilvl="0">
      <w:lvlJc w:val="left"/>
      <w:lvlText w:val="(%1)"/>
      <w:numFmt w:val="lowerRoman"/>
      <w:start w:val="2"/>
    </w:lvl>
  </w:abstractNum>
  <w:abstractNum w:abstractNumId="97">
    <w:nsid w:val="73A1821B"/>
    <w:multiLevelType w:val="hybridMultilevel"/>
    <w:lvl w:ilvl="0">
      <w:lvlJc w:val="left"/>
      <w:lvlText w:val="(%1)"/>
      <w:numFmt w:val="lowerLetter"/>
      <w:start w:val="2"/>
    </w:lvl>
  </w:abstractNum>
  <w:abstractNum w:abstractNumId="98">
    <w:nsid w:val="7DE67713"/>
    <w:multiLevelType w:val="hybridMultilevel"/>
    <w:lvl w:ilvl="0">
      <w:lvlJc w:val="left"/>
      <w:lvlText w:val="(%1)"/>
      <w:numFmt w:val="lowerLetter"/>
      <w:start w:val="1"/>
    </w:lvl>
  </w:abstractNum>
  <w:abstractNum w:abstractNumId="99">
    <w:nsid w:val="555C55B5"/>
    <w:multiLevelType w:val="hybridMultilevel"/>
    <w:lvl w:ilvl="0">
      <w:lvlJc w:val="left"/>
      <w:lvlText w:val="(%1)"/>
      <w:numFmt w:val="lowerLetter"/>
      <w:start w:val="1"/>
    </w:lvl>
  </w:abstractNum>
  <w:abstractNum w:abstractNumId="100">
    <w:nsid w:val="3FA62ACA"/>
    <w:multiLevelType w:val="hybridMultilevel"/>
    <w:lvl w:ilvl="0">
      <w:lvlJc w:val="left"/>
      <w:lvlText w:val="(%1)"/>
      <w:numFmt w:val="lowerLetter"/>
      <w:start w:val="1"/>
    </w:lvl>
    <w:lvl w:ilvl="1">
      <w:lvlJc w:val="left"/>
      <w:lvlText w:val="-"/>
      <w:numFmt w:val="bullet"/>
      <w:start w:val="1"/>
    </w:lvl>
  </w:abstractNum>
  <w:abstractNum w:abstractNumId="101">
    <w:nsid w:val="14FCE74E"/>
    <w:multiLevelType w:val="hybridMultilevel"/>
    <w:lvl w:ilvl="0">
      <w:lvlJc w:val="left"/>
      <w:lvlText w:val="(%1)"/>
      <w:numFmt w:val="lowerLetter"/>
      <w:start w:val="1"/>
    </w:lvl>
    <w:lvl w:ilvl="1">
      <w:lvlJc w:val="left"/>
      <w:lvlText w:val="-"/>
      <w:numFmt w:val="bullet"/>
      <w:start w:val="1"/>
    </w:lvl>
  </w:abstractNum>
  <w:abstractNum w:abstractNumId="102">
    <w:nsid w:val="6A3DD3E8"/>
    <w:multiLevelType w:val="hybridMultilevel"/>
    <w:lvl w:ilvl="0">
      <w:lvlJc w:val="left"/>
      <w:lvlText w:val="%1."/>
      <w:numFmt w:val="decimal"/>
      <w:start w:val="1"/>
    </w:lvl>
  </w:abstractNum>
  <w:abstractNum w:abstractNumId="103">
    <w:nsid w:val="71C91298"/>
    <w:multiLevelType w:val="hybridMultilevel"/>
    <w:lvl w:ilvl="0">
      <w:lvlJc w:val="left"/>
      <w:lvlText w:val="%1."/>
      <w:numFmt w:val="decimal"/>
      <w:start w:val="2"/>
    </w:lvl>
  </w:abstractNum>
  <w:abstractNum w:abstractNumId="104">
    <w:nsid w:val="9DAF63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2019-12-14T04:18:05Z</dcterms:created>
  <dcterms:modified xsi:type="dcterms:W3CDTF">2019-12-14T04:18:05Z</dcterms:modified>
</cp:coreProperties>
</file>