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6</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420"/>
        <w:spacing w:after="0"/>
        <w:tabs>
          <w:tab w:leader="none" w:pos="66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On February 18, 2010, the registrant announces that TowerJazz Named 2009 Supplier of the Year by Skyworks Solutions.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249555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9579"/>
          </w:cols>
          <w:pgMar w:left="880" w:top="36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680"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8120" w:type="dxa"/>
            <w:vAlign w:val="bottom"/>
            <w:gridSpan w:val="3"/>
          </w:tcPr>
          <w:p>
            <w:pPr>
              <w:ind w:left="1580"/>
              <w:spacing w:after="0"/>
              <w:rPr>
                <w:sz w:val="20"/>
                <w:szCs w:val="20"/>
                <w:color w:val="auto"/>
              </w:rPr>
            </w:pPr>
            <w:r>
              <w:rPr>
                <w:rFonts w:ascii="Arial" w:cs="Arial" w:eastAsia="Arial" w:hAnsi="Arial"/>
                <w:sz w:val="18"/>
                <w:szCs w:val="18"/>
                <w:b w:val="1"/>
                <w:bCs w:val="1"/>
                <w:color w:val="auto"/>
              </w:rPr>
              <w:t>TOWER SEMICONDUCTOR LTD.</w:t>
            </w:r>
          </w:p>
        </w:tc>
      </w:tr>
      <w:tr>
        <w:trPr>
          <w:trHeight w:val="386"/>
        </w:trPr>
        <w:tc>
          <w:tcPr>
            <w:tcW w:w="3300" w:type="dxa"/>
            <w:vAlign w:val="bottom"/>
          </w:tcPr>
          <w:p>
            <w:pPr>
              <w:spacing w:after="0"/>
              <w:rPr>
                <w:sz w:val="20"/>
                <w:szCs w:val="20"/>
                <w:color w:val="auto"/>
              </w:rPr>
            </w:pPr>
            <w:r>
              <w:rPr>
                <w:rFonts w:ascii="Arial" w:cs="Arial" w:eastAsia="Arial" w:hAnsi="Arial"/>
                <w:sz w:val="18"/>
                <w:szCs w:val="18"/>
                <w:color w:val="auto"/>
              </w:rPr>
              <w:t>Date: February 18, 2010</w:t>
            </w:r>
          </w:p>
        </w:tc>
        <w:tc>
          <w:tcPr>
            <w:tcW w:w="2320" w:type="dxa"/>
            <w:vAlign w:val="bottom"/>
          </w:tcPr>
          <w:p>
            <w:pPr>
              <w:ind w:left="158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Nati Somekh Gilboa</w:t>
            </w:r>
          </w:p>
        </w:tc>
        <w:tc>
          <w:tcPr>
            <w:tcW w:w="4120" w:type="dxa"/>
            <w:vAlign w:val="bottom"/>
          </w:tcPr>
          <w:p>
            <w:pPr>
              <w:spacing w:after="0"/>
              <w:rPr>
                <w:sz w:val="24"/>
                <w:szCs w:val="24"/>
                <w:color w:val="auto"/>
              </w:rPr>
            </w:pPr>
          </w:p>
        </w:tc>
      </w:tr>
      <w:tr>
        <w:trPr>
          <w:trHeight w:val="220"/>
        </w:trPr>
        <w:tc>
          <w:tcPr>
            <w:tcW w:w="3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Name: Nati Somekh Gilboa</w:t>
            </w:r>
          </w:p>
        </w:tc>
      </w:tr>
      <w:tr>
        <w:trPr>
          <w:trHeight w:val="223"/>
        </w:trPr>
        <w:tc>
          <w:tcPr>
            <w:tcW w:w="3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581"/>
        </w:trPr>
        <w:tc>
          <w:tcPr>
            <w:tcW w:w="33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TowerJazz Named 2009 Supplier of the Year by Skyworks Solutions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Also awarded Best Supplier for External Foundry second year in a row</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MIGDAL HAEMEK, Israel, and NEWPORT BEACH, Calif., February 18, 2010 – </w:t>
      </w:r>
      <w:r>
        <w:rPr>
          <w:rFonts w:ascii="Arial" w:cs="Arial" w:eastAsia="Arial" w:hAnsi="Arial"/>
          <w:sz w:val="18"/>
          <w:szCs w:val="18"/>
          <w:color w:val="auto"/>
        </w:rPr>
        <w:t>TowerJazz, the global specialty foundry leader, today announced it has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the 2009 Supplier of the Year Award from Skyworks Solutions, Inc., an innovator of high reliability analog and mixed-signal semiconductors enabling a broad range of end markets. The award was granted to TowerJazz based on superior quality, cycle time, flexibility, customer service, and cost improvements. In addition, for the second year in a row, TowerJazz received the Best Supplier Award for External Foundry for excellent quality, performance and solid alignment with Skyworks’ supply chain requirements.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Skyworks, a TowerJazz customer since 2002, utilizes a broad set of the foundry’s specialty process offerings including mixed-signal CMOS, RFCMOS, BiCMOS and SiGe BiCMOS, to develop a wide range of Skyworks’ products such as transmit/receive modules, power amplifier controllers, switch controllers, linear devices, and wireless LAN solutions.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applaud TowerJazz on its continued dedication to meeting our supply chain requirements and providing quality technology and design enablement services,” said Bruce J. Freyman, Vice President, Worldwide Operations for Skyworks. “TowerJazz was recognized as our best overall supplier because it excelled in various areas. Throughout the difficult downturn and rapid rebound in 2009, TowerJazz delivered strong support in meeting our demands to deliver high quality, leading-edge devices to our customers quickly.”</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supplier excellence awards from Skyworks demonstrate our commitment to achieve customer-centric values across our entire customer base. We quickly address needs and deliver the best possible quality and service,” said Chuck Fox, Senior Vice President, Worldwide Sales and Corporate Marketing, TowerJazz. “Our entire team works very hard to achieve high supplier scores and we will continue to focus on meeting Skyworks’ increasing growth, agility and flexibility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725360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 (NASDAQ: TSEM, TASE: TSEM), the global specialty</w:t>
      </w:r>
    </w:p>
    <w:p>
      <w:pPr>
        <w:spacing w:after="0" w:line="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www.towerjazz.com.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60" w:type="dxa"/>
            <w:vAlign w:val="bottom"/>
            <w:gridSpan w:val="2"/>
          </w:tcPr>
          <w:p>
            <w:pPr>
              <w:jc w:val="right"/>
              <w:ind w:right="1752"/>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spacing w:after="0"/>
              <w:rPr>
                <w:sz w:val="19"/>
                <w:szCs w:val="19"/>
                <w:color w:val="auto"/>
              </w:rPr>
            </w:pPr>
          </w:p>
        </w:tc>
      </w:tr>
      <w:tr>
        <w:trPr>
          <w:trHeight w:val="439"/>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7500" w:type="dxa"/>
            <w:vAlign w:val="bottom"/>
            <w:gridSpan w:val="3"/>
          </w:tcPr>
          <w:p>
            <w:pPr>
              <w:ind w:left="1800"/>
              <w:spacing w:after="0"/>
              <w:rPr>
                <w:sz w:val="20"/>
                <w:szCs w:val="20"/>
                <w:color w:val="auto"/>
              </w:rPr>
            </w:pPr>
            <w:r>
              <w:rPr>
                <w:rFonts w:ascii="Arial" w:cs="Arial" w:eastAsia="Arial" w:hAnsi="Arial"/>
                <w:sz w:val="18"/>
                <w:szCs w:val="18"/>
                <w:b w:val="1"/>
                <w:bCs w:val="1"/>
                <w:color w:val="auto"/>
              </w:rPr>
              <w:t>Media Contact:</w:t>
            </w: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7500" w:type="dxa"/>
            <w:vAlign w:val="bottom"/>
            <w:gridSpan w:val="3"/>
          </w:tcPr>
          <w:p>
            <w:pPr>
              <w:ind w:left="1800"/>
              <w:spacing w:after="0"/>
              <w:rPr>
                <w:sz w:val="20"/>
                <w:szCs w:val="20"/>
                <w:color w:val="auto"/>
              </w:rPr>
            </w:pPr>
            <w:r>
              <w:rPr>
                <w:rFonts w:ascii="Arial" w:cs="Arial" w:eastAsia="Arial" w:hAnsi="Arial"/>
                <w:sz w:val="18"/>
                <w:szCs w:val="18"/>
                <w:color w:val="auto"/>
              </w:rPr>
              <w:t>Lauri Julian</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60" w:type="dxa"/>
            <w:vAlign w:val="bottom"/>
            <w:gridSpan w:val="2"/>
          </w:tcPr>
          <w:p>
            <w:pPr>
              <w:ind w:left="1800"/>
              <w:spacing w:after="0"/>
              <w:rPr>
                <w:sz w:val="20"/>
                <w:szCs w:val="20"/>
                <w:color w:val="auto"/>
              </w:rPr>
            </w:pPr>
            <w:r>
              <w:rPr>
                <w:rFonts w:ascii="Arial" w:cs="Arial" w:eastAsia="Arial" w:hAnsi="Arial"/>
                <w:sz w:val="18"/>
                <w:szCs w:val="18"/>
                <w:color w:val="auto"/>
              </w:rPr>
              <w:t>949/715-3049</w:t>
            </w:r>
          </w:p>
        </w:tc>
        <w:tc>
          <w:tcPr>
            <w:tcW w:w="3740" w:type="dxa"/>
            <w:vAlign w:val="bottom"/>
          </w:tcPr>
          <w:p>
            <w:pPr>
              <w:spacing w:after="0"/>
              <w:rPr>
                <w:sz w:val="18"/>
                <w:szCs w:val="18"/>
                <w:color w:val="auto"/>
              </w:rPr>
            </w:pPr>
          </w:p>
        </w:tc>
      </w:tr>
      <w:tr>
        <w:trPr>
          <w:trHeight w:val="185"/>
        </w:trPr>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2"/>
          </w:tcPr>
          <w:p>
            <w:pPr>
              <w:spacing w:after="0" w:line="185" w:lineRule="exact"/>
              <w:rPr>
                <w:sz w:val="20"/>
                <w:szCs w:val="20"/>
                <w:color w:val="auto"/>
              </w:rPr>
            </w:pPr>
            <w:r>
              <w:rPr>
                <w:rFonts w:ascii="Arial" w:cs="Arial" w:eastAsia="Arial" w:hAnsi="Arial"/>
                <w:sz w:val="18"/>
                <w:szCs w:val="18"/>
                <w:color w:val="auto"/>
              </w:rPr>
              <w:t>lauri.julian@towerjazz.com</w:t>
            </w:r>
          </w:p>
        </w:tc>
      </w:tr>
      <w:tr>
        <w:trPr>
          <w:trHeight w:val="458"/>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Investor Relations Contact: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noit.levi@towerjazz.com</w:t>
            </w:r>
          </w:p>
        </w:tc>
        <w:tc>
          <w:tcPr>
            <w:tcW w:w="1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4"/>
        </w:trPr>
        <w:tc>
          <w:tcPr>
            <w:tcW w:w="1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37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2019-12-10T12:15:02Z</dcterms:created>
  <dcterms:modified xsi:type="dcterms:W3CDTF">2019-12-10T12:15:02Z</dcterms:modified>
</cp:coreProperties>
</file>