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269"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left="500" w:right="980"/>
        <w:spacing w:after="0" w:line="282"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For the month of November 2020 No.1</w:t>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Commission File Number 000-24790</w:t>
      </w:r>
    </w:p>
    <w:p>
      <w:pPr>
        <w:spacing w:after="0" w:line="27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419"/>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82" w:lineRule="exact"/>
        <w:rPr>
          <w:sz w:val="24"/>
          <w:szCs w:val="24"/>
          <w:color w:val="auto"/>
        </w:rPr>
      </w:pPr>
    </w:p>
    <w:p>
      <w:pPr>
        <w:jc w:val="center"/>
        <w:ind w:right="-17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(1): ____</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793" w:right="519" w:bottom="1440" w:gutter="0" w:footer="0" w:header="0"/>
        </w:sectPr>
      </w:pPr>
    </w:p>
    <w:bookmarkStart w:id="1" w:name="page2"/>
    <w:bookmarkEnd w:id="1"/>
    <w:p>
      <w:pPr>
        <w:ind w:firstLine="639"/>
        <w:spacing w:after="0" w:line="276" w:lineRule="auto"/>
        <w:rPr>
          <w:sz w:val="20"/>
          <w:szCs w:val="20"/>
          <w:color w:val="auto"/>
        </w:rPr>
      </w:pPr>
      <w:r>
        <w:rPr>
          <w:rFonts w:ascii="Arial" w:cs="Arial" w:eastAsia="Arial" w:hAnsi="Arial"/>
          <w:sz w:val="22"/>
          <w:szCs w:val="22"/>
          <w:color w:val="auto"/>
        </w:rPr>
        <w:t>On November 12, 2020, the Registrant announced its financial results for the nine and the three months ended September 30, 2020. Attached hereto is the following exhibit.</w:t>
      </w:r>
    </w:p>
    <w:p>
      <w:pPr>
        <w:spacing w:after="0" w:line="222"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November 12,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60"/>
          </w:cols>
          <w:pgMar w:left="320" w:top="126"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551305" cy="90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Reports Third Quarter 2020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Guides Fourth Quarter Significant Revenue Increase</w:t>
      </w: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MIGDAL HAEMEK, ISRAEL – November 12, 2020 – </w:t>
      </w:r>
      <w:r>
        <w:rPr>
          <w:rFonts w:ascii="Arial" w:cs="Arial" w:eastAsia="Arial" w:hAnsi="Arial"/>
          <w:sz w:val="22"/>
          <w:szCs w:val="22"/>
          <w:color w:val="auto"/>
        </w:rPr>
        <w:t>Tower Semiconductor (NASDAQ: TSEM &amp; TASE: TSEM) reported</w:t>
      </w:r>
      <w:r>
        <w:rPr>
          <w:rFonts w:ascii="Arial" w:cs="Arial" w:eastAsia="Arial" w:hAnsi="Arial"/>
          <w:sz w:val="22"/>
          <w:szCs w:val="22"/>
          <w:b w:val="1"/>
          <w:bCs w:val="1"/>
          <w:color w:val="auto"/>
        </w:rPr>
        <w:t xml:space="preserve"> </w:t>
      </w:r>
      <w:r>
        <w:rPr>
          <w:rFonts w:ascii="Arial" w:cs="Arial" w:eastAsia="Arial" w:hAnsi="Arial"/>
          <w:sz w:val="22"/>
          <w:szCs w:val="22"/>
          <w:color w:val="auto"/>
        </w:rPr>
        <w:t>today its results for the third quarter ended September 30, 2020.</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Results Overview</w:t>
      </w:r>
    </w:p>
    <w:p>
      <w:pPr>
        <w:spacing w:after="0" w:line="28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Revenues </w:t>
      </w:r>
      <w:r>
        <w:rPr>
          <w:rFonts w:ascii="Arial" w:cs="Arial" w:eastAsia="Arial" w:hAnsi="Arial"/>
          <w:sz w:val="22"/>
          <w:szCs w:val="22"/>
          <w:color w:val="auto"/>
        </w:rPr>
        <w:t>for the third quarter of 2020 were $310 million, as compared to $310 million in the prior quarter and $312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third quarter of 2019.</w:t>
      </w:r>
    </w:p>
    <w:p>
      <w:pPr>
        <w:spacing w:after="0" w:line="216" w:lineRule="exact"/>
        <w:rPr>
          <w:sz w:val="20"/>
          <w:szCs w:val="20"/>
          <w:color w:val="auto"/>
        </w:rPr>
      </w:pPr>
    </w:p>
    <w:p>
      <w:pPr>
        <w:jc w:val="both"/>
        <w:ind w:right="20"/>
        <w:spacing w:after="0" w:line="307" w:lineRule="auto"/>
        <w:rPr>
          <w:sz w:val="20"/>
          <w:szCs w:val="20"/>
          <w:color w:val="auto"/>
        </w:rPr>
      </w:pPr>
      <w:r>
        <w:rPr>
          <w:rFonts w:ascii="Arial" w:cs="Arial" w:eastAsia="Arial" w:hAnsi="Arial"/>
          <w:sz w:val="21"/>
          <w:szCs w:val="21"/>
          <w:b w:val="1"/>
          <w:bCs w:val="1"/>
          <w:color w:val="auto"/>
        </w:rPr>
        <w:t xml:space="preserve">Gross profit </w:t>
      </w:r>
      <w:r>
        <w:rPr>
          <w:rFonts w:ascii="Arial" w:cs="Arial" w:eastAsia="Arial" w:hAnsi="Arial"/>
          <w:sz w:val="21"/>
          <w:szCs w:val="21"/>
          <w:color w:val="auto"/>
        </w:rPr>
        <w:t>and</w:t>
      </w:r>
      <w:r>
        <w:rPr>
          <w:rFonts w:ascii="Arial" w:cs="Arial" w:eastAsia="Arial" w:hAnsi="Arial"/>
          <w:sz w:val="21"/>
          <w:szCs w:val="21"/>
          <w:b w:val="1"/>
          <w:bCs w:val="1"/>
          <w:color w:val="auto"/>
        </w:rPr>
        <w:t xml:space="preserve"> operating profit </w:t>
      </w:r>
      <w:r>
        <w:rPr>
          <w:rFonts w:ascii="Arial" w:cs="Arial" w:eastAsia="Arial" w:hAnsi="Arial"/>
          <w:sz w:val="21"/>
          <w:szCs w:val="21"/>
          <w:color w:val="auto"/>
        </w:rPr>
        <w:t>for the third quarter of 2020 were $53 million and $19 million as compared to $58 million and</w:t>
      </w:r>
      <w:r>
        <w:rPr>
          <w:rFonts w:ascii="Arial" w:cs="Arial" w:eastAsia="Arial" w:hAnsi="Arial"/>
          <w:sz w:val="21"/>
          <w:szCs w:val="21"/>
          <w:b w:val="1"/>
          <w:bCs w:val="1"/>
          <w:color w:val="auto"/>
        </w:rPr>
        <w:t xml:space="preserve"> </w:t>
      </w:r>
      <w:r>
        <w:rPr>
          <w:rFonts w:ascii="Arial" w:cs="Arial" w:eastAsia="Arial" w:hAnsi="Arial"/>
          <w:sz w:val="21"/>
          <w:szCs w:val="21"/>
          <w:color w:val="auto"/>
        </w:rPr>
        <w:t>$22 million in the prior quarter and as compared to $58 million and $23 million in the third quarter of 2019.</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Net profit </w:t>
      </w:r>
      <w:r>
        <w:rPr>
          <w:rFonts w:ascii="Arial" w:cs="Arial" w:eastAsia="Arial" w:hAnsi="Arial"/>
          <w:sz w:val="22"/>
          <w:szCs w:val="22"/>
          <w:color w:val="auto"/>
        </w:rPr>
        <w:t>for the third quarter of 2020 was $15 million, or $0.14 basic and diluted earnings per share, as compared to net profit</w:t>
      </w:r>
      <w:r>
        <w:rPr>
          <w:rFonts w:ascii="Arial" w:cs="Arial" w:eastAsia="Arial" w:hAnsi="Arial"/>
          <w:sz w:val="22"/>
          <w:szCs w:val="22"/>
          <w:b w:val="1"/>
          <w:bCs w:val="1"/>
          <w:color w:val="auto"/>
        </w:rPr>
        <w:t xml:space="preserve"> </w:t>
      </w:r>
      <w:r>
        <w:rPr>
          <w:rFonts w:ascii="Arial" w:cs="Arial" w:eastAsia="Arial" w:hAnsi="Arial"/>
          <w:sz w:val="22"/>
          <w:szCs w:val="22"/>
          <w:color w:val="auto"/>
        </w:rPr>
        <w:t>of $19 million, or $0.18 basic and diluted earnings per share in the prior quarter, and $22 million or $0.21 basic and diluted earnings per share in the third quarter of 2019.</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EBITDA </w:t>
      </w:r>
      <w:r>
        <w:rPr>
          <w:rFonts w:ascii="Arial" w:cs="Arial" w:eastAsia="Arial" w:hAnsi="Arial"/>
          <w:sz w:val="22"/>
          <w:szCs w:val="22"/>
          <w:color w:val="auto"/>
        </w:rPr>
        <w:t>for the third quarter of 2020 was $79 million, as compared to $82 million in the prior quarter and to $75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quarter of 2019.</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As announced in the beginning of September, the Company’s IT safeguards identified a security incident on some of its systems. The Company took immediate actions to prevent damage, shutting down all of its Israeli and US IT systems, hence halting those facilities. In less than a week, all factories were returned to operational capability. Due to the effective procedures, there was no damage to the functional quality of the work in progress, with Company and customer data protected. Activities further securing the Company’s IT environment were put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4" w:name="page5"/>
    <w:bookmarkEnd w:id="4"/>
    <w:p>
      <w:pPr>
        <w:jc w:val="both"/>
        <w:ind w:right="20"/>
        <w:spacing w:after="0" w:line="358" w:lineRule="auto"/>
        <w:rPr>
          <w:sz w:val="20"/>
          <w:szCs w:val="20"/>
          <w:color w:val="auto"/>
        </w:rPr>
      </w:pPr>
      <w:r>
        <w:rPr>
          <w:rFonts w:ascii="Arial" w:cs="Arial" w:eastAsia="Arial" w:hAnsi="Arial"/>
          <w:sz w:val="19"/>
          <w:szCs w:val="19"/>
          <w:color w:val="auto"/>
        </w:rPr>
        <w:t>The impact of this event on Company’s operations was between 8-12 days of missed new wafer starts and, as the incident occurred during the last month of the quarter, during a demand ramp, it lost multiple weeks of full fab activity levels.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generated from operations in the third quarter of 2020 was $69 million with investment in fixed assets, net of $67</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that included payments related to the 300mm facility capacity expansion program. In addition, in the third quarter of 2020, the company repaid $26 million of its debt.</w:t>
      </w:r>
    </w:p>
    <w:p>
      <w:pPr>
        <w:spacing w:after="0" w:line="229" w:lineRule="exact"/>
        <w:rPr>
          <w:sz w:val="20"/>
          <w:szCs w:val="20"/>
          <w:color w:val="auto"/>
        </w:rPr>
      </w:pPr>
    </w:p>
    <w:p>
      <w:pPr>
        <w:jc w:val="both"/>
        <w:spacing w:after="0" w:line="364" w:lineRule="auto"/>
        <w:rPr>
          <w:sz w:val="20"/>
          <w:szCs w:val="20"/>
          <w:color w:val="auto"/>
        </w:rPr>
      </w:pPr>
      <w:r>
        <w:rPr>
          <w:rFonts w:ascii="Arial" w:cs="Arial" w:eastAsia="Arial" w:hAnsi="Arial"/>
          <w:sz w:val="19"/>
          <w:szCs w:val="19"/>
          <w:b w:val="1"/>
          <w:bCs w:val="1"/>
          <w:color w:val="auto"/>
        </w:rPr>
        <w:t xml:space="preserve">Shareholders' equity </w:t>
      </w:r>
      <w:r>
        <w:rPr>
          <w:rFonts w:ascii="Arial" w:cs="Arial" w:eastAsia="Arial" w:hAnsi="Arial"/>
          <w:sz w:val="19"/>
          <w:szCs w:val="19"/>
          <w:color w:val="auto"/>
        </w:rPr>
        <w:t>as of September 30, 2020 was a record of $1.41 billion, as compared to $1.35 billion as of December 31,</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2019, and </w:t>
      </w:r>
      <w:r>
        <w:rPr>
          <w:rFonts w:ascii="Arial" w:cs="Arial" w:eastAsia="Arial" w:hAnsi="Arial"/>
          <w:sz w:val="19"/>
          <w:szCs w:val="19"/>
          <w:b w:val="1"/>
          <w:bCs w:val="1"/>
          <w:color w:val="auto"/>
        </w:rPr>
        <w:t>current ratio</w:t>
      </w:r>
      <w:r>
        <w:rPr>
          <w:rFonts w:ascii="Arial" w:cs="Arial" w:eastAsia="Arial" w:hAnsi="Arial"/>
          <w:sz w:val="19"/>
          <w:szCs w:val="19"/>
          <w:color w:val="auto"/>
        </w:rPr>
        <w:t xml:space="preserve"> as of September 30, 2020 was 4.1X as compared to 4.3X as of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Tower Semiconductor expects revenues for the fourth quarter of 2020 to be $340 million, with an upward or downward range of 5%, demonstrating 10% quarter over quarter growth and 11% year over year growth.</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Mr. Russell Ellwanger, Chief Executive Officer of Tower Semiconductor</w:t>
      </w:r>
      <w:r>
        <w:rPr>
          <w:rFonts w:ascii="Arial" w:cs="Arial" w:eastAsia="Arial" w:hAnsi="Arial"/>
          <w:sz w:val="22"/>
          <w:szCs w:val="22"/>
          <w:color w:val="auto"/>
        </w:rPr>
        <w:t>,</w:t>
      </w:r>
      <w:r>
        <w:rPr>
          <w:rFonts w:ascii="Arial" w:cs="Arial" w:eastAsia="Arial" w:hAnsi="Arial"/>
          <w:sz w:val="22"/>
          <w:szCs w:val="22"/>
          <w:b w:val="1"/>
          <w:bCs w:val="1"/>
          <w:color w:val="auto"/>
        </w:rPr>
        <w:t xml:space="preserve"> commented</w:t>
      </w:r>
      <w:r>
        <w:rPr>
          <w:rFonts w:ascii="Arial" w:cs="Arial" w:eastAsia="Arial" w:hAnsi="Arial"/>
          <w:sz w:val="22"/>
          <w:szCs w:val="22"/>
          <w:color w:val="auto"/>
        </w:rPr>
        <w:t>: “Our fourth quarter of 2020 revenue</w:t>
      </w:r>
      <w:r>
        <w:rPr>
          <w:rFonts w:ascii="Arial" w:cs="Arial" w:eastAsia="Arial" w:hAnsi="Arial"/>
          <w:sz w:val="22"/>
          <w:szCs w:val="22"/>
          <w:b w:val="1"/>
          <w:bCs w:val="1"/>
          <w:color w:val="auto"/>
        </w:rPr>
        <w:t xml:space="preserve"> </w:t>
      </w:r>
      <w:r>
        <w:rPr>
          <w:rFonts w:ascii="Arial" w:cs="Arial" w:eastAsia="Arial" w:hAnsi="Arial"/>
          <w:sz w:val="22"/>
          <w:szCs w:val="22"/>
          <w:color w:val="auto"/>
        </w:rPr>
        <w:t>growth guidance, 17% quarter over quarter and 14% year over year organic, driven by continued and increased strength in our RF and Power IC served markets, sets a good bridge to the new year. We look forward to 2021, with RF and Power IC continuing the present trend and increases in both industrial sensors and power discrete served markets, as evidenced by customer demand forecasts, and backed by market research reports. This strength should couple well with our increased 300mm and 200mm capability and capacity expansions.”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Teleconference and Webcast</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Tower Semiconductor will host an investor conference call today, Thursday, November 12, 2020, at 10:00 a.m. Eastern time (9:00 a.m. Central time, 8:00 a.m. Mountain time, 7:00 a.m. Pacific time and 5:00 p.m. Israel time) to discuss the company’s financial results for the third quarter of 2020 and its outlook.</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This call will be webcast and can be accessed via Tower Semiconductor’s website at </w:t>
      </w:r>
      <w:r>
        <w:rPr>
          <w:rFonts w:ascii="Arial" w:cs="Arial" w:eastAsia="Arial" w:hAnsi="Arial"/>
          <w:sz w:val="22"/>
          <w:szCs w:val="22"/>
          <w:u w:val="single" w:color="auto"/>
          <w:color w:val="auto"/>
        </w:rPr>
        <w:t>www.towersemi.com</w:t>
      </w:r>
      <w:r>
        <w:rPr>
          <w:rFonts w:ascii="Arial" w:cs="Arial" w:eastAsia="Arial" w:hAnsi="Arial"/>
          <w:sz w:val="22"/>
          <w:szCs w:val="22"/>
          <w:color w:val="auto"/>
        </w:rPr>
        <w:t xml:space="preserve"> or by calling 1-888-642-5032 (U.S. Toll-Free), 03-918-0644 (Israel), +972-3-918-0644 (International). For those who are not available to listen to the live broadcast, the call will be archived on Tower Semiconductor’s website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jc w:val="both"/>
        <w:spacing w:after="0" w:line="298"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in this release and/ or in related public disclosures or filings with respect to the financial statements and/ or results of the Company, which we describe in this release as “adjusted” financial measures, are non-GAAP financial measures as defined in Regulation G and related reporting requirements promulgated by the Securities and Exchange Commission as they apply to our Company. These adjusted financial measures are calculated excluding one or both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in related public disclosures or filings with respect to the financial statements and/ or results of the Company, as well as calculated in the tables herein, the term Earnings Before Interest Tax Depreciation and Amortization (EBITDA) consists of net profit in accordance with GAAP, excluding financing and other income (expense),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in related public disclosures or filings with respect to the financial statements and/ or results of the Company, is calculated to be net cash provided by operating activities (in the amounts of $69 million, $67 million and $73 million for the three months periods ended September 30, 2020, June 30, 2020 and September 30, 2019, respectively) less cash used for investments in property and equipment, net (in the amounts of $67 million, $63 million and $43 million for the three months periods ended September 30, 2020, June 30, 2020 and September 30, 2019,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Investor Relations | +972 74 737 7556 |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 w:name="page7"/>
    <w:bookmarkEnd w:id="6"/>
    <w:p>
      <w:pPr>
        <w:jc w:val="both"/>
        <w:spacing w:after="0" w:line="298"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and bondholders (as of September 30, 2020 we are in compliance with all such covenants included in our banks’ agreements, bond G indenture and others), (x) pending litigation, (xi) new customer engagements, qualification and production ramp-up at our facilities, including TPSCo and the San Antonio facility,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and/or for strategic opportunities and the possible unavailability of such financing and/ or the availability of such financing in unfavorable terms ,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(xxxvi) potential effect on TPSCo and the Company due to the sale of PSCS (a company holding 49% of TPSCo) by Panasonic to Nuvoton, (xxxvii) industry and market impact due to the coronavirus and its potential impact on our business, operational continuity, supply chain, revenue and profitability; (xxxviii) potential security, cyber and privacy breaches, including the recently announced security incident, and</w:t>
      </w:r>
    </w:p>
    <w:p>
      <w:pPr>
        <w:spacing w:after="0" w:line="220" w:lineRule="exact"/>
        <w:rPr>
          <w:sz w:val="20"/>
          <w:szCs w:val="20"/>
          <w:color w:val="auto"/>
        </w:rPr>
      </w:pPr>
    </w:p>
    <w:p>
      <w:pPr>
        <w:ind w:firstLine="8"/>
        <w:spacing w:after="0" w:line="272" w:lineRule="auto"/>
        <w:tabs>
          <w:tab w:leader="none" w:pos="706" w:val="left"/>
        </w:tabs>
        <w:numPr>
          <w:ilvl w:val="0"/>
          <w:numId w:val="1"/>
        </w:numPr>
        <w:rPr>
          <w:rFonts w:ascii="Arial" w:cs="Arial" w:eastAsia="Arial" w:hAnsi="Arial"/>
          <w:sz w:val="22"/>
          <w:szCs w:val="22"/>
          <w:color w:val="auto"/>
        </w:rPr>
      </w:pPr>
      <w:r>
        <w:rPr>
          <w:rFonts w:ascii="Arial" w:cs="Arial" w:eastAsia="Arial" w:hAnsi="Arial"/>
          <w:sz w:val="22"/>
          <w:szCs w:val="22"/>
          <w:color w:val="auto"/>
        </w:rPr>
        <w:t>business interruption due to fire and other natural disasters, the security situation in Israel and other events beyond our control such as power interruptions.</w:t>
      </w:r>
    </w:p>
    <w:p>
      <w:pPr>
        <w:spacing w:after="0" w:line="232" w:lineRule="exact"/>
        <w:rPr>
          <w:sz w:val="20"/>
          <w:szCs w:val="20"/>
          <w:color w:val="auto"/>
        </w:rPr>
      </w:pPr>
    </w:p>
    <w:p>
      <w:pPr>
        <w:jc w:val="both"/>
        <w:spacing w:after="0" w:line="311" w:lineRule="auto"/>
        <w:rPr>
          <w:sz w:val="20"/>
          <w:szCs w:val="20"/>
          <w:color w:val="auto"/>
        </w:rPr>
      </w:pPr>
      <w:r>
        <w:rPr>
          <w:rFonts w:ascii="Arial" w:cs="Arial" w:eastAsia="Arial" w:hAnsi="Arial"/>
          <w:sz w:val="19"/>
          <w:szCs w:val="19"/>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  #</w:t>
      </w: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22"/>
          <w:szCs w:val="22"/>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039" w:gutter="0" w:footer="0" w:header="0"/>
        </w:sectPr>
      </w:pPr>
    </w:p>
    <w:bookmarkStart w:id="7" w:name="page8"/>
    <w:bookmarkEnd w:id="7"/>
    <w:p>
      <w:pPr>
        <w:jc w:val="center"/>
        <w:ind w:left="340" w:right="2280"/>
        <w:spacing w:after="0" w:line="269" w:lineRule="auto"/>
        <w:rPr>
          <w:sz w:val="20"/>
          <w:szCs w:val="20"/>
          <w:color w:val="auto"/>
        </w:rPr>
      </w:pPr>
      <w:r>
        <w:rPr>
          <w:rFonts w:ascii="Arial" w:cs="Arial" w:eastAsia="Arial" w:hAnsi="Arial"/>
          <w:sz w:val="22"/>
          <w:szCs w:val="22"/>
          <w:b w:val="1"/>
          <w:bCs w:val="1"/>
          <w:color w:val="auto"/>
        </w:rPr>
        <w:t>TOWER SEMICONDUCTOR LTD. AND SUBSIDIARIES CONDENSED CONSOLIDATED BALANCE SHEETS (UNAUDITED)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207,704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258,793</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355,561</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deposits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313,029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269,263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215,609</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183,946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195,886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176,070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128,401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126,966</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204,933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210,129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192,256</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28,158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22,019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1,058,102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1,090,630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1,088,481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LONG-TERM INVESTMENTS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41,303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41,219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40,085</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780,596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765,895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681,939</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GOODWILL AND INTANGIBLE ASSETS,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15,806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17,281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DEFERRED TAX AND OTHER LONG-TERM ASSETS,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88,878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91,834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105,047</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1,984,685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2,005,876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1,932,833</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86,717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79,668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65,932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104,354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154,517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119,199</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10,322</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58,098</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68,192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57,603</w:t>
            </w:r>
          </w:p>
        </w:tc>
      </w:tr>
      <w:tr>
        <w:trPr>
          <w:trHeight w:val="216"/>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258,829</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310,832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253,056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219,764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245,821</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25,780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27,570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28,196</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EMPLOYEE RELATED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16,717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13,285</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TAX AND OTHER LONG-TERM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40,536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40,596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45,752</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571,128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613,732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586,110</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1,413,557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1,392,144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1,346,723</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1,984,685</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2,005,876</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1,932,833</w:t>
            </w:r>
          </w:p>
        </w:tc>
      </w:tr>
      <w:tr>
        <w:trPr>
          <w:trHeight w:val="716"/>
        </w:trPr>
        <w:tc>
          <w:tcPr>
            <w:tcW w:w="73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310,212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310,090</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312,122</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256,751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252,385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253,841</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53,461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57,705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58,281</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19,424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18,722</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14,803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16,154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16,840</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34,372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35,578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35,562</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19,089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22,719</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(426)</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18,524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23,958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22,293</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(2,798)</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(2,484)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15,726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21,474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22,354</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(528)</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(2,422)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(166)</w:t>
            </w:r>
          </w:p>
        </w:tc>
      </w:tr>
      <w:tr>
        <w:trPr>
          <w:trHeight w:val="256"/>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15,198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19,052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0.21</w:t>
            </w:r>
          </w:p>
        </w:tc>
      </w:tr>
      <w:tr>
        <w:trPr>
          <w:trHeight w:val="210"/>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107,475</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106,956</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106,644</w:t>
            </w:r>
          </w:p>
        </w:tc>
      </w:tr>
      <w:tr>
        <w:trPr>
          <w:trHeight w:val="210"/>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0.21</w:t>
            </w:r>
          </w:p>
        </w:tc>
      </w:tr>
      <w:tr>
        <w:trPr>
          <w:trHeight w:val="210"/>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108,500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108,277</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107,601</w:t>
            </w:r>
          </w:p>
        </w:tc>
      </w:tr>
      <w:tr>
        <w:trPr>
          <w:trHeight w:val="209"/>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19,052</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22,188</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3,775</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492</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19,148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23,340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26,455</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ADJUSTED BASIC AND DILUTED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0.22</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0.25</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6"/>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9" w:name="page10"/>
    <w:bookmarkEnd w:id="9"/>
    <w:p>
      <w:pPr>
        <w:jc w:val="center"/>
        <w:spacing w:after="0" w:line="269" w:lineRule="auto"/>
        <w:rPr>
          <w:sz w:val="20"/>
          <w:szCs w:val="20"/>
          <w:color w:val="auto"/>
        </w:rPr>
      </w:pPr>
      <w:r>
        <w:rPr>
          <w:rFonts w:ascii="Arial" w:cs="Arial" w:eastAsia="Arial" w:hAnsi="Arial"/>
          <w:sz w:val="22"/>
          <w:szCs w:val="22"/>
          <w:b w:val="1"/>
          <w:bCs w:val="1"/>
          <w:color w:val="auto"/>
        </w:rPr>
        <w:t>TOWER SEMICONDUCTOR LTD. AND SUBSIDIARIES CONDENSED CONSOLIDATED STATEMENTS OF OPERATIONS (UNAUDITED) (dollars and share count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7"/>
              </w:rPr>
              <w:t>N i n e   m o n t h s   e n d e d</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920,473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928,293</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756,764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753,454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163,709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174,839</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56,702</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47,648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106,055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107,021</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57,654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67,818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(847)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1,247</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56,807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69,065</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(3,576)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(588)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53,231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68,477</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(1,961)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864</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51,270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107,083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108,311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107,252</w:t>
            </w:r>
          </w:p>
        </w:tc>
      </w:tr>
      <w:tr>
        <w:trPr>
          <w:trHeight w:val="209"/>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69,341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11,798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11,482</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64,361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83,450</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ADJUSTED 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0.59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0.78</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10" w:name="page11"/>
    <w:bookmarkEnd w:id="10"/>
    <w:p>
      <w:pPr>
        <w:jc w:val="center"/>
        <w:ind w:left="340" w:right="2160"/>
        <w:spacing w:after="0" w:line="275" w:lineRule="auto"/>
        <w:rPr>
          <w:sz w:val="20"/>
          <w:szCs w:val="20"/>
          <w:color w:val="auto"/>
        </w:rPr>
      </w:pPr>
      <w:r>
        <w:rPr>
          <w:rFonts w:ascii="Arial" w:cs="Arial" w:eastAsia="Arial" w:hAnsi="Arial"/>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19,089</w:t>
            </w:r>
          </w:p>
        </w:tc>
        <w:tc>
          <w:tcPr>
            <w:tcW w:w="40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22,127</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22,719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Depreciation of fixed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56,131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55,175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48,355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3,775</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492</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79,170</w:t>
            </w:r>
          </w:p>
        </w:tc>
        <w:tc>
          <w:tcPr>
            <w:tcW w:w="24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81,590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75,341</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7"/>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7"/>
          </w:tcPr>
          <w:p>
            <w:pPr>
              <w:ind w:left="80"/>
              <w:spacing w:after="0"/>
              <w:rPr>
                <w:sz w:val="20"/>
                <w:szCs w:val="20"/>
                <w:color w:val="auto"/>
              </w:rPr>
            </w:pPr>
            <w:r>
              <w:rPr>
                <w:rFonts w:ascii="Arial" w:cs="Arial" w:eastAsia="Arial" w:hAnsi="Arial"/>
                <w:sz w:val="18"/>
                <w:szCs w:val="18"/>
                <w:b w:val="1"/>
                <w:bCs w:val="1"/>
                <w:color w:val="auto"/>
              </w:rPr>
              <w:t>N i n e  m o n t h s  e n d e d</w:t>
            </w: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57,654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67,818</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Depreciation of fixed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162,790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142,362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11,798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11,482</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1,293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2,627</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233,535</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224,289</w:t>
            </w: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258,793</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251,348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405,158</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68,612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66,603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72,735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(66,862)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(62,537)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(43,017)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(26,355)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(5,000)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(5,606)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(104)</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(28,983)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(11,573)</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207,704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258,793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417,636</w:t>
            </w:r>
          </w:p>
        </w:tc>
        <w:tc>
          <w:tcPr>
            <w:tcW w:w="100" w:type="dxa"/>
            <w:vAlign w:val="bottom"/>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6"/>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N i n e  m o n t h s  e n d e d</w:t>
            </w: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355,561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385,091</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203,551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219,759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(192,306)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(128,462)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(55,552)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(16,155)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2,361</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(107,769)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(45,398)</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207,704</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417,636</w:t>
            </w:r>
          </w:p>
        </w:tc>
      </w:tr>
      <w:tr>
        <w:trPr>
          <w:trHeight w:val="20"/>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jc w:val="center"/>
        <w:ind w:left="340" w:right="22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6"/>
              </w:rPr>
              <w:t>N i n e  m o n t h s  e n d e d</w:t>
            </w:r>
          </w:p>
        </w:tc>
        <w:tc>
          <w:tcPr>
            <w:tcW w:w="240" w:type="dxa"/>
            <w:vAlign w:val="bottom"/>
          </w:tcPr>
          <w:p>
            <w:pPr>
              <w:spacing w:after="0"/>
              <w:rPr>
                <w:sz w:val="20"/>
                <w:szCs w:val="20"/>
                <w:color w:val="auto"/>
              </w:rPr>
            </w:pPr>
          </w:p>
        </w:tc>
        <w:tc>
          <w:tcPr>
            <w:tcW w:w="36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for the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53,231</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68,477</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21,474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22,354</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b w:val="1"/>
                <w:bCs w:val="1"/>
                <w:color w:val="auto"/>
                <w:w w:val="91"/>
              </w:rPr>
              <w:t>Income and expense items not involving cash flows: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177,576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158,070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60,277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60,268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53,203</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w w:val="92"/>
              </w:rPr>
              <w:t>Effect of exchange rate differences on debentures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9,300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3,095</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expense (income),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(266)</w:t>
            </w:r>
          </w:p>
        </w:tc>
      </w:tr>
      <w:tr>
        <w:trPr>
          <w:trHeight w:val="216"/>
        </w:trPr>
        <w:tc>
          <w:tcPr>
            <w:tcW w:w="4620" w:type="dxa"/>
            <w:vAlign w:val="bottom"/>
          </w:tcPr>
          <w:p>
            <w:pPr>
              <w:ind w:left="680"/>
              <w:spacing w:after="0"/>
              <w:rPr>
                <w:sz w:val="20"/>
                <w:szCs w:val="20"/>
                <w:color w:val="auto"/>
              </w:rPr>
            </w:pPr>
            <w:r>
              <w:rPr>
                <w:rFonts w:ascii="Arial" w:cs="Arial" w:eastAsia="Arial" w:hAnsi="Arial"/>
                <w:sz w:val="18"/>
                <w:szCs w:val="18"/>
                <w:b w:val="1"/>
                <w:bCs w:val="1"/>
                <w:color w:val="auto"/>
              </w:rPr>
              <w:t>Changes in assets and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Trade accounts receivable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10,260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30,775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11,556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(12,981)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(496)</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Other assets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(2,508)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(7,630)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(1,998)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(1,978)</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Inventories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(10,691)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(16,293)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6,689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(13,276)</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Trade accounts payable</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(23,249)</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(3,094)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(10,299)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12,110</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Deferred revenue and customers' advances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(3,094)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(9,471)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4,178</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Other current liabilities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(103)</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(8,340)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(10,832)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13,977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(6,494)</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Long-term employee related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w:t>
            </w:r>
          </w:p>
        </w:tc>
      </w:tr>
      <w:tr>
        <w:trPr>
          <w:trHeight w:val="223"/>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w w:val="98"/>
              </w:rPr>
              <w:t>Deferred tax, net and other long-term liabilities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(1,304)</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(1,228)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337</w:t>
            </w:r>
          </w:p>
        </w:tc>
      </w:tr>
      <w:tr>
        <w:trPr>
          <w:trHeight w:val="223"/>
        </w:trPr>
        <w:tc>
          <w:tcPr>
            <w:tcW w:w="4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203,551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219,759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68,612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66,603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(192,306)</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(128,462)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(66,862)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(62,537)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(43,017)</w:t>
            </w: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0"/>
              </w:rPr>
              <w:t>Investments in deposits, marketable securities and other</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net</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(107,769)</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(45,398)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(28,983)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(11,573)</w:t>
            </w:r>
          </w:p>
        </w:tc>
      </w:tr>
      <w:tr>
        <w:trPr>
          <w:trHeight w:val="27"/>
        </w:trPr>
        <w:tc>
          <w:tcPr>
            <w:tcW w:w="4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82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(300,075)</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(173,860)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(95,845)</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(55,967)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(54,590)</w:t>
            </w:r>
          </w:p>
        </w:tc>
      </w:tr>
      <w:tr>
        <w:trPr>
          <w:trHeight w:val="216"/>
        </w:trPr>
        <w:tc>
          <w:tcPr>
            <w:tcW w:w="4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(55,552)</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(16,155)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(26,355)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(5,606)</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r>
      <w:tr>
        <w:trPr>
          <w:trHeight w:val="27"/>
        </w:trPr>
        <w:tc>
          <w:tcPr>
            <w:tcW w:w="4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820"/>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(54,066)</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(15,715)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(26,083)</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(3,873)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(5,563)</w:t>
            </w:r>
          </w:p>
        </w:tc>
      </w:tr>
      <w:tr>
        <w:trPr>
          <w:trHeight w:val="216"/>
        </w:trPr>
        <w:tc>
          <w:tcPr>
            <w:tcW w:w="4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Arial" w:cs="Arial" w:eastAsia="Arial" w:hAnsi="Arial"/>
                <w:sz w:val="18"/>
                <w:szCs w:val="18"/>
                <w:b w:val="1"/>
                <w:bCs w:val="1"/>
                <w:color w:val="auto"/>
              </w:rPr>
              <w:t>EFFECT OF FOREIGN CURRENCY EXCHANGE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RATE CHANGE</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2,733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2,361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2,227</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Arial" w:cs="Arial" w:eastAsia="Arial" w:hAnsi="Arial"/>
                <w:sz w:val="18"/>
                <w:szCs w:val="18"/>
                <w:b w:val="1"/>
                <w:bCs w:val="1"/>
                <w:color w:val="auto"/>
              </w:rPr>
              <w:t>INCREASE (DECREASE) IN CASH AND CASH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EQUIVALENTS</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(147,857)</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32,545</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(51,089)</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7,445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12,478</w:t>
            </w:r>
          </w:p>
        </w:tc>
      </w:tr>
      <w:tr>
        <w:trPr>
          <w:trHeight w:val="198"/>
        </w:trPr>
        <w:tc>
          <w:tcPr>
            <w:tcW w:w="4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385,091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258,793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251,348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405,158</w:t>
            </w:r>
          </w:p>
        </w:tc>
      </w:tr>
      <w:tr>
        <w:trPr>
          <w:trHeight w:val="216"/>
        </w:trPr>
        <w:tc>
          <w:tcPr>
            <w:tcW w:w="46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207,704</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417,636</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207,704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258,793</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417,636</w:t>
            </w:r>
          </w:p>
        </w:tc>
      </w:tr>
      <w:tr>
        <w:trPr>
          <w:trHeight w:val="371"/>
        </w:trPr>
        <w:tc>
          <w:tcPr>
            <w:tcW w:w="46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4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2020-11-12T06:04:02Z</dcterms:created>
  <dcterms:modified xsi:type="dcterms:W3CDTF">2020-11-12T06:04:02Z</dcterms:modified>
</cp:coreProperties>
</file>