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September 2008</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340" w:firstLine="351"/>
        <w:spacing w:after="0" w:line="268" w:lineRule="auto"/>
        <w:rPr>
          <w:sz w:val="20"/>
          <w:szCs w:val="20"/>
          <w:color w:val="auto"/>
        </w:rPr>
      </w:pPr>
      <w:r>
        <w:rPr>
          <w:rFonts w:ascii="Arial" w:cs="Arial" w:eastAsia="Arial" w:hAnsi="Arial"/>
          <w:sz w:val="18"/>
          <w:szCs w:val="18"/>
          <w:color w:val="auto"/>
        </w:rPr>
        <w:t>On September 18, 2008, Jazz Technologies Announces Stockholders Approved Merger Agreement With Tower Semiconductor.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7640" w:type="dxa"/>
            <w:vAlign w:val="bottom"/>
          </w:tcPr>
          <w:p>
            <w:pPr>
              <w:ind w:left="194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780" w:type="dxa"/>
            <w:vAlign w:val="bottom"/>
          </w:tcPr>
          <w:p>
            <w:pPr>
              <w:spacing w:after="0"/>
              <w:rPr>
                <w:sz w:val="20"/>
                <w:szCs w:val="20"/>
                <w:color w:val="auto"/>
              </w:rPr>
            </w:pPr>
            <w:r>
              <w:rPr>
                <w:rFonts w:ascii="Arial" w:cs="Arial" w:eastAsia="Arial" w:hAnsi="Arial"/>
                <w:sz w:val="18"/>
                <w:szCs w:val="18"/>
                <w:color w:val="auto"/>
              </w:rPr>
              <w:t>Date: September 18, 2008</w:t>
            </w:r>
          </w:p>
        </w:tc>
        <w:tc>
          <w:tcPr>
            <w:tcW w:w="7640" w:type="dxa"/>
            <w:vAlign w:val="bottom"/>
          </w:tcPr>
          <w:p>
            <w:pPr>
              <w:ind w:left="1940"/>
              <w:spacing w:after="0"/>
              <w:rPr>
                <w:sz w:val="20"/>
                <w:szCs w:val="20"/>
                <w:color w:val="auto"/>
              </w:rPr>
            </w:pPr>
            <w:r>
              <w:rPr>
                <w:rFonts w:ascii="Arial" w:cs="Arial" w:eastAsia="Arial" w:hAnsi="Arial"/>
                <w:sz w:val="18"/>
                <w:szCs w:val="18"/>
                <w:color w:val="auto"/>
              </w:rPr>
              <w:t>By: /s/ Nati Somekh Gilboa</w:t>
            </w:r>
          </w:p>
        </w:tc>
      </w:tr>
      <w:tr>
        <w:trPr>
          <w:trHeight w:val="216"/>
        </w:trPr>
        <w:tc>
          <w:tcPr>
            <w:tcW w:w="3780" w:type="dxa"/>
            <w:vAlign w:val="bottom"/>
          </w:tcPr>
          <w:p>
            <w:pPr>
              <w:spacing w:after="0"/>
              <w:rPr>
                <w:sz w:val="18"/>
                <w:szCs w:val="18"/>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18"/>
                <w:szCs w:val="18"/>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Nati Somekh Gilboa</w:t>
            </w:r>
          </w:p>
        </w:tc>
      </w:tr>
      <w:tr>
        <w:trPr>
          <w:trHeight w:val="222"/>
        </w:trPr>
        <w:tc>
          <w:tcPr>
            <w:tcW w:w="3780" w:type="dxa"/>
            <w:vAlign w:val="bottom"/>
          </w:tcPr>
          <w:p>
            <w:pPr>
              <w:spacing w:after="0"/>
              <w:rPr>
                <w:sz w:val="19"/>
                <w:szCs w:val="19"/>
                <w:color w:val="auto"/>
              </w:rPr>
            </w:pPr>
          </w:p>
        </w:tc>
        <w:tc>
          <w:tcPr>
            <w:tcW w:w="7640" w:type="dxa"/>
            <w:vAlign w:val="bottom"/>
          </w:tcPr>
          <w:p>
            <w:pPr>
              <w:ind w:left="1940"/>
              <w:spacing w:after="0"/>
              <w:rPr>
                <w:sz w:val="20"/>
                <w:szCs w:val="20"/>
                <w:color w:val="auto"/>
              </w:rPr>
            </w:pPr>
            <w:r>
              <w:rPr>
                <w:rFonts w:ascii="Arial" w:cs="Arial" w:eastAsia="Arial" w:hAnsi="Arial"/>
                <w:sz w:val="18"/>
                <w:szCs w:val="18"/>
                <w:color w:val="auto"/>
              </w:rPr>
              <w:t>Corporate Secretary</w:t>
            </w:r>
          </w:p>
        </w:tc>
      </w:tr>
      <w:tr>
        <w:trPr>
          <w:trHeight w:val="417"/>
        </w:trPr>
        <w:tc>
          <w:tcPr>
            <w:tcW w:w="378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61"/>
        </w:trPr>
        <w:tc>
          <w:tcPr>
            <w:tcW w:w="3780" w:type="dxa"/>
            <w:vAlign w:val="bottom"/>
            <w:shd w:val="clear" w:color="auto" w:fill="808080"/>
          </w:tcPr>
          <w:p>
            <w:pPr>
              <w:spacing w:after="0"/>
              <w:rPr>
                <w:sz w:val="5"/>
                <w:szCs w:val="5"/>
                <w:color w:val="auto"/>
              </w:rPr>
            </w:pPr>
          </w:p>
        </w:tc>
        <w:tc>
          <w:tcPr>
            <w:tcW w:w="764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063625" cy="110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3625" cy="1106170"/>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572770</wp:posOffset>
            </wp:positionV>
            <wp:extent cx="1595120"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tabs>
          <w:tab w:leader="none" w:pos="9140" w:val="left"/>
        </w:tabs>
        <w:rPr>
          <w:sz w:val="20"/>
          <w:szCs w:val="20"/>
          <w:color w:val="auto"/>
        </w:rPr>
      </w:pPr>
      <w:r>
        <w:rPr>
          <w:rFonts w:ascii="Arial" w:cs="Arial" w:eastAsia="Arial" w:hAnsi="Arial"/>
          <w:sz w:val="22"/>
          <w:szCs w:val="22"/>
          <w:b w:val="1"/>
          <w:bCs w:val="1"/>
          <w:i w:val="1"/>
          <w:iCs w:val="1"/>
          <w:color w:val="auto"/>
        </w:rPr>
        <w:t>NEWS ANNOUNCEMENT</w:t>
      </w:r>
      <w:r>
        <w:rPr>
          <w:sz w:val="20"/>
          <w:szCs w:val="20"/>
          <w:color w:val="auto"/>
        </w:rPr>
        <w:tab/>
      </w:r>
      <w:r>
        <w:rPr>
          <w:rFonts w:ascii="Arial" w:cs="Arial" w:eastAsia="Arial" w:hAnsi="Arial"/>
          <w:sz w:val="16"/>
          <w:szCs w:val="16"/>
          <w:b w:val="1"/>
          <w:bCs w:val="1"/>
          <w:i w:val="1"/>
          <w:iCs w:val="1"/>
          <w:color w:val="auto"/>
        </w:rPr>
        <w:t>FOR IMMEDIATE RELEASE</w:t>
      </w:r>
    </w:p>
    <w:p>
      <w:pPr>
        <w:spacing w:after="0" w:line="200" w:lineRule="exact"/>
        <w:rPr>
          <w:sz w:val="24"/>
          <w:szCs w:val="24"/>
          <w:color w:val="auto"/>
        </w:rPr>
      </w:pPr>
    </w:p>
    <w:p>
      <w:pPr>
        <w:spacing w:after="0" w:line="25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JAZZ TECHNOLOGIES ANNOUNCES STOCKHOLDERS APPROVED MERGER AGREEMENT WITH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TOWER SEMICONDUCTOR</w:t>
      </w:r>
    </w:p>
    <w:p>
      <w:pPr>
        <w:spacing w:after="0" w:line="213" w:lineRule="exact"/>
        <w:rPr>
          <w:sz w:val="24"/>
          <w:szCs w:val="24"/>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NEWPORT BEACH, Calif. and MIGDAL HAEMEK, Israel, September 18, 2008 </w:t>
      </w:r>
      <w:r>
        <w:rPr>
          <w:rFonts w:ascii="Arial" w:cs="Arial" w:eastAsia="Arial" w:hAnsi="Arial"/>
          <w:sz w:val="16"/>
          <w:szCs w:val="16"/>
          <w:color w:val="auto"/>
        </w:rPr>
        <w:t>– Jazz Technologies (AMEX: JAZ), a leader in Analog-Intensive Mixed-Signal (AIMS) foundry solutions, today announced that at a special stockholders’ meeting held today, its stockholders voted in favor of the approval and adoption of the Agreement and Plan of Merger and Reorganization with Tower Semiconductor Ltd. (NASDAQ: TSEM, TASE: TSEM). Jazz reported that approximately 66.1% of Jazz’s outstanding shares of common stock voted to approve the merger agreement, which exceeded the majority vote required for adoption of the agreement, and less than 1% of Jazz’s outstanding shares of common stock voted against approval of the merger agreement. Under the terms of the agreement, Tower will acquire all of the outstanding shares of Jazz in a stock-for-stock transaction.</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Jazz Technologies and Jazz Semiconductor</w:t>
      </w:r>
    </w:p>
    <w:p>
      <w:pPr>
        <w:spacing w:after="0" w:line="21" w:lineRule="exact"/>
        <w:rPr>
          <w:sz w:val="24"/>
          <w:szCs w:val="24"/>
          <w:color w:val="auto"/>
        </w:rPr>
      </w:pPr>
    </w:p>
    <w:p>
      <w:pPr>
        <w:ind w:right="200"/>
        <w:spacing w:after="0" w:line="234" w:lineRule="auto"/>
        <w:rPr>
          <w:sz w:val="20"/>
          <w:szCs w:val="20"/>
          <w:color w:val="auto"/>
        </w:rPr>
      </w:pPr>
      <w:r>
        <w:rPr>
          <w:rFonts w:ascii="Arial" w:cs="Arial" w:eastAsia="Arial" w:hAnsi="Arial"/>
          <w:sz w:val="16"/>
          <w:szCs w:val="16"/>
          <w:color w:val="auto"/>
        </w:rPr>
        <w:t>Jazz Technologies™ (AMEX:JAZ) is the parent company of Jazz Semiconductor</w:t>
      </w:r>
      <w:r>
        <w:rPr>
          <w:rFonts w:ascii="Arial" w:cs="Arial" w:eastAsia="Arial" w:hAnsi="Arial"/>
          <w:sz w:val="26"/>
          <w:szCs w:val="26"/>
          <w:color w:val="auto"/>
          <w:vertAlign w:val="superscript"/>
        </w:rPr>
        <w:t>®</w:t>
      </w:r>
      <w:r>
        <w:rPr>
          <w:rFonts w:ascii="Arial" w:cs="Arial" w:eastAsia="Arial" w:hAnsi="Arial"/>
          <w:sz w:val="16"/>
          <w:szCs w:val="16"/>
          <w:color w:val="auto"/>
        </w:rPr>
        <w:t>, Inc., a leading independent wafer foundry focused on Analog-Intensive Mixed-Signal (AIMS) process technologies. The company’s broad process portfolio includes specialty technologies such as RF CMOS, Analog CMOS, Silicon</w:t>
      </w:r>
    </w:p>
    <w:p>
      <w:pPr>
        <w:sectPr>
          <w:pgSz w:w="11900" w:h="16838" w:orient="portrait"/>
          <w:cols w:equalWidth="0" w:num="1">
            <w:col w:w="11420"/>
          </w:cols>
          <w:pgMar w:left="240" w:top="476" w:right="239" w:bottom="0" w:gutter="0" w:footer="0" w:header="0"/>
        </w:sectPr>
      </w:pPr>
    </w:p>
    <w:bookmarkStart w:id="1" w:name="page2"/>
    <w:bookmarkEnd w:id="1"/>
    <w:p>
      <w:pPr>
        <w:ind w:right="280"/>
        <w:spacing w:after="0" w:line="332" w:lineRule="auto"/>
        <w:rPr>
          <w:sz w:val="20"/>
          <w:szCs w:val="20"/>
          <w:color w:val="auto"/>
        </w:rPr>
      </w:pPr>
      <w:r>
        <w:rPr>
          <w:rFonts w:ascii="Arial" w:cs="Arial" w:eastAsia="Arial" w:hAnsi="Arial"/>
          <w:sz w:val="16"/>
          <w:szCs w:val="16"/>
          <w:color w:val="auto"/>
        </w:rPr>
        <w:t xml:space="preserve">and SiGe BiCMOS, SiGe C-BiCMOS, Power CMOS and High Voltage CMOS. Jazz also offers world-class design enablement tools to speed customers’ time from design to revenue production. For more information, please visit http://www.jazztechnologies.com and </w:t>
      </w:r>
      <w:r>
        <w:rPr>
          <w:rFonts w:ascii="Arial" w:cs="Arial" w:eastAsia="Arial" w:hAnsi="Arial"/>
          <w:sz w:val="16"/>
          <w:szCs w:val="16"/>
          <w:u w:val="single" w:color="auto"/>
          <w:color w:val="auto"/>
        </w:rPr>
        <w:t>http://www.jazzsemi.com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 xml:space="preserve">Tower Semiconductor Ltd. (NASDAQ:TSEM) (TASE:TSEM) is an independent specialty foundry that delivers customized solutions in a variety of advanced CMOS technologies, including digital CMOS, mixed-signal and RF (radio frequency) CMOS, CMOS image sensors, power management devices, and embedded non-volatile memory solutions. Boasting two world-class manufacturing facilities with standard and specialized process technologies ranging from 1.0- to 0.13-micron, Tower provides exceptional design support and technical services to help customers sustain long-term, reliable product performance, while delivering on-time and on-budget results. More information can be found at </w:t>
      </w:r>
      <w:r>
        <w:rPr>
          <w:rFonts w:ascii="Arial" w:cs="Arial" w:eastAsia="Arial" w:hAnsi="Arial"/>
          <w:sz w:val="16"/>
          <w:szCs w:val="16"/>
          <w:u w:val="single" w:color="auto"/>
          <w:color w:val="auto"/>
        </w:rPr>
        <w:t>http://www.towersemi.com</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The merger is subject to completion of customary closing conditions.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102235</wp:posOffset>
            </wp:positionV>
            <wp:extent cx="111887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Tower Semiconductor:</w:t>
            </w:r>
          </w:p>
        </w:tc>
        <w:tc>
          <w:tcPr>
            <w:tcW w:w="7340" w:type="dxa"/>
            <w:vAlign w:val="bottom"/>
          </w:tcPr>
          <w:p>
            <w:pPr>
              <w:ind w:left="1640"/>
              <w:spacing w:after="0"/>
              <w:rPr>
                <w:sz w:val="20"/>
                <w:szCs w:val="20"/>
                <w:color w:val="auto"/>
              </w:rPr>
            </w:pPr>
            <w:r>
              <w:rPr>
                <w:rFonts w:ascii="Arial" w:cs="Arial" w:eastAsia="Arial" w:hAnsi="Arial"/>
                <w:sz w:val="18"/>
                <w:szCs w:val="18"/>
                <w:color w:val="auto"/>
              </w:rPr>
              <w:t>Jazz Technologies: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Limor Asif</w:t>
            </w:r>
          </w:p>
        </w:tc>
        <w:tc>
          <w:tcPr>
            <w:tcW w:w="7340" w:type="dxa"/>
            <w:vAlign w:val="bottom"/>
          </w:tcPr>
          <w:p>
            <w:pPr>
              <w:ind w:left="1640"/>
              <w:spacing w:after="0"/>
              <w:rPr>
                <w:sz w:val="20"/>
                <w:szCs w:val="20"/>
                <w:color w:val="auto"/>
              </w:rPr>
            </w:pPr>
            <w:r>
              <w:rPr>
                <w:rFonts w:ascii="Arial" w:cs="Arial" w:eastAsia="Arial" w:hAnsi="Arial"/>
                <w:sz w:val="18"/>
                <w:szCs w:val="18"/>
                <w:color w:val="auto"/>
              </w:rPr>
              <w:t>Melinda Jarrell</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+972-4-650 6936</w:t>
            </w:r>
          </w:p>
        </w:tc>
        <w:tc>
          <w:tcPr>
            <w:tcW w:w="7340" w:type="dxa"/>
            <w:vAlign w:val="bottom"/>
          </w:tcPr>
          <w:p>
            <w:pPr>
              <w:ind w:left="1640"/>
              <w:spacing w:after="0"/>
              <w:rPr>
                <w:sz w:val="20"/>
                <w:szCs w:val="20"/>
                <w:color w:val="auto"/>
              </w:rPr>
            </w:pPr>
            <w:r>
              <w:rPr>
                <w:rFonts w:ascii="Arial" w:cs="Arial" w:eastAsia="Arial" w:hAnsi="Arial"/>
                <w:sz w:val="18"/>
                <w:szCs w:val="18"/>
                <w:color w:val="auto"/>
              </w:rPr>
              <w:t>949/435-8181</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limoras@towersemi.com</w:t>
            </w:r>
          </w:p>
        </w:tc>
        <w:tc>
          <w:tcPr>
            <w:tcW w:w="7340" w:type="dxa"/>
            <w:vAlign w:val="bottom"/>
          </w:tcPr>
          <w:p>
            <w:pPr>
              <w:ind w:left="1640"/>
              <w:spacing w:after="0"/>
              <w:rPr>
                <w:sz w:val="20"/>
                <w:szCs w:val="20"/>
                <w:color w:val="auto"/>
              </w:rPr>
            </w:pPr>
            <w:r>
              <w:rPr>
                <w:rFonts w:ascii="Arial" w:cs="Arial" w:eastAsia="Arial" w:hAnsi="Arial"/>
                <w:sz w:val="18"/>
                <w:szCs w:val="18"/>
                <w:color w:val="auto"/>
              </w:rPr>
              <w:t>melinda.jarrell@jazzsemi.com</w:t>
            </w:r>
          </w:p>
        </w:tc>
      </w:tr>
      <w:tr>
        <w:trPr>
          <w:trHeight w:val="426"/>
        </w:trPr>
        <w:tc>
          <w:tcPr>
            <w:tcW w:w="4080" w:type="dxa"/>
            <w:vAlign w:val="bottom"/>
          </w:tcPr>
          <w:p>
            <w:pPr>
              <w:spacing w:after="0"/>
              <w:rPr>
                <w:sz w:val="20"/>
                <w:szCs w:val="20"/>
                <w:color w:val="auto"/>
              </w:rPr>
            </w:pPr>
            <w:r>
              <w:rPr>
                <w:rFonts w:ascii="Arial" w:cs="Arial" w:eastAsia="Arial" w:hAnsi="Arial"/>
                <w:sz w:val="18"/>
                <w:szCs w:val="18"/>
                <w:color w:val="auto"/>
              </w:rPr>
              <w:t>Tower Investor Relations Contact:</w:t>
            </w:r>
          </w:p>
        </w:tc>
        <w:tc>
          <w:tcPr>
            <w:tcW w:w="7340" w:type="dxa"/>
            <w:vAlign w:val="bottom"/>
          </w:tcPr>
          <w:p>
            <w:pPr>
              <w:ind w:left="1640"/>
              <w:spacing w:after="0"/>
              <w:rPr>
                <w:sz w:val="20"/>
                <w:szCs w:val="20"/>
                <w:color w:val="auto"/>
              </w:rPr>
            </w:pPr>
            <w:r>
              <w:rPr>
                <w:rFonts w:ascii="Arial" w:cs="Arial" w:eastAsia="Arial" w:hAnsi="Arial"/>
                <w:sz w:val="18"/>
                <w:szCs w:val="18"/>
                <w:color w:val="auto"/>
              </w:rPr>
              <w:t>Jazz Investor Relations Contact: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Ryan Bright</w:t>
            </w:r>
          </w:p>
        </w:tc>
        <w:tc>
          <w:tcPr>
            <w:tcW w:w="7340" w:type="dxa"/>
            <w:vAlign w:val="bottom"/>
          </w:tcPr>
          <w:p>
            <w:pPr>
              <w:ind w:left="1640"/>
              <w:spacing w:after="0"/>
              <w:rPr>
                <w:sz w:val="20"/>
                <w:szCs w:val="20"/>
                <w:color w:val="auto"/>
              </w:rPr>
            </w:pPr>
            <w:r>
              <w:rPr>
                <w:rFonts w:ascii="Arial" w:cs="Arial" w:eastAsia="Arial" w:hAnsi="Arial"/>
                <w:sz w:val="18"/>
                <w:szCs w:val="18"/>
                <w:color w:val="auto"/>
              </w:rPr>
              <w:t>Linda Rothemund</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972/239-5119 ext. 159</w:t>
            </w:r>
          </w:p>
        </w:tc>
        <w:tc>
          <w:tcPr>
            <w:tcW w:w="7340" w:type="dxa"/>
            <w:vAlign w:val="bottom"/>
          </w:tcPr>
          <w:p>
            <w:pPr>
              <w:ind w:left="1640"/>
              <w:spacing w:after="0"/>
              <w:rPr>
                <w:sz w:val="20"/>
                <w:szCs w:val="20"/>
                <w:color w:val="auto"/>
              </w:rPr>
            </w:pPr>
            <w:r>
              <w:rPr>
                <w:rFonts w:ascii="Arial" w:cs="Arial" w:eastAsia="Arial" w:hAnsi="Arial"/>
                <w:sz w:val="18"/>
                <w:szCs w:val="18"/>
                <w:color w:val="auto"/>
              </w:rPr>
              <w:t>415/445-3236</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rbright@sheltongroup.com</w:t>
            </w:r>
          </w:p>
        </w:tc>
        <w:tc>
          <w:tcPr>
            <w:tcW w:w="7340" w:type="dxa"/>
            <w:vAlign w:val="bottom"/>
          </w:tcPr>
          <w:p>
            <w:pPr>
              <w:ind w:left="1640"/>
              <w:spacing w:after="0"/>
              <w:rPr>
                <w:sz w:val="20"/>
                <w:szCs w:val="20"/>
                <w:color w:val="auto"/>
              </w:rPr>
            </w:pPr>
            <w:r>
              <w:rPr>
                <w:rFonts w:ascii="Arial" w:cs="Arial" w:eastAsia="Arial" w:hAnsi="Arial"/>
                <w:sz w:val="18"/>
                <w:szCs w:val="18"/>
                <w:color w:val="auto"/>
              </w:rPr>
              <w:t>linda@marketstreetpartners.com</w:t>
            </w:r>
          </w:p>
        </w:tc>
      </w:tr>
      <w:tr>
        <w:trPr>
          <w:trHeight w:val="417"/>
        </w:trPr>
        <w:tc>
          <w:tcPr>
            <w:tcW w:w="408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61"/>
        </w:trPr>
        <w:tc>
          <w:tcPr>
            <w:tcW w:w="4080" w:type="dxa"/>
            <w:vAlign w:val="bottom"/>
            <w:shd w:val="clear" w:color="auto" w:fill="808080"/>
          </w:tcPr>
          <w:p>
            <w:pPr>
              <w:spacing w:after="0"/>
              <w:rPr>
                <w:sz w:val="5"/>
                <w:szCs w:val="5"/>
                <w:color w:val="auto"/>
              </w:rPr>
            </w:pPr>
          </w:p>
        </w:tc>
        <w:tc>
          <w:tcPr>
            <w:tcW w:w="734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2019-12-11T15:14:06Z</dcterms:created>
  <dcterms:modified xsi:type="dcterms:W3CDTF">2019-12-11T15:14:06Z</dcterms:modified>
</cp:coreProperties>
</file>