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3618.htm"/>
      <w:bookmarkStart w:id="1" w:name="kszk2533618"/>
      <w:bookmarkStart w:id="2" w:name="zk2533618.htm"/>
      <w:bookmarkStart w:id="3" w:name="kszk2533618"/>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UNITED STATES</w:t>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smallCaps/>
          <w:color w:val="000000"/>
          <w:sz w:val="20"/>
        </w:rPr>
        <w:t>W</w:t>
      </w:r>
      <w:r>
        <w:rPr>
          <w:rFonts w:ascii="Times New Roman;Times;serif" w:hAnsi="Times New Roman;Times;serif"/>
          <w:b/>
          <w:color w:val="000000"/>
          <w:sz w:val="20"/>
        </w:rPr>
        <w:t xml:space="preserve">ashington, D.C. </w:t>
      </w:r>
      <w:r>
        <w:rPr>
          <w:rFonts w:ascii="Times New Roman;Times;serif" w:hAnsi="Times New Roman;Times;serif"/>
          <w:b/>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REPORT OF FOREIGN PRIVATE ISSUER PURSUANT TO RULE 13a-16 OR 15d-16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August 2025 No.3</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ind w:left="0" w:right="0" w:firstLine="3066"/>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On August 12, 2025, the Registrant and AIStorm Introduced Cheetah HS, </w:t>
      </w:r>
    </w:p>
    <w:p>
      <w:pPr>
        <w:pStyle w:val="TextBody"/>
        <w:bidi w:val="0"/>
        <w:spacing w:lineRule="auto" w:line="300"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World’s First Up-to-260K FPS AI-in-Imager Chip for Inspection, Robotics &amp; Sports</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ind w:left="0" w:right="0" w:firstLine="71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tbl>
      <w:tblPr>
        <w:tblW w:w="6099" w:type="dxa"/>
        <w:jc w:val="left"/>
        <w:tblInd w:w="0" w:type="dxa"/>
        <w:tblLayout w:type="fixed"/>
        <w:tblCellMar>
          <w:top w:w="0" w:type="dxa"/>
          <w:left w:w="0" w:type="dxa"/>
          <w:bottom w:w="0" w:type="dxa"/>
          <w:right w:w="0" w:type="dxa"/>
        </w:tblCellMar>
      </w:tblPr>
      <w:tblGrid>
        <w:gridCol w:w="2180"/>
        <w:gridCol w:w="556"/>
        <w:gridCol w:w="3303"/>
        <w:gridCol w:w="60"/>
      </w:tblGrid>
      <w:tr>
        <w:trPr/>
        <w:tc>
          <w:tcPr>
            <w:tcW w:w="2180" w:type="dxa"/>
            <w:tcBorders/>
          </w:tcPr>
          <w:p>
            <w:pPr>
              <w:pStyle w:val="TableContents"/>
              <w:bidi w:val="0"/>
              <w:spacing w:before="0" w:after="283"/>
              <w:jc w:val="left"/>
              <w:rPr/>
            </w:pPr>
            <w:r>
              <w:rPr/>
              <w:t> </w:t>
            </w:r>
          </w:p>
        </w:tc>
        <w:tc>
          <w:tcPr>
            <w:tcW w:w="3859" w:type="dxa"/>
            <w:gridSpan w:val="2"/>
            <w:tcBorders/>
          </w:tcPr>
          <w:p>
            <w:pPr>
              <w:pStyle w:val="TableContents"/>
              <w:bidi w:val="0"/>
              <w:spacing w:lineRule="auto" w:line="300" w:before="0" w:after="0"/>
              <w:jc w:val="left"/>
              <w:rPr>
                <w:b/>
              </w:rPr>
            </w:pPr>
            <w:r>
              <w:rPr>
                <w:b/>
              </w:rPr>
              <w:t>TOWER SEMICONDUCTOR LTD.</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0"/>
              <w:ind w:left="0" w:right="0" w:hanging="0"/>
              <w:jc w:val="left"/>
              <w:rPr/>
            </w:pPr>
            <w:r>
              <w:rPr/>
              <w:t>Date: August 12, 2025</w:t>
            </w:r>
          </w:p>
        </w:tc>
        <w:tc>
          <w:tcPr>
            <w:tcW w:w="556" w:type="dxa"/>
            <w:tcBorders/>
          </w:tcPr>
          <w:p>
            <w:pPr>
              <w:pStyle w:val="TableContents"/>
              <w:bidi w:val="0"/>
              <w:spacing w:before="0" w:after="0"/>
              <w:ind w:left="0" w:right="0" w:hanging="0"/>
              <w:jc w:val="left"/>
              <w:rPr/>
            </w:pPr>
            <w:r>
              <w:rPr/>
              <w:t xml:space="preserve">By: </w:t>
            </w:r>
          </w:p>
        </w:tc>
        <w:tc>
          <w:tcPr>
            <w:tcW w:w="3303" w:type="dxa"/>
            <w:tcBorders>
              <w:bottom w:val="single" w:sz="12" w:space="0" w:color="000000"/>
            </w:tcBorders>
            <w:tcMar>
              <w:bottom w:w="28" w:type="dxa"/>
            </w:tcMar>
          </w:tcPr>
          <w:p>
            <w:pPr>
              <w:pStyle w:val="TableContents"/>
              <w:bidi w:val="0"/>
              <w:spacing w:before="0" w:after="283"/>
              <w:jc w:val="left"/>
              <w:rPr/>
            </w:pPr>
            <w:r>
              <w:rPr/>
              <w:t>/s/ Nati Somekh</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vAlign w:val="bottom"/>
          </w:tcPr>
          <w:p>
            <w:pPr>
              <w:pStyle w:val="TableContents"/>
              <w:bidi w:val="0"/>
              <w:spacing w:before="0" w:after="283"/>
              <w:jc w:val="left"/>
              <w:rPr/>
            </w:pPr>
            <w:r>
              <w:rPr/>
              <w:t>Name: Nati Somekh</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Title:  Corporate Secretary</w:t>
            </w:r>
          </w:p>
        </w:tc>
        <w:tc>
          <w:tcPr>
            <w:tcW w:w="60" w:type="dxa"/>
            <w:tcBorders/>
          </w:tcPr>
          <w:p>
            <w:pPr>
              <w:pStyle w:val="TableContents"/>
              <w:bidi w:val="0"/>
              <w:spacing w:before="0" w:after="283"/>
              <w:jc w:val="left"/>
              <w:rPr/>
            </w:pPr>
            <w:r>
              <w:rPr/>
              <w:t> </w:t>
            </w:r>
          </w:p>
        </w:tc>
      </w:tr>
      <w:tr>
        <w:trPr/>
        <w:tc>
          <w:tcPr>
            <w:tcW w:w="2180"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ind w:left="0" w:right="0" w:firstLine="4310"/>
        <w:jc w:val="left"/>
        <w:rPr/>
      </w:pPr>
      <w:r>
        <w:rPr/>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e7601232c04b4f00bc4a42d24732c90d"/>
      <w:bookmarkStart w:id="5" w:name="ze7601232c04b4f00bc4a42d24732c90d"/>
      <w:bookmarkEnd w:id="5"/>
    </w:p>
    <w:tbl>
      <w:tblPr>
        <w:tblW w:w="2595" w:type="dxa"/>
        <w:jc w:val="left"/>
        <w:tblInd w:w="0" w:type="dxa"/>
        <w:tblLayout w:type="fixed"/>
        <w:tblCellMar>
          <w:top w:w="0" w:type="dxa"/>
          <w:left w:w="0" w:type="dxa"/>
          <w:bottom w:w="0" w:type="dxa"/>
          <w:right w:w="0" w:type="dxa"/>
        </w:tblCellMar>
      </w:tblPr>
      <w:tblGrid>
        <w:gridCol w:w="1440"/>
        <w:gridCol w:w="1155"/>
      </w:tblGrid>
      <w:tr>
        <w:trPr/>
        <w:tc>
          <w:tcPr>
            <w:tcW w:w="1440" w:type="dxa"/>
            <w:tcBorders/>
            <w:vAlign w:val="center"/>
          </w:tcPr>
          <w:p>
            <w:pPr>
              <w:pStyle w:val="TableContents"/>
              <w:bidi w:val="0"/>
              <w:spacing w:before="0" w:after="0"/>
              <w:jc w:val="left"/>
              <w:rPr/>
            </w:pPr>
            <w:r>
              <w:rPr/>
              <w:t> </w:t>
            </w:r>
            <w:r>
              <w:rPr/>
              <w:drawing>
                <wp:inline distT="0" distB="0" distL="0" distR="0">
                  <wp:extent cx="8763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76300" cy="390525"/>
                          </a:xfrm>
                          <a:prstGeom prst="rect">
                            <a:avLst/>
                          </a:prstGeom>
                        </pic:spPr>
                      </pic:pic>
                    </a:graphicData>
                  </a:graphic>
                </wp:inline>
              </w:drawing>
            </w:r>
          </w:p>
        </w:tc>
        <w:tc>
          <w:tcPr>
            <w:tcW w:w="1155" w:type="dxa"/>
            <w:tcBorders/>
            <w:vAlign w:val="center"/>
          </w:tcPr>
          <w:p>
            <w:pPr>
              <w:pStyle w:val="TableContents"/>
              <w:bidi w:val="0"/>
              <w:spacing w:lineRule="auto" w:line="300" w:before="0" w:after="0"/>
              <w:jc w:val="right"/>
              <w:rPr/>
            </w:pPr>
            <w:r>
              <w:rPr/>
              <w:drawing>
                <wp:inline distT="0" distB="0" distL="0" distR="0">
                  <wp:extent cx="7334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3425" cy="419100"/>
                          </a:xfrm>
                          <a:prstGeom prst="rect">
                            <a:avLst/>
                          </a:prstGeom>
                        </pic:spPr>
                      </pic:pic>
                    </a:graphicData>
                  </a:graphic>
                </wp:inline>
              </w:drawing>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 xml:space="preserve">AIStorm &amp; Tower Semiconductor Introduce Cheetah HS, World’s First Up-to-260K FPS </w:t>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AI-in-Imager Chip for Inspection, Robotics &amp; Sports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color w:val="000000"/>
          <w:sz w:val="20"/>
        </w:rPr>
      </w:pPr>
      <w:r>
        <w:rPr>
          <w:rFonts w:ascii="Times New Roman;Times;serif" w:hAnsi="Times New Roman;Times;serif"/>
          <w:b/>
          <w:i/>
          <w:color w:val="000000"/>
          <w:sz w:val="20"/>
        </w:rPr>
        <w:t>Charge-domain imager with on-chip neural network, provides breakthrough slow-motion vision at a fraction of the</w:t>
      </w:r>
    </w:p>
    <w:p>
      <w:pPr>
        <w:pStyle w:val="TextBody"/>
        <w:bidi w:val="0"/>
        <w:spacing w:lineRule="auto" w:line="300" w:before="0" w:after="0"/>
        <w:jc w:val="center"/>
        <w:rPr>
          <w:rFonts w:ascii="Times New Roman;Times;serif" w:hAnsi="Times New Roman;Times;serif"/>
          <w:b/>
          <w:i/>
          <w:color w:val="000000"/>
          <w:sz w:val="20"/>
        </w:rPr>
      </w:pPr>
      <w:r>
        <w:rPr>
          <w:rFonts w:ascii="Times New Roman;Times;serif" w:hAnsi="Times New Roman;Times;serif"/>
          <w:b/>
          <w:i/>
          <w:color w:val="000000"/>
          <w:sz w:val="20"/>
        </w:rPr>
        <w:t>cost and power consumption of competing high-speed cameras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HOUSTON, Texas, and MIGDAL HAEMEK, Israel - August 12, 2025</w:t>
      </w:r>
      <w:r>
        <w:rPr>
          <w:rFonts w:ascii="Times New Roman;Times;serif" w:hAnsi="Times New Roman;Times;serif"/>
          <w:color w:val="000000"/>
          <w:sz w:val="20"/>
        </w:rPr>
        <w:t>: AIStorm, the market leader in charge-domain solutions for edge AI, and Tower Semiconductor (NASDAQ/TASE: TSEM), a leading foundry of high-value analog semiconductor solutions, today announced the availability of the Cheetah HS — a high-speed, 120×80-pixel imager with first-layer AI capability that captures up to 260,000 frames per second — 2,000 to 4,000 times faster than conventional CMOS sensors. The Cheetah HS architecture is made possible by Tower’s unique charge-domain imaging platform which is leveraged by AIStorm’s proprietary charge-domain-based analog AI neurons.</w:t>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By combining ultra-high-speed imaging with charge-domain AI, Cheetah HS slashes system power requirements and bill-of-materials cost for designers of robotics, drones, vibration- and structure-health monitors, high-speed security and surveillance tracking systems, manufacturing and assembly lines, barcode readers, PCB-inspection equipment, biometric unlock systems, vehicle-speed detectors, and even golf-swing analyzers.</w:t>
      </w:r>
    </w:p>
    <w:p>
      <w:pPr>
        <w:pStyle w:val="TextBody"/>
        <w:bidi w:val="0"/>
        <w:spacing w:lineRule="auto" w:line="300" w:before="0" w:after="0"/>
        <w:jc w:val="both"/>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 xml:space="preserve">Many consumer and industrial applications require ultra-slow-motion analysis of real-time events to analyze performance or detect anomalies. Such solutions are very costly, and our Cheetah HS solution makes them affordable for a wide range of markets and end applications,” said </w:t>
      </w:r>
      <w:r>
        <w:rPr>
          <w:rFonts w:ascii="Times New Roman;Times;serif" w:hAnsi="Times New Roman;Times;serif"/>
          <w:b/>
          <w:color w:val="000000"/>
          <w:sz w:val="20"/>
        </w:rPr>
        <w:t>David Schie, CEO of AIStorm.</w:t>
      </w:r>
      <w:r>
        <w:rPr>
          <w:rFonts w:ascii="Times New Roman;Times;serif" w:hAnsi="Times New Roman;Times;serif"/>
          <w:color w:val="000000"/>
          <w:sz w:val="20"/>
        </w:rPr>
        <w:t xml:space="preserve"> “Tower is a global leader in charge-domain global-shutter pixels, making them the ideal partner for the development and production of such groundbreaking products.”</w:t>
      </w:r>
    </w:p>
    <w:p>
      <w:pPr>
        <w:pStyle w:val="TextBody"/>
        <w:bidi w:val="0"/>
        <w:spacing w:lineRule="auto" w:line="300" w:before="0" w:after="0"/>
        <w:jc w:val="both"/>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 xml:space="preserve">We are very pleased to see the fruits of our long term, close collaboration with AIStorm on this unique breakthrough platform of analog charge-domain embedded AI technology,” said </w:t>
      </w:r>
      <w:r>
        <w:rPr>
          <w:rFonts w:ascii="Times New Roman;Times;serif" w:hAnsi="Times New Roman;Times;serif"/>
          <w:b/>
          <w:color w:val="000000"/>
          <w:sz w:val="20"/>
        </w:rPr>
        <w:t>Dr. Avi Strum, SVP and GM of the Sensors and Displays BU at Tower Semiconductor</w:t>
      </w:r>
      <w:r>
        <w:rPr>
          <w:rFonts w:ascii="Times New Roman;Times;serif" w:hAnsi="Times New Roman;Times;serif"/>
          <w:color w:val="000000"/>
          <w:sz w:val="20"/>
        </w:rPr>
        <w:t>. “Its inherent low-power, low-cost, and high-performance virtues will enable a family of affordable, high-volume products in the near future.”</w:t>
      </w:r>
    </w:p>
    <w:p>
      <w:pPr>
        <w:pStyle w:val="TextBody"/>
        <w:bidi w:val="0"/>
        <w:spacing w:lineRule="auto" w:line="300" w:before="0" w:after="0"/>
        <w:jc w:val="both"/>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Key advantages of Cheetah HS</w:t>
      </w:r>
    </w:p>
    <w:p>
      <w:pPr>
        <w:pStyle w:val="Normal"/>
        <w:bidi w:val="0"/>
        <w:spacing w:before="0" w:after="0"/>
        <w:jc w:val="left"/>
        <w:rPr>
          <w:sz w:val="4"/>
          <w:szCs w:val="4"/>
        </w:rPr>
      </w:pPr>
      <w:r>
        <w:rPr>
          <w:sz w:val="4"/>
          <w:szCs w:val="4"/>
        </w:rPr>
      </w:r>
      <w:bookmarkStart w:id="6" w:name="z578a6ff9d34c4e1b8849904257f99689"/>
      <w:bookmarkStart w:id="7" w:name="z578a6ff9d34c4e1b8849904257f99689"/>
      <w:bookmarkEnd w:id="7"/>
    </w:p>
    <w:tbl>
      <w:tblPr>
        <w:tblW w:w="5830" w:type="dxa"/>
        <w:jc w:val="left"/>
        <w:tblInd w:w="0" w:type="dxa"/>
        <w:tblLayout w:type="fixed"/>
        <w:tblCellMar>
          <w:top w:w="0" w:type="dxa"/>
          <w:left w:w="0" w:type="dxa"/>
          <w:bottom w:w="0" w:type="dxa"/>
          <w:right w:w="0" w:type="dxa"/>
        </w:tblCellMar>
      </w:tblPr>
      <w:tblGrid>
        <w:gridCol w:w="125"/>
        <w:gridCol w:w="5705"/>
      </w:tblGrid>
      <w:tr>
        <w:trPr/>
        <w:tc>
          <w:tcPr>
            <w:tcW w:w="125"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0"/>
              <w:jc w:val="left"/>
              <w:rPr/>
            </w:pPr>
            <w:r>
              <w:rPr/>
              <w:t>Adjustable frame rate up to 260,000 frames per second (fps)</w:t>
            </w:r>
          </w:p>
        </w:tc>
      </w:tr>
    </w:tbl>
    <w:p>
      <w:pPr>
        <w:pStyle w:val="Normal"/>
        <w:bidi w:val="0"/>
        <w:spacing w:before="0" w:after="0"/>
        <w:jc w:val="left"/>
        <w:rPr>
          <w:sz w:val="4"/>
          <w:szCs w:val="4"/>
        </w:rPr>
      </w:pPr>
      <w:r>
        <w:rPr>
          <w:sz w:val="4"/>
          <w:szCs w:val="4"/>
        </w:rPr>
      </w:r>
      <w:bookmarkStart w:id="8" w:name="z9684bc1a6a1847d3aca09311e1e9e448"/>
      <w:bookmarkStart w:id="9" w:name="z9684bc1a6a1847d3aca09311e1e9e448"/>
      <w:bookmarkEnd w:id="9"/>
    </w:p>
    <w:tbl>
      <w:tblPr>
        <w:tblW w:w="5095" w:type="dxa"/>
        <w:jc w:val="left"/>
        <w:tblInd w:w="0" w:type="dxa"/>
        <w:tblLayout w:type="fixed"/>
        <w:tblCellMar>
          <w:top w:w="0" w:type="dxa"/>
          <w:left w:w="0" w:type="dxa"/>
          <w:bottom w:w="0" w:type="dxa"/>
          <w:right w:w="0" w:type="dxa"/>
        </w:tblCellMar>
      </w:tblPr>
      <w:tblGrid>
        <w:gridCol w:w="125"/>
        <w:gridCol w:w="4970"/>
      </w:tblGrid>
      <w:tr>
        <w:trPr/>
        <w:tc>
          <w:tcPr>
            <w:tcW w:w="125"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0"/>
              <w:jc w:val="left"/>
              <w:rPr/>
            </w:pPr>
            <w:r>
              <w:rPr/>
              <w:t>Integrated LED driver (programmable up to 40 mA)</w:t>
            </w:r>
          </w:p>
        </w:tc>
      </w:tr>
    </w:tbl>
    <w:p>
      <w:pPr>
        <w:pStyle w:val="Normal"/>
        <w:bidi w:val="0"/>
        <w:spacing w:before="0" w:after="0"/>
        <w:jc w:val="left"/>
        <w:rPr>
          <w:sz w:val="4"/>
          <w:szCs w:val="4"/>
        </w:rPr>
      </w:pPr>
      <w:r>
        <w:rPr>
          <w:sz w:val="4"/>
          <w:szCs w:val="4"/>
        </w:rPr>
      </w:r>
      <w:bookmarkStart w:id="10" w:name="z1c0de8863e804a08810f13cc7af361b2"/>
      <w:bookmarkStart w:id="11" w:name="z1c0de8863e804a08810f13cc7af361b2"/>
      <w:bookmarkEnd w:id="11"/>
    </w:p>
    <w:tbl>
      <w:tblPr>
        <w:tblW w:w="3250" w:type="dxa"/>
        <w:jc w:val="left"/>
        <w:tblInd w:w="0" w:type="dxa"/>
        <w:tblLayout w:type="fixed"/>
        <w:tblCellMar>
          <w:top w:w="0" w:type="dxa"/>
          <w:left w:w="0" w:type="dxa"/>
          <w:bottom w:w="0" w:type="dxa"/>
          <w:right w:w="0" w:type="dxa"/>
        </w:tblCellMar>
      </w:tblPr>
      <w:tblGrid>
        <w:gridCol w:w="125"/>
        <w:gridCol w:w="3125"/>
      </w:tblGrid>
      <w:tr>
        <w:trPr/>
        <w:tc>
          <w:tcPr>
            <w:tcW w:w="125"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0"/>
              <w:jc w:val="left"/>
              <w:rPr/>
            </w:pPr>
            <w:r>
              <w:rPr/>
              <w:t>Enhanced low light performance</w:t>
            </w:r>
          </w:p>
        </w:tc>
      </w:tr>
    </w:tbl>
    <w:p>
      <w:pPr>
        <w:pStyle w:val="Normal"/>
        <w:bidi w:val="0"/>
        <w:spacing w:before="0" w:after="0"/>
        <w:jc w:val="left"/>
        <w:rPr>
          <w:sz w:val="4"/>
          <w:szCs w:val="4"/>
        </w:rPr>
      </w:pPr>
      <w:r>
        <w:rPr>
          <w:sz w:val="4"/>
          <w:szCs w:val="4"/>
        </w:rPr>
      </w:r>
      <w:bookmarkStart w:id="12" w:name="zfc699a2fd326408099d410ba9f46ca2f"/>
      <w:bookmarkStart w:id="13" w:name="zfc699a2fd326408099d410ba9f46ca2f"/>
      <w:bookmarkEnd w:id="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Integrated charge-domain neuron layer outputting pulse streams for downstream neural-network layers or raw high-speed video</w:t>
            </w:r>
          </w:p>
        </w:tc>
      </w:tr>
    </w:tbl>
    <w:p>
      <w:pPr>
        <w:pStyle w:val="Normal"/>
        <w:bidi w:val="0"/>
        <w:spacing w:before="0" w:after="0"/>
        <w:jc w:val="left"/>
        <w:rPr>
          <w:sz w:val="4"/>
          <w:szCs w:val="4"/>
        </w:rPr>
      </w:pPr>
      <w:r>
        <w:rPr>
          <w:sz w:val="4"/>
          <w:szCs w:val="4"/>
        </w:rPr>
      </w:r>
      <w:bookmarkStart w:id="14" w:name="ze2c37aece8f941dbb3505b6e8dbed4d5"/>
      <w:bookmarkStart w:id="15" w:name="ze2c37aece8f941dbb3505b6e8dbed4d5"/>
      <w:bookmarkEnd w:id="15"/>
    </w:p>
    <w:tbl>
      <w:tblPr>
        <w:tblW w:w="4120" w:type="dxa"/>
        <w:jc w:val="left"/>
        <w:tblInd w:w="0" w:type="dxa"/>
        <w:tblLayout w:type="fixed"/>
        <w:tblCellMar>
          <w:top w:w="0" w:type="dxa"/>
          <w:left w:w="0" w:type="dxa"/>
          <w:bottom w:w="0" w:type="dxa"/>
          <w:right w:w="0" w:type="dxa"/>
        </w:tblCellMar>
      </w:tblPr>
      <w:tblGrid>
        <w:gridCol w:w="125"/>
        <w:gridCol w:w="3995"/>
      </w:tblGrid>
      <w:tr>
        <w:trPr/>
        <w:tc>
          <w:tcPr>
            <w:tcW w:w="125"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0"/>
              <w:jc w:val="left"/>
              <w:rPr/>
            </w:pPr>
            <w:r>
              <w:rPr/>
              <w:t>Dramatic cost advantage over competitors</w:t>
            </w:r>
          </w:p>
        </w:tc>
      </w:tr>
    </w:tbl>
    <w:p>
      <w:pPr>
        <w:pStyle w:val="Normal"/>
        <w:bidi w:val="0"/>
        <w:spacing w:before="0" w:after="0"/>
        <w:jc w:val="left"/>
        <w:rPr>
          <w:sz w:val="4"/>
          <w:szCs w:val="4"/>
        </w:rPr>
      </w:pPr>
      <w:r>
        <w:rPr>
          <w:sz w:val="4"/>
          <w:szCs w:val="4"/>
        </w:rPr>
      </w:r>
      <w:bookmarkStart w:id="16" w:name="zc74e68dc53234f2e94156c9f2b534a5c"/>
      <w:bookmarkStart w:id="17" w:name="zc74e68dc53234f2e94156c9f2b534a5c"/>
      <w:bookmarkEnd w:id="17"/>
    </w:p>
    <w:tbl>
      <w:tblPr>
        <w:tblW w:w="9370" w:type="dxa"/>
        <w:jc w:val="left"/>
        <w:tblInd w:w="0" w:type="dxa"/>
        <w:tblLayout w:type="fixed"/>
        <w:tblCellMar>
          <w:top w:w="0" w:type="dxa"/>
          <w:left w:w="0" w:type="dxa"/>
          <w:bottom w:w="0" w:type="dxa"/>
          <w:right w:w="0" w:type="dxa"/>
        </w:tblCellMar>
      </w:tblPr>
      <w:tblGrid>
        <w:gridCol w:w="125"/>
        <w:gridCol w:w="9245"/>
      </w:tblGrid>
      <w:tr>
        <w:trPr/>
        <w:tc>
          <w:tcPr>
            <w:tcW w:w="125"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0"/>
              <w:jc w:val="left"/>
              <w:rPr/>
            </w:pPr>
            <w:r>
              <w:rPr/>
              <w:t>Lowers processing costs by capturing images quickly, leaving more time per frame for processing</w:t>
            </w:r>
          </w:p>
        </w:tc>
      </w:tr>
    </w:tbl>
    <w:p>
      <w:pPr>
        <w:pStyle w:val="Normal"/>
        <w:bidi w:val="0"/>
        <w:spacing w:before="0" w:after="0"/>
        <w:jc w:val="left"/>
        <w:rPr>
          <w:sz w:val="4"/>
          <w:szCs w:val="4"/>
        </w:rPr>
      </w:pPr>
      <w:r>
        <w:rPr>
          <w:sz w:val="4"/>
          <w:szCs w:val="4"/>
        </w:rPr>
      </w:r>
      <w:bookmarkStart w:id="18" w:name="z150d8e6dfb0c420bbc369f4702a60633"/>
      <w:bookmarkStart w:id="19" w:name="z150d8e6dfb0c420bbc369f4702a60633"/>
      <w:bookmarkEnd w:id="19"/>
    </w:p>
    <w:tbl>
      <w:tblPr>
        <w:tblW w:w="7735" w:type="dxa"/>
        <w:jc w:val="left"/>
        <w:tblInd w:w="0" w:type="dxa"/>
        <w:tblLayout w:type="fixed"/>
        <w:tblCellMar>
          <w:top w:w="0" w:type="dxa"/>
          <w:left w:w="0" w:type="dxa"/>
          <w:bottom w:w="0" w:type="dxa"/>
          <w:right w:w="0" w:type="dxa"/>
        </w:tblCellMar>
      </w:tblPr>
      <w:tblGrid>
        <w:gridCol w:w="125"/>
        <w:gridCol w:w="7610"/>
      </w:tblGrid>
      <w:tr>
        <w:trPr/>
        <w:tc>
          <w:tcPr>
            <w:tcW w:w="125"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left"/>
              <w:rPr/>
            </w:pPr>
            <w:r>
              <w:rPr/>
              <w:t>Ability to capture extremely high-speed events and analyze them in slow motion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How it works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Traditional high-speed cameras utilize expensive high-speed data converters to capture data, which separates the AI input layer from the pixels, increasing the BOM cost and necessitating high-speed connectors and interface components. Cheetah HS’s charge-domain architecture converts incoming photons to charge, computes the first neural-network layer in analog form, then outputs a pulse train that can be processed by downstream networks. The capture rate is programmable, allowing lower frame rates with faster capture times (reducing the cost of processing) or faster frame rates for accurate measurements or slow-motion analysis.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Availability</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Cheetah HS is available now in both chip form as well as full reference-camera systems [</w:t>
      </w:r>
      <w:r>
        <w:rPr>
          <w:rFonts w:ascii="Times New Roman;Times;serif" w:hAnsi="Times New Roman;Times;serif"/>
          <w:color w:val="000000"/>
          <w:sz w:val="20"/>
          <w:u w:val="single"/>
        </w:rPr>
        <w:t>aistorm.ai/cheetah</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AIStorm</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AIStorm is the leader in AI-in-sensor edge solutions for imaging, audio and biometrics. The company pioneered charge-domain processing — with more than 40 patents worldwide — which overcomes latency, optimizes power and minimizes the cost of inference and learning at the edge. AIStorm offers always-on sentry AI-in-sensor imaging solutions, high-speed imaging solutions, smart always-on solutions for audio applications, and human interface &amp; biometric solutions. To learn more, visit </w:t>
      </w:r>
      <w:r>
        <w:rPr>
          <w:rFonts w:ascii="Times New Roman;Times;serif" w:hAnsi="Times New Roman;Times;serif"/>
          <w:color w:val="000000"/>
          <w:sz w:val="20"/>
          <w:u w:val="single"/>
        </w:rPr>
        <w:t>aistorm.ai</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Press contact</w:t>
      </w:r>
      <w:r>
        <w:rPr>
          <w:rFonts w:ascii="Times New Roman;Times;serif" w:hAnsi="Times New Roman;Times;serif"/>
          <w:color w:val="000000"/>
          <w:sz w:val="20"/>
        </w:rPr>
        <w:br/>
        <w:t>Tim Cox, ZingPR for AIStorm | tim@zingpr.com</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Safe Harbor Regarding Forward-Looking Statements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 </w:t>
      </w:r>
    </w:p>
    <w:p>
      <w:pPr>
        <w:pStyle w:val="TextBody"/>
        <w:bidi w:val="0"/>
        <w:spacing w:lineRule="auto" w:line="300" w:before="0" w:after="0"/>
        <w:ind w:left="0" w:right="0" w:firstLine="4320"/>
        <w:jc w:val="left"/>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t>
      </w:r>
    </w:p>
    <w:p>
      <w:pPr>
        <w:pStyle w:val="TextBody"/>
        <w:bidi w:val="0"/>
        <w:spacing w:lineRule="auto" w:line="300" w:before="0" w:after="0"/>
        <w:ind w:left="0" w:right="0" w:firstLine="4320"/>
        <w:jc w:val="center"/>
        <w:rPr>
          <w:b/>
        </w:rPr>
      </w:pPr>
      <w:r>
        <w:rPr>
          <w:b/>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Company Contact:  </w:t>
      </w:r>
      <w:r>
        <w:rPr>
          <w:rFonts w:ascii="Times New Roman;Times;serif" w:hAnsi="Times New Roman;Times;serif"/>
          <w:color w:val="000000"/>
          <w:sz w:val="20"/>
        </w:rPr>
        <w:t xml:space="preserve">Orit Shahar | +972-74-7377440 | </w:t>
      </w:r>
      <w:r>
        <w:rPr>
          <w:rFonts w:ascii="Times New Roman;Times;serif" w:hAnsi="Times New Roman;Times;serif"/>
          <w:color w:val="000000"/>
          <w:sz w:val="20"/>
          <w:u w:val="single"/>
        </w:rPr>
        <w:t>oritsha@towersemi.com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Investor Relations Contact:  </w:t>
      </w:r>
      <w:r>
        <w:rPr>
          <w:rFonts w:ascii="Times New Roman;Times;serif" w:hAnsi="Times New Roman;Times;serif"/>
          <w:color w:val="000000"/>
          <w:sz w:val="20"/>
        </w:rPr>
        <w:t>Liat Avraham | +972-4-6506154 | </w:t>
      </w:r>
      <w:r>
        <w:rPr>
          <w:rFonts w:ascii="Times New Roman;Times;serif" w:hAnsi="Times New Roman;Times;serif"/>
          <w:color w:val="000000"/>
          <w:sz w:val="20"/>
          <w:u w:val="single"/>
        </w:rPr>
        <w:t>liatavra@towersemi.com</w:t>
      </w:r>
    </w:p>
    <w:p>
      <w:pPr>
        <w:pStyle w:val="TextBody"/>
        <w:bidi w:val="0"/>
        <w:spacing w:lineRule="auto" w:line="300" w:before="0" w:after="0"/>
        <w:jc w:val="left"/>
        <w:rPr>
          <w:u w:val="single"/>
        </w:rPr>
      </w:pPr>
      <w:r>
        <w:rPr>
          <w:u w:val="single"/>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1064</Words>
  <Characters>6455</Characters>
  <CharactersWithSpaces>7490</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