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619"/>
        <w:spacing w:after="0"/>
        <w:rPr>
          <w:sz w:val="20"/>
          <w:szCs w:val="20"/>
          <w:color w:val="auto"/>
        </w:rPr>
      </w:pPr>
      <w:r>
        <w:rPr>
          <w:rFonts w:ascii="Courier New" w:cs="Courier New" w:eastAsia="Courier New" w:hAnsi="Courier New"/>
          <w:sz w:val="12"/>
          <w:szCs w:val="12"/>
          <w:color w:val="auto"/>
        </w:rPr>
        <w:t>FORM 6-K</w:t>
      </w:r>
    </w:p>
    <w:p>
      <w:pPr>
        <w:spacing w:after="0" w:line="134" w:lineRule="exact"/>
        <w:rPr>
          <w:sz w:val="24"/>
          <w:szCs w:val="24"/>
          <w:color w:val="auto"/>
        </w:rPr>
      </w:pPr>
    </w:p>
    <w:p>
      <w:pPr>
        <w:jc w:val="center"/>
        <w:ind w:right="4619"/>
        <w:spacing w:after="0"/>
        <w:rPr>
          <w:sz w:val="20"/>
          <w:szCs w:val="20"/>
          <w:color w:val="auto"/>
        </w:rPr>
      </w:pPr>
      <w:r>
        <w:rPr>
          <w:rFonts w:ascii="Courier New" w:cs="Courier New" w:eastAsia="Courier New" w:hAnsi="Courier New"/>
          <w:sz w:val="12"/>
          <w:szCs w:val="12"/>
          <w:color w:val="auto"/>
        </w:rPr>
        <w:t>SECURITIES AND EXCHANGE COMMISSION</w:t>
      </w:r>
    </w:p>
    <w:p>
      <w:pPr>
        <w:spacing w:after="0" w:line="134" w:lineRule="exact"/>
        <w:rPr>
          <w:sz w:val="24"/>
          <w:szCs w:val="24"/>
          <w:color w:val="auto"/>
        </w:rPr>
      </w:pPr>
    </w:p>
    <w:p>
      <w:pPr>
        <w:ind w:left="2020"/>
        <w:spacing w:after="0"/>
        <w:rPr>
          <w:sz w:val="20"/>
          <w:szCs w:val="20"/>
          <w:color w:val="auto"/>
        </w:rPr>
      </w:pPr>
      <w:r>
        <w:rPr>
          <w:rFonts w:ascii="Courier New" w:cs="Courier New" w:eastAsia="Courier New" w:hAnsi="Courier New"/>
          <w:sz w:val="12"/>
          <w:szCs w:val="12"/>
          <w:color w:val="auto"/>
        </w:rPr>
        <w:t>Washington, D.C. 20549</w:t>
      </w:r>
    </w:p>
    <w:p>
      <w:pPr>
        <w:spacing w:after="0" w:line="134" w:lineRule="exact"/>
        <w:rPr>
          <w:sz w:val="24"/>
          <w:szCs w:val="24"/>
          <w:color w:val="auto"/>
        </w:rPr>
      </w:pPr>
    </w:p>
    <w:p>
      <w:pPr>
        <w:ind w:left="1600"/>
        <w:spacing w:after="0"/>
        <w:rPr>
          <w:sz w:val="20"/>
          <w:szCs w:val="20"/>
          <w:color w:val="auto"/>
        </w:rPr>
      </w:pPr>
      <w:r>
        <w:rPr>
          <w:rFonts w:ascii="Courier New" w:cs="Courier New" w:eastAsia="Courier New" w:hAnsi="Courier New"/>
          <w:sz w:val="12"/>
          <w:szCs w:val="12"/>
          <w:color w:val="auto"/>
        </w:rPr>
        <w:t>For the month of May 2007 (No. 2)</w:t>
      </w:r>
    </w:p>
    <w:p>
      <w:pPr>
        <w:spacing w:after="0" w:line="134" w:lineRule="exact"/>
        <w:rPr>
          <w:sz w:val="24"/>
          <w:szCs w:val="24"/>
          <w:color w:val="auto"/>
        </w:rPr>
      </w:pPr>
    </w:p>
    <w:p>
      <w:pPr>
        <w:jc w:val="center"/>
        <w:ind w:right="4619"/>
        <w:spacing w:after="0"/>
        <w:rPr>
          <w:sz w:val="20"/>
          <w:szCs w:val="20"/>
          <w:color w:val="auto"/>
        </w:rPr>
      </w:pPr>
      <w:r>
        <w:rPr>
          <w:rFonts w:ascii="Courier New" w:cs="Courier New" w:eastAsia="Courier New" w:hAnsi="Courier New"/>
          <w:sz w:val="12"/>
          <w:szCs w:val="12"/>
          <w:color w:val="auto"/>
        </w:rPr>
        <w:t>TOWER SEMICONDUCTOR LTD.</w:t>
      </w:r>
    </w:p>
    <w:p>
      <w:pPr>
        <w:jc w:val="center"/>
        <w:ind w:right="4559"/>
        <w:spacing w:after="0"/>
        <w:rPr>
          <w:sz w:val="20"/>
          <w:szCs w:val="20"/>
          <w:color w:val="auto"/>
        </w:rPr>
      </w:pPr>
      <w:r>
        <w:rPr>
          <w:rFonts w:ascii="Courier New" w:cs="Courier New" w:eastAsia="Courier New" w:hAnsi="Courier New"/>
          <w:sz w:val="12"/>
          <w:szCs w:val="12"/>
          <w:color w:val="auto"/>
        </w:rPr>
        <w:t>(Translation of registrant's name into English)</w:t>
      </w:r>
    </w:p>
    <w:p>
      <w:pPr>
        <w:spacing w:after="0" w:line="133" w:lineRule="exact"/>
        <w:rPr>
          <w:sz w:val="24"/>
          <w:szCs w:val="24"/>
          <w:color w:val="auto"/>
        </w:rPr>
      </w:pPr>
    </w:p>
    <w:p>
      <w:pPr>
        <w:jc w:val="center"/>
        <w:ind w:right="4559"/>
        <w:spacing w:after="0"/>
        <w:rPr>
          <w:sz w:val="20"/>
          <w:szCs w:val="20"/>
          <w:color w:val="auto"/>
        </w:rPr>
      </w:pPr>
      <w:r>
        <w:rPr>
          <w:rFonts w:ascii="Courier New" w:cs="Courier New" w:eastAsia="Courier New" w:hAnsi="Courier New"/>
          <w:sz w:val="12"/>
          <w:szCs w:val="12"/>
          <w:color w:val="auto"/>
        </w:rPr>
        <w:t>RAMAT GAVRIEL INDUSTRIAL PARK</w:t>
      </w:r>
    </w:p>
    <w:p>
      <w:pPr>
        <w:ind w:left="1400"/>
        <w:spacing w:after="0"/>
        <w:rPr>
          <w:sz w:val="20"/>
          <w:szCs w:val="20"/>
          <w:color w:val="auto"/>
        </w:rPr>
      </w:pPr>
      <w:r>
        <w:rPr>
          <w:rFonts w:ascii="Courier New" w:cs="Courier New" w:eastAsia="Courier New" w:hAnsi="Courier New"/>
          <w:sz w:val="12"/>
          <w:szCs w:val="12"/>
          <w:color w:val="auto"/>
        </w:rPr>
        <w:t>P.O. BOX 619, MIGDAL HAEMEK, ISRAEL 23105</w:t>
      </w:r>
    </w:p>
    <w:p>
      <w:pPr>
        <w:ind w:left="1400"/>
        <w:spacing w:after="0" w:line="237" w:lineRule="auto"/>
        <w:rPr>
          <w:sz w:val="20"/>
          <w:szCs w:val="20"/>
          <w:color w:val="auto"/>
        </w:rPr>
      </w:pPr>
      <w:r>
        <w:rPr>
          <w:rFonts w:ascii="Courier New" w:cs="Courier New" w:eastAsia="Courier New" w:hAnsi="Courier New"/>
          <w:sz w:val="12"/>
          <w:szCs w:val="12"/>
          <w:color w:val="auto"/>
        </w:rPr>
        <w:t>(Address of principal executive offices)</w:t>
      </w:r>
    </w:p>
    <w:p>
      <w:pPr>
        <w:spacing w:after="0" w:line="139" w:lineRule="exact"/>
        <w:rPr>
          <w:sz w:val="24"/>
          <w:szCs w:val="24"/>
          <w:color w:val="auto"/>
        </w:rPr>
      </w:pPr>
    </w:p>
    <w:p>
      <w:pPr>
        <w:ind w:right="4899" w:firstLine="351"/>
        <w:spacing w:after="0" w:line="235" w:lineRule="auto"/>
        <w:rPr>
          <w:sz w:val="20"/>
          <w:szCs w:val="20"/>
          <w:color w:val="auto"/>
        </w:rPr>
      </w:pPr>
      <w:r>
        <w:rPr>
          <w:rFonts w:ascii="Courier New" w:cs="Courier New" w:eastAsia="Courier New" w:hAnsi="Courier New"/>
          <w:sz w:val="12"/>
          <w:szCs w:val="12"/>
          <w:color w:val="auto"/>
        </w:rPr>
        <w:t>Indicate by check mark whether the registrant files or will file annual reports under cover Form 20-F or Form 40-F.</w:t>
      </w:r>
    </w:p>
    <w:p>
      <w:pPr>
        <w:spacing w:after="0" w:line="135" w:lineRule="exact"/>
        <w:rPr>
          <w:sz w:val="24"/>
          <w:szCs w:val="24"/>
          <w:color w:val="auto"/>
        </w:rPr>
      </w:pPr>
    </w:p>
    <w:p>
      <w:pPr>
        <w:ind w:left="1740"/>
        <w:spacing w:after="0"/>
        <w:tabs>
          <w:tab w:leader="none" w:pos="3000" w:val="left"/>
        </w:tabs>
        <w:rPr>
          <w:sz w:val="20"/>
          <w:szCs w:val="20"/>
          <w:color w:val="auto"/>
        </w:rPr>
      </w:pPr>
      <w:r>
        <w:rPr>
          <w:rFonts w:ascii="Courier New" w:cs="Courier New" w:eastAsia="Courier New" w:hAnsi="Courier New"/>
          <w:sz w:val="12"/>
          <w:szCs w:val="12"/>
          <w:color w:val="auto"/>
        </w:rPr>
        <w:t>Form 20-F [X]</w:t>
      </w:r>
      <w:r>
        <w:rPr>
          <w:sz w:val="20"/>
          <w:szCs w:val="20"/>
          <w:color w:val="auto"/>
        </w:rPr>
        <w:tab/>
      </w:r>
      <w:r>
        <w:rPr>
          <w:rFonts w:ascii="Courier New" w:cs="Courier New" w:eastAsia="Courier New" w:hAnsi="Courier New"/>
          <w:sz w:val="11"/>
          <w:szCs w:val="11"/>
          <w:color w:val="auto"/>
        </w:rPr>
        <w:t>Form 40-F [_]</w:t>
      </w:r>
    </w:p>
    <w:p>
      <w:pPr>
        <w:spacing w:after="0" w:line="139" w:lineRule="exact"/>
        <w:rPr>
          <w:sz w:val="24"/>
          <w:szCs w:val="24"/>
          <w:color w:val="auto"/>
        </w:rPr>
      </w:pPr>
    </w:p>
    <w:p>
      <w:pPr>
        <w:ind w:right="4619" w:firstLine="351"/>
        <w:spacing w:after="0" w:line="266" w:lineRule="auto"/>
        <w:rPr>
          <w:sz w:val="20"/>
          <w:szCs w:val="20"/>
          <w:color w:val="auto"/>
        </w:rPr>
      </w:pPr>
      <w:r>
        <w:rPr>
          <w:rFonts w:ascii="Courier New" w:cs="Courier New" w:eastAsia="Courier New" w:hAnsi="Courier New"/>
          <w:sz w:val="11"/>
          <w:szCs w:val="1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22" w:lineRule="exact"/>
        <w:rPr>
          <w:sz w:val="24"/>
          <w:szCs w:val="24"/>
          <w:color w:val="auto"/>
        </w:rPr>
      </w:pPr>
    </w:p>
    <w:p>
      <w:pPr>
        <w:ind w:left="2180"/>
        <w:spacing w:after="0"/>
        <w:tabs>
          <w:tab w:leader="none" w:pos="3000" w:val="left"/>
        </w:tabs>
        <w:rPr>
          <w:sz w:val="20"/>
          <w:szCs w:val="20"/>
          <w:color w:val="auto"/>
        </w:rPr>
      </w:pPr>
      <w:r>
        <w:rPr>
          <w:rFonts w:ascii="Courier New" w:cs="Courier New" w:eastAsia="Courier New" w:hAnsi="Courier New"/>
          <w:sz w:val="12"/>
          <w:szCs w:val="12"/>
          <w:color w:val="auto"/>
        </w:rPr>
        <w:t>Yes [_]</w:t>
      </w:r>
      <w:r>
        <w:rPr>
          <w:sz w:val="20"/>
          <w:szCs w:val="20"/>
          <w:color w:val="auto"/>
        </w:rPr>
        <w:tab/>
      </w:r>
      <w:r>
        <w:rPr>
          <w:rFonts w:ascii="Courier New" w:cs="Courier New" w:eastAsia="Courier New" w:hAnsi="Courier New"/>
          <w:sz w:val="11"/>
          <w:szCs w:val="11"/>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ind w:right="4619" w:firstLine="351"/>
        <w:spacing w:after="0" w:line="264" w:lineRule="auto"/>
        <w:rPr>
          <w:sz w:val="20"/>
          <w:szCs w:val="20"/>
          <w:color w:val="auto"/>
        </w:rPr>
      </w:pPr>
      <w:r>
        <w:rPr>
          <w:rFonts w:ascii="Courier New" w:cs="Courier New" w:eastAsia="Courier New" w:hAnsi="Courier New"/>
          <w:sz w:val="11"/>
          <w:szCs w:val="11"/>
          <w:color w:val="auto"/>
        </w:rPr>
        <w:t>On May 1, 2007, the Registrant announced its financial results for the three months ended March 31, 2007 and on May 2, 2007 issued unaudited condensed interim consolidated financial statements as of March 31, 2007 and for the three months period then ended. Attached hereto are the following exhibits:</w:t>
      </w:r>
    </w:p>
    <w:p>
      <w:pPr>
        <w:spacing w:after="0" w:line="127" w:lineRule="exact"/>
        <w:rPr>
          <w:sz w:val="24"/>
          <w:szCs w:val="24"/>
          <w:color w:val="auto"/>
        </w:rPr>
      </w:pPr>
    </w:p>
    <w:p>
      <w:pPr>
        <w:ind w:left="1400" w:right="4699" w:hanging="1053"/>
        <w:spacing w:after="0" w:line="236" w:lineRule="auto"/>
        <w:tabs>
          <w:tab w:leader="none" w:pos="1380" w:val="left"/>
        </w:tabs>
        <w:rPr>
          <w:sz w:val="20"/>
          <w:szCs w:val="20"/>
          <w:color w:val="auto"/>
        </w:rPr>
      </w:pPr>
      <w:r>
        <w:rPr>
          <w:rFonts w:ascii="Courier New" w:cs="Courier New" w:eastAsia="Courier New" w:hAnsi="Courier New"/>
          <w:sz w:val="12"/>
          <w:szCs w:val="12"/>
          <w:color w:val="auto"/>
        </w:rPr>
        <w:t>Exhibit 99.1</w:t>
      </w:r>
      <w:r>
        <w:rPr>
          <w:sz w:val="20"/>
          <w:szCs w:val="20"/>
          <w:color w:val="auto"/>
        </w:rPr>
        <w:tab/>
      </w:r>
      <w:r>
        <w:rPr>
          <w:rFonts w:ascii="Courier New" w:cs="Courier New" w:eastAsia="Courier New" w:hAnsi="Courier New"/>
          <w:sz w:val="12"/>
          <w:szCs w:val="12"/>
          <w:color w:val="auto"/>
        </w:rPr>
        <w:t>Registrant's unaudited condensed interim consolidated financial statements as of March 31, 2007 and for the three months period then ended.</w:t>
      </w:r>
    </w:p>
    <w:p>
      <w:pPr>
        <w:spacing w:after="0" w:line="139" w:lineRule="exact"/>
        <w:rPr>
          <w:sz w:val="24"/>
          <w:szCs w:val="24"/>
          <w:color w:val="auto"/>
        </w:rPr>
      </w:pPr>
    </w:p>
    <w:p>
      <w:pPr>
        <w:ind w:left="1400" w:right="4699" w:hanging="1053"/>
        <w:spacing w:after="0" w:line="235" w:lineRule="auto"/>
        <w:tabs>
          <w:tab w:leader="none" w:pos="1380" w:val="left"/>
        </w:tabs>
        <w:rPr>
          <w:sz w:val="20"/>
          <w:szCs w:val="20"/>
          <w:color w:val="auto"/>
        </w:rPr>
      </w:pPr>
      <w:r>
        <w:rPr>
          <w:rFonts w:ascii="Courier New" w:cs="Courier New" w:eastAsia="Courier New" w:hAnsi="Courier New"/>
          <w:sz w:val="12"/>
          <w:szCs w:val="12"/>
          <w:color w:val="auto"/>
        </w:rPr>
        <w:t>Exhibit 99.2</w:t>
      </w:r>
      <w:r>
        <w:rPr>
          <w:sz w:val="20"/>
          <w:szCs w:val="20"/>
          <w:color w:val="auto"/>
        </w:rPr>
        <w:tab/>
      </w:r>
      <w:r>
        <w:rPr>
          <w:rFonts w:ascii="Courier New" w:cs="Courier New" w:eastAsia="Courier New" w:hAnsi="Courier New"/>
          <w:sz w:val="12"/>
          <w:szCs w:val="12"/>
          <w:color w:val="auto"/>
        </w:rPr>
        <w:t>Management's Discussion and Analysis of Financial Condition and Results of Operations</w:t>
      </w:r>
    </w:p>
    <w:p>
      <w:pPr>
        <w:spacing w:after="0" w:line="139" w:lineRule="exact"/>
        <w:rPr>
          <w:sz w:val="24"/>
          <w:szCs w:val="24"/>
          <w:color w:val="auto"/>
        </w:rPr>
      </w:pPr>
    </w:p>
    <w:p>
      <w:pPr>
        <w:ind w:right="4759" w:firstLine="351"/>
        <w:spacing w:after="0" w:line="236" w:lineRule="auto"/>
        <w:rPr>
          <w:sz w:val="20"/>
          <w:szCs w:val="20"/>
          <w:color w:val="auto"/>
        </w:rPr>
      </w:pPr>
      <w:r>
        <w:rPr>
          <w:rFonts w:ascii="Courier New" w:cs="Courier New" w:eastAsia="Courier New" w:hAnsi="Courier New"/>
          <w:sz w:val="12"/>
          <w:szCs w:val="12"/>
          <w:color w:val="auto"/>
        </w:rPr>
        <w:t>This Form 6-K, including all exhibits hereto, is hereby incorporated by reference into (1) all effective registration statements filed by us under the Securities Act of 1933 and (2) Registration Statement No. 333-140174 and Registration No. 333-141640 on Form F-3.</w:t>
      </w: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ind w:right="4619"/>
        <w:spacing w:after="0"/>
        <w:rPr>
          <w:sz w:val="20"/>
          <w:szCs w:val="20"/>
          <w:color w:val="auto"/>
        </w:rPr>
      </w:pPr>
      <w:r>
        <w:rPr>
          <w:rFonts w:ascii="Courier New" w:cs="Courier New" w:eastAsia="Courier New" w:hAnsi="Courier New"/>
          <w:sz w:val="12"/>
          <w:szCs w:val="12"/>
          <w:color w:val="auto"/>
        </w:rPr>
        <w:t>SIGNATURES</w:t>
      </w:r>
    </w:p>
    <w:p>
      <w:pPr>
        <w:spacing w:after="0" w:line="139" w:lineRule="exact"/>
        <w:rPr>
          <w:sz w:val="24"/>
          <w:szCs w:val="24"/>
          <w:color w:val="auto"/>
        </w:rPr>
      </w:pPr>
    </w:p>
    <w:p>
      <w:pPr>
        <w:ind w:right="4839" w:firstLine="351"/>
        <w:spacing w:after="0" w:line="236" w:lineRule="auto"/>
        <w:rPr>
          <w:sz w:val="20"/>
          <w:szCs w:val="20"/>
          <w:color w:val="auto"/>
        </w:rPr>
      </w:pPr>
      <w:r>
        <w:rPr>
          <w:rFonts w:ascii="Courier New" w:cs="Courier New" w:eastAsia="Courier New" w:hAnsi="Courier New"/>
          <w:sz w:val="12"/>
          <w:szCs w:val="12"/>
          <w:color w:val="auto"/>
        </w:rPr>
        <w:t>Pursuant to the requirements of the Securities Exchange Act of 1934, the registrant has duly caused this report to be signed on its behalf by the undersigned, thereunto duly authorized.</w:t>
      </w:r>
    </w:p>
    <w:p>
      <w:pPr>
        <w:spacing w:after="0" w:line="135" w:lineRule="exact"/>
        <w:rPr>
          <w:sz w:val="24"/>
          <w:szCs w:val="24"/>
          <w:color w:val="auto"/>
        </w:rPr>
      </w:pPr>
    </w:p>
    <w:p>
      <w:pPr>
        <w:ind w:left="2660"/>
        <w:spacing w:after="0"/>
        <w:rPr>
          <w:sz w:val="20"/>
          <w:szCs w:val="20"/>
          <w:color w:val="auto"/>
        </w:rPr>
      </w:pPr>
      <w:r>
        <w:rPr>
          <w:rFonts w:ascii="Courier New" w:cs="Courier New" w:eastAsia="Courier New" w:hAnsi="Courier New"/>
          <w:sz w:val="12"/>
          <w:szCs w:val="12"/>
          <w:color w:val="auto"/>
        </w:rPr>
        <w:t>TOWER SEMICONDUCTOR LTD.</w:t>
      </w:r>
    </w:p>
    <w:p>
      <w:pPr>
        <w:sectPr>
          <w:pgSz w:w="11900" w:h="16838" w:orient="portrait"/>
          <w:cols w:equalWidth="0" w:num="1">
            <w:col w:w="10239"/>
          </w:cols>
          <w:pgMar w:left="220" w:top="479" w:right="1440" w:bottom="1440" w:gutter="0" w:footer="0" w:header="0"/>
        </w:sectPr>
      </w:pPr>
    </w:p>
    <w:p>
      <w:pPr>
        <w:spacing w:after="0" w:line="274" w:lineRule="exact"/>
        <w:rPr>
          <w:sz w:val="24"/>
          <w:szCs w:val="24"/>
          <w:color w:val="auto"/>
        </w:rPr>
      </w:pPr>
    </w:p>
    <w:p>
      <w:pPr>
        <w:spacing w:after="0"/>
        <w:rPr>
          <w:sz w:val="20"/>
          <w:szCs w:val="20"/>
          <w:color w:val="auto"/>
        </w:rPr>
      </w:pPr>
      <w:r>
        <w:rPr>
          <w:rFonts w:ascii="Courier New" w:cs="Courier New" w:eastAsia="Courier New" w:hAnsi="Courier New"/>
          <w:sz w:val="11"/>
          <w:szCs w:val="11"/>
          <w:color w:val="auto"/>
        </w:rPr>
        <w:t>Date: May 2, 2007</w:t>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rPr>
          <w:sz w:val="20"/>
          <w:szCs w:val="20"/>
          <w:color w:val="auto"/>
        </w:rPr>
      </w:pPr>
      <w:r>
        <w:rPr>
          <w:rFonts w:ascii="Courier New" w:cs="Courier New" w:eastAsia="Courier New" w:hAnsi="Courier New"/>
          <w:sz w:val="11"/>
          <w:szCs w:val="11"/>
          <w:color w:val="auto"/>
        </w:rPr>
        <w:t>By: /s/ Nati Somekh Gilboa</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2"/>
          <w:szCs w:val="12"/>
          <w:color w:val="auto"/>
        </w:rPr>
        <w:t>Nati Somekh Gilboa</w:t>
      </w:r>
    </w:p>
    <w:p>
      <w:pPr>
        <w:spacing w:after="0"/>
        <w:rPr>
          <w:sz w:val="20"/>
          <w:szCs w:val="20"/>
          <w:color w:val="auto"/>
        </w:rPr>
      </w:pPr>
      <w:r>
        <w:rPr>
          <w:rFonts w:ascii="Courier New" w:cs="Courier New" w:eastAsia="Courier New" w:hAnsi="Courier New"/>
          <w:sz w:val="12"/>
          <w:szCs w:val="12"/>
          <w:color w:val="auto"/>
        </w:rPr>
        <w:t>Corporate Secretary</w:t>
      </w:r>
    </w:p>
    <w:p>
      <w:pPr>
        <w:sectPr>
          <w:pgSz w:w="11900" w:h="16838" w:orient="portrait"/>
          <w:cols w:equalWidth="0" w:num="2">
            <w:col w:w="1940" w:space="720"/>
            <w:col w:w="7579"/>
          </w:cols>
          <w:pgMar w:left="220" w:top="479"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6"/>
        </w:trPr>
        <w:tc>
          <w:tcPr>
            <w:tcW w:w="4700" w:type="dxa"/>
            <w:vAlign w:val="bottom"/>
          </w:tcPr>
          <w:p>
            <w:pPr>
              <w:spacing w:after="0"/>
              <w:rPr>
                <w:sz w:val="11"/>
                <w:szCs w:val="11"/>
                <w:color w:val="auto"/>
              </w:rPr>
            </w:pPr>
          </w:p>
        </w:tc>
        <w:tc>
          <w:tcPr>
            <w:tcW w:w="98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EXHIBIT 99.1</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270"/>
        </w:trPr>
        <w:tc>
          <w:tcPr>
            <w:tcW w:w="4700" w:type="dxa"/>
            <w:vAlign w:val="bottom"/>
          </w:tcPr>
          <w:p>
            <w:pPr>
              <w:jc w:val="center"/>
              <w:ind w:left="901"/>
              <w:spacing w:after="0"/>
              <w:rPr>
                <w:sz w:val="20"/>
                <w:szCs w:val="20"/>
                <w:color w:val="auto"/>
              </w:rPr>
            </w:pPr>
            <w:r>
              <w:rPr>
                <w:rFonts w:ascii="Courier New" w:cs="Courier New" w:eastAsia="Courier New" w:hAnsi="Courier New"/>
                <w:sz w:val="12"/>
                <w:szCs w:val="12"/>
                <w:color w:val="auto"/>
                <w:w w:val="97"/>
              </w:rPr>
              <w:t>TOWER SEMICONDUCTOR LTD. AND SUBSIDIARY</w:t>
            </w: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135"/>
        </w:trPr>
        <w:tc>
          <w:tcPr>
            <w:tcW w:w="4700" w:type="dxa"/>
            <w:vAlign w:val="bottom"/>
          </w:tcPr>
          <w:p>
            <w:pPr>
              <w:jc w:val="center"/>
              <w:ind w:left="901"/>
              <w:spacing w:after="0"/>
              <w:rPr>
                <w:sz w:val="20"/>
                <w:szCs w:val="20"/>
                <w:color w:val="auto"/>
              </w:rPr>
            </w:pPr>
            <w:r>
              <w:rPr>
                <w:rFonts w:ascii="Courier New" w:cs="Courier New" w:eastAsia="Courier New" w:hAnsi="Courier New"/>
                <w:sz w:val="12"/>
                <w:szCs w:val="12"/>
                <w:color w:val="auto"/>
                <w:w w:val="97"/>
              </w:rPr>
              <w:t>UNAUDITED CONDENSED INTERIM</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4700" w:type="dxa"/>
            <w:vAlign w:val="bottom"/>
          </w:tcPr>
          <w:p>
            <w:pPr>
              <w:jc w:val="center"/>
              <w:ind w:left="921"/>
              <w:spacing w:after="0"/>
              <w:rPr>
                <w:sz w:val="20"/>
                <w:szCs w:val="20"/>
                <w:color w:val="auto"/>
              </w:rPr>
            </w:pPr>
            <w:r>
              <w:rPr>
                <w:rFonts w:ascii="Courier New" w:cs="Courier New" w:eastAsia="Courier New" w:hAnsi="Courier New"/>
                <w:sz w:val="12"/>
                <w:szCs w:val="12"/>
                <w:color w:val="auto"/>
                <w:w w:val="97"/>
              </w:rPr>
              <w:t>CONSOLIDATED FINANCIAL STATEMENTS</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4700" w:type="dxa"/>
            <w:vAlign w:val="bottom"/>
          </w:tcPr>
          <w:p>
            <w:pPr>
              <w:jc w:val="center"/>
              <w:ind w:left="841"/>
              <w:spacing w:after="0"/>
              <w:rPr>
                <w:sz w:val="20"/>
                <w:szCs w:val="20"/>
                <w:color w:val="auto"/>
              </w:rPr>
            </w:pPr>
            <w:r>
              <w:rPr>
                <w:rFonts w:ascii="Courier New" w:cs="Courier New" w:eastAsia="Courier New" w:hAnsi="Courier New"/>
                <w:sz w:val="12"/>
                <w:szCs w:val="12"/>
                <w:color w:val="auto"/>
                <w:w w:val="97"/>
              </w:rPr>
              <w:t>AS OF MARCH 31, 2007</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793"/>
        </w:trPr>
        <w:tc>
          <w:tcPr>
            <w:tcW w:w="4700" w:type="dxa"/>
            <w:vAlign w:val="bottom"/>
          </w:tcPr>
          <w:p>
            <w:pPr>
              <w:jc w:val="center"/>
              <w:ind w:left="901"/>
              <w:spacing w:after="0"/>
              <w:rPr>
                <w:sz w:val="20"/>
                <w:szCs w:val="20"/>
                <w:color w:val="auto"/>
              </w:rPr>
            </w:pPr>
            <w:r>
              <w:rPr>
                <w:rFonts w:ascii="Courier New" w:cs="Courier New" w:eastAsia="Courier New" w:hAnsi="Courier New"/>
                <w:sz w:val="12"/>
                <w:szCs w:val="12"/>
                <w:color w:val="auto"/>
                <w:w w:val="97"/>
              </w:rPr>
              <w:t>TOWER SEMICONDUCTOR LTD. AND SUBSIDIARY</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4700" w:type="dxa"/>
            <w:vAlign w:val="bottom"/>
          </w:tcPr>
          <w:p>
            <w:pPr>
              <w:jc w:val="center"/>
              <w:ind w:left="841"/>
              <w:spacing w:after="0"/>
              <w:rPr>
                <w:sz w:val="20"/>
                <w:szCs w:val="20"/>
                <w:color w:val="auto"/>
              </w:rPr>
            </w:pPr>
            <w:r>
              <w:rPr>
                <w:rFonts w:ascii="Courier New" w:cs="Courier New" w:eastAsia="Courier New" w:hAnsi="Courier New"/>
                <w:sz w:val="12"/>
                <w:szCs w:val="12"/>
                <w:color w:val="auto"/>
                <w:w w:val="97"/>
              </w:rPr>
              <w:t>INDEX TO UNAUDITED CONDENSED INTERIM</w:t>
            </w: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135"/>
        </w:trPr>
        <w:tc>
          <w:tcPr>
            <w:tcW w:w="4700" w:type="dxa"/>
            <w:vAlign w:val="bottom"/>
          </w:tcPr>
          <w:p>
            <w:pPr>
              <w:jc w:val="center"/>
              <w:ind w:left="921"/>
              <w:spacing w:after="0"/>
              <w:rPr>
                <w:sz w:val="20"/>
                <w:szCs w:val="20"/>
                <w:color w:val="auto"/>
              </w:rPr>
            </w:pPr>
            <w:r>
              <w:rPr>
                <w:rFonts w:ascii="Courier New" w:cs="Courier New" w:eastAsia="Courier New" w:hAnsi="Courier New"/>
                <w:sz w:val="12"/>
                <w:szCs w:val="12"/>
                <w:color w:val="auto"/>
                <w:w w:val="97"/>
              </w:rPr>
              <w:t>CONSOLIDATED FINANCIAL STATEMENTS</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4700" w:type="dxa"/>
            <w:vAlign w:val="bottom"/>
          </w:tcPr>
          <w:p>
            <w:pPr>
              <w:jc w:val="center"/>
              <w:ind w:left="841"/>
              <w:spacing w:after="0"/>
              <w:rPr>
                <w:sz w:val="20"/>
                <w:szCs w:val="20"/>
                <w:color w:val="auto"/>
              </w:rPr>
            </w:pPr>
            <w:r>
              <w:rPr>
                <w:rFonts w:ascii="Courier New" w:cs="Courier New" w:eastAsia="Courier New" w:hAnsi="Courier New"/>
                <w:sz w:val="12"/>
                <w:szCs w:val="12"/>
                <w:color w:val="auto"/>
                <w:w w:val="97"/>
              </w:rPr>
              <w:t>AS OF MARCH 31, 2007</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270"/>
        </w:trPr>
        <w:tc>
          <w:tcPr>
            <w:tcW w:w="4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PAGE</w:t>
            </w: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135"/>
        </w:trPr>
        <w:tc>
          <w:tcPr>
            <w:tcW w:w="4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160"/>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270"/>
        </w:trPr>
        <w:tc>
          <w:tcPr>
            <w:tcW w:w="4700" w:type="dxa"/>
            <w:vAlign w:val="bottom"/>
          </w:tcPr>
          <w:p>
            <w:pPr>
              <w:spacing w:after="0"/>
              <w:rPr>
                <w:sz w:val="20"/>
                <w:szCs w:val="20"/>
                <w:color w:val="auto"/>
              </w:rPr>
            </w:pPr>
            <w:r>
              <w:rPr>
                <w:rFonts w:ascii="Courier New" w:cs="Courier New" w:eastAsia="Courier New" w:hAnsi="Courier New"/>
                <w:sz w:val="12"/>
                <w:szCs w:val="12"/>
                <w:color w:val="auto"/>
              </w:rPr>
              <w:t>BALANCE SHEETS</w:t>
            </w:r>
          </w:p>
        </w:tc>
        <w:tc>
          <w:tcPr>
            <w:tcW w:w="200" w:type="dxa"/>
            <w:vAlign w:val="bottom"/>
          </w:tcPr>
          <w:p>
            <w:pPr>
              <w:spacing w:after="0"/>
              <w:rPr>
                <w:sz w:val="23"/>
                <w:szCs w:val="23"/>
                <w:color w:val="auto"/>
              </w:rPr>
            </w:pPr>
          </w:p>
        </w:tc>
        <w:tc>
          <w:tcPr>
            <w:tcW w:w="78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1</w:t>
            </w: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4700" w:type="dxa"/>
            <w:vAlign w:val="bottom"/>
          </w:tcPr>
          <w:p>
            <w:pPr>
              <w:spacing w:after="0"/>
              <w:rPr>
                <w:sz w:val="20"/>
                <w:szCs w:val="20"/>
                <w:color w:val="auto"/>
              </w:rPr>
            </w:pPr>
            <w:r>
              <w:rPr>
                <w:rFonts w:ascii="Courier New" w:cs="Courier New" w:eastAsia="Courier New" w:hAnsi="Courier New"/>
                <w:sz w:val="12"/>
                <w:szCs w:val="12"/>
                <w:color w:val="auto"/>
              </w:rPr>
              <w:t>STATEMENTS OF OPERATIONS</w:t>
            </w:r>
          </w:p>
        </w:tc>
        <w:tc>
          <w:tcPr>
            <w:tcW w:w="200" w:type="dxa"/>
            <w:vAlign w:val="bottom"/>
          </w:tcPr>
          <w:p>
            <w:pPr>
              <w:spacing w:after="0"/>
              <w:rPr>
                <w:sz w:val="23"/>
                <w:szCs w:val="23"/>
                <w:color w:val="auto"/>
              </w:rPr>
            </w:pPr>
          </w:p>
        </w:tc>
        <w:tc>
          <w:tcPr>
            <w:tcW w:w="78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2</w:t>
            </w: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4700" w:type="dxa"/>
            <w:vAlign w:val="bottom"/>
          </w:tcPr>
          <w:p>
            <w:pPr>
              <w:spacing w:after="0"/>
              <w:rPr>
                <w:sz w:val="20"/>
                <w:szCs w:val="20"/>
                <w:color w:val="auto"/>
              </w:rPr>
            </w:pPr>
            <w:r>
              <w:rPr>
                <w:rFonts w:ascii="Courier New" w:cs="Courier New" w:eastAsia="Courier New" w:hAnsi="Courier New"/>
                <w:sz w:val="12"/>
                <w:szCs w:val="12"/>
                <w:color w:val="auto"/>
              </w:rPr>
              <w:t>STATEMENTS OF CHANGES IN SHAREHOLDERS' EQUITY</w:t>
            </w:r>
          </w:p>
        </w:tc>
        <w:tc>
          <w:tcPr>
            <w:tcW w:w="200" w:type="dxa"/>
            <w:vAlign w:val="bottom"/>
          </w:tcPr>
          <w:p>
            <w:pPr>
              <w:spacing w:after="0"/>
              <w:rPr>
                <w:sz w:val="23"/>
                <w:szCs w:val="23"/>
                <w:color w:val="auto"/>
              </w:rPr>
            </w:pPr>
          </w:p>
        </w:tc>
        <w:tc>
          <w:tcPr>
            <w:tcW w:w="78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3</w:t>
            </w: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4700" w:type="dxa"/>
            <w:vAlign w:val="bottom"/>
          </w:tcPr>
          <w:p>
            <w:pPr>
              <w:spacing w:after="0"/>
              <w:rPr>
                <w:sz w:val="20"/>
                <w:szCs w:val="20"/>
                <w:color w:val="auto"/>
              </w:rPr>
            </w:pPr>
            <w:r>
              <w:rPr>
                <w:rFonts w:ascii="Courier New" w:cs="Courier New" w:eastAsia="Courier New" w:hAnsi="Courier New"/>
                <w:sz w:val="12"/>
                <w:szCs w:val="12"/>
                <w:color w:val="auto"/>
              </w:rPr>
              <w:t>STATEMENTS OF CASH FLOWS</w:t>
            </w:r>
          </w:p>
        </w:tc>
        <w:tc>
          <w:tcPr>
            <w:tcW w:w="200" w:type="dxa"/>
            <w:vAlign w:val="bottom"/>
          </w:tcPr>
          <w:p>
            <w:pPr>
              <w:spacing w:after="0"/>
              <w:rPr>
                <w:sz w:val="23"/>
                <w:szCs w:val="23"/>
                <w:color w:val="auto"/>
              </w:rPr>
            </w:pPr>
          </w:p>
        </w:tc>
        <w:tc>
          <w:tcPr>
            <w:tcW w:w="78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4</w:t>
            </w: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4700" w:type="dxa"/>
            <w:vAlign w:val="bottom"/>
          </w:tcPr>
          <w:p>
            <w:pPr>
              <w:spacing w:after="0"/>
              <w:rPr>
                <w:sz w:val="20"/>
                <w:szCs w:val="20"/>
                <w:color w:val="auto"/>
              </w:rPr>
            </w:pPr>
            <w:r>
              <w:rPr>
                <w:rFonts w:ascii="Courier New" w:cs="Courier New" w:eastAsia="Courier New" w:hAnsi="Courier New"/>
                <w:sz w:val="12"/>
                <w:szCs w:val="12"/>
                <w:color w:val="auto"/>
              </w:rPr>
              <w:t>NOTES TO FINANCIAL STATEMENTS</w:t>
            </w:r>
          </w:p>
        </w:tc>
        <w:tc>
          <w:tcPr>
            <w:tcW w:w="20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Courier New" w:cs="Courier New" w:eastAsia="Courier New" w:hAnsi="Courier New"/>
                <w:sz w:val="12"/>
                <w:szCs w:val="12"/>
                <w:color w:val="auto"/>
              </w:rPr>
              <w:t>5-20</w:t>
            </w: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793"/>
        </w:trPr>
        <w:tc>
          <w:tcPr>
            <w:tcW w:w="4700" w:type="dxa"/>
            <w:vAlign w:val="bottom"/>
          </w:tcPr>
          <w:p>
            <w:pPr>
              <w:jc w:val="center"/>
              <w:ind w:left="901"/>
              <w:spacing w:after="0"/>
              <w:rPr>
                <w:sz w:val="20"/>
                <w:szCs w:val="20"/>
                <w:color w:val="auto"/>
              </w:rPr>
            </w:pPr>
            <w:r>
              <w:rPr>
                <w:rFonts w:ascii="Courier New" w:cs="Courier New" w:eastAsia="Courier New" w:hAnsi="Courier New"/>
                <w:sz w:val="12"/>
                <w:szCs w:val="12"/>
                <w:color w:val="auto"/>
                <w:w w:val="97"/>
              </w:rPr>
              <w:t>TOWER SEMICONDUCTOR LTD. AND SUBSIDIARY</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35"/>
        </w:trPr>
        <w:tc>
          <w:tcPr>
            <w:tcW w:w="4700" w:type="dxa"/>
            <w:vAlign w:val="bottom"/>
          </w:tcPr>
          <w:p>
            <w:pPr>
              <w:jc w:val="center"/>
              <w:ind w:left="901"/>
              <w:spacing w:after="0"/>
              <w:rPr>
                <w:sz w:val="20"/>
                <w:szCs w:val="20"/>
                <w:color w:val="auto"/>
              </w:rPr>
            </w:pPr>
            <w:r>
              <w:rPr>
                <w:rFonts w:ascii="Courier New" w:cs="Courier New" w:eastAsia="Courier New" w:hAnsi="Courier New"/>
                <w:sz w:val="12"/>
                <w:szCs w:val="12"/>
                <w:color w:val="auto"/>
                <w:w w:val="97"/>
              </w:rPr>
              <w:t>CONSOLIDATED BALANCE SHEETS</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4900" w:type="dxa"/>
            <w:vAlign w:val="bottom"/>
            <w:gridSpan w:val="2"/>
          </w:tcPr>
          <w:p>
            <w:pPr>
              <w:jc w:val="center"/>
              <w:ind w:left="641"/>
              <w:spacing w:after="0"/>
              <w:rPr>
                <w:sz w:val="20"/>
                <w:szCs w:val="20"/>
                <w:color w:val="auto"/>
              </w:rPr>
            </w:pPr>
            <w:r>
              <w:rPr>
                <w:rFonts w:ascii="Courier New" w:cs="Courier New" w:eastAsia="Courier New" w:hAnsi="Courier New"/>
                <w:sz w:val="12"/>
                <w:szCs w:val="12"/>
                <w:color w:val="auto"/>
                <w:w w:val="97"/>
              </w:rPr>
              <w:t>(dollars in thousands, except share data and per share data)</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270"/>
        </w:trPr>
        <w:tc>
          <w:tcPr>
            <w:tcW w:w="4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gridSpan w:val="3"/>
          </w:tcPr>
          <w:p>
            <w:pPr>
              <w:jc w:val="right"/>
              <w:ind w:right="281"/>
              <w:spacing w:after="0"/>
              <w:rPr>
                <w:sz w:val="20"/>
                <w:szCs w:val="20"/>
                <w:color w:val="auto"/>
              </w:rPr>
            </w:pPr>
            <w:r>
              <w:rPr>
                <w:rFonts w:ascii="Courier New" w:cs="Courier New" w:eastAsia="Courier New" w:hAnsi="Courier New"/>
                <w:sz w:val="12"/>
                <w:szCs w:val="12"/>
                <w:color w:val="auto"/>
              </w:rPr>
              <w:t>AS OF MARCH 31,</w:t>
            </w:r>
          </w:p>
        </w:tc>
        <w:tc>
          <w:tcPr>
            <w:tcW w:w="920" w:type="dxa"/>
            <w:vAlign w:val="bottom"/>
          </w:tcPr>
          <w:p>
            <w:pPr>
              <w:jc w:val="right"/>
              <w:spacing w:after="0"/>
              <w:rPr>
                <w:sz w:val="20"/>
                <w:szCs w:val="20"/>
                <w:color w:val="auto"/>
              </w:rPr>
            </w:pPr>
            <w:r>
              <w:rPr>
                <w:rFonts w:ascii="Courier New" w:cs="Courier New" w:eastAsia="Courier New" w:hAnsi="Courier New"/>
                <w:sz w:val="12"/>
                <w:szCs w:val="12"/>
                <w:color w:val="auto"/>
              </w:rPr>
              <w:t>DECEMBER 31,</w:t>
            </w:r>
          </w:p>
        </w:tc>
      </w:tr>
      <w:tr>
        <w:trPr>
          <w:trHeight w:val="135"/>
        </w:trPr>
        <w:tc>
          <w:tcPr>
            <w:tcW w:w="4700" w:type="dxa"/>
            <w:vAlign w:val="bottom"/>
          </w:tcPr>
          <w:p>
            <w:pPr>
              <w:spacing w:after="0"/>
              <w:rPr>
                <w:sz w:val="11"/>
                <w:szCs w:val="11"/>
                <w:color w:val="auto"/>
              </w:rPr>
            </w:pPr>
          </w:p>
        </w:tc>
        <w:tc>
          <w:tcPr>
            <w:tcW w:w="1820" w:type="dxa"/>
            <w:vAlign w:val="bottom"/>
            <w:gridSpan w:val="4"/>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135"/>
        </w:trPr>
        <w:tc>
          <w:tcPr>
            <w:tcW w:w="4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2007</w:t>
            </w:r>
          </w:p>
        </w:tc>
        <w:tc>
          <w:tcPr>
            <w:tcW w:w="140" w:type="dxa"/>
            <w:vAlign w:val="bottom"/>
          </w:tcPr>
          <w:p>
            <w:pPr>
              <w:spacing w:after="0"/>
              <w:rPr>
                <w:sz w:val="11"/>
                <w:szCs w:val="11"/>
                <w:color w:val="auto"/>
              </w:rPr>
            </w:pPr>
          </w:p>
        </w:tc>
        <w:tc>
          <w:tcPr>
            <w:tcW w:w="70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2006</w:t>
            </w:r>
          </w:p>
        </w:tc>
        <w:tc>
          <w:tcPr>
            <w:tcW w:w="9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2006</w:t>
            </w:r>
          </w:p>
        </w:tc>
      </w:tr>
      <w:tr>
        <w:trPr>
          <w:trHeight w:val="135"/>
        </w:trPr>
        <w:tc>
          <w:tcPr>
            <w:tcW w:w="4700" w:type="dxa"/>
            <w:vAlign w:val="bottom"/>
          </w:tcPr>
          <w:p>
            <w:pPr>
              <w:spacing w:after="0"/>
              <w:rPr>
                <w:sz w:val="11"/>
                <w:szCs w:val="11"/>
                <w:color w:val="auto"/>
              </w:rPr>
            </w:pPr>
          </w:p>
        </w:tc>
        <w:tc>
          <w:tcPr>
            <w:tcW w:w="98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135"/>
        </w:trPr>
        <w:tc>
          <w:tcPr>
            <w:tcW w:w="4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gridSpan w:val="3"/>
          </w:tcPr>
          <w:p>
            <w:pPr>
              <w:jc w:val="right"/>
              <w:ind w:right="421"/>
              <w:spacing w:after="0"/>
              <w:rPr>
                <w:sz w:val="20"/>
                <w:szCs w:val="20"/>
                <w:color w:val="auto"/>
              </w:rPr>
            </w:pPr>
            <w:r>
              <w:rPr>
                <w:rFonts w:ascii="Courier New" w:cs="Courier New" w:eastAsia="Courier New" w:hAnsi="Courier New"/>
                <w:sz w:val="12"/>
                <w:szCs w:val="12"/>
                <w:color w:val="auto"/>
              </w:rPr>
              <w:t>(UNAUDITED)</w:t>
            </w:r>
          </w:p>
        </w:tc>
        <w:tc>
          <w:tcPr>
            <w:tcW w:w="920" w:type="dxa"/>
            <w:vAlign w:val="bottom"/>
          </w:tcPr>
          <w:p>
            <w:pPr>
              <w:spacing w:after="0"/>
              <w:rPr>
                <w:sz w:val="11"/>
                <w:szCs w:val="11"/>
                <w:color w:val="auto"/>
              </w:rPr>
            </w:pPr>
          </w:p>
        </w:tc>
      </w:tr>
      <w:tr>
        <w:trPr>
          <w:trHeight w:val="135"/>
        </w:trPr>
        <w:tc>
          <w:tcPr>
            <w:tcW w:w="4700" w:type="dxa"/>
            <w:vAlign w:val="bottom"/>
          </w:tcPr>
          <w:p>
            <w:pPr>
              <w:spacing w:after="0"/>
              <w:rPr>
                <w:sz w:val="11"/>
                <w:szCs w:val="11"/>
                <w:color w:val="auto"/>
              </w:rPr>
            </w:pPr>
          </w:p>
        </w:tc>
        <w:tc>
          <w:tcPr>
            <w:tcW w:w="1820" w:type="dxa"/>
            <w:vAlign w:val="bottom"/>
            <w:gridSpan w:val="4"/>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spacing w:after="0"/>
              <w:rPr>
                <w:sz w:val="11"/>
                <w:szCs w:val="11"/>
                <w:color w:val="auto"/>
              </w:rPr>
            </w:pPr>
          </w:p>
        </w:tc>
      </w:tr>
      <w:tr>
        <w:trPr>
          <w:trHeight w:val="270"/>
        </w:trPr>
        <w:tc>
          <w:tcPr>
            <w:tcW w:w="4700" w:type="dxa"/>
            <w:vAlign w:val="bottom"/>
          </w:tcPr>
          <w:p>
            <w:pPr>
              <w:spacing w:after="0"/>
              <w:rPr>
                <w:sz w:val="20"/>
                <w:szCs w:val="20"/>
                <w:color w:val="auto"/>
              </w:rPr>
            </w:pPr>
            <w:r>
              <w:rPr>
                <w:rFonts w:ascii="Courier New" w:cs="Courier New" w:eastAsia="Courier New" w:hAnsi="Courier New"/>
                <w:sz w:val="12"/>
                <w:szCs w:val="12"/>
                <w:color w:val="auto"/>
              </w:rPr>
              <w:t>A S S E T S</w:t>
            </w: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4700" w:type="dxa"/>
            <w:vAlign w:val="bottom"/>
          </w:tcPr>
          <w:p>
            <w:pPr>
              <w:ind w:left="340"/>
              <w:spacing w:after="0"/>
              <w:rPr>
                <w:sz w:val="20"/>
                <w:szCs w:val="20"/>
                <w:color w:val="auto"/>
              </w:rPr>
            </w:pPr>
            <w:r>
              <w:rPr>
                <w:rFonts w:ascii="Courier New" w:cs="Courier New" w:eastAsia="Courier New" w:hAnsi="Courier New"/>
                <w:sz w:val="12"/>
                <w:szCs w:val="12"/>
                <w:color w:val="auto"/>
              </w:rPr>
              <w:t>CURRENT ASSETS</w:t>
            </w: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135"/>
        </w:trPr>
        <w:tc>
          <w:tcPr>
            <w:tcW w:w="4700" w:type="dxa"/>
            <w:vAlign w:val="bottom"/>
          </w:tcPr>
          <w:p>
            <w:pPr>
              <w:ind w:left="620"/>
              <w:spacing w:after="0"/>
              <w:rPr>
                <w:sz w:val="20"/>
                <w:szCs w:val="20"/>
                <w:color w:val="auto"/>
              </w:rPr>
            </w:pPr>
            <w:r>
              <w:rPr>
                <w:rFonts w:ascii="Courier New" w:cs="Courier New" w:eastAsia="Courier New" w:hAnsi="Courier New"/>
                <w:sz w:val="12"/>
                <w:szCs w:val="12"/>
                <w:color w:val="auto"/>
              </w:rPr>
              <w:t>CASH AND CASH EQUIVALENTS</w:t>
            </w:r>
          </w:p>
        </w:tc>
        <w:tc>
          <w:tcPr>
            <w:tcW w:w="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38,592</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17,570</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39,710</w:t>
            </w:r>
          </w:p>
        </w:tc>
      </w:tr>
      <w:tr>
        <w:trPr>
          <w:trHeight w:val="135"/>
        </w:trPr>
        <w:tc>
          <w:tcPr>
            <w:tcW w:w="4700" w:type="dxa"/>
            <w:vAlign w:val="bottom"/>
          </w:tcPr>
          <w:p>
            <w:pPr>
              <w:ind w:left="620"/>
              <w:spacing w:after="0"/>
              <w:rPr>
                <w:sz w:val="20"/>
                <w:szCs w:val="20"/>
                <w:color w:val="auto"/>
              </w:rPr>
            </w:pPr>
            <w:r>
              <w:rPr>
                <w:rFonts w:ascii="Courier New" w:cs="Courier New" w:eastAsia="Courier New" w:hAnsi="Courier New"/>
                <w:sz w:val="12"/>
                <w:szCs w:val="12"/>
                <w:color w:val="auto"/>
              </w:rPr>
              <w:t>SHORT-TERM INTEREST-BEARING DEPOSITS</w:t>
            </w:r>
          </w:p>
        </w:tc>
        <w:tc>
          <w:tcPr>
            <w:tcW w:w="200" w:type="dxa"/>
            <w:vAlign w:val="bottom"/>
          </w:tcPr>
          <w:p>
            <w:pPr>
              <w:spacing w:after="0"/>
              <w:rPr>
                <w:sz w:val="11"/>
                <w:szCs w:val="11"/>
                <w:color w:val="auto"/>
              </w:rPr>
            </w:pPr>
          </w:p>
        </w:tc>
        <w:tc>
          <w:tcPr>
            <w:tcW w:w="7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5,000</w:t>
            </w:r>
          </w:p>
        </w:tc>
        <w:tc>
          <w:tcPr>
            <w:tcW w:w="140" w:type="dxa"/>
            <w:vAlign w:val="bottom"/>
          </w:tcPr>
          <w:p>
            <w:pPr>
              <w:spacing w:after="0"/>
              <w:rPr>
                <w:sz w:val="11"/>
                <w:szCs w:val="11"/>
                <w:color w:val="auto"/>
              </w:rPr>
            </w:pP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1,230</w:t>
            </w:r>
          </w:p>
        </w:tc>
      </w:tr>
      <w:tr>
        <w:trPr>
          <w:trHeight w:val="135"/>
        </w:trPr>
        <w:tc>
          <w:tcPr>
            <w:tcW w:w="4700" w:type="dxa"/>
            <w:vAlign w:val="bottom"/>
          </w:tcPr>
          <w:p>
            <w:pPr>
              <w:ind w:left="620"/>
              <w:spacing w:after="0"/>
              <w:rPr>
                <w:sz w:val="20"/>
                <w:szCs w:val="20"/>
                <w:color w:val="auto"/>
              </w:rPr>
            </w:pPr>
            <w:r>
              <w:rPr>
                <w:rFonts w:ascii="Courier New" w:cs="Courier New" w:eastAsia="Courier New" w:hAnsi="Courier New"/>
                <w:sz w:val="12"/>
                <w:szCs w:val="12"/>
                <w:color w:val="auto"/>
              </w:rPr>
              <w:t>DESIGNATED CASH AND SHORT-TERM INTEREST-BEARING DEPOSITS</w:t>
            </w:r>
          </w:p>
        </w:tc>
        <w:tc>
          <w:tcPr>
            <w:tcW w:w="200" w:type="dxa"/>
            <w:vAlign w:val="bottom"/>
          </w:tcPr>
          <w:p>
            <w:pPr>
              <w:spacing w:after="0"/>
              <w:rPr>
                <w:sz w:val="11"/>
                <w:szCs w:val="11"/>
                <w:color w:val="auto"/>
              </w:rPr>
            </w:pPr>
          </w:p>
        </w:tc>
        <w:tc>
          <w:tcPr>
            <w:tcW w:w="7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15,126</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135"/>
        </w:trPr>
        <w:tc>
          <w:tcPr>
            <w:tcW w:w="4700" w:type="dxa"/>
            <w:vAlign w:val="bottom"/>
          </w:tcPr>
          <w:p>
            <w:pPr>
              <w:ind w:left="620"/>
              <w:spacing w:after="0"/>
              <w:rPr>
                <w:sz w:val="20"/>
                <w:szCs w:val="20"/>
                <w:color w:val="auto"/>
              </w:rPr>
            </w:pPr>
            <w:r>
              <w:rPr>
                <w:rFonts w:ascii="Courier New" w:cs="Courier New" w:eastAsia="Courier New" w:hAnsi="Courier New"/>
                <w:sz w:val="12"/>
                <w:szCs w:val="12"/>
                <w:color w:val="auto"/>
              </w:rPr>
              <w:t>TRADE ACCOUNTS RECEIVABLE:</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4700" w:type="dxa"/>
            <w:vAlign w:val="bottom"/>
          </w:tcPr>
          <w:p>
            <w:pPr>
              <w:ind w:left="900"/>
              <w:spacing w:after="0"/>
              <w:rPr>
                <w:sz w:val="20"/>
                <w:szCs w:val="20"/>
                <w:color w:val="auto"/>
              </w:rPr>
            </w:pPr>
            <w:r>
              <w:rPr>
                <w:rFonts w:ascii="Courier New" w:cs="Courier New" w:eastAsia="Courier New" w:hAnsi="Courier New"/>
                <w:sz w:val="12"/>
                <w:szCs w:val="12"/>
                <w:color w:val="auto"/>
              </w:rPr>
              <w:t>RELATED PARTIES</w:t>
            </w:r>
          </w:p>
        </w:tc>
        <w:tc>
          <w:tcPr>
            <w:tcW w:w="200" w:type="dxa"/>
            <w:vAlign w:val="bottom"/>
          </w:tcPr>
          <w:p>
            <w:pPr>
              <w:spacing w:after="0"/>
              <w:rPr>
                <w:sz w:val="11"/>
                <w:szCs w:val="11"/>
                <w:color w:val="auto"/>
              </w:rPr>
            </w:pPr>
          </w:p>
        </w:tc>
        <w:tc>
          <w:tcPr>
            <w:tcW w:w="7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14,941</w:t>
            </w:r>
          </w:p>
        </w:tc>
        <w:tc>
          <w:tcPr>
            <w:tcW w:w="140" w:type="dxa"/>
            <w:vAlign w:val="bottom"/>
          </w:tcPr>
          <w:p>
            <w:pPr>
              <w:spacing w:after="0"/>
              <w:rPr>
                <w:sz w:val="11"/>
                <w:szCs w:val="11"/>
                <w:color w:val="auto"/>
              </w:rPr>
            </w:pP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6,938</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13,625</w:t>
            </w:r>
          </w:p>
        </w:tc>
      </w:tr>
      <w:tr>
        <w:trPr>
          <w:trHeight w:val="135"/>
        </w:trPr>
        <w:tc>
          <w:tcPr>
            <w:tcW w:w="4700" w:type="dxa"/>
            <w:vAlign w:val="bottom"/>
          </w:tcPr>
          <w:p>
            <w:pPr>
              <w:ind w:left="900"/>
              <w:spacing w:after="0"/>
              <w:rPr>
                <w:sz w:val="20"/>
                <w:szCs w:val="20"/>
                <w:color w:val="auto"/>
              </w:rPr>
            </w:pPr>
            <w:r>
              <w:rPr>
                <w:rFonts w:ascii="Courier New" w:cs="Courier New" w:eastAsia="Courier New" w:hAnsi="Courier New"/>
                <w:sz w:val="12"/>
                <w:szCs w:val="12"/>
                <w:color w:val="auto"/>
              </w:rPr>
              <w:t>OTHERS</w:t>
            </w:r>
          </w:p>
        </w:tc>
        <w:tc>
          <w:tcPr>
            <w:tcW w:w="200" w:type="dxa"/>
            <w:vAlign w:val="bottom"/>
          </w:tcPr>
          <w:p>
            <w:pPr>
              <w:spacing w:after="0"/>
              <w:rPr>
                <w:sz w:val="11"/>
                <w:szCs w:val="11"/>
                <w:color w:val="auto"/>
              </w:rPr>
            </w:pPr>
          </w:p>
        </w:tc>
        <w:tc>
          <w:tcPr>
            <w:tcW w:w="7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21,186</w:t>
            </w:r>
          </w:p>
        </w:tc>
        <w:tc>
          <w:tcPr>
            <w:tcW w:w="140" w:type="dxa"/>
            <w:vAlign w:val="bottom"/>
          </w:tcPr>
          <w:p>
            <w:pPr>
              <w:spacing w:after="0"/>
              <w:rPr>
                <w:sz w:val="11"/>
                <w:szCs w:val="11"/>
                <w:color w:val="auto"/>
              </w:rPr>
            </w:pP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11,944</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17,873</w:t>
            </w:r>
          </w:p>
        </w:tc>
      </w:tr>
      <w:tr>
        <w:trPr>
          <w:trHeight w:val="135"/>
        </w:trPr>
        <w:tc>
          <w:tcPr>
            <w:tcW w:w="4700" w:type="dxa"/>
            <w:vAlign w:val="bottom"/>
          </w:tcPr>
          <w:p>
            <w:pPr>
              <w:ind w:left="620"/>
              <w:spacing w:after="0"/>
              <w:rPr>
                <w:sz w:val="20"/>
                <w:szCs w:val="20"/>
                <w:color w:val="auto"/>
              </w:rPr>
            </w:pPr>
            <w:r>
              <w:rPr>
                <w:rFonts w:ascii="Courier New" w:cs="Courier New" w:eastAsia="Courier New" w:hAnsi="Courier New"/>
                <w:sz w:val="12"/>
                <w:szCs w:val="12"/>
                <w:color w:val="auto"/>
              </w:rPr>
              <w:t>OTHER RECEIVABLES</w:t>
            </w:r>
          </w:p>
        </w:tc>
        <w:tc>
          <w:tcPr>
            <w:tcW w:w="200" w:type="dxa"/>
            <w:vAlign w:val="bottom"/>
          </w:tcPr>
          <w:p>
            <w:pPr>
              <w:spacing w:after="0"/>
              <w:rPr>
                <w:sz w:val="11"/>
                <w:szCs w:val="11"/>
                <w:color w:val="auto"/>
              </w:rPr>
            </w:pPr>
          </w:p>
        </w:tc>
        <w:tc>
          <w:tcPr>
            <w:tcW w:w="7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5,174</w:t>
            </w:r>
          </w:p>
        </w:tc>
        <w:tc>
          <w:tcPr>
            <w:tcW w:w="140" w:type="dxa"/>
            <w:vAlign w:val="bottom"/>
          </w:tcPr>
          <w:p>
            <w:pPr>
              <w:spacing w:after="0"/>
              <w:rPr>
                <w:sz w:val="11"/>
                <w:szCs w:val="11"/>
                <w:color w:val="auto"/>
              </w:rPr>
            </w:pP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8,937</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5,425</w:t>
            </w:r>
          </w:p>
        </w:tc>
      </w:tr>
      <w:tr>
        <w:trPr>
          <w:trHeight w:val="135"/>
        </w:trPr>
        <w:tc>
          <w:tcPr>
            <w:tcW w:w="4700" w:type="dxa"/>
            <w:vAlign w:val="bottom"/>
          </w:tcPr>
          <w:p>
            <w:pPr>
              <w:ind w:left="620"/>
              <w:spacing w:after="0"/>
              <w:rPr>
                <w:sz w:val="20"/>
                <w:szCs w:val="20"/>
                <w:color w:val="auto"/>
              </w:rPr>
            </w:pPr>
            <w:r>
              <w:rPr>
                <w:rFonts w:ascii="Courier New" w:cs="Courier New" w:eastAsia="Courier New" w:hAnsi="Courier New"/>
                <w:sz w:val="12"/>
                <w:szCs w:val="12"/>
                <w:color w:val="auto"/>
              </w:rPr>
              <w:t>INVENTORIES</w:t>
            </w:r>
          </w:p>
        </w:tc>
        <w:tc>
          <w:tcPr>
            <w:tcW w:w="200" w:type="dxa"/>
            <w:vAlign w:val="bottom"/>
          </w:tcPr>
          <w:p>
            <w:pPr>
              <w:spacing w:after="0"/>
              <w:rPr>
                <w:sz w:val="11"/>
                <w:szCs w:val="11"/>
                <w:color w:val="auto"/>
              </w:rPr>
            </w:pPr>
          </w:p>
        </w:tc>
        <w:tc>
          <w:tcPr>
            <w:tcW w:w="7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38,245</w:t>
            </w:r>
          </w:p>
        </w:tc>
        <w:tc>
          <w:tcPr>
            <w:tcW w:w="140" w:type="dxa"/>
            <w:vAlign w:val="bottom"/>
          </w:tcPr>
          <w:p>
            <w:pPr>
              <w:spacing w:after="0"/>
              <w:rPr>
                <w:sz w:val="11"/>
                <w:szCs w:val="11"/>
                <w:color w:val="auto"/>
              </w:rPr>
            </w:pP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24,468</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34,763</w:t>
            </w:r>
          </w:p>
        </w:tc>
      </w:tr>
      <w:tr>
        <w:trPr>
          <w:trHeight w:val="135"/>
        </w:trPr>
        <w:tc>
          <w:tcPr>
            <w:tcW w:w="4700" w:type="dxa"/>
            <w:vAlign w:val="bottom"/>
          </w:tcPr>
          <w:p>
            <w:pPr>
              <w:ind w:left="620"/>
              <w:spacing w:after="0"/>
              <w:rPr>
                <w:sz w:val="20"/>
                <w:szCs w:val="20"/>
                <w:color w:val="auto"/>
              </w:rPr>
            </w:pPr>
            <w:r>
              <w:rPr>
                <w:rFonts w:ascii="Courier New" w:cs="Courier New" w:eastAsia="Courier New" w:hAnsi="Courier New"/>
                <w:sz w:val="12"/>
                <w:szCs w:val="12"/>
                <w:color w:val="auto"/>
              </w:rPr>
              <w:t>OTHER CURRENT ASSETS</w:t>
            </w:r>
          </w:p>
        </w:tc>
        <w:tc>
          <w:tcPr>
            <w:tcW w:w="200" w:type="dxa"/>
            <w:vAlign w:val="bottom"/>
          </w:tcPr>
          <w:p>
            <w:pPr>
              <w:spacing w:after="0"/>
              <w:rPr>
                <w:sz w:val="11"/>
                <w:szCs w:val="11"/>
                <w:color w:val="auto"/>
              </w:rPr>
            </w:pPr>
          </w:p>
        </w:tc>
        <w:tc>
          <w:tcPr>
            <w:tcW w:w="7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1,676</w:t>
            </w:r>
          </w:p>
        </w:tc>
        <w:tc>
          <w:tcPr>
            <w:tcW w:w="140" w:type="dxa"/>
            <w:vAlign w:val="bottom"/>
          </w:tcPr>
          <w:p>
            <w:pPr>
              <w:spacing w:after="0"/>
              <w:rPr>
                <w:sz w:val="11"/>
                <w:szCs w:val="11"/>
                <w:color w:val="auto"/>
              </w:rPr>
            </w:pP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1,350</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1,473</w:t>
            </w:r>
          </w:p>
        </w:tc>
      </w:tr>
      <w:tr>
        <w:trPr>
          <w:trHeight w:val="135"/>
        </w:trPr>
        <w:tc>
          <w:tcPr>
            <w:tcW w:w="4700" w:type="dxa"/>
            <w:vAlign w:val="bottom"/>
          </w:tcPr>
          <w:p>
            <w:pPr>
              <w:spacing w:after="0"/>
              <w:rPr>
                <w:sz w:val="11"/>
                <w:szCs w:val="11"/>
                <w:color w:val="auto"/>
              </w:rPr>
            </w:pPr>
          </w:p>
        </w:tc>
        <w:tc>
          <w:tcPr>
            <w:tcW w:w="98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135"/>
        </w:trPr>
        <w:tc>
          <w:tcPr>
            <w:tcW w:w="4700" w:type="dxa"/>
            <w:vAlign w:val="bottom"/>
          </w:tcPr>
          <w:p>
            <w:pPr>
              <w:ind w:left="1180"/>
              <w:spacing w:after="0"/>
              <w:rPr>
                <w:sz w:val="20"/>
                <w:szCs w:val="20"/>
                <w:color w:val="auto"/>
              </w:rPr>
            </w:pPr>
            <w:r>
              <w:rPr>
                <w:rFonts w:ascii="Courier New" w:cs="Courier New" w:eastAsia="Courier New" w:hAnsi="Courier New"/>
                <w:sz w:val="12"/>
                <w:szCs w:val="12"/>
                <w:color w:val="auto"/>
              </w:rPr>
              <w:t>TOTAL CURRENT ASSETS</w:t>
            </w:r>
          </w:p>
        </w:tc>
        <w:tc>
          <w:tcPr>
            <w:tcW w:w="200" w:type="dxa"/>
            <w:vAlign w:val="bottom"/>
          </w:tcPr>
          <w:p>
            <w:pPr>
              <w:spacing w:after="0"/>
              <w:rPr>
                <w:sz w:val="11"/>
                <w:szCs w:val="11"/>
                <w:color w:val="auto"/>
              </w:rPr>
            </w:pPr>
          </w:p>
        </w:tc>
        <w:tc>
          <w:tcPr>
            <w:tcW w:w="7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124,814</w:t>
            </w:r>
          </w:p>
        </w:tc>
        <w:tc>
          <w:tcPr>
            <w:tcW w:w="140" w:type="dxa"/>
            <w:vAlign w:val="bottom"/>
          </w:tcPr>
          <w:p>
            <w:pPr>
              <w:spacing w:after="0"/>
              <w:rPr>
                <w:sz w:val="11"/>
                <w:szCs w:val="11"/>
                <w:color w:val="auto"/>
              </w:rPr>
            </w:pP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86,333</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114,099</w:t>
            </w:r>
          </w:p>
        </w:tc>
      </w:tr>
      <w:tr>
        <w:trPr>
          <w:trHeight w:val="135"/>
        </w:trPr>
        <w:tc>
          <w:tcPr>
            <w:tcW w:w="4700" w:type="dxa"/>
            <w:vAlign w:val="bottom"/>
          </w:tcPr>
          <w:p>
            <w:pPr>
              <w:spacing w:after="0"/>
              <w:rPr>
                <w:sz w:val="11"/>
                <w:szCs w:val="11"/>
                <w:color w:val="auto"/>
              </w:rPr>
            </w:pPr>
          </w:p>
        </w:tc>
        <w:tc>
          <w:tcPr>
            <w:tcW w:w="98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270"/>
        </w:trPr>
        <w:tc>
          <w:tcPr>
            <w:tcW w:w="4700" w:type="dxa"/>
            <w:vAlign w:val="bottom"/>
          </w:tcPr>
          <w:p>
            <w:pPr>
              <w:ind w:left="340"/>
              <w:spacing w:after="0"/>
              <w:rPr>
                <w:sz w:val="20"/>
                <w:szCs w:val="20"/>
                <w:color w:val="auto"/>
              </w:rPr>
            </w:pPr>
            <w:r>
              <w:rPr>
                <w:rFonts w:ascii="Courier New" w:cs="Courier New" w:eastAsia="Courier New" w:hAnsi="Courier New"/>
                <w:sz w:val="12"/>
                <w:szCs w:val="12"/>
                <w:color w:val="auto"/>
              </w:rPr>
              <w:t>PROPERTY AND EQUIPMENT, NET</w:t>
            </w:r>
          </w:p>
        </w:tc>
        <w:tc>
          <w:tcPr>
            <w:tcW w:w="200" w:type="dxa"/>
            <w:vAlign w:val="bottom"/>
          </w:tcPr>
          <w:p>
            <w:pPr>
              <w:spacing w:after="0"/>
              <w:rPr>
                <w:sz w:val="23"/>
                <w:szCs w:val="23"/>
                <w:color w:val="auto"/>
              </w:rPr>
            </w:pPr>
          </w:p>
        </w:tc>
        <w:tc>
          <w:tcPr>
            <w:tcW w:w="7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519,876</w:t>
            </w:r>
          </w:p>
        </w:tc>
        <w:tc>
          <w:tcPr>
            <w:tcW w:w="140" w:type="dxa"/>
            <w:vAlign w:val="bottom"/>
          </w:tcPr>
          <w:p>
            <w:pPr>
              <w:spacing w:after="0"/>
              <w:rPr>
                <w:sz w:val="23"/>
                <w:szCs w:val="23"/>
                <w:color w:val="auto"/>
              </w:rPr>
            </w:pP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488,505</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539,292</w:t>
            </w:r>
          </w:p>
        </w:tc>
      </w:tr>
      <w:tr>
        <w:trPr>
          <w:trHeight w:val="135"/>
        </w:trPr>
        <w:tc>
          <w:tcPr>
            <w:tcW w:w="4700" w:type="dxa"/>
            <w:vAlign w:val="bottom"/>
          </w:tcPr>
          <w:p>
            <w:pPr>
              <w:spacing w:after="0"/>
              <w:rPr>
                <w:sz w:val="11"/>
                <w:szCs w:val="11"/>
                <w:color w:val="auto"/>
              </w:rPr>
            </w:pPr>
          </w:p>
        </w:tc>
        <w:tc>
          <w:tcPr>
            <w:tcW w:w="98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270"/>
        </w:trPr>
        <w:tc>
          <w:tcPr>
            <w:tcW w:w="4700" w:type="dxa"/>
            <w:vAlign w:val="bottom"/>
          </w:tcPr>
          <w:p>
            <w:pPr>
              <w:ind w:left="340"/>
              <w:spacing w:after="0"/>
              <w:rPr>
                <w:sz w:val="20"/>
                <w:szCs w:val="20"/>
                <w:color w:val="auto"/>
              </w:rPr>
            </w:pPr>
            <w:r>
              <w:rPr>
                <w:rFonts w:ascii="Courier New" w:cs="Courier New" w:eastAsia="Courier New" w:hAnsi="Courier New"/>
                <w:sz w:val="12"/>
                <w:szCs w:val="12"/>
                <w:color w:val="auto"/>
              </w:rPr>
              <w:t>INTANGIBLE ASSETS, NET</w:t>
            </w:r>
          </w:p>
        </w:tc>
        <w:tc>
          <w:tcPr>
            <w:tcW w:w="200" w:type="dxa"/>
            <w:vAlign w:val="bottom"/>
          </w:tcPr>
          <w:p>
            <w:pPr>
              <w:spacing w:after="0"/>
              <w:rPr>
                <w:sz w:val="23"/>
                <w:szCs w:val="23"/>
                <w:color w:val="auto"/>
              </w:rPr>
            </w:pPr>
          </w:p>
        </w:tc>
        <w:tc>
          <w:tcPr>
            <w:tcW w:w="7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42,590</w:t>
            </w:r>
          </w:p>
        </w:tc>
        <w:tc>
          <w:tcPr>
            <w:tcW w:w="140" w:type="dxa"/>
            <w:vAlign w:val="bottom"/>
          </w:tcPr>
          <w:p>
            <w:pPr>
              <w:spacing w:after="0"/>
              <w:rPr>
                <w:sz w:val="23"/>
                <w:szCs w:val="23"/>
                <w:color w:val="auto"/>
              </w:rPr>
            </w:pP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59,724</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44,981</w:t>
            </w:r>
          </w:p>
        </w:tc>
      </w:tr>
      <w:tr>
        <w:trPr>
          <w:trHeight w:val="135"/>
        </w:trPr>
        <w:tc>
          <w:tcPr>
            <w:tcW w:w="4700" w:type="dxa"/>
            <w:vAlign w:val="bottom"/>
          </w:tcPr>
          <w:p>
            <w:pPr>
              <w:spacing w:after="0"/>
              <w:rPr>
                <w:sz w:val="11"/>
                <w:szCs w:val="11"/>
                <w:color w:val="auto"/>
              </w:rPr>
            </w:pPr>
          </w:p>
        </w:tc>
        <w:tc>
          <w:tcPr>
            <w:tcW w:w="98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270"/>
        </w:trPr>
        <w:tc>
          <w:tcPr>
            <w:tcW w:w="4700" w:type="dxa"/>
            <w:vAlign w:val="bottom"/>
          </w:tcPr>
          <w:p>
            <w:pPr>
              <w:ind w:left="340"/>
              <w:spacing w:after="0"/>
              <w:rPr>
                <w:sz w:val="20"/>
                <w:szCs w:val="20"/>
                <w:color w:val="auto"/>
              </w:rPr>
            </w:pPr>
            <w:r>
              <w:rPr>
                <w:rFonts w:ascii="Courier New" w:cs="Courier New" w:eastAsia="Courier New" w:hAnsi="Courier New"/>
                <w:sz w:val="12"/>
                <w:szCs w:val="12"/>
                <w:color w:val="auto"/>
              </w:rPr>
              <w:t>OTHER ASSETS , NET</w:t>
            </w:r>
          </w:p>
        </w:tc>
        <w:tc>
          <w:tcPr>
            <w:tcW w:w="200" w:type="dxa"/>
            <w:vAlign w:val="bottom"/>
          </w:tcPr>
          <w:p>
            <w:pPr>
              <w:spacing w:after="0"/>
              <w:rPr>
                <w:sz w:val="23"/>
                <w:szCs w:val="23"/>
                <w:color w:val="auto"/>
              </w:rPr>
            </w:pPr>
          </w:p>
        </w:tc>
        <w:tc>
          <w:tcPr>
            <w:tcW w:w="7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1,320</w:t>
            </w:r>
          </w:p>
        </w:tc>
        <w:tc>
          <w:tcPr>
            <w:tcW w:w="140" w:type="dxa"/>
            <w:vAlign w:val="bottom"/>
          </w:tcPr>
          <w:p>
            <w:pPr>
              <w:spacing w:after="0"/>
              <w:rPr>
                <w:sz w:val="23"/>
                <w:szCs w:val="23"/>
                <w:color w:val="auto"/>
              </w:rPr>
            </w:pP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1,477</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1,346</w:t>
            </w:r>
          </w:p>
        </w:tc>
      </w:tr>
      <w:tr>
        <w:trPr>
          <w:trHeight w:val="135"/>
        </w:trPr>
        <w:tc>
          <w:tcPr>
            <w:tcW w:w="4700" w:type="dxa"/>
            <w:vAlign w:val="bottom"/>
          </w:tcPr>
          <w:p>
            <w:pPr>
              <w:spacing w:after="0"/>
              <w:rPr>
                <w:sz w:val="11"/>
                <w:szCs w:val="11"/>
                <w:color w:val="auto"/>
              </w:rPr>
            </w:pPr>
          </w:p>
        </w:tc>
        <w:tc>
          <w:tcPr>
            <w:tcW w:w="98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270"/>
        </w:trPr>
        <w:tc>
          <w:tcPr>
            <w:tcW w:w="4700" w:type="dxa"/>
            <w:vAlign w:val="bottom"/>
          </w:tcPr>
          <w:p>
            <w:pPr>
              <w:ind w:left="1180"/>
              <w:spacing w:after="0"/>
              <w:rPr>
                <w:sz w:val="20"/>
                <w:szCs w:val="20"/>
                <w:color w:val="auto"/>
              </w:rPr>
            </w:pPr>
            <w:r>
              <w:rPr>
                <w:rFonts w:ascii="Courier New" w:cs="Courier New" w:eastAsia="Courier New" w:hAnsi="Courier New"/>
                <w:sz w:val="12"/>
                <w:szCs w:val="12"/>
                <w:color w:val="auto"/>
              </w:rPr>
              <w:t>TOTAL ASSETS</w:t>
            </w:r>
          </w:p>
        </w:tc>
        <w:tc>
          <w:tcPr>
            <w:tcW w:w="98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$ 688,600</w:t>
            </w:r>
          </w:p>
        </w:tc>
        <w:tc>
          <w:tcPr>
            <w:tcW w:w="84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$ 636,039</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699,718</w:t>
            </w:r>
          </w:p>
        </w:tc>
      </w:tr>
      <w:tr>
        <w:trPr>
          <w:trHeight w:val="135"/>
        </w:trPr>
        <w:tc>
          <w:tcPr>
            <w:tcW w:w="4700" w:type="dxa"/>
            <w:vAlign w:val="bottom"/>
          </w:tcPr>
          <w:p>
            <w:pPr>
              <w:spacing w:after="0"/>
              <w:rPr>
                <w:sz w:val="11"/>
                <w:szCs w:val="11"/>
                <w:color w:val="auto"/>
              </w:rPr>
            </w:pPr>
          </w:p>
        </w:tc>
        <w:tc>
          <w:tcPr>
            <w:tcW w:w="98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2"/>
                <w:szCs w:val="12"/>
                <w:color w:val="auto"/>
              </w:rPr>
              <w:t>LIABILITIES AND SHAREHOLDERS' EQUITY</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4700" w:type="dxa"/>
            <w:vAlign w:val="bottom"/>
          </w:tcPr>
          <w:p>
            <w:pPr>
              <w:ind w:left="340"/>
              <w:spacing w:after="0"/>
              <w:rPr>
                <w:sz w:val="20"/>
                <w:szCs w:val="20"/>
                <w:color w:val="auto"/>
              </w:rPr>
            </w:pPr>
            <w:r>
              <w:rPr>
                <w:rFonts w:ascii="Courier New" w:cs="Courier New" w:eastAsia="Courier New" w:hAnsi="Courier New"/>
                <w:sz w:val="12"/>
                <w:szCs w:val="12"/>
                <w:color w:val="auto"/>
              </w:rPr>
              <w:t>CURRENT LIABILITIES</w:t>
            </w: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135"/>
        </w:trPr>
        <w:tc>
          <w:tcPr>
            <w:tcW w:w="4700" w:type="dxa"/>
            <w:vAlign w:val="bottom"/>
          </w:tcPr>
          <w:p>
            <w:pPr>
              <w:ind w:left="620"/>
              <w:spacing w:after="0"/>
              <w:rPr>
                <w:sz w:val="20"/>
                <w:szCs w:val="20"/>
                <w:color w:val="auto"/>
              </w:rPr>
            </w:pPr>
            <w:r>
              <w:rPr>
                <w:rFonts w:ascii="Courier New" w:cs="Courier New" w:eastAsia="Courier New" w:hAnsi="Courier New"/>
                <w:sz w:val="12"/>
                <w:szCs w:val="12"/>
                <w:color w:val="auto"/>
              </w:rPr>
              <w:t>CURRENT MATURITIES OF CONVERTIBLE DEBENTURES</w:t>
            </w:r>
          </w:p>
        </w:tc>
        <w:tc>
          <w:tcPr>
            <w:tcW w:w="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6,597</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5,734</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   6,632</w:t>
            </w:r>
          </w:p>
        </w:tc>
      </w:tr>
      <w:tr>
        <w:trPr>
          <w:trHeight w:val="135"/>
        </w:trPr>
        <w:tc>
          <w:tcPr>
            <w:tcW w:w="4700" w:type="dxa"/>
            <w:vAlign w:val="bottom"/>
          </w:tcPr>
          <w:p>
            <w:pPr>
              <w:ind w:left="620"/>
              <w:spacing w:after="0"/>
              <w:rPr>
                <w:sz w:val="20"/>
                <w:szCs w:val="20"/>
                <w:color w:val="auto"/>
              </w:rPr>
            </w:pPr>
            <w:r>
              <w:rPr>
                <w:rFonts w:ascii="Courier New" w:cs="Courier New" w:eastAsia="Courier New" w:hAnsi="Courier New"/>
                <w:sz w:val="12"/>
                <w:szCs w:val="12"/>
                <w:color w:val="auto"/>
              </w:rPr>
              <w:t>TRADE ACCOUNTS PAYABLE</w:t>
            </w:r>
          </w:p>
        </w:tc>
        <w:tc>
          <w:tcPr>
            <w:tcW w:w="200" w:type="dxa"/>
            <w:vAlign w:val="bottom"/>
          </w:tcPr>
          <w:p>
            <w:pPr>
              <w:spacing w:after="0"/>
              <w:rPr>
                <w:sz w:val="11"/>
                <w:szCs w:val="11"/>
                <w:color w:val="auto"/>
              </w:rPr>
            </w:pPr>
          </w:p>
        </w:tc>
        <w:tc>
          <w:tcPr>
            <w:tcW w:w="7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57,922</w:t>
            </w:r>
          </w:p>
        </w:tc>
        <w:tc>
          <w:tcPr>
            <w:tcW w:w="140" w:type="dxa"/>
            <w:vAlign w:val="bottom"/>
          </w:tcPr>
          <w:p>
            <w:pPr>
              <w:spacing w:after="0"/>
              <w:rPr>
                <w:sz w:val="11"/>
                <w:szCs w:val="11"/>
                <w:color w:val="auto"/>
              </w:rPr>
            </w:pP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52,028</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55,128</w:t>
            </w:r>
          </w:p>
        </w:tc>
      </w:tr>
      <w:tr>
        <w:trPr>
          <w:trHeight w:val="135"/>
        </w:trPr>
        <w:tc>
          <w:tcPr>
            <w:tcW w:w="4700" w:type="dxa"/>
            <w:vAlign w:val="bottom"/>
          </w:tcPr>
          <w:p>
            <w:pPr>
              <w:ind w:left="620"/>
              <w:spacing w:after="0"/>
              <w:rPr>
                <w:sz w:val="20"/>
                <w:szCs w:val="20"/>
                <w:color w:val="auto"/>
              </w:rPr>
            </w:pPr>
            <w:r>
              <w:rPr>
                <w:rFonts w:ascii="Courier New" w:cs="Courier New" w:eastAsia="Courier New" w:hAnsi="Courier New"/>
                <w:sz w:val="12"/>
                <w:szCs w:val="12"/>
                <w:color w:val="auto"/>
              </w:rPr>
              <w:t>OTHER CURRENT LIABILITIES</w:t>
            </w:r>
          </w:p>
        </w:tc>
        <w:tc>
          <w:tcPr>
            <w:tcW w:w="200" w:type="dxa"/>
            <w:vAlign w:val="bottom"/>
          </w:tcPr>
          <w:p>
            <w:pPr>
              <w:spacing w:after="0"/>
              <w:rPr>
                <w:sz w:val="11"/>
                <w:szCs w:val="11"/>
                <w:color w:val="auto"/>
              </w:rPr>
            </w:pPr>
          </w:p>
        </w:tc>
        <w:tc>
          <w:tcPr>
            <w:tcW w:w="7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20,188</w:t>
            </w:r>
          </w:p>
        </w:tc>
        <w:tc>
          <w:tcPr>
            <w:tcW w:w="140" w:type="dxa"/>
            <w:vAlign w:val="bottom"/>
          </w:tcPr>
          <w:p>
            <w:pPr>
              <w:spacing w:after="0"/>
              <w:rPr>
                <w:sz w:val="11"/>
                <w:szCs w:val="11"/>
                <w:color w:val="auto"/>
              </w:rPr>
            </w:pP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8,913</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22,096</w:t>
            </w:r>
          </w:p>
        </w:tc>
      </w:tr>
      <w:tr>
        <w:trPr>
          <w:trHeight w:val="135"/>
        </w:trPr>
        <w:tc>
          <w:tcPr>
            <w:tcW w:w="4700" w:type="dxa"/>
            <w:vAlign w:val="bottom"/>
          </w:tcPr>
          <w:p>
            <w:pPr>
              <w:spacing w:after="0"/>
              <w:rPr>
                <w:sz w:val="11"/>
                <w:szCs w:val="11"/>
                <w:color w:val="auto"/>
              </w:rPr>
            </w:pPr>
          </w:p>
        </w:tc>
        <w:tc>
          <w:tcPr>
            <w:tcW w:w="98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135"/>
        </w:trPr>
        <w:tc>
          <w:tcPr>
            <w:tcW w:w="4700" w:type="dxa"/>
            <w:vAlign w:val="bottom"/>
          </w:tcPr>
          <w:p>
            <w:pPr>
              <w:ind w:left="1180"/>
              <w:spacing w:after="0"/>
              <w:rPr>
                <w:sz w:val="20"/>
                <w:szCs w:val="20"/>
                <w:color w:val="auto"/>
              </w:rPr>
            </w:pPr>
            <w:r>
              <w:rPr>
                <w:rFonts w:ascii="Courier New" w:cs="Courier New" w:eastAsia="Courier New" w:hAnsi="Courier New"/>
                <w:sz w:val="12"/>
                <w:szCs w:val="12"/>
                <w:color w:val="auto"/>
              </w:rPr>
              <w:t>TOTAL CURRENT LIABILITIES</w:t>
            </w:r>
          </w:p>
        </w:tc>
        <w:tc>
          <w:tcPr>
            <w:tcW w:w="200" w:type="dxa"/>
            <w:vAlign w:val="bottom"/>
          </w:tcPr>
          <w:p>
            <w:pPr>
              <w:spacing w:after="0"/>
              <w:rPr>
                <w:sz w:val="11"/>
                <w:szCs w:val="11"/>
                <w:color w:val="auto"/>
              </w:rPr>
            </w:pPr>
          </w:p>
        </w:tc>
        <w:tc>
          <w:tcPr>
            <w:tcW w:w="7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84,707</w:t>
            </w:r>
          </w:p>
        </w:tc>
        <w:tc>
          <w:tcPr>
            <w:tcW w:w="140" w:type="dxa"/>
            <w:vAlign w:val="bottom"/>
          </w:tcPr>
          <w:p>
            <w:pPr>
              <w:spacing w:after="0"/>
              <w:rPr>
                <w:sz w:val="11"/>
                <w:szCs w:val="11"/>
                <w:color w:val="auto"/>
              </w:rPr>
            </w:pP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66,675</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83,856</w:t>
            </w:r>
          </w:p>
        </w:tc>
      </w:tr>
      <w:tr>
        <w:trPr>
          <w:trHeight w:val="270"/>
        </w:trPr>
        <w:tc>
          <w:tcPr>
            <w:tcW w:w="4700" w:type="dxa"/>
            <w:vAlign w:val="bottom"/>
          </w:tcPr>
          <w:p>
            <w:pPr>
              <w:ind w:left="340"/>
              <w:spacing w:after="0"/>
              <w:rPr>
                <w:sz w:val="20"/>
                <w:szCs w:val="20"/>
                <w:color w:val="auto"/>
              </w:rPr>
            </w:pPr>
            <w:r>
              <w:rPr>
                <w:rFonts w:ascii="Courier New" w:cs="Courier New" w:eastAsia="Courier New" w:hAnsi="Courier New"/>
                <w:sz w:val="12"/>
                <w:szCs w:val="12"/>
                <w:color w:val="auto"/>
              </w:rPr>
              <w:t>LONG-TERM DEBT FROM BANKS</w:t>
            </w:r>
          </w:p>
        </w:tc>
        <w:tc>
          <w:tcPr>
            <w:tcW w:w="200" w:type="dxa"/>
            <w:vAlign w:val="bottom"/>
          </w:tcPr>
          <w:p>
            <w:pPr>
              <w:spacing w:after="0"/>
              <w:rPr>
                <w:sz w:val="23"/>
                <w:szCs w:val="23"/>
                <w:color w:val="auto"/>
              </w:rPr>
            </w:pPr>
          </w:p>
        </w:tc>
        <w:tc>
          <w:tcPr>
            <w:tcW w:w="7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358,798</w:t>
            </w:r>
          </w:p>
        </w:tc>
        <w:tc>
          <w:tcPr>
            <w:tcW w:w="140" w:type="dxa"/>
            <w:vAlign w:val="bottom"/>
          </w:tcPr>
          <w:p>
            <w:pPr>
              <w:spacing w:after="0"/>
              <w:rPr>
                <w:sz w:val="23"/>
                <w:szCs w:val="23"/>
                <w:color w:val="auto"/>
              </w:rPr>
            </w:pP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514,966</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356,947</w:t>
            </w:r>
          </w:p>
        </w:tc>
      </w:tr>
      <w:tr>
        <w:trPr>
          <w:trHeight w:val="270"/>
        </w:trPr>
        <w:tc>
          <w:tcPr>
            <w:tcW w:w="4700" w:type="dxa"/>
            <w:vAlign w:val="bottom"/>
          </w:tcPr>
          <w:p>
            <w:pPr>
              <w:ind w:left="340"/>
              <w:spacing w:after="0"/>
              <w:rPr>
                <w:sz w:val="20"/>
                <w:szCs w:val="20"/>
                <w:color w:val="auto"/>
              </w:rPr>
            </w:pPr>
            <w:r>
              <w:rPr>
                <w:rFonts w:ascii="Courier New" w:cs="Courier New" w:eastAsia="Courier New" w:hAnsi="Courier New"/>
                <w:sz w:val="12"/>
                <w:szCs w:val="12"/>
                <w:color w:val="auto"/>
              </w:rPr>
              <w:t>CONVERTIBLE DEBENTURES</w:t>
            </w:r>
          </w:p>
        </w:tc>
        <w:tc>
          <w:tcPr>
            <w:tcW w:w="200" w:type="dxa"/>
            <w:vAlign w:val="bottom"/>
          </w:tcPr>
          <w:p>
            <w:pPr>
              <w:spacing w:after="0"/>
              <w:rPr>
                <w:sz w:val="23"/>
                <w:szCs w:val="23"/>
                <w:color w:val="auto"/>
              </w:rPr>
            </w:pPr>
          </w:p>
        </w:tc>
        <w:tc>
          <w:tcPr>
            <w:tcW w:w="7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57,853</w:t>
            </w:r>
          </w:p>
        </w:tc>
        <w:tc>
          <w:tcPr>
            <w:tcW w:w="140" w:type="dxa"/>
            <w:vAlign w:val="bottom"/>
          </w:tcPr>
          <w:p>
            <w:pPr>
              <w:spacing w:after="0"/>
              <w:rPr>
                <w:sz w:val="23"/>
                <w:szCs w:val="23"/>
                <w:color w:val="auto"/>
              </w:rPr>
            </w:pP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34,429</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62,175</w:t>
            </w:r>
          </w:p>
        </w:tc>
      </w:tr>
      <w:tr>
        <w:trPr>
          <w:trHeight w:val="270"/>
        </w:trPr>
        <w:tc>
          <w:tcPr>
            <w:tcW w:w="4700" w:type="dxa"/>
            <w:vAlign w:val="bottom"/>
          </w:tcPr>
          <w:p>
            <w:pPr>
              <w:ind w:left="340"/>
              <w:spacing w:after="0"/>
              <w:rPr>
                <w:sz w:val="20"/>
                <w:szCs w:val="20"/>
                <w:color w:val="auto"/>
              </w:rPr>
            </w:pPr>
            <w:r>
              <w:rPr>
                <w:rFonts w:ascii="Courier New" w:cs="Courier New" w:eastAsia="Courier New" w:hAnsi="Courier New"/>
                <w:sz w:val="12"/>
                <w:szCs w:val="12"/>
                <w:color w:val="auto"/>
              </w:rPr>
              <w:t>LONG-TERM CUSTOMERS' ADVANCES</w:t>
            </w:r>
          </w:p>
        </w:tc>
        <w:tc>
          <w:tcPr>
            <w:tcW w:w="200" w:type="dxa"/>
            <w:vAlign w:val="bottom"/>
          </w:tcPr>
          <w:p>
            <w:pPr>
              <w:spacing w:after="0"/>
              <w:rPr>
                <w:sz w:val="23"/>
                <w:szCs w:val="23"/>
                <w:color w:val="auto"/>
              </w:rPr>
            </w:pPr>
          </w:p>
        </w:tc>
        <w:tc>
          <w:tcPr>
            <w:tcW w:w="7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44,050</w:t>
            </w:r>
          </w:p>
        </w:tc>
        <w:tc>
          <w:tcPr>
            <w:tcW w:w="140" w:type="dxa"/>
            <w:vAlign w:val="bottom"/>
          </w:tcPr>
          <w:p>
            <w:pPr>
              <w:spacing w:after="0"/>
              <w:rPr>
                <w:sz w:val="23"/>
                <w:szCs w:val="23"/>
                <w:color w:val="auto"/>
              </w:rPr>
            </w:pP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54,537</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46,042</w:t>
            </w:r>
          </w:p>
        </w:tc>
      </w:tr>
      <w:tr>
        <w:trPr>
          <w:trHeight w:val="270"/>
        </w:trPr>
        <w:tc>
          <w:tcPr>
            <w:tcW w:w="4700" w:type="dxa"/>
            <w:vAlign w:val="bottom"/>
          </w:tcPr>
          <w:p>
            <w:pPr>
              <w:ind w:left="340"/>
              <w:spacing w:after="0"/>
              <w:rPr>
                <w:sz w:val="20"/>
                <w:szCs w:val="20"/>
                <w:color w:val="auto"/>
              </w:rPr>
            </w:pPr>
            <w:r>
              <w:rPr>
                <w:rFonts w:ascii="Courier New" w:cs="Courier New" w:eastAsia="Courier New" w:hAnsi="Courier New"/>
                <w:sz w:val="12"/>
                <w:szCs w:val="12"/>
                <w:color w:val="auto"/>
              </w:rPr>
              <w:t>OTHER LONG-TERM LIABILITIES</w:t>
            </w:r>
          </w:p>
        </w:tc>
        <w:tc>
          <w:tcPr>
            <w:tcW w:w="200" w:type="dxa"/>
            <w:vAlign w:val="bottom"/>
          </w:tcPr>
          <w:p>
            <w:pPr>
              <w:spacing w:after="0"/>
              <w:rPr>
                <w:sz w:val="23"/>
                <w:szCs w:val="23"/>
                <w:color w:val="auto"/>
              </w:rPr>
            </w:pPr>
          </w:p>
        </w:tc>
        <w:tc>
          <w:tcPr>
            <w:tcW w:w="7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21,353</w:t>
            </w:r>
          </w:p>
        </w:tc>
        <w:tc>
          <w:tcPr>
            <w:tcW w:w="140" w:type="dxa"/>
            <w:vAlign w:val="bottom"/>
          </w:tcPr>
          <w:p>
            <w:pPr>
              <w:spacing w:after="0"/>
              <w:rPr>
                <w:sz w:val="23"/>
                <w:szCs w:val="23"/>
                <w:color w:val="auto"/>
              </w:rPr>
            </w:pP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10,238</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17,708</w:t>
            </w:r>
          </w:p>
        </w:tc>
      </w:tr>
      <w:tr>
        <w:trPr>
          <w:trHeight w:val="135"/>
        </w:trPr>
        <w:tc>
          <w:tcPr>
            <w:tcW w:w="4700" w:type="dxa"/>
            <w:vAlign w:val="bottom"/>
          </w:tcPr>
          <w:p>
            <w:pPr>
              <w:spacing w:after="0"/>
              <w:rPr>
                <w:sz w:val="11"/>
                <w:szCs w:val="11"/>
                <w:color w:val="auto"/>
              </w:rPr>
            </w:pPr>
          </w:p>
        </w:tc>
        <w:tc>
          <w:tcPr>
            <w:tcW w:w="98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270"/>
        </w:trPr>
        <w:tc>
          <w:tcPr>
            <w:tcW w:w="4700" w:type="dxa"/>
            <w:vAlign w:val="bottom"/>
          </w:tcPr>
          <w:p>
            <w:pPr>
              <w:ind w:left="1180"/>
              <w:spacing w:after="0"/>
              <w:rPr>
                <w:sz w:val="20"/>
                <w:szCs w:val="20"/>
                <w:color w:val="auto"/>
              </w:rPr>
            </w:pPr>
            <w:r>
              <w:rPr>
                <w:rFonts w:ascii="Courier New" w:cs="Courier New" w:eastAsia="Courier New" w:hAnsi="Courier New"/>
                <w:sz w:val="12"/>
                <w:szCs w:val="12"/>
                <w:color w:val="auto"/>
              </w:rPr>
              <w:t>TOTAL LIABILITIES</w:t>
            </w:r>
          </w:p>
        </w:tc>
        <w:tc>
          <w:tcPr>
            <w:tcW w:w="200" w:type="dxa"/>
            <w:vAlign w:val="bottom"/>
          </w:tcPr>
          <w:p>
            <w:pPr>
              <w:spacing w:after="0"/>
              <w:rPr>
                <w:sz w:val="23"/>
                <w:szCs w:val="23"/>
                <w:color w:val="auto"/>
              </w:rPr>
            </w:pPr>
          </w:p>
        </w:tc>
        <w:tc>
          <w:tcPr>
            <w:tcW w:w="7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566,761</w:t>
            </w:r>
          </w:p>
        </w:tc>
        <w:tc>
          <w:tcPr>
            <w:tcW w:w="140" w:type="dxa"/>
            <w:vAlign w:val="bottom"/>
          </w:tcPr>
          <w:p>
            <w:pPr>
              <w:spacing w:after="0"/>
              <w:rPr>
                <w:sz w:val="23"/>
                <w:szCs w:val="23"/>
                <w:color w:val="auto"/>
              </w:rPr>
            </w:pP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680,845</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566,728</w:t>
            </w:r>
          </w:p>
        </w:tc>
      </w:tr>
      <w:tr>
        <w:trPr>
          <w:trHeight w:val="135"/>
        </w:trPr>
        <w:tc>
          <w:tcPr>
            <w:tcW w:w="4700" w:type="dxa"/>
            <w:vAlign w:val="bottom"/>
          </w:tcPr>
          <w:p>
            <w:pPr>
              <w:spacing w:after="0"/>
              <w:rPr>
                <w:sz w:val="11"/>
                <w:szCs w:val="11"/>
                <w:color w:val="auto"/>
              </w:rPr>
            </w:pPr>
          </w:p>
        </w:tc>
        <w:tc>
          <w:tcPr>
            <w:tcW w:w="98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270"/>
        </w:trPr>
        <w:tc>
          <w:tcPr>
            <w:tcW w:w="4700" w:type="dxa"/>
            <w:vAlign w:val="bottom"/>
          </w:tcPr>
          <w:p>
            <w:pPr>
              <w:ind w:left="340"/>
              <w:spacing w:after="0"/>
              <w:rPr>
                <w:sz w:val="20"/>
                <w:szCs w:val="20"/>
                <w:color w:val="auto"/>
              </w:rPr>
            </w:pPr>
            <w:r>
              <w:rPr>
                <w:rFonts w:ascii="Courier New" w:cs="Courier New" w:eastAsia="Courier New" w:hAnsi="Courier New"/>
                <w:sz w:val="12"/>
                <w:szCs w:val="12"/>
                <w:color w:val="auto"/>
              </w:rPr>
              <w:t>SHAREHOLDERS' EQUITY (DEFICIT)</w:t>
            </w: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135"/>
        </w:trPr>
        <w:tc>
          <w:tcPr>
            <w:tcW w:w="4700" w:type="dxa"/>
            <w:vAlign w:val="bottom"/>
          </w:tcPr>
          <w:p>
            <w:pPr>
              <w:ind w:left="620"/>
              <w:spacing w:after="0"/>
              <w:rPr>
                <w:sz w:val="20"/>
                <w:szCs w:val="20"/>
                <w:color w:val="auto"/>
              </w:rPr>
            </w:pPr>
            <w:r>
              <w:rPr>
                <w:rFonts w:ascii="Courier New" w:cs="Courier New" w:eastAsia="Courier New" w:hAnsi="Courier New"/>
                <w:sz w:val="12"/>
                <w:szCs w:val="12"/>
                <w:color w:val="auto"/>
              </w:rPr>
              <w:t>ORDINARY SHARES, NIS 1.00 PAR VALUE - AUTHORIZED</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4700" w:type="dxa"/>
            <w:vAlign w:val="bottom"/>
          </w:tcPr>
          <w:p>
            <w:pPr>
              <w:ind w:left="900"/>
              <w:spacing w:after="0"/>
              <w:rPr>
                <w:sz w:val="20"/>
                <w:szCs w:val="20"/>
                <w:color w:val="auto"/>
              </w:rPr>
            </w:pPr>
            <w:r>
              <w:rPr>
                <w:rFonts w:ascii="Courier New" w:cs="Courier New" w:eastAsia="Courier New" w:hAnsi="Courier New"/>
                <w:sz w:val="12"/>
                <w:szCs w:val="12"/>
                <w:color w:val="auto"/>
              </w:rPr>
              <w:t>800,000,000, 500,000,000 AND 800,000,000 SHARES,</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4700" w:type="dxa"/>
            <w:vAlign w:val="bottom"/>
          </w:tcPr>
          <w:p>
            <w:pPr>
              <w:ind w:left="900"/>
              <w:spacing w:after="0"/>
              <w:rPr>
                <w:sz w:val="20"/>
                <w:szCs w:val="20"/>
                <w:color w:val="auto"/>
              </w:rPr>
            </w:pPr>
            <w:r>
              <w:rPr>
                <w:rFonts w:ascii="Courier New" w:cs="Courier New" w:eastAsia="Courier New" w:hAnsi="Courier New"/>
                <w:sz w:val="12"/>
                <w:szCs w:val="12"/>
                <w:color w:val="auto"/>
              </w:rPr>
              <w:t>RESPECTIVELY; ISSUED 122,182,946, 76,946,189</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4700" w:type="dxa"/>
            <w:vAlign w:val="bottom"/>
          </w:tcPr>
          <w:p>
            <w:pPr>
              <w:ind w:left="900"/>
              <w:spacing w:after="0"/>
              <w:rPr>
                <w:sz w:val="20"/>
                <w:szCs w:val="20"/>
                <w:color w:val="auto"/>
              </w:rPr>
            </w:pPr>
            <w:r>
              <w:rPr>
                <w:rFonts w:ascii="Courier New" w:cs="Courier New" w:eastAsia="Courier New" w:hAnsi="Courier New"/>
                <w:sz w:val="12"/>
                <w:szCs w:val="12"/>
                <w:color w:val="auto"/>
              </w:rPr>
              <w:t>AND 102,052,767 SHARES, RESPECTIVELY</w:t>
            </w:r>
          </w:p>
        </w:tc>
        <w:tc>
          <w:tcPr>
            <w:tcW w:w="200" w:type="dxa"/>
            <w:vAlign w:val="bottom"/>
          </w:tcPr>
          <w:p>
            <w:pPr>
              <w:spacing w:after="0"/>
              <w:rPr>
                <w:sz w:val="11"/>
                <w:szCs w:val="11"/>
                <w:color w:val="auto"/>
              </w:rPr>
            </w:pPr>
          </w:p>
        </w:tc>
        <w:tc>
          <w:tcPr>
            <w:tcW w:w="7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28,965</w:t>
            </w:r>
          </w:p>
        </w:tc>
        <w:tc>
          <w:tcPr>
            <w:tcW w:w="140" w:type="dxa"/>
            <w:vAlign w:val="bottom"/>
          </w:tcPr>
          <w:p>
            <w:pPr>
              <w:spacing w:after="0"/>
              <w:rPr>
                <w:sz w:val="11"/>
                <w:szCs w:val="11"/>
                <w:color w:val="auto"/>
              </w:rPr>
            </w:pP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18,403</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24,187</w:t>
            </w:r>
          </w:p>
        </w:tc>
      </w:tr>
      <w:tr>
        <w:trPr>
          <w:trHeight w:val="135"/>
        </w:trPr>
        <w:tc>
          <w:tcPr>
            <w:tcW w:w="4700" w:type="dxa"/>
            <w:vAlign w:val="bottom"/>
          </w:tcPr>
          <w:p>
            <w:pPr>
              <w:ind w:left="620"/>
              <w:spacing w:after="0"/>
              <w:rPr>
                <w:sz w:val="20"/>
                <w:szCs w:val="20"/>
                <w:color w:val="auto"/>
              </w:rPr>
            </w:pPr>
            <w:r>
              <w:rPr>
                <w:rFonts w:ascii="Courier New" w:cs="Courier New" w:eastAsia="Courier New" w:hAnsi="Courier New"/>
                <w:sz w:val="12"/>
                <w:szCs w:val="12"/>
                <w:color w:val="auto"/>
              </w:rPr>
              <w:t>ADDITIONAL PAID-IN CAPITAL</w:t>
            </w:r>
          </w:p>
        </w:tc>
        <w:tc>
          <w:tcPr>
            <w:tcW w:w="200" w:type="dxa"/>
            <w:vAlign w:val="bottom"/>
          </w:tcPr>
          <w:p>
            <w:pPr>
              <w:spacing w:after="0"/>
              <w:rPr>
                <w:sz w:val="11"/>
                <w:szCs w:val="11"/>
                <w:color w:val="auto"/>
              </w:rPr>
            </w:pPr>
          </w:p>
        </w:tc>
        <w:tc>
          <w:tcPr>
            <w:tcW w:w="7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584,400</w:t>
            </w:r>
          </w:p>
        </w:tc>
        <w:tc>
          <w:tcPr>
            <w:tcW w:w="140" w:type="dxa"/>
            <w:vAlign w:val="bottom"/>
          </w:tcPr>
          <w:p>
            <w:pPr>
              <w:spacing w:after="0"/>
              <w:rPr>
                <w:sz w:val="11"/>
                <w:szCs w:val="11"/>
                <w:color w:val="auto"/>
              </w:rPr>
            </w:pP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531,123</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564,580</w:t>
            </w:r>
          </w:p>
        </w:tc>
      </w:tr>
      <w:tr>
        <w:trPr>
          <w:trHeight w:val="135"/>
        </w:trPr>
        <w:tc>
          <w:tcPr>
            <w:tcW w:w="4700" w:type="dxa"/>
            <w:vAlign w:val="bottom"/>
          </w:tcPr>
          <w:p>
            <w:pPr>
              <w:ind w:left="620"/>
              <w:spacing w:after="0"/>
              <w:rPr>
                <w:sz w:val="20"/>
                <w:szCs w:val="20"/>
                <w:color w:val="auto"/>
              </w:rPr>
            </w:pPr>
            <w:r>
              <w:rPr>
                <w:rFonts w:ascii="Courier New" w:cs="Courier New" w:eastAsia="Courier New" w:hAnsi="Courier New"/>
                <w:sz w:val="12"/>
                <w:szCs w:val="12"/>
                <w:color w:val="auto"/>
              </w:rPr>
              <w:t>CAPITAL NOTES</w:t>
            </w:r>
          </w:p>
        </w:tc>
        <w:tc>
          <w:tcPr>
            <w:tcW w:w="200" w:type="dxa"/>
            <w:vAlign w:val="bottom"/>
          </w:tcPr>
          <w:p>
            <w:pPr>
              <w:spacing w:after="0"/>
              <w:rPr>
                <w:sz w:val="11"/>
                <w:szCs w:val="11"/>
                <w:color w:val="auto"/>
              </w:rPr>
            </w:pPr>
          </w:p>
        </w:tc>
        <w:tc>
          <w:tcPr>
            <w:tcW w:w="7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176,401</w:t>
            </w:r>
          </w:p>
        </w:tc>
        <w:tc>
          <w:tcPr>
            <w:tcW w:w="140" w:type="dxa"/>
            <w:vAlign w:val="bottom"/>
          </w:tcPr>
          <w:p>
            <w:pPr>
              <w:spacing w:after="0"/>
              <w:rPr>
                <w:sz w:val="11"/>
                <w:szCs w:val="11"/>
                <w:color w:val="auto"/>
              </w:rPr>
            </w:pP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176,401</w:t>
            </w:r>
          </w:p>
        </w:tc>
      </w:tr>
      <w:tr>
        <w:trPr>
          <w:trHeight w:val="135"/>
        </w:trPr>
        <w:tc>
          <w:tcPr>
            <w:tcW w:w="4700" w:type="dxa"/>
            <w:vAlign w:val="bottom"/>
          </w:tcPr>
          <w:p>
            <w:pPr>
              <w:ind w:left="620"/>
              <w:spacing w:after="0"/>
              <w:rPr>
                <w:sz w:val="20"/>
                <w:szCs w:val="20"/>
                <w:color w:val="auto"/>
              </w:rPr>
            </w:pPr>
            <w:r>
              <w:rPr>
                <w:rFonts w:ascii="Courier New" w:cs="Courier New" w:eastAsia="Courier New" w:hAnsi="Courier New"/>
                <w:sz w:val="12"/>
                <w:szCs w:val="12"/>
                <w:color w:val="auto"/>
                <w:w w:val="98"/>
              </w:rPr>
              <w:t>EQUITY COMPONENT OF CONVERTIBLE DEBENTURES AND CUMULATIVE</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4700" w:type="dxa"/>
            <w:vAlign w:val="bottom"/>
          </w:tcPr>
          <w:p>
            <w:pPr>
              <w:ind w:left="900"/>
              <w:spacing w:after="0"/>
              <w:rPr>
                <w:sz w:val="20"/>
                <w:szCs w:val="20"/>
                <w:color w:val="auto"/>
              </w:rPr>
            </w:pPr>
            <w:r>
              <w:rPr>
                <w:rFonts w:ascii="Courier New" w:cs="Courier New" w:eastAsia="Courier New" w:hAnsi="Courier New"/>
                <w:sz w:val="12"/>
                <w:szCs w:val="12"/>
                <w:color w:val="auto"/>
              </w:rPr>
              <w:t>STOCK BASED COMPENSATION</w:t>
            </w:r>
          </w:p>
        </w:tc>
        <w:tc>
          <w:tcPr>
            <w:tcW w:w="200" w:type="dxa"/>
            <w:vAlign w:val="bottom"/>
          </w:tcPr>
          <w:p>
            <w:pPr>
              <w:spacing w:after="0"/>
              <w:rPr>
                <w:sz w:val="11"/>
                <w:szCs w:val="11"/>
                <w:color w:val="auto"/>
              </w:rPr>
            </w:pPr>
          </w:p>
        </w:tc>
        <w:tc>
          <w:tcPr>
            <w:tcW w:w="7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25,218</w:t>
            </w:r>
          </w:p>
        </w:tc>
        <w:tc>
          <w:tcPr>
            <w:tcW w:w="140" w:type="dxa"/>
            <w:vAlign w:val="bottom"/>
          </w:tcPr>
          <w:p>
            <w:pPr>
              <w:spacing w:after="0"/>
              <w:rPr>
                <w:sz w:val="11"/>
                <w:szCs w:val="11"/>
                <w:color w:val="auto"/>
              </w:rPr>
            </w:pP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19,550</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23,576</w:t>
            </w:r>
          </w:p>
        </w:tc>
      </w:tr>
      <w:tr>
        <w:trPr>
          <w:trHeight w:val="135"/>
        </w:trPr>
        <w:tc>
          <w:tcPr>
            <w:tcW w:w="4700" w:type="dxa"/>
            <w:vAlign w:val="bottom"/>
          </w:tcPr>
          <w:p>
            <w:pPr>
              <w:ind w:left="620"/>
              <w:spacing w:after="0"/>
              <w:rPr>
                <w:sz w:val="20"/>
                <w:szCs w:val="20"/>
                <w:color w:val="auto"/>
              </w:rPr>
            </w:pPr>
            <w:r>
              <w:rPr>
                <w:rFonts w:ascii="Courier New" w:cs="Courier New" w:eastAsia="Courier New" w:hAnsi="Courier New"/>
                <w:sz w:val="12"/>
                <w:szCs w:val="12"/>
                <w:color w:val="auto"/>
              </w:rPr>
              <w:t>ACCUMULATED DEFICIT</w:t>
            </w:r>
          </w:p>
        </w:tc>
        <w:tc>
          <w:tcPr>
            <w:tcW w:w="200" w:type="dxa"/>
            <w:vAlign w:val="bottom"/>
          </w:tcPr>
          <w:p>
            <w:pPr>
              <w:spacing w:after="0"/>
              <w:rPr>
                <w:sz w:val="11"/>
                <w:szCs w:val="11"/>
                <w:color w:val="auto"/>
              </w:rPr>
            </w:pPr>
          </w:p>
        </w:tc>
        <w:tc>
          <w:tcPr>
            <w:tcW w:w="780" w:type="dxa"/>
            <w:vAlign w:val="bottom"/>
          </w:tcPr>
          <w:p>
            <w:pPr>
              <w:jc w:val="right"/>
              <w:ind w:right="81"/>
              <w:spacing w:after="0"/>
              <w:rPr>
                <w:sz w:val="20"/>
                <w:szCs w:val="20"/>
                <w:color w:val="auto"/>
              </w:rPr>
            </w:pPr>
            <w:r>
              <w:rPr>
                <w:rFonts w:ascii="Courier New" w:cs="Courier New" w:eastAsia="Courier New" w:hAnsi="Courier New"/>
                <w:sz w:val="12"/>
                <w:szCs w:val="12"/>
                <w:color w:val="auto"/>
                <w:w w:val="95"/>
              </w:rPr>
              <w:t>(684,073)</w:t>
            </w:r>
          </w:p>
        </w:tc>
        <w:tc>
          <w:tcPr>
            <w:tcW w:w="140" w:type="dxa"/>
            <w:vAlign w:val="bottom"/>
          </w:tcPr>
          <w:p>
            <w:pPr>
              <w:spacing w:after="0"/>
              <w:rPr>
                <w:sz w:val="11"/>
                <w:szCs w:val="11"/>
                <w:color w:val="auto"/>
              </w:rPr>
            </w:pPr>
          </w:p>
        </w:tc>
        <w:tc>
          <w:tcPr>
            <w:tcW w:w="700" w:type="dxa"/>
            <w:vAlign w:val="bottom"/>
          </w:tcPr>
          <w:p>
            <w:pPr>
              <w:jc w:val="right"/>
              <w:ind w:right="1"/>
              <w:spacing w:after="0"/>
              <w:rPr>
                <w:sz w:val="20"/>
                <w:szCs w:val="20"/>
                <w:color w:val="auto"/>
              </w:rPr>
            </w:pPr>
            <w:r>
              <w:rPr>
                <w:rFonts w:ascii="Courier New" w:cs="Courier New" w:eastAsia="Courier New" w:hAnsi="Courier New"/>
                <w:sz w:val="12"/>
                <w:szCs w:val="12"/>
                <w:color w:val="auto"/>
                <w:w w:val="95"/>
              </w:rPr>
              <w:t>(604,810)</w:t>
            </w:r>
          </w:p>
        </w:tc>
        <w:tc>
          <w:tcPr>
            <w:tcW w:w="9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(646,682)</w:t>
            </w:r>
          </w:p>
        </w:tc>
      </w:tr>
      <w:tr>
        <w:trPr>
          <w:trHeight w:val="135"/>
        </w:trPr>
        <w:tc>
          <w:tcPr>
            <w:tcW w:w="4700" w:type="dxa"/>
            <w:vAlign w:val="bottom"/>
          </w:tcPr>
          <w:p>
            <w:pPr>
              <w:spacing w:after="0"/>
              <w:rPr>
                <w:sz w:val="11"/>
                <w:szCs w:val="11"/>
                <w:color w:val="auto"/>
              </w:rPr>
            </w:pPr>
          </w:p>
        </w:tc>
        <w:tc>
          <w:tcPr>
            <w:tcW w:w="98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135"/>
        </w:trPr>
        <w:tc>
          <w:tcPr>
            <w:tcW w:w="4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130,911</w:t>
            </w:r>
          </w:p>
        </w:tc>
        <w:tc>
          <w:tcPr>
            <w:tcW w:w="140" w:type="dxa"/>
            <w:vAlign w:val="bottom"/>
          </w:tcPr>
          <w:p>
            <w:pPr>
              <w:spacing w:after="0"/>
              <w:rPr>
                <w:sz w:val="11"/>
                <w:szCs w:val="11"/>
                <w:color w:val="auto"/>
              </w:rPr>
            </w:pPr>
          </w:p>
        </w:tc>
        <w:tc>
          <w:tcPr>
            <w:tcW w:w="700" w:type="dxa"/>
            <w:vAlign w:val="bottom"/>
          </w:tcPr>
          <w:p>
            <w:pPr>
              <w:jc w:val="right"/>
              <w:ind w:right="1"/>
              <w:spacing w:after="0"/>
              <w:rPr>
                <w:sz w:val="20"/>
                <w:szCs w:val="20"/>
                <w:color w:val="auto"/>
              </w:rPr>
            </w:pPr>
            <w:r>
              <w:rPr>
                <w:rFonts w:ascii="Courier New" w:cs="Courier New" w:eastAsia="Courier New" w:hAnsi="Courier New"/>
                <w:sz w:val="12"/>
                <w:szCs w:val="12"/>
                <w:color w:val="auto"/>
              </w:rPr>
              <w:t>(35,734)</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142,062</w:t>
            </w:r>
          </w:p>
        </w:tc>
      </w:tr>
      <w:tr>
        <w:trPr>
          <w:trHeight w:val="135"/>
        </w:trPr>
        <w:tc>
          <w:tcPr>
            <w:tcW w:w="4700" w:type="dxa"/>
            <w:vAlign w:val="bottom"/>
          </w:tcPr>
          <w:p>
            <w:pPr>
              <w:ind w:left="620"/>
              <w:spacing w:after="0"/>
              <w:rPr>
                <w:sz w:val="20"/>
                <w:szCs w:val="20"/>
                <w:color w:val="auto"/>
              </w:rPr>
            </w:pPr>
            <w:r>
              <w:rPr>
                <w:rFonts w:ascii="Courier New" w:cs="Courier New" w:eastAsia="Courier New" w:hAnsi="Courier New"/>
                <w:sz w:val="12"/>
                <w:szCs w:val="12"/>
                <w:color w:val="auto"/>
              </w:rPr>
              <w:t>TREASURY STOCK, AT COST - 1,300,000 SHARES</w:t>
            </w:r>
          </w:p>
        </w:tc>
        <w:tc>
          <w:tcPr>
            <w:tcW w:w="200" w:type="dxa"/>
            <w:vAlign w:val="bottom"/>
          </w:tcPr>
          <w:p>
            <w:pPr>
              <w:spacing w:after="0"/>
              <w:rPr>
                <w:sz w:val="11"/>
                <w:szCs w:val="11"/>
                <w:color w:val="auto"/>
              </w:rPr>
            </w:pPr>
          </w:p>
        </w:tc>
        <w:tc>
          <w:tcPr>
            <w:tcW w:w="7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(9,072)</w:t>
            </w:r>
          </w:p>
        </w:tc>
        <w:tc>
          <w:tcPr>
            <w:tcW w:w="140" w:type="dxa"/>
            <w:vAlign w:val="bottom"/>
          </w:tcPr>
          <w:p>
            <w:pPr>
              <w:spacing w:after="0"/>
              <w:rPr>
                <w:sz w:val="11"/>
                <w:szCs w:val="11"/>
                <w:color w:val="auto"/>
              </w:rPr>
            </w:pPr>
          </w:p>
        </w:tc>
        <w:tc>
          <w:tcPr>
            <w:tcW w:w="700" w:type="dxa"/>
            <w:vAlign w:val="bottom"/>
          </w:tcPr>
          <w:p>
            <w:pPr>
              <w:jc w:val="right"/>
              <w:ind w:right="1"/>
              <w:spacing w:after="0"/>
              <w:rPr>
                <w:sz w:val="20"/>
                <w:szCs w:val="20"/>
                <w:color w:val="auto"/>
              </w:rPr>
            </w:pPr>
            <w:r>
              <w:rPr>
                <w:rFonts w:ascii="Courier New" w:cs="Courier New" w:eastAsia="Courier New" w:hAnsi="Courier New"/>
                <w:sz w:val="12"/>
                <w:szCs w:val="12"/>
                <w:color w:val="auto"/>
              </w:rPr>
              <w:t>(9,072)</w:t>
            </w:r>
          </w:p>
        </w:tc>
        <w:tc>
          <w:tcPr>
            <w:tcW w:w="9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(9,072)</w:t>
            </w:r>
          </w:p>
        </w:tc>
      </w:tr>
      <w:tr>
        <w:trPr>
          <w:trHeight w:val="135"/>
        </w:trPr>
        <w:tc>
          <w:tcPr>
            <w:tcW w:w="4700" w:type="dxa"/>
            <w:vAlign w:val="bottom"/>
          </w:tcPr>
          <w:p>
            <w:pPr>
              <w:spacing w:after="0"/>
              <w:rPr>
                <w:sz w:val="11"/>
                <w:szCs w:val="11"/>
                <w:color w:val="auto"/>
              </w:rPr>
            </w:pPr>
          </w:p>
        </w:tc>
        <w:tc>
          <w:tcPr>
            <w:tcW w:w="98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135"/>
        </w:trPr>
        <w:tc>
          <w:tcPr>
            <w:tcW w:w="4700" w:type="dxa"/>
            <w:vAlign w:val="bottom"/>
          </w:tcPr>
          <w:p>
            <w:pPr>
              <w:ind w:left="1180"/>
              <w:spacing w:after="0"/>
              <w:rPr>
                <w:sz w:val="20"/>
                <w:szCs w:val="20"/>
                <w:color w:val="auto"/>
              </w:rPr>
            </w:pPr>
            <w:r>
              <w:rPr>
                <w:rFonts w:ascii="Courier New" w:cs="Courier New" w:eastAsia="Courier New" w:hAnsi="Courier New"/>
                <w:sz w:val="12"/>
                <w:szCs w:val="12"/>
                <w:color w:val="auto"/>
              </w:rPr>
              <w:t>TOTAL SHAREHOLDERS' EQUITY (DEFICIT)</w:t>
            </w:r>
          </w:p>
        </w:tc>
        <w:tc>
          <w:tcPr>
            <w:tcW w:w="200" w:type="dxa"/>
            <w:vAlign w:val="bottom"/>
          </w:tcPr>
          <w:p>
            <w:pPr>
              <w:spacing w:after="0"/>
              <w:rPr>
                <w:sz w:val="11"/>
                <w:szCs w:val="11"/>
                <w:color w:val="auto"/>
              </w:rPr>
            </w:pPr>
          </w:p>
        </w:tc>
        <w:tc>
          <w:tcPr>
            <w:tcW w:w="7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121,839</w:t>
            </w:r>
          </w:p>
        </w:tc>
        <w:tc>
          <w:tcPr>
            <w:tcW w:w="140" w:type="dxa"/>
            <w:vAlign w:val="bottom"/>
          </w:tcPr>
          <w:p>
            <w:pPr>
              <w:spacing w:after="0"/>
              <w:rPr>
                <w:sz w:val="11"/>
                <w:szCs w:val="11"/>
                <w:color w:val="auto"/>
              </w:rPr>
            </w:pPr>
          </w:p>
        </w:tc>
        <w:tc>
          <w:tcPr>
            <w:tcW w:w="700" w:type="dxa"/>
            <w:vAlign w:val="bottom"/>
          </w:tcPr>
          <w:p>
            <w:pPr>
              <w:jc w:val="right"/>
              <w:ind w:right="1"/>
              <w:spacing w:after="0"/>
              <w:rPr>
                <w:sz w:val="20"/>
                <w:szCs w:val="20"/>
                <w:color w:val="auto"/>
              </w:rPr>
            </w:pPr>
            <w:r>
              <w:rPr>
                <w:rFonts w:ascii="Courier New" w:cs="Courier New" w:eastAsia="Courier New" w:hAnsi="Courier New"/>
                <w:sz w:val="12"/>
                <w:szCs w:val="12"/>
                <w:color w:val="auto"/>
              </w:rPr>
              <w:t>(44,806)</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132,990</w:t>
            </w:r>
          </w:p>
        </w:tc>
      </w:tr>
      <w:tr>
        <w:trPr>
          <w:trHeight w:val="135"/>
        </w:trPr>
        <w:tc>
          <w:tcPr>
            <w:tcW w:w="4700" w:type="dxa"/>
            <w:vAlign w:val="bottom"/>
          </w:tcPr>
          <w:p>
            <w:pPr>
              <w:spacing w:after="0"/>
              <w:rPr>
                <w:sz w:val="11"/>
                <w:szCs w:val="11"/>
                <w:color w:val="auto"/>
              </w:rPr>
            </w:pPr>
          </w:p>
        </w:tc>
        <w:tc>
          <w:tcPr>
            <w:tcW w:w="98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270"/>
        </w:trPr>
        <w:tc>
          <w:tcPr>
            <w:tcW w:w="4700" w:type="dxa"/>
            <w:vAlign w:val="bottom"/>
          </w:tcPr>
          <w:p>
            <w:pPr>
              <w:ind w:left="1180"/>
              <w:spacing w:after="0"/>
              <w:rPr>
                <w:sz w:val="20"/>
                <w:szCs w:val="20"/>
                <w:color w:val="auto"/>
              </w:rPr>
            </w:pPr>
            <w:r>
              <w:rPr>
                <w:rFonts w:ascii="Courier New" w:cs="Courier New" w:eastAsia="Courier New" w:hAnsi="Courier New"/>
                <w:sz w:val="12"/>
                <w:szCs w:val="12"/>
                <w:color w:val="auto"/>
              </w:rPr>
              <w:t>TOTAL LIABILITIES AND SHAREHOLDERS' EQUITY</w:t>
            </w:r>
          </w:p>
        </w:tc>
        <w:tc>
          <w:tcPr>
            <w:tcW w:w="98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$ 688,600</w:t>
            </w:r>
          </w:p>
        </w:tc>
        <w:tc>
          <w:tcPr>
            <w:tcW w:w="84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$ 636,039</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699,718</w:t>
            </w:r>
          </w:p>
        </w:tc>
      </w:tr>
      <w:tr>
        <w:trPr>
          <w:trHeight w:val="135"/>
        </w:trPr>
        <w:tc>
          <w:tcPr>
            <w:tcW w:w="4700" w:type="dxa"/>
            <w:vAlign w:val="bottom"/>
          </w:tcPr>
          <w:p>
            <w:pPr>
              <w:spacing w:after="0"/>
              <w:rPr>
                <w:sz w:val="11"/>
                <w:szCs w:val="11"/>
                <w:color w:val="auto"/>
              </w:rPr>
            </w:pPr>
          </w:p>
        </w:tc>
        <w:tc>
          <w:tcPr>
            <w:tcW w:w="98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bl>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SEE NOTES TO CONSOLIDATED FINANCIAL STATEMENTS.</w:t>
      </w:r>
    </w:p>
    <w:p>
      <w:pPr>
        <w:spacing w:after="0" w:line="269" w:lineRule="exact"/>
        <w:rPr>
          <w:sz w:val="20"/>
          <w:szCs w:val="20"/>
          <w:color w:val="auto"/>
        </w:rPr>
      </w:pPr>
    </w:p>
    <w:p>
      <w:pPr>
        <w:ind w:left="2660"/>
        <w:spacing w:after="0"/>
        <w:rPr>
          <w:sz w:val="20"/>
          <w:szCs w:val="20"/>
          <w:color w:val="auto"/>
        </w:rPr>
      </w:pPr>
      <w:r>
        <w:rPr>
          <w:rFonts w:ascii="Courier New" w:cs="Courier New" w:eastAsia="Courier New" w:hAnsi="Courier New"/>
          <w:sz w:val="12"/>
          <w:szCs w:val="12"/>
          <w:color w:val="auto"/>
        </w:rPr>
        <w:t>- 1 -</w:t>
      </w:r>
    </w:p>
    <w:p>
      <w:pPr>
        <w:sectPr>
          <w:pgSz w:w="11900" w:h="16838" w:orient="portrait"/>
          <w:cols w:equalWidth="0" w:num="1">
            <w:col w:w="10239"/>
          </w:cols>
          <w:pgMar w:left="220" w:top="407" w:right="1440"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36"/>
        </w:trPr>
        <w:tc>
          <w:tcPr>
            <w:tcW w:w="448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TOWER SEMICONDUCTOR LTD. AND SUBSIDIARY</w:t>
            </w: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5"/>
        </w:trPr>
        <w:tc>
          <w:tcPr>
            <w:tcW w:w="448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CONSOLIDATED STATEMENTS OF OPERATIONS</w:t>
            </w: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5"/>
        </w:trPr>
        <w:tc>
          <w:tcPr>
            <w:tcW w:w="5500" w:type="dxa"/>
            <w:vAlign w:val="bottom"/>
            <w:gridSpan w:val="6"/>
          </w:tcPr>
          <w:p>
            <w:pPr>
              <w:ind w:left="1040"/>
              <w:spacing w:after="0"/>
              <w:rPr>
                <w:sz w:val="20"/>
                <w:szCs w:val="20"/>
                <w:color w:val="auto"/>
              </w:rPr>
            </w:pPr>
            <w:r>
              <w:rPr>
                <w:rFonts w:ascii="Courier New" w:cs="Courier New" w:eastAsia="Courier New" w:hAnsi="Courier New"/>
                <w:sz w:val="12"/>
                <w:szCs w:val="12"/>
                <w:color w:val="auto"/>
              </w:rPr>
              <w:t>(dollars in thousands, except share data and per share data)</w:t>
            </w: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270"/>
        </w:trPr>
        <w:tc>
          <w:tcPr>
            <w:tcW w:w="3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gridSpan w:val="3"/>
          </w:tcPr>
          <w:p>
            <w:pPr>
              <w:jc w:val="right"/>
              <w:ind w:right="81"/>
              <w:spacing w:after="0"/>
              <w:rPr>
                <w:sz w:val="20"/>
                <w:szCs w:val="20"/>
                <w:color w:val="auto"/>
              </w:rPr>
            </w:pPr>
            <w:r>
              <w:rPr>
                <w:rFonts w:ascii="Courier New" w:cs="Courier New" w:eastAsia="Courier New" w:hAnsi="Courier New"/>
                <w:sz w:val="12"/>
                <w:szCs w:val="12"/>
                <w:color w:val="auto"/>
              </w:rPr>
              <w:t>THREE MONTHS ENDED</w:t>
            </w:r>
          </w:p>
        </w:tc>
        <w:tc>
          <w:tcPr>
            <w:tcW w:w="920" w:type="dxa"/>
            <w:vAlign w:val="bottom"/>
            <w:gridSpan w:val="2"/>
          </w:tcPr>
          <w:p>
            <w:pPr>
              <w:ind w:left="160"/>
              <w:spacing w:after="0"/>
              <w:rPr>
                <w:sz w:val="20"/>
                <w:szCs w:val="20"/>
                <w:color w:val="auto"/>
              </w:rPr>
            </w:pPr>
            <w:r>
              <w:rPr>
                <w:rFonts w:ascii="Courier New" w:cs="Courier New" w:eastAsia="Courier New" w:hAnsi="Courier New"/>
                <w:sz w:val="12"/>
                <w:szCs w:val="12"/>
                <w:color w:val="auto"/>
              </w:rPr>
              <w:t>YEAR ENDED</w:t>
            </w: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135"/>
        </w:trPr>
        <w:tc>
          <w:tcPr>
            <w:tcW w:w="3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MARCH 31,</w:t>
            </w:r>
          </w:p>
        </w:tc>
        <w:tc>
          <w:tcPr>
            <w:tcW w:w="420" w:type="dxa"/>
            <w:vAlign w:val="bottom"/>
          </w:tcPr>
          <w:p>
            <w:pPr>
              <w:spacing w:after="0"/>
              <w:rPr>
                <w:sz w:val="11"/>
                <w:szCs w:val="11"/>
                <w:color w:val="auto"/>
              </w:rPr>
            </w:pPr>
          </w:p>
        </w:tc>
        <w:tc>
          <w:tcPr>
            <w:tcW w:w="1660" w:type="dxa"/>
            <w:vAlign w:val="bottom"/>
            <w:gridSpan w:val="3"/>
          </w:tcPr>
          <w:p>
            <w:pPr>
              <w:ind w:left="160"/>
              <w:spacing w:after="0"/>
              <w:rPr>
                <w:sz w:val="20"/>
                <w:szCs w:val="20"/>
                <w:color w:val="auto"/>
              </w:rPr>
            </w:pPr>
            <w:r>
              <w:rPr>
                <w:rFonts w:ascii="Courier New" w:cs="Courier New" w:eastAsia="Courier New" w:hAnsi="Courier New"/>
                <w:sz w:val="12"/>
                <w:szCs w:val="12"/>
                <w:color w:val="auto"/>
              </w:rPr>
              <w:t>DECEMDER 31,</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5"/>
        </w:trPr>
        <w:tc>
          <w:tcPr>
            <w:tcW w:w="3300" w:type="dxa"/>
            <w:vAlign w:val="bottom"/>
          </w:tcPr>
          <w:p>
            <w:pPr>
              <w:spacing w:after="0"/>
              <w:rPr>
                <w:sz w:val="11"/>
                <w:szCs w:val="11"/>
                <w:color w:val="auto"/>
              </w:rPr>
            </w:pPr>
          </w:p>
        </w:tc>
        <w:tc>
          <w:tcPr>
            <w:tcW w:w="1600" w:type="dxa"/>
            <w:vAlign w:val="bottom"/>
            <w:gridSpan w:val="4"/>
          </w:tcPr>
          <w:p>
            <w:pPr>
              <w:jc w:val="right"/>
              <w:ind w:right="1"/>
              <w:spacing w:after="0"/>
              <w:rPr>
                <w:sz w:val="20"/>
                <w:szCs w:val="20"/>
                <w:color w:val="auto"/>
              </w:rPr>
            </w:pPr>
            <w:r>
              <w:rPr>
                <w:rFonts w:ascii="Courier New" w:cs="Courier New" w:eastAsia="Courier New" w:hAnsi="Courier New"/>
                <w:sz w:val="12"/>
                <w:szCs w:val="12"/>
                <w:color w:val="auto"/>
                <w:w w:val="95"/>
              </w:rPr>
              <w:t>----------------------</w:t>
            </w:r>
          </w:p>
        </w:tc>
        <w:tc>
          <w:tcPr>
            <w:tcW w:w="92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5"/>
        </w:trPr>
        <w:tc>
          <w:tcPr>
            <w:tcW w:w="3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2007</w:t>
            </w:r>
          </w:p>
        </w:tc>
        <w:tc>
          <w:tcPr>
            <w:tcW w:w="90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2006</w:t>
            </w:r>
          </w:p>
        </w:tc>
        <w:tc>
          <w:tcPr>
            <w:tcW w:w="92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2006</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5"/>
        </w:trPr>
        <w:tc>
          <w:tcPr>
            <w:tcW w:w="3300" w:type="dxa"/>
            <w:vAlign w:val="bottom"/>
          </w:tcPr>
          <w:p>
            <w:pPr>
              <w:spacing w:after="0"/>
              <w:rPr>
                <w:sz w:val="11"/>
                <w:szCs w:val="11"/>
                <w:color w:val="auto"/>
              </w:rPr>
            </w:pPr>
          </w:p>
        </w:tc>
        <w:tc>
          <w:tcPr>
            <w:tcW w:w="70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w w:val="92"/>
              </w:rPr>
              <w:t>---------</w:t>
            </w:r>
          </w:p>
        </w:tc>
        <w:tc>
          <w:tcPr>
            <w:tcW w:w="90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5"/>
        </w:trPr>
        <w:tc>
          <w:tcPr>
            <w:tcW w:w="3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(UNAUDITED)</w:t>
            </w: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5"/>
        </w:trPr>
        <w:tc>
          <w:tcPr>
            <w:tcW w:w="3300" w:type="dxa"/>
            <w:vAlign w:val="bottom"/>
          </w:tcPr>
          <w:p>
            <w:pPr>
              <w:spacing w:after="0"/>
              <w:rPr>
                <w:sz w:val="11"/>
                <w:szCs w:val="11"/>
                <w:color w:val="auto"/>
              </w:rPr>
            </w:pPr>
          </w:p>
        </w:tc>
        <w:tc>
          <w:tcPr>
            <w:tcW w:w="1600" w:type="dxa"/>
            <w:vAlign w:val="bottom"/>
            <w:gridSpan w:val="4"/>
          </w:tcPr>
          <w:p>
            <w:pPr>
              <w:jc w:val="right"/>
              <w:ind w:right="1"/>
              <w:spacing w:after="0"/>
              <w:rPr>
                <w:sz w:val="20"/>
                <w:szCs w:val="20"/>
                <w:color w:val="auto"/>
              </w:rPr>
            </w:pPr>
            <w:r>
              <w:rPr>
                <w:rFonts w:ascii="Courier New" w:cs="Courier New" w:eastAsia="Courier New" w:hAnsi="Courier New"/>
                <w:sz w:val="12"/>
                <w:szCs w:val="12"/>
                <w:color w:val="auto"/>
                <w:w w:val="95"/>
              </w:rPr>
              <w:t>----------------------</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270"/>
        </w:trPr>
        <w:tc>
          <w:tcPr>
            <w:tcW w:w="3300" w:type="dxa"/>
            <w:vAlign w:val="bottom"/>
          </w:tcPr>
          <w:p>
            <w:pPr>
              <w:spacing w:after="0"/>
              <w:rPr>
                <w:sz w:val="20"/>
                <w:szCs w:val="20"/>
                <w:color w:val="auto"/>
              </w:rPr>
            </w:pPr>
            <w:r>
              <w:rPr>
                <w:rFonts w:ascii="Courier New" w:cs="Courier New" w:eastAsia="Courier New" w:hAnsi="Courier New"/>
                <w:sz w:val="12"/>
                <w:szCs w:val="12"/>
                <w:color w:val="auto"/>
              </w:rPr>
              <w:t>REVENUES</w:t>
            </w:r>
          </w:p>
        </w:tc>
        <w:tc>
          <w:tcPr>
            <w:tcW w:w="100" w:type="dxa"/>
            <w:vAlign w:val="bottom"/>
          </w:tcPr>
          <w:p>
            <w:pPr>
              <w:jc w:val="right"/>
              <w:spacing w:after="0"/>
              <w:rPr>
                <w:sz w:val="20"/>
                <w:szCs w:val="20"/>
                <w:color w:val="auto"/>
              </w:rPr>
            </w:pPr>
            <w:r>
              <w:rPr>
                <w:rFonts w:ascii="Courier New" w:cs="Courier New" w:eastAsia="Courier New" w:hAnsi="Courier New"/>
                <w:sz w:val="9"/>
                <w:szCs w:val="9"/>
                <w:color w:val="auto"/>
                <w:w w:val="73"/>
              </w:rPr>
              <w:t>$</w:t>
            </w: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55,604</w:t>
            </w:r>
          </w:p>
        </w:tc>
        <w:tc>
          <w:tcPr>
            <w:tcW w:w="90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  35,875</w:t>
            </w:r>
          </w:p>
        </w:tc>
        <w:tc>
          <w:tcPr>
            <w:tcW w:w="92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$ 187,438</w:t>
            </w: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270"/>
        </w:trPr>
        <w:tc>
          <w:tcPr>
            <w:tcW w:w="3300" w:type="dxa"/>
            <w:vAlign w:val="bottom"/>
          </w:tcPr>
          <w:p>
            <w:pPr>
              <w:spacing w:after="0"/>
              <w:rPr>
                <w:sz w:val="20"/>
                <w:szCs w:val="20"/>
                <w:color w:val="auto"/>
              </w:rPr>
            </w:pPr>
            <w:r>
              <w:rPr>
                <w:rFonts w:ascii="Courier New" w:cs="Courier New" w:eastAsia="Courier New" w:hAnsi="Courier New"/>
                <w:sz w:val="12"/>
                <w:szCs w:val="12"/>
                <w:color w:val="auto"/>
              </w:rPr>
              <w:t>COST OF SALES</w:t>
            </w:r>
          </w:p>
        </w:tc>
        <w:tc>
          <w:tcPr>
            <w:tcW w:w="100" w:type="dxa"/>
            <w:vAlign w:val="bottom"/>
          </w:tcPr>
          <w:p>
            <w:pPr>
              <w:spacing w:after="0"/>
              <w:rPr>
                <w:sz w:val="23"/>
                <w:szCs w:val="23"/>
                <w:color w:val="auto"/>
              </w:rPr>
            </w:pP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71,494</w:t>
            </w:r>
          </w:p>
        </w:tc>
        <w:tc>
          <w:tcPr>
            <w:tcW w:w="90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61,280</w:t>
            </w:r>
          </w:p>
        </w:tc>
        <w:tc>
          <w:tcPr>
            <w:tcW w:w="92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267,390</w:t>
            </w: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135"/>
        </w:trPr>
        <w:tc>
          <w:tcPr>
            <w:tcW w:w="3300" w:type="dxa"/>
            <w:vAlign w:val="bottom"/>
          </w:tcPr>
          <w:p>
            <w:pPr>
              <w:spacing w:after="0"/>
              <w:rPr>
                <w:sz w:val="11"/>
                <w:szCs w:val="11"/>
                <w:color w:val="auto"/>
              </w:rPr>
            </w:pPr>
          </w:p>
        </w:tc>
        <w:tc>
          <w:tcPr>
            <w:tcW w:w="70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w w:val="92"/>
              </w:rPr>
              <w:t>---------</w:t>
            </w:r>
          </w:p>
        </w:tc>
        <w:tc>
          <w:tcPr>
            <w:tcW w:w="90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270"/>
        </w:trPr>
        <w:tc>
          <w:tcPr>
            <w:tcW w:w="3300" w:type="dxa"/>
            <w:vAlign w:val="bottom"/>
          </w:tcPr>
          <w:p>
            <w:pPr>
              <w:ind w:left="760"/>
              <w:spacing w:after="0"/>
              <w:rPr>
                <w:sz w:val="20"/>
                <w:szCs w:val="20"/>
                <w:color w:val="auto"/>
              </w:rPr>
            </w:pPr>
            <w:r>
              <w:rPr>
                <w:rFonts w:ascii="Courier New" w:cs="Courier New" w:eastAsia="Courier New" w:hAnsi="Courier New"/>
                <w:sz w:val="12"/>
                <w:szCs w:val="12"/>
                <w:color w:val="auto"/>
              </w:rPr>
              <w:t>GROSS LOSS</w:t>
            </w: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(15,890)</w:t>
            </w:r>
          </w:p>
        </w:tc>
        <w:tc>
          <w:tcPr>
            <w:tcW w:w="9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(25,405)</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(79,952)</w:t>
            </w: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135"/>
        </w:trPr>
        <w:tc>
          <w:tcPr>
            <w:tcW w:w="3300" w:type="dxa"/>
            <w:vAlign w:val="bottom"/>
          </w:tcPr>
          <w:p>
            <w:pPr>
              <w:spacing w:after="0"/>
              <w:rPr>
                <w:sz w:val="11"/>
                <w:szCs w:val="11"/>
                <w:color w:val="auto"/>
              </w:rPr>
            </w:pPr>
          </w:p>
        </w:tc>
        <w:tc>
          <w:tcPr>
            <w:tcW w:w="70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w w:val="92"/>
              </w:rPr>
              <w:t>---------</w:t>
            </w:r>
          </w:p>
        </w:tc>
        <w:tc>
          <w:tcPr>
            <w:tcW w:w="90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270"/>
        </w:trPr>
        <w:tc>
          <w:tcPr>
            <w:tcW w:w="3300" w:type="dxa"/>
            <w:vAlign w:val="bottom"/>
          </w:tcPr>
          <w:p>
            <w:pPr>
              <w:spacing w:after="0"/>
              <w:rPr>
                <w:sz w:val="20"/>
                <w:szCs w:val="20"/>
                <w:color w:val="auto"/>
              </w:rPr>
            </w:pPr>
            <w:r>
              <w:rPr>
                <w:rFonts w:ascii="Courier New" w:cs="Courier New" w:eastAsia="Courier New" w:hAnsi="Courier New"/>
                <w:sz w:val="12"/>
                <w:szCs w:val="12"/>
                <w:color w:val="auto"/>
              </w:rPr>
              <w:t>OPERATING COSTS AND EXPENSES</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270"/>
        </w:trPr>
        <w:tc>
          <w:tcPr>
            <w:tcW w:w="3300" w:type="dxa"/>
            <w:vAlign w:val="bottom"/>
          </w:tcPr>
          <w:p>
            <w:pPr>
              <w:ind w:left="420"/>
              <w:spacing w:after="0"/>
              <w:rPr>
                <w:sz w:val="20"/>
                <w:szCs w:val="20"/>
                <w:color w:val="auto"/>
              </w:rPr>
            </w:pPr>
            <w:r>
              <w:rPr>
                <w:rFonts w:ascii="Courier New" w:cs="Courier New" w:eastAsia="Courier New" w:hAnsi="Courier New"/>
                <w:sz w:val="12"/>
                <w:szCs w:val="12"/>
                <w:color w:val="auto"/>
              </w:rPr>
              <w:t>RESEARCH AND DEVELOPMENT</w:t>
            </w:r>
          </w:p>
        </w:tc>
        <w:tc>
          <w:tcPr>
            <w:tcW w:w="100" w:type="dxa"/>
            <w:vAlign w:val="bottom"/>
          </w:tcPr>
          <w:p>
            <w:pPr>
              <w:spacing w:after="0"/>
              <w:rPr>
                <w:sz w:val="23"/>
                <w:szCs w:val="23"/>
                <w:color w:val="auto"/>
              </w:rPr>
            </w:pP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3,597</w:t>
            </w:r>
          </w:p>
        </w:tc>
        <w:tc>
          <w:tcPr>
            <w:tcW w:w="480" w:type="dxa"/>
            <w:vAlign w:val="bottom"/>
          </w:tcPr>
          <w:p>
            <w:pPr>
              <w:spacing w:after="0"/>
              <w:rPr>
                <w:sz w:val="23"/>
                <w:szCs w:val="23"/>
                <w:color w:val="auto"/>
              </w:rPr>
            </w:pPr>
          </w:p>
        </w:tc>
        <w:tc>
          <w:tcPr>
            <w:tcW w:w="420" w:type="dxa"/>
            <w:vAlign w:val="bottom"/>
          </w:tcPr>
          <w:p>
            <w:pPr>
              <w:jc w:val="right"/>
              <w:ind w:right="1"/>
              <w:spacing w:after="0"/>
              <w:rPr>
                <w:sz w:val="20"/>
                <w:szCs w:val="20"/>
                <w:color w:val="auto"/>
              </w:rPr>
            </w:pPr>
            <w:r>
              <w:rPr>
                <w:rFonts w:ascii="Courier New" w:cs="Courier New" w:eastAsia="Courier New" w:hAnsi="Courier New"/>
                <w:sz w:val="12"/>
                <w:szCs w:val="12"/>
                <w:color w:val="auto"/>
                <w:w w:val="94"/>
              </w:rPr>
              <w:t>3,354</w:t>
            </w:r>
          </w:p>
        </w:tc>
        <w:tc>
          <w:tcPr>
            <w:tcW w:w="92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14,984</w:t>
            </w: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135"/>
        </w:trPr>
        <w:tc>
          <w:tcPr>
            <w:tcW w:w="3300" w:type="dxa"/>
            <w:vAlign w:val="bottom"/>
          </w:tcPr>
          <w:p>
            <w:pPr>
              <w:ind w:left="420"/>
              <w:spacing w:after="0"/>
              <w:rPr>
                <w:sz w:val="20"/>
                <w:szCs w:val="20"/>
                <w:color w:val="auto"/>
              </w:rPr>
            </w:pPr>
            <w:r>
              <w:rPr>
                <w:rFonts w:ascii="Courier New" w:cs="Courier New" w:eastAsia="Courier New" w:hAnsi="Courier New"/>
                <w:sz w:val="12"/>
                <w:szCs w:val="12"/>
                <w:color w:val="auto"/>
              </w:rPr>
              <w:t>MARKETING, GENERAL AND ADMINISTRATIVE</w:t>
            </w:r>
          </w:p>
        </w:tc>
        <w:tc>
          <w:tcPr>
            <w:tcW w:w="100" w:type="dxa"/>
            <w:vAlign w:val="bottom"/>
          </w:tcPr>
          <w:p>
            <w:pPr>
              <w:spacing w:after="0"/>
              <w:rPr>
                <w:sz w:val="11"/>
                <w:szCs w:val="11"/>
                <w:color w:val="auto"/>
              </w:rPr>
            </w:pP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7,825</w:t>
            </w:r>
          </w:p>
        </w:tc>
        <w:tc>
          <w:tcPr>
            <w:tcW w:w="480" w:type="dxa"/>
            <w:vAlign w:val="bottom"/>
          </w:tcPr>
          <w:p>
            <w:pPr>
              <w:spacing w:after="0"/>
              <w:rPr>
                <w:sz w:val="11"/>
                <w:szCs w:val="11"/>
                <w:color w:val="auto"/>
              </w:rPr>
            </w:pPr>
          </w:p>
        </w:tc>
        <w:tc>
          <w:tcPr>
            <w:tcW w:w="420" w:type="dxa"/>
            <w:vAlign w:val="bottom"/>
          </w:tcPr>
          <w:p>
            <w:pPr>
              <w:jc w:val="right"/>
              <w:ind w:right="1"/>
              <w:spacing w:after="0"/>
              <w:rPr>
                <w:sz w:val="20"/>
                <w:szCs w:val="20"/>
                <w:color w:val="auto"/>
              </w:rPr>
            </w:pPr>
            <w:r>
              <w:rPr>
                <w:rFonts w:ascii="Courier New" w:cs="Courier New" w:eastAsia="Courier New" w:hAnsi="Courier New"/>
                <w:sz w:val="12"/>
                <w:szCs w:val="12"/>
                <w:color w:val="auto"/>
                <w:w w:val="94"/>
              </w:rPr>
              <w:t>5,324</w:t>
            </w:r>
          </w:p>
        </w:tc>
        <w:tc>
          <w:tcPr>
            <w:tcW w:w="92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24,512</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5"/>
        </w:trPr>
        <w:tc>
          <w:tcPr>
            <w:tcW w:w="3300" w:type="dxa"/>
            <w:vAlign w:val="bottom"/>
          </w:tcPr>
          <w:p>
            <w:pPr>
              <w:spacing w:after="0"/>
              <w:rPr>
                <w:sz w:val="11"/>
                <w:szCs w:val="11"/>
                <w:color w:val="auto"/>
              </w:rPr>
            </w:pPr>
          </w:p>
        </w:tc>
        <w:tc>
          <w:tcPr>
            <w:tcW w:w="70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w w:val="92"/>
              </w:rPr>
              <w:t>---------</w:t>
            </w:r>
          </w:p>
        </w:tc>
        <w:tc>
          <w:tcPr>
            <w:tcW w:w="90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270"/>
        </w:trPr>
        <w:tc>
          <w:tcPr>
            <w:tcW w:w="3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11,422</w:t>
            </w:r>
          </w:p>
        </w:tc>
        <w:tc>
          <w:tcPr>
            <w:tcW w:w="480" w:type="dxa"/>
            <w:vAlign w:val="bottom"/>
          </w:tcPr>
          <w:p>
            <w:pPr>
              <w:spacing w:after="0"/>
              <w:rPr>
                <w:sz w:val="23"/>
                <w:szCs w:val="23"/>
                <w:color w:val="auto"/>
              </w:rPr>
            </w:pPr>
          </w:p>
        </w:tc>
        <w:tc>
          <w:tcPr>
            <w:tcW w:w="420" w:type="dxa"/>
            <w:vAlign w:val="bottom"/>
          </w:tcPr>
          <w:p>
            <w:pPr>
              <w:jc w:val="right"/>
              <w:ind w:right="1"/>
              <w:spacing w:after="0"/>
              <w:rPr>
                <w:sz w:val="20"/>
                <w:szCs w:val="20"/>
                <w:color w:val="auto"/>
              </w:rPr>
            </w:pPr>
            <w:r>
              <w:rPr>
                <w:rFonts w:ascii="Courier New" w:cs="Courier New" w:eastAsia="Courier New" w:hAnsi="Courier New"/>
                <w:sz w:val="12"/>
                <w:szCs w:val="12"/>
                <w:color w:val="auto"/>
                <w:w w:val="94"/>
              </w:rPr>
              <w:t>8,678</w:t>
            </w:r>
          </w:p>
        </w:tc>
        <w:tc>
          <w:tcPr>
            <w:tcW w:w="92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39,496</w:t>
            </w: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135"/>
        </w:trPr>
        <w:tc>
          <w:tcPr>
            <w:tcW w:w="3300" w:type="dxa"/>
            <w:vAlign w:val="bottom"/>
          </w:tcPr>
          <w:p>
            <w:pPr>
              <w:spacing w:after="0"/>
              <w:rPr>
                <w:sz w:val="11"/>
                <w:szCs w:val="11"/>
                <w:color w:val="auto"/>
              </w:rPr>
            </w:pPr>
          </w:p>
        </w:tc>
        <w:tc>
          <w:tcPr>
            <w:tcW w:w="70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w w:val="92"/>
              </w:rPr>
              <w:t>=========</w:t>
            </w:r>
          </w:p>
        </w:tc>
        <w:tc>
          <w:tcPr>
            <w:tcW w:w="90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270"/>
        </w:trPr>
        <w:tc>
          <w:tcPr>
            <w:tcW w:w="3300" w:type="dxa"/>
            <w:vAlign w:val="bottom"/>
          </w:tcPr>
          <w:p>
            <w:pPr>
              <w:ind w:left="760"/>
              <w:spacing w:after="0"/>
              <w:rPr>
                <w:sz w:val="20"/>
                <w:szCs w:val="20"/>
                <w:color w:val="auto"/>
              </w:rPr>
            </w:pPr>
            <w:r>
              <w:rPr>
                <w:rFonts w:ascii="Courier New" w:cs="Courier New" w:eastAsia="Courier New" w:hAnsi="Courier New"/>
                <w:sz w:val="12"/>
                <w:szCs w:val="12"/>
                <w:color w:val="auto"/>
              </w:rPr>
              <w:t>OPERATING LOSS</w:t>
            </w: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(27,312)</w:t>
            </w:r>
          </w:p>
        </w:tc>
        <w:tc>
          <w:tcPr>
            <w:tcW w:w="9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(34,083)</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(119,448)</w:t>
            </w: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270"/>
        </w:trPr>
        <w:tc>
          <w:tcPr>
            <w:tcW w:w="3300" w:type="dxa"/>
            <w:vAlign w:val="bottom"/>
          </w:tcPr>
          <w:p>
            <w:pPr>
              <w:spacing w:after="0"/>
              <w:rPr>
                <w:sz w:val="20"/>
                <w:szCs w:val="20"/>
                <w:color w:val="auto"/>
              </w:rPr>
            </w:pPr>
            <w:r>
              <w:rPr>
                <w:rFonts w:ascii="Courier New" w:cs="Courier New" w:eastAsia="Courier New" w:hAnsi="Courier New"/>
                <w:sz w:val="12"/>
                <w:szCs w:val="12"/>
                <w:color w:val="auto"/>
              </w:rPr>
              <w:t>FINANCING EXPENSE, NET</w:t>
            </w: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(10,148)</w:t>
            </w:r>
          </w:p>
        </w:tc>
        <w:tc>
          <w:tcPr>
            <w:tcW w:w="9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(11,524)</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(48,148)</w:t>
            </w: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270"/>
        </w:trPr>
        <w:tc>
          <w:tcPr>
            <w:tcW w:w="3300" w:type="dxa"/>
            <w:vAlign w:val="bottom"/>
          </w:tcPr>
          <w:p>
            <w:pPr>
              <w:spacing w:after="0"/>
              <w:rPr>
                <w:sz w:val="20"/>
                <w:szCs w:val="20"/>
                <w:color w:val="auto"/>
              </w:rPr>
            </w:pPr>
            <w:r>
              <w:rPr>
                <w:rFonts w:ascii="Courier New" w:cs="Courier New" w:eastAsia="Courier New" w:hAnsi="Courier New"/>
                <w:sz w:val="12"/>
                <w:szCs w:val="12"/>
                <w:color w:val="auto"/>
              </w:rPr>
              <w:t>GAIN ON DEBT RESTRUCTURING</w:t>
            </w:r>
          </w:p>
        </w:tc>
        <w:tc>
          <w:tcPr>
            <w:tcW w:w="100" w:type="dxa"/>
            <w:vAlign w:val="bottom"/>
          </w:tcPr>
          <w:p>
            <w:pPr>
              <w:spacing w:after="0"/>
              <w:rPr>
                <w:sz w:val="23"/>
                <w:szCs w:val="23"/>
                <w:color w:val="auto"/>
              </w:rPr>
            </w:pP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spacing w:after="0"/>
              <w:rPr>
                <w:sz w:val="23"/>
                <w:szCs w:val="23"/>
                <w:color w:val="auto"/>
              </w:rPr>
            </w:pPr>
          </w:p>
        </w:tc>
        <w:tc>
          <w:tcPr>
            <w:tcW w:w="4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80,071</w:t>
            </w: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270"/>
        </w:trPr>
        <w:tc>
          <w:tcPr>
            <w:tcW w:w="3300" w:type="dxa"/>
            <w:vAlign w:val="bottom"/>
          </w:tcPr>
          <w:p>
            <w:pPr>
              <w:spacing w:after="0"/>
              <w:rPr>
                <w:sz w:val="20"/>
                <w:szCs w:val="20"/>
                <w:color w:val="auto"/>
              </w:rPr>
            </w:pPr>
            <w:r>
              <w:rPr>
                <w:rFonts w:ascii="Courier New" w:cs="Courier New" w:eastAsia="Courier New" w:hAnsi="Courier New"/>
                <w:sz w:val="12"/>
                <w:szCs w:val="12"/>
                <w:color w:val="auto"/>
              </w:rPr>
              <w:t>OTHER INCOME, NET</w:t>
            </w:r>
          </w:p>
        </w:tc>
        <w:tc>
          <w:tcPr>
            <w:tcW w:w="100" w:type="dxa"/>
            <w:vAlign w:val="bottom"/>
          </w:tcPr>
          <w:p>
            <w:pPr>
              <w:spacing w:after="0"/>
              <w:rPr>
                <w:sz w:val="23"/>
                <w:szCs w:val="23"/>
                <w:color w:val="auto"/>
              </w:rPr>
            </w:pP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69</w:t>
            </w:r>
          </w:p>
        </w:tc>
        <w:tc>
          <w:tcPr>
            <w:tcW w:w="480" w:type="dxa"/>
            <w:vAlign w:val="bottom"/>
          </w:tcPr>
          <w:p>
            <w:pPr>
              <w:spacing w:after="0"/>
              <w:rPr>
                <w:sz w:val="23"/>
                <w:szCs w:val="23"/>
                <w:color w:val="auto"/>
              </w:rPr>
            </w:pPr>
          </w:p>
        </w:tc>
        <w:tc>
          <w:tcPr>
            <w:tcW w:w="420" w:type="dxa"/>
            <w:vAlign w:val="bottom"/>
          </w:tcPr>
          <w:p>
            <w:pPr>
              <w:jc w:val="right"/>
              <w:ind w:right="1"/>
              <w:spacing w:after="0"/>
              <w:rPr>
                <w:sz w:val="20"/>
                <w:szCs w:val="20"/>
                <w:color w:val="auto"/>
              </w:rPr>
            </w:pPr>
            <w:r>
              <w:rPr>
                <w:rFonts w:ascii="Courier New" w:cs="Courier New" w:eastAsia="Courier New" w:hAnsi="Courier New"/>
                <w:sz w:val="12"/>
                <w:szCs w:val="12"/>
                <w:color w:val="auto"/>
              </w:rPr>
              <w:t>551</w:t>
            </w:r>
          </w:p>
        </w:tc>
        <w:tc>
          <w:tcPr>
            <w:tcW w:w="600" w:type="dxa"/>
            <w:vAlign w:val="bottom"/>
          </w:tcPr>
          <w:p>
            <w:pPr>
              <w:spacing w:after="0"/>
              <w:rPr>
                <w:sz w:val="23"/>
                <w:szCs w:val="23"/>
                <w:color w:val="auto"/>
              </w:rPr>
            </w:pPr>
          </w:p>
        </w:tc>
        <w:tc>
          <w:tcPr>
            <w:tcW w:w="320" w:type="dxa"/>
            <w:vAlign w:val="bottom"/>
          </w:tcPr>
          <w:p>
            <w:pPr>
              <w:jc w:val="right"/>
              <w:ind w:right="1"/>
              <w:spacing w:after="0"/>
              <w:rPr>
                <w:sz w:val="20"/>
                <w:szCs w:val="20"/>
                <w:color w:val="auto"/>
              </w:rPr>
            </w:pPr>
            <w:r>
              <w:rPr>
                <w:rFonts w:ascii="Courier New" w:cs="Courier New" w:eastAsia="Courier New" w:hAnsi="Courier New"/>
                <w:sz w:val="12"/>
                <w:szCs w:val="12"/>
                <w:color w:val="auto"/>
              </w:rPr>
              <w:t>597</w:t>
            </w: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135"/>
        </w:trPr>
        <w:tc>
          <w:tcPr>
            <w:tcW w:w="3300" w:type="dxa"/>
            <w:vAlign w:val="bottom"/>
          </w:tcPr>
          <w:p>
            <w:pPr>
              <w:spacing w:after="0"/>
              <w:rPr>
                <w:sz w:val="11"/>
                <w:szCs w:val="11"/>
                <w:color w:val="auto"/>
              </w:rPr>
            </w:pPr>
          </w:p>
        </w:tc>
        <w:tc>
          <w:tcPr>
            <w:tcW w:w="70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w w:val="92"/>
              </w:rPr>
              <w:t>---------</w:t>
            </w:r>
          </w:p>
        </w:tc>
        <w:tc>
          <w:tcPr>
            <w:tcW w:w="90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270"/>
        </w:trPr>
        <w:tc>
          <w:tcPr>
            <w:tcW w:w="3300" w:type="dxa"/>
            <w:vAlign w:val="bottom"/>
          </w:tcPr>
          <w:p>
            <w:pPr>
              <w:ind w:left="1320"/>
              <w:spacing w:after="0"/>
              <w:rPr>
                <w:sz w:val="20"/>
                <w:szCs w:val="20"/>
                <w:color w:val="auto"/>
              </w:rPr>
            </w:pPr>
            <w:r>
              <w:rPr>
                <w:rFonts w:ascii="Courier New" w:cs="Courier New" w:eastAsia="Courier New" w:hAnsi="Courier New"/>
                <w:sz w:val="12"/>
                <w:szCs w:val="12"/>
                <w:color w:val="auto"/>
              </w:rPr>
              <w:t>LOSS FOR THE YEAR</w:t>
            </w:r>
          </w:p>
        </w:tc>
        <w:tc>
          <w:tcPr>
            <w:tcW w:w="7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4"/>
              </w:rPr>
              <w:t>$ (37,391)</w:t>
            </w:r>
          </w:p>
        </w:tc>
        <w:tc>
          <w:tcPr>
            <w:tcW w:w="9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(45,056)</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(86,928)</w:t>
            </w: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135"/>
        </w:trPr>
        <w:tc>
          <w:tcPr>
            <w:tcW w:w="3300" w:type="dxa"/>
            <w:vAlign w:val="bottom"/>
          </w:tcPr>
          <w:p>
            <w:pPr>
              <w:spacing w:after="0"/>
              <w:rPr>
                <w:sz w:val="11"/>
                <w:szCs w:val="11"/>
                <w:color w:val="auto"/>
              </w:rPr>
            </w:pPr>
          </w:p>
        </w:tc>
        <w:tc>
          <w:tcPr>
            <w:tcW w:w="70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w w:val="92"/>
              </w:rPr>
              <w:t>=========</w:t>
            </w:r>
          </w:p>
        </w:tc>
        <w:tc>
          <w:tcPr>
            <w:tcW w:w="90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270"/>
        </w:trPr>
        <w:tc>
          <w:tcPr>
            <w:tcW w:w="3300" w:type="dxa"/>
            <w:vAlign w:val="bottom"/>
          </w:tcPr>
          <w:p>
            <w:pPr>
              <w:ind w:left="60"/>
              <w:spacing w:after="0"/>
              <w:rPr>
                <w:sz w:val="20"/>
                <w:szCs w:val="20"/>
                <w:color w:val="auto"/>
              </w:rPr>
            </w:pPr>
            <w:r>
              <w:rPr>
                <w:rFonts w:ascii="Courier New" w:cs="Courier New" w:eastAsia="Courier New" w:hAnsi="Courier New"/>
                <w:sz w:val="12"/>
                <w:szCs w:val="12"/>
                <w:color w:val="auto"/>
              </w:rPr>
              <w:t>LOSS PER ORDINARY SHARE</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270"/>
        </w:trPr>
        <w:tc>
          <w:tcPr>
            <w:tcW w:w="3300" w:type="dxa"/>
            <w:vAlign w:val="bottom"/>
          </w:tcPr>
          <w:p>
            <w:pPr>
              <w:ind w:left="420"/>
              <w:spacing w:after="0"/>
              <w:rPr>
                <w:sz w:val="20"/>
                <w:szCs w:val="20"/>
                <w:color w:val="auto"/>
              </w:rPr>
            </w:pPr>
            <w:r>
              <w:rPr>
                <w:rFonts w:ascii="Courier New" w:cs="Courier New" w:eastAsia="Courier New" w:hAnsi="Courier New"/>
                <w:sz w:val="12"/>
                <w:szCs w:val="12"/>
                <w:color w:val="auto"/>
              </w:rPr>
              <w:t>BASIC AND DILUTED LOSS PER SHARE</w:t>
            </w:r>
          </w:p>
        </w:tc>
        <w:tc>
          <w:tcPr>
            <w:tcW w:w="100" w:type="dxa"/>
            <w:vAlign w:val="bottom"/>
          </w:tcPr>
          <w:p>
            <w:pPr>
              <w:jc w:val="right"/>
              <w:spacing w:after="0"/>
              <w:rPr>
                <w:sz w:val="20"/>
                <w:szCs w:val="20"/>
                <w:color w:val="auto"/>
              </w:rPr>
            </w:pPr>
            <w:r>
              <w:rPr>
                <w:rFonts w:ascii="Courier New" w:cs="Courier New" w:eastAsia="Courier New" w:hAnsi="Courier New"/>
                <w:sz w:val="9"/>
                <w:szCs w:val="9"/>
                <w:color w:val="auto"/>
                <w:w w:val="73"/>
              </w:rPr>
              <w:t>$</w:t>
            </w: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(0.36)</w:t>
            </w:r>
          </w:p>
        </w:tc>
        <w:tc>
          <w:tcPr>
            <w:tcW w:w="4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w w:val="92"/>
              </w:rPr>
              <w:t>(0.63)</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(1.05)</w:t>
            </w: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135"/>
        </w:trPr>
        <w:tc>
          <w:tcPr>
            <w:tcW w:w="3300" w:type="dxa"/>
            <w:vAlign w:val="bottom"/>
          </w:tcPr>
          <w:p>
            <w:pPr>
              <w:spacing w:after="0"/>
              <w:rPr>
                <w:sz w:val="11"/>
                <w:szCs w:val="11"/>
                <w:color w:val="auto"/>
              </w:rPr>
            </w:pPr>
          </w:p>
        </w:tc>
        <w:tc>
          <w:tcPr>
            <w:tcW w:w="70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w w:val="92"/>
              </w:rPr>
              <w:t>=========</w:t>
            </w:r>
          </w:p>
        </w:tc>
        <w:tc>
          <w:tcPr>
            <w:tcW w:w="90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270"/>
        </w:trPr>
        <w:tc>
          <w:tcPr>
            <w:tcW w:w="3300" w:type="dxa"/>
            <w:vAlign w:val="bottom"/>
          </w:tcPr>
          <w:p>
            <w:pPr>
              <w:ind w:left="420"/>
              <w:spacing w:after="0"/>
              <w:rPr>
                <w:sz w:val="20"/>
                <w:szCs w:val="20"/>
                <w:color w:val="auto"/>
              </w:rPr>
            </w:pPr>
            <w:r>
              <w:rPr>
                <w:rFonts w:ascii="Courier New" w:cs="Courier New" w:eastAsia="Courier New" w:hAnsi="Courier New"/>
                <w:sz w:val="12"/>
                <w:szCs w:val="12"/>
                <w:color w:val="auto"/>
              </w:rPr>
              <w:t>WEIGHTED AVERAGE NUMBER OF ORDINARY</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135"/>
        </w:trPr>
        <w:tc>
          <w:tcPr>
            <w:tcW w:w="3300" w:type="dxa"/>
            <w:vAlign w:val="bottom"/>
          </w:tcPr>
          <w:p>
            <w:pPr>
              <w:ind w:left="760"/>
              <w:spacing w:after="0"/>
              <w:rPr>
                <w:sz w:val="20"/>
                <w:szCs w:val="20"/>
                <w:color w:val="auto"/>
              </w:rPr>
            </w:pPr>
            <w:r>
              <w:rPr>
                <w:rFonts w:ascii="Courier New" w:cs="Courier New" w:eastAsia="Courier New" w:hAnsi="Courier New"/>
                <w:sz w:val="12"/>
                <w:szCs w:val="12"/>
                <w:color w:val="auto"/>
              </w:rPr>
              <w:t>SHARES OUTSTANDING - IN THOUSANDS</w:t>
            </w:r>
          </w:p>
        </w:tc>
        <w:tc>
          <w:tcPr>
            <w:tcW w:w="100" w:type="dxa"/>
            <w:vAlign w:val="bottom"/>
          </w:tcPr>
          <w:p>
            <w:pPr>
              <w:spacing w:after="0"/>
              <w:rPr>
                <w:sz w:val="11"/>
                <w:szCs w:val="11"/>
                <w:color w:val="auto"/>
              </w:rPr>
            </w:pP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9"/>
              </w:rPr>
              <w:t>105,060</w:t>
            </w:r>
          </w:p>
        </w:tc>
        <w:tc>
          <w:tcPr>
            <w:tcW w:w="90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71,872</w:t>
            </w:r>
          </w:p>
        </w:tc>
        <w:tc>
          <w:tcPr>
            <w:tcW w:w="92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82,581</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5"/>
        </w:trPr>
        <w:tc>
          <w:tcPr>
            <w:tcW w:w="3300" w:type="dxa"/>
            <w:vAlign w:val="bottom"/>
          </w:tcPr>
          <w:p>
            <w:pPr>
              <w:spacing w:after="0"/>
              <w:rPr>
                <w:sz w:val="11"/>
                <w:szCs w:val="11"/>
                <w:color w:val="auto"/>
              </w:rPr>
            </w:pPr>
          </w:p>
        </w:tc>
        <w:tc>
          <w:tcPr>
            <w:tcW w:w="70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w w:val="92"/>
              </w:rPr>
              <w:t>=========</w:t>
            </w:r>
          </w:p>
        </w:tc>
        <w:tc>
          <w:tcPr>
            <w:tcW w:w="90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270"/>
        </w:trPr>
        <w:tc>
          <w:tcPr>
            <w:tcW w:w="3300" w:type="dxa"/>
            <w:vAlign w:val="bottom"/>
          </w:tcPr>
          <w:p>
            <w:pPr>
              <w:spacing w:after="0"/>
              <w:rPr>
                <w:sz w:val="20"/>
                <w:szCs w:val="20"/>
                <w:color w:val="auto"/>
              </w:rPr>
            </w:pPr>
            <w:r>
              <w:rPr>
                <w:rFonts w:ascii="Courier New" w:cs="Courier New" w:eastAsia="Courier New" w:hAnsi="Courier New"/>
                <w:sz w:val="12"/>
                <w:szCs w:val="12"/>
                <w:color w:val="auto"/>
                <w:w w:val="96"/>
              </w:rPr>
              <w:t>SEE NOTES TO CONSOLIDATED FINANCIAL STATEMENTS.</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405"/>
        </w:trPr>
        <w:tc>
          <w:tcPr>
            <w:tcW w:w="3300" w:type="dxa"/>
            <w:vAlign w:val="bottom"/>
          </w:tcPr>
          <w:p>
            <w:pPr>
              <w:ind w:left="2660"/>
              <w:spacing w:after="0"/>
              <w:rPr>
                <w:sz w:val="20"/>
                <w:szCs w:val="20"/>
                <w:color w:val="auto"/>
              </w:rPr>
            </w:pPr>
            <w:r>
              <w:rPr>
                <w:rFonts w:ascii="Courier New" w:cs="Courier New" w:eastAsia="Courier New" w:hAnsi="Courier New"/>
                <w:sz w:val="12"/>
                <w:szCs w:val="12"/>
                <w:color w:val="auto"/>
              </w:rPr>
              <w:t>- 2 -</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522"/>
        </w:trPr>
        <w:tc>
          <w:tcPr>
            <w:tcW w:w="4000" w:type="dxa"/>
            <w:vAlign w:val="bottom"/>
            <w:gridSpan w:val="3"/>
          </w:tcPr>
          <w:p>
            <w:pPr>
              <w:ind w:left="1960"/>
              <w:spacing w:after="0"/>
              <w:rPr>
                <w:sz w:val="20"/>
                <w:szCs w:val="20"/>
                <w:color w:val="auto"/>
              </w:rPr>
            </w:pPr>
            <w:r>
              <w:rPr>
                <w:rFonts w:ascii="Courier New" w:cs="Courier New" w:eastAsia="Courier New" w:hAnsi="Courier New"/>
                <w:sz w:val="12"/>
                <w:szCs w:val="12"/>
                <w:color w:val="auto"/>
              </w:rPr>
              <w:t>TOWER SEMICONDUCTOR LTD.</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35"/>
        </w:trPr>
        <w:tc>
          <w:tcPr>
            <w:tcW w:w="4900" w:type="dxa"/>
            <w:vAlign w:val="bottom"/>
            <w:gridSpan w:val="5"/>
          </w:tcPr>
          <w:p>
            <w:pPr>
              <w:jc w:val="right"/>
              <w:ind w:right="81"/>
              <w:spacing w:after="0"/>
              <w:rPr>
                <w:sz w:val="20"/>
                <w:szCs w:val="20"/>
                <w:color w:val="auto"/>
              </w:rPr>
            </w:pPr>
            <w:r>
              <w:rPr>
                <w:rFonts w:ascii="Courier New" w:cs="Courier New" w:eastAsia="Courier New" w:hAnsi="Courier New"/>
                <w:sz w:val="12"/>
                <w:szCs w:val="12"/>
                <w:color w:val="auto"/>
              </w:rPr>
              <w:t>STATEMENTS OF CHANGES IN SHAREHOLDERS' EQUITY (DEFICIT)</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5"/>
        </w:trPr>
        <w:tc>
          <w:tcPr>
            <w:tcW w:w="4900" w:type="dxa"/>
            <w:vAlign w:val="bottom"/>
            <w:gridSpan w:val="5"/>
          </w:tcPr>
          <w:p>
            <w:pPr>
              <w:ind w:left="700"/>
              <w:spacing w:after="0"/>
              <w:rPr>
                <w:sz w:val="20"/>
                <w:szCs w:val="20"/>
                <w:color w:val="auto"/>
              </w:rPr>
            </w:pPr>
            <w:r>
              <w:rPr>
                <w:rFonts w:ascii="Courier New" w:cs="Courier New" w:eastAsia="Courier New" w:hAnsi="Courier New"/>
                <w:sz w:val="12"/>
                <w:szCs w:val="12"/>
                <w:color w:val="auto"/>
                <w:w w:val="96"/>
              </w:rPr>
              <w:t>(dollars in thousands, except share data and per share data)</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270"/>
        </w:trPr>
        <w:tc>
          <w:tcPr>
            <w:tcW w:w="3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jc w:val="center"/>
              <w:ind w:right="241"/>
              <w:spacing w:after="0"/>
              <w:rPr>
                <w:sz w:val="20"/>
                <w:szCs w:val="20"/>
                <w:color w:val="auto"/>
              </w:rPr>
            </w:pPr>
            <w:r>
              <w:rPr>
                <w:rFonts w:ascii="Courier New" w:cs="Courier New" w:eastAsia="Courier New" w:hAnsi="Courier New"/>
                <w:sz w:val="12"/>
                <w:szCs w:val="12"/>
                <w:color w:val="auto"/>
                <w:w w:val="97"/>
              </w:rPr>
              <w:t>EQUITY</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135"/>
        </w:trPr>
        <w:tc>
          <w:tcPr>
            <w:tcW w:w="3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20"/>
                <w:szCs w:val="20"/>
                <w:color w:val="auto"/>
              </w:rPr>
            </w:pPr>
            <w:r>
              <w:rPr>
                <w:rFonts w:ascii="Courier New" w:cs="Courier New" w:eastAsia="Courier New" w:hAnsi="Courier New"/>
                <w:sz w:val="12"/>
                <w:szCs w:val="12"/>
                <w:color w:val="auto"/>
              </w:rPr>
              <w:t>COMPONENT</w:t>
            </w: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5"/>
        </w:trPr>
        <w:tc>
          <w:tcPr>
            <w:tcW w:w="3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center"/>
              <w:ind w:right="241"/>
              <w:spacing w:after="0"/>
              <w:rPr>
                <w:sz w:val="20"/>
                <w:szCs w:val="20"/>
                <w:color w:val="auto"/>
              </w:rPr>
            </w:pPr>
            <w:r>
              <w:rPr>
                <w:rFonts w:ascii="Courier New" w:cs="Courier New" w:eastAsia="Courier New" w:hAnsi="Courier New"/>
                <w:sz w:val="12"/>
                <w:szCs w:val="12"/>
                <w:color w:val="auto"/>
                <w:w w:val="96"/>
              </w:rPr>
              <w:t>OF</w:t>
            </w: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5"/>
        </w:trPr>
        <w:tc>
          <w:tcPr>
            <w:tcW w:w="3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CONVERTIBLE</w:t>
            </w: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5"/>
        </w:trPr>
        <w:tc>
          <w:tcPr>
            <w:tcW w:w="3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20"/>
                <w:szCs w:val="20"/>
                <w:color w:val="auto"/>
              </w:rPr>
            </w:pPr>
            <w:r>
              <w:rPr>
                <w:rFonts w:ascii="Courier New" w:cs="Courier New" w:eastAsia="Courier New" w:hAnsi="Courier New"/>
                <w:sz w:val="12"/>
                <w:szCs w:val="12"/>
                <w:color w:val="auto"/>
              </w:rPr>
              <w:t>DEBENTURES</w:t>
            </w: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5"/>
        </w:trPr>
        <w:tc>
          <w:tcPr>
            <w:tcW w:w="3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right"/>
              <w:ind w:right="401"/>
              <w:spacing w:after="0"/>
              <w:rPr>
                <w:sz w:val="20"/>
                <w:szCs w:val="20"/>
                <w:color w:val="auto"/>
              </w:rPr>
            </w:pPr>
            <w:r>
              <w:rPr>
                <w:rFonts w:ascii="Courier New" w:cs="Courier New" w:eastAsia="Courier New" w:hAnsi="Courier New"/>
                <w:sz w:val="12"/>
                <w:szCs w:val="12"/>
                <w:color w:val="auto"/>
              </w:rPr>
              <w:t>AND</w:t>
            </w: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5"/>
        </w:trPr>
        <w:tc>
          <w:tcPr>
            <w:tcW w:w="3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500" w:type="dxa"/>
            <w:vAlign w:val="bottom"/>
            <w:gridSpan w:val="3"/>
          </w:tcPr>
          <w:p>
            <w:pPr>
              <w:jc w:val="right"/>
              <w:ind w:right="241"/>
              <w:spacing w:after="0"/>
              <w:rPr>
                <w:sz w:val="20"/>
                <w:szCs w:val="20"/>
                <w:color w:val="auto"/>
              </w:rPr>
            </w:pPr>
            <w:r>
              <w:rPr>
                <w:rFonts w:ascii="Courier New" w:cs="Courier New" w:eastAsia="Courier New" w:hAnsi="Courier New"/>
                <w:sz w:val="12"/>
                <w:szCs w:val="12"/>
                <w:color w:val="auto"/>
              </w:rPr>
              <w:t>ORDINARY SHARES</w:t>
            </w:r>
          </w:p>
        </w:tc>
        <w:tc>
          <w:tcPr>
            <w:tcW w:w="106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ADDITIONAL</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CUMULATIVE</w:t>
            </w: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5"/>
        </w:trPr>
        <w:tc>
          <w:tcPr>
            <w:tcW w:w="3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0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11"/>
                <w:szCs w:val="11"/>
                <w:color w:val="auto"/>
              </w:rPr>
            </w:pPr>
          </w:p>
        </w:tc>
        <w:tc>
          <w:tcPr>
            <w:tcW w:w="740" w:type="dxa"/>
            <w:vAlign w:val="bottom"/>
          </w:tcPr>
          <w:p>
            <w:pPr>
              <w:jc w:val="right"/>
              <w:ind w:right="181"/>
              <w:spacing w:after="0"/>
              <w:rPr>
                <w:sz w:val="20"/>
                <w:szCs w:val="20"/>
                <w:color w:val="auto"/>
              </w:rPr>
            </w:pPr>
            <w:r>
              <w:rPr>
                <w:rFonts w:ascii="Courier New" w:cs="Courier New" w:eastAsia="Courier New" w:hAnsi="Courier New"/>
                <w:sz w:val="12"/>
                <w:szCs w:val="12"/>
                <w:color w:val="auto"/>
                <w:w w:val="95"/>
              </w:rPr>
              <w:t>PAID-IN</w:t>
            </w:r>
          </w:p>
        </w:tc>
        <w:tc>
          <w:tcPr>
            <w:tcW w:w="220" w:type="dxa"/>
            <w:vAlign w:val="bottom"/>
          </w:tcPr>
          <w:p>
            <w:pPr>
              <w:spacing w:after="0"/>
              <w:rPr>
                <w:sz w:val="11"/>
                <w:szCs w:val="11"/>
                <w:color w:val="auto"/>
              </w:rPr>
            </w:pPr>
          </w:p>
        </w:tc>
        <w:tc>
          <w:tcPr>
            <w:tcW w:w="720" w:type="dxa"/>
            <w:vAlign w:val="bottom"/>
          </w:tcPr>
          <w:p>
            <w:pPr>
              <w:jc w:val="right"/>
              <w:ind w:right="141"/>
              <w:spacing w:after="0"/>
              <w:rPr>
                <w:sz w:val="20"/>
                <w:szCs w:val="20"/>
                <w:color w:val="auto"/>
              </w:rPr>
            </w:pPr>
            <w:r>
              <w:rPr>
                <w:rFonts w:ascii="Courier New" w:cs="Courier New" w:eastAsia="Courier New" w:hAnsi="Courier New"/>
                <w:sz w:val="12"/>
                <w:szCs w:val="12"/>
                <w:color w:val="auto"/>
                <w:w w:val="99"/>
              </w:rPr>
              <w:t>CAPITAL</w:t>
            </w:r>
          </w:p>
        </w:tc>
        <w:tc>
          <w:tcPr>
            <w:tcW w:w="110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STOCK BASED</w:t>
            </w:r>
          </w:p>
        </w:tc>
        <w:tc>
          <w:tcPr>
            <w:tcW w:w="1060" w:type="dxa"/>
            <w:vAlign w:val="bottom"/>
            <w:gridSpan w:val="2"/>
          </w:tcPr>
          <w:p>
            <w:pPr>
              <w:ind w:left="100"/>
              <w:spacing w:after="0"/>
              <w:rPr>
                <w:sz w:val="20"/>
                <w:szCs w:val="20"/>
                <w:color w:val="auto"/>
              </w:rPr>
            </w:pPr>
            <w:r>
              <w:rPr>
                <w:rFonts w:ascii="Courier New" w:cs="Courier New" w:eastAsia="Courier New" w:hAnsi="Courier New"/>
                <w:sz w:val="12"/>
                <w:szCs w:val="12"/>
                <w:color w:val="auto"/>
              </w:rPr>
              <w:t>ACCUMULATED</w:t>
            </w:r>
          </w:p>
        </w:tc>
        <w:tc>
          <w:tcPr>
            <w:tcW w:w="160" w:type="dxa"/>
            <w:vAlign w:val="bottom"/>
          </w:tcPr>
          <w:p>
            <w:pPr>
              <w:spacing w:after="0"/>
              <w:rPr>
                <w:sz w:val="11"/>
                <w:szCs w:val="11"/>
                <w:color w:val="auto"/>
              </w:rPr>
            </w:pP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w w:val="93"/>
              </w:rPr>
              <w:t>TREASURY</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5"/>
        </w:trPr>
        <w:tc>
          <w:tcPr>
            <w:tcW w:w="3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SHARES</w:t>
            </w:r>
          </w:p>
        </w:tc>
        <w:tc>
          <w:tcPr>
            <w:tcW w:w="420" w:type="dxa"/>
            <w:vAlign w:val="bottom"/>
          </w:tcPr>
          <w:p>
            <w:pPr>
              <w:spacing w:after="0"/>
              <w:rPr>
                <w:sz w:val="11"/>
                <w:szCs w:val="11"/>
                <w:color w:val="auto"/>
              </w:rPr>
            </w:pPr>
          </w:p>
        </w:tc>
        <w:tc>
          <w:tcPr>
            <w:tcW w:w="600" w:type="dxa"/>
            <w:vAlign w:val="bottom"/>
          </w:tcPr>
          <w:p>
            <w:pPr>
              <w:jc w:val="right"/>
              <w:ind w:right="101"/>
              <w:spacing w:after="0"/>
              <w:rPr>
                <w:sz w:val="20"/>
                <w:szCs w:val="20"/>
                <w:color w:val="auto"/>
              </w:rPr>
            </w:pPr>
            <w:r>
              <w:rPr>
                <w:rFonts w:ascii="Courier New" w:cs="Courier New" w:eastAsia="Courier New" w:hAnsi="Courier New"/>
                <w:sz w:val="12"/>
                <w:szCs w:val="12"/>
                <w:color w:val="auto"/>
                <w:w w:val="97"/>
              </w:rPr>
              <w:t>AMOUNT</w:t>
            </w:r>
          </w:p>
        </w:tc>
        <w:tc>
          <w:tcPr>
            <w:tcW w:w="320" w:type="dxa"/>
            <w:vAlign w:val="bottom"/>
          </w:tcPr>
          <w:p>
            <w:pPr>
              <w:spacing w:after="0"/>
              <w:rPr>
                <w:sz w:val="11"/>
                <w:szCs w:val="11"/>
                <w:color w:val="auto"/>
              </w:rPr>
            </w:pPr>
          </w:p>
        </w:tc>
        <w:tc>
          <w:tcPr>
            <w:tcW w:w="740" w:type="dxa"/>
            <w:vAlign w:val="bottom"/>
          </w:tcPr>
          <w:p>
            <w:pPr>
              <w:jc w:val="right"/>
              <w:ind w:right="181"/>
              <w:spacing w:after="0"/>
              <w:rPr>
                <w:sz w:val="20"/>
                <w:szCs w:val="20"/>
                <w:color w:val="auto"/>
              </w:rPr>
            </w:pPr>
            <w:r>
              <w:rPr>
                <w:rFonts w:ascii="Courier New" w:cs="Courier New" w:eastAsia="Courier New" w:hAnsi="Courier New"/>
                <w:sz w:val="12"/>
                <w:szCs w:val="12"/>
                <w:color w:val="auto"/>
                <w:w w:val="95"/>
              </w:rPr>
              <w:t>CAPITAL</w:t>
            </w:r>
          </w:p>
        </w:tc>
        <w:tc>
          <w:tcPr>
            <w:tcW w:w="220" w:type="dxa"/>
            <w:vAlign w:val="bottom"/>
          </w:tcPr>
          <w:p>
            <w:pPr>
              <w:spacing w:after="0"/>
              <w:rPr>
                <w:sz w:val="11"/>
                <w:szCs w:val="11"/>
                <w:color w:val="auto"/>
              </w:rPr>
            </w:pPr>
          </w:p>
        </w:tc>
        <w:tc>
          <w:tcPr>
            <w:tcW w:w="7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NOTES</w:t>
            </w:r>
          </w:p>
        </w:tc>
        <w:tc>
          <w:tcPr>
            <w:tcW w:w="1100" w:type="dxa"/>
            <w:vAlign w:val="bottom"/>
            <w:gridSpan w:val="2"/>
          </w:tcPr>
          <w:p>
            <w:pPr>
              <w:jc w:val="center"/>
              <w:ind w:right="41"/>
              <w:spacing w:after="0"/>
              <w:rPr>
                <w:sz w:val="20"/>
                <w:szCs w:val="20"/>
                <w:color w:val="auto"/>
              </w:rPr>
            </w:pPr>
            <w:r>
              <w:rPr>
                <w:rFonts w:ascii="Courier New" w:cs="Courier New" w:eastAsia="Courier New" w:hAnsi="Courier New"/>
                <w:sz w:val="12"/>
                <w:szCs w:val="12"/>
                <w:color w:val="auto"/>
                <w:w w:val="97"/>
              </w:rPr>
              <w:t>COMPENSATION</w:t>
            </w:r>
          </w:p>
        </w:tc>
        <w:tc>
          <w:tcPr>
            <w:tcW w:w="200" w:type="dxa"/>
            <w:vAlign w:val="bottom"/>
          </w:tcPr>
          <w:p>
            <w:pPr>
              <w:spacing w:after="0"/>
              <w:rPr>
                <w:sz w:val="11"/>
                <w:szCs w:val="11"/>
                <w:color w:val="auto"/>
              </w:rPr>
            </w:pPr>
          </w:p>
        </w:tc>
        <w:tc>
          <w:tcPr>
            <w:tcW w:w="86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DEFICIT</w:t>
            </w:r>
          </w:p>
        </w:tc>
        <w:tc>
          <w:tcPr>
            <w:tcW w:w="160" w:type="dxa"/>
            <w:vAlign w:val="bottom"/>
          </w:tcPr>
          <w:p>
            <w:pPr>
              <w:spacing w:after="0"/>
              <w:rPr>
                <w:sz w:val="11"/>
                <w:szCs w:val="11"/>
                <w:color w:val="auto"/>
              </w:rPr>
            </w:pPr>
          </w:p>
        </w:tc>
        <w:tc>
          <w:tcPr>
            <w:tcW w:w="88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STOCK</w:t>
            </w:r>
          </w:p>
        </w:tc>
        <w:tc>
          <w:tcPr>
            <w:tcW w:w="260" w:type="dxa"/>
            <w:vAlign w:val="bottom"/>
          </w:tcPr>
          <w:p>
            <w:pPr>
              <w:spacing w:after="0"/>
              <w:rPr>
                <w:sz w:val="11"/>
                <w:szCs w:val="11"/>
                <w:color w:val="auto"/>
              </w:rPr>
            </w:pPr>
          </w:p>
        </w:tc>
        <w:tc>
          <w:tcPr>
            <w:tcW w:w="5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TOTAL</w:t>
            </w:r>
          </w:p>
        </w:tc>
      </w:tr>
      <w:tr>
        <w:trPr>
          <w:trHeight w:val="135"/>
        </w:trPr>
        <w:tc>
          <w:tcPr>
            <w:tcW w:w="3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9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10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3300" w:type="dxa"/>
            <w:vAlign w:val="bottom"/>
          </w:tcPr>
          <w:p>
            <w:pPr>
              <w:ind w:left="420"/>
              <w:spacing w:after="0"/>
              <w:rPr>
                <w:sz w:val="20"/>
                <w:szCs w:val="20"/>
                <w:color w:val="auto"/>
              </w:rPr>
            </w:pPr>
            <w:r>
              <w:rPr>
                <w:rFonts w:ascii="Courier New" w:cs="Courier New" w:eastAsia="Courier New" w:hAnsi="Courier New"/>
                <w:sz w:val="12"/>
                <w:szCs w:val="12"/>
                <w:color w:val="auto"/>
              </w:rPr>
              <w:t>BALANCE - JANUARY 1, 2007</w:t>
            </w:r>
          </w:p>
        </w:tc>
        <w:tc>
          <w:tcPr>
            <w:tcW w:w="100" w:type="dxa"/>
            <w:vAlign w:val="bottom"/>
          </w:tcPr>
          <w:p>
            <w:pPr>
              <w:spacing w:after="0"/>
              <w:rPr>
                <w:sz w:val="23"/>
                <w:szCs w:val="23"/>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102,052,767</w:t>
            </w:r>
          </w:p>
        </w:tc>
        <w:tc>
          <w:tcPr>
            <w:tcW w:w="4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24,187</w:t>
            </w:r>
          </w:p>
        </w:tc>
        <w:tc>
          <w:tcPr>
            <w:tcW w:w="3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564,580</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1"/>
              <w:spacing w:after="0"/>
              <w:rPr>
                <w:sz w:val="20"/>
                <w:szCs w:val="20"/>
                <w:color w:val="auto"/>
              </w:rPr>
            </w:pPr>
            <w:r>
              <w:rPr>
                <w:rFonts w:ascii="Courier New" w:cs="Courier New" w:eastAsia="Courier New" w:hAnsi="Courier New"/>
                <w:sz w:val="12"/>
                <w:szCs w:val="12"/>
                <w:color w:val="auto"/>
              </w:rPr>
              <w:t>176,401</w:t>
            </w:r>
          </w:p>
        </w:tc>
        <w:tc>
          <w:tcPr>
            <w:tcW w:w="220" w:type="dxa"/>
            <w:vAlign w:val="bottom"/>
          </w:tcPr>
          <w:p>
            <w:pPr>
              <w:ind w:left="140"/>
              <w:spacing w:after="0"/>
              <w:rPr>
                <w:sz w:val="20"/>
                <w:szCs w:val="20"/>
                <w:color w:val="auto"/>
              </w:rPr>
            </w:pPr>
            <w:r>
              <w:rPr>
                <w:rFonts w:ascii="Courier New" w:cs="Courier New" w:eastAsia="Courier New" w:hAnsi="Courier New"/>
                <w:sz w:val="12"/>
                <w:szCs w:val="12"/>
                <w:color w:val="auto"/>
                <w:w w:val="82"/>
              </w:rPr>
              <w:t>$</w:t>
            </w:r>
          </w:p>
        </w:tc>
        <w:tc>
          <w:tcPr>
            <w:tcW w:w="8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23,576</w:t>
            </w:r>
          </w:p>
        </w:tc>
        <w:tc>
          <w:tcPr>
            <w:tcW w:w="200" w:type="dxa"/>
            <w:vAlign w:val="bottom"/>
          </w:tcPr>
          <w:p>
            <w:pPr>
              <w:ind w:left="100"/>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61"/>
              <w:spacing w:after="0"/>
              <w:rPr>
                <w:sz w:val="20"/>
                <w:szCs w:val="20"/>
                <w:color w:val="auto"/>
              </w:rPr>
            </w:pPr>
            <w:r>
              <w:rPr>
                <w:rFonts w:ascii="Courier New" w:cs="Courier New" w:eastAsia="Courier New" w:hAnsi="Courier New"/>
                <w:sz w:val="12"/>
                <w:szCs w:val="12"/>
                <w:color w:val="auto"/>
              </w:rPr>
              <w:t>(646,682)</w:t>
            </w:r>
          </w:p>
        </w:tc>
        <w:tc>
          <w:tcPr>
            <w:tcW w:w="1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41"/>
              <w:spacing w:after="0"/>
              <w:rPr>
                <w:sz w:val="20"/>
                <w:szCs w:val="20"/>
                <w:color w:val="auto"/>
              </w:rPr>
            </w:pPr>
            <w:r>
              <w:rPr>
                <w:rFonts w:ascii="Courier New" w:cs="Courier New" w:eastAsia="Courier New" w:hAnsi="Courier New"/>
                <w:sz w:val="12"/>
                <w:szCs w:val="12"/>
                <w:color w:val="auto"/>
              </w:rPr>
              <w:t>(9,072)</w:t>
            </w:r>
          </w:p>
        </w:tc>
        <w:tc>
          <w:tcPr>
            <w:tcW w:w="2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132,99</w:t>
            </w:r>
          </w:p>
        </w:tc>
      </w:tr>
      <w:tr>
        <w:trPr>
          <w:trHeight w:val="270"/>
        </w:trPr>
        <w:tc>
          <w:tcPr>
            <w:tcW w:w="4000" w:type="dxa"/>
            <w:vAlign w:val="bottom"/>
            <w:gridSpan w:val="3"/>
          </w:tcPr>
          <w:p>
            <w:pPr>
              <w:spacing w:after="0"/>
              <w:rPr>
                <w:sz w:val="20"/>
                <w:szCs w:val="20"/>
                <w:color w:val="auto"/>
              </w:rPr>
            </w:pPr>
            <w:r>
              <w:rPr>
                <w:rFonts w:ascii="Courier New" w:cs="Courier New" w:eastAsia="Courier New" w:hAnsi="Courier New"/>
                <w:sz w:val="12"/>
                <w:szCs w:val="12"/>
                <w:color w:val="auto"/>
              </w:rPr>
              <w:t>CHANGES DURING THE THREE-MONTH PERIOD (UNAUDITED):</w:t>
            </w: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270"/>
        </w:trPr>
        <w:tc>
          <w:tcPr>
            <w:tcW w:w="3300" w:type="dxa"/>
            <w:vAlign w:val="bottom"/>
          </w:tcPr>
          <w:p>
            <w:pPr>
              <w:spacing w:after="0"/>
              <w:rPr>
                <w:sz w:val="20"/>
                <w:szCs w:val="20"/>
                <w:color w:val="auto"/>
              </w:rPr>
            </w:pPr>
            <w:r>
              <w:rPr>
                <w:rFonts w:ascii="Courier New" w:cs="Courier New" w:eastAsia="Courier New" w:hAnsi="Courier New"/>
                <w:sz w:val="12"/>
                <w:szCs w:val="12"/>
                <w:color w:val="auto"/>
              </w:rPr>
              <w:t>ISSUANCE OF SHARES AND WARRANTS</w:t>
            </w:r>
          </w:p>
        </w:tc>
        <w:tc>
          <w:tcPr>
            <w:tcW w:w="100" w:type="dxa"/>
            <w:vAlign w:val="bottom"/>
          </w:tcPr>
          <w:p>
            <w:pPr>
              <w:spacing w:after="0"/>
              <w:rPr>
                <w:sz w:val="23"/>
                <w:szCs w:val="23"/>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19,730,545</w:t>
            </w:r>
          </w:p>
        </w:tc>
        <w:tc>
          <w:tcPr>
            <w:tcW w:w="4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4,684</w:t>
            </w:r>
          </w:p>
        </w:tc>
        <w:tc>
          <w:tcPr>
            <w:tcW w:w="320" w:type="dxa"/>
            <w:vAlign w:val="bottom"/>
          </w:tcPr>
          <w:p>
            <w:pPr>
              <w:spacing w:after="0"/>
              <w:rPr>
                <w:sz w:val="23"/>
                <w:szCs w:val="23"/>
                <w:color w:val="auto"/>
              </w:rPr>
            </w:pPr>
          </w:p>
        </w:tc>
        <w:tc>
          <w:tcPr>
            <w:tcW w:w="7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19,438</w:t>
            </w: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24,12</w:t>
            </w:r>
          </w:p>
        </w:tc>
      </w:tr>
      <w:tr>
        <w:trPr>
          <w:trHeight w:val="135"/>
        </w:trPr>
        <w:tc>
          <w:tcPr>
            <w:tcW w:w="3300" w:type="dxa"/>
            <w:vAlign w:val="bottom"/>
          </w:tcPr>
          <w:p>
            <w:pPr>
              <w:spacing w:after="0"/>
              <w:rPr>
                <w:sz w:val="20"/>
                <w:szCs w:val="20"/>
                <w:color w:val="auto"/>
              </w:rPr>
            </w:pPr>
            <w:r>
              <w:rPr>
                <w:rFonts w:ascii="Courier New" w:cs="Courier New" w:eastAsia="Courier New" w:hAnsi="Courier New"/>
                <w:sz w:val="12"/>
                <w:szCs w:val="12"/>
                <w:color w:val="auto"/>
                <w:w w:val="99"/>
              </w:rPr>
              <w:t>CONVERSION OF CONVERTIBLE DEBENTURES TO SHARES</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w w:val="91"/>
              </w:rPr>
              <w:t>398,134</w:t>
            </w:r>
          </w:p>
        </w:tc>
        <w:tc>
          <w:tcPr>
            <w:tcW w:w="4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94</w:t>
            </w:r>
          </w:p>
        </w:tc>
        <w:tc>
          <w:tcPr>
            <w:tcW w:w="320" w:type="dxa"/>
            <w:vAlign w:val="bottom"/>
          </w:tcPr>
          <w:p>
            <w:pPr>
              <w:spacing w:after="0"/>
              <w:rPr>
                <w:sz w:val="11"/>
                <w:szCs w:val="11"/>
                <w:color w:val="auto"/>
              </w:rPr>
            </w:pPr>
          </w:p>
        </w:tc>
        <w:tc>
          <w:tcPr>
            <w:tcW w:w="7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380</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(170)</w:t>
            </w: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30</w:t>
            </w:r>
          </w:p>
        </w:tc>
      </w:tr>
      <w:tr>
        <w:trPr>
          <w:trHeight w:val="135"/>
        </w:trPr>
        <w:tc>
          <w:tcPr>
            <w:tcW w:w="3300" w:type="dxa"/>
            <w:vAlign w:val="bottom"/>
          </w:tcPr>
          <w:p>
            <w:pPr>
              <w:spacing w:after="0"/>
              <w:rPr>
                <w:sz w:val="20"/>
                <w:szCs w:val="20"/>
                <w:color w:val="auto"/>
              </w:rPr>
            </w:pPr>
            <w:r>
              <w:rPr>
                <w:rFonts w:ascii="Courier New" w:cs="Courier New" w:eastAsia="Courier New" w:hAnsi="Courier New"/>
                <w:sz w:val="12"/>
                <w:szCs w:val="12"/>
                <w:color w:val="auto"/>
              </w:rPr>
              <w:t>EMPLOYEE STOCK-BASED COMPENSATION</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1,812</w:t>
            </w: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1,81</w:t>
            </w:r>
          </w:p>
        </w:tc>
      </w:tr>
      <w:tr>
        <w:trPr>
          <w:trHeight w:val="135"/>
        </w:trPr>
        <w:tc>
          <w:tcPr>
            <w:tcW w:w="3300" w:type="dxa"/>
            <w:vAlign w:val="bottom"/>
          </w:tcPr>
          <w:p>
            <w:pPr>
              <w:spacing w:after="0"/>
              <w:rPr>
                <w:sz w:val="20"/>
                <w:szCs w:val="20"/>
                <w:color w:val="auto"/>
              </w:rPr>
            </w:pPr>
            <w:r>
              <w:rPr>
                <w:rFonts w:ascii="Courier New" w:cs="Courier New" w:eastAsia="Courier New" w:hAnsi="Courier New"/>
                <w:sz w:val="12"/>
                <w:szCs w:val="12"/>
                <w:color w:val="auto"/>
              </w:rPr>
              <w:t>EXERCISE OF SHARE OPTIONS</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1,500</w:t>
            </w:r>
          </w:p>
        </w:tc>
        <w:tc>
          <w:tcPr>
            <w:tcW w:w="4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11"/>
                <w:szCs w:val="11"/>
                <w:color w:val="auto"/>
              </w:rPr>
            </w:pPr>
          </w:p>
        </w:tc>
        <w:tc>
          <w:tcPr>
            <w:tcW w:w="7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2</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5"/>
        </w:trPr>
        <w:tc>
          <w:tcPr>
            <w:tcW w:w="3300" w:type="dxa"/>
            <w:vAlign w:val="bottom"/>
          </w:tcPr>
          <w:p>
            <w:pPr>
              <w:spacing w:after="0"/>
              <w:rPr>
                <w:sz w:val="20"/>
                <w:szCs w:val="20"/>
                <w:color w:val="auto"/>
              </w:rPr>
            </w:pPr>
            <w:r>
              <w:rPr>
                <w:rFonts w:ascii="Courier New" w:cs="Courier New" w:eastAsia="Courier New" w:hAnsi="Courier New"/>
                <w:sz w:val="12"/>
                <w:szCs w:val="12"/>
                <w:color w:val="auto"/>
              </w:rPr>
              <w:t>LOSS FOR THE PERIOD</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jc w:val="right"/>
              <w:ind w:right="61"/>
              <w:spacing w:after="0"/>
              <w:rPr>
                <w:sz w:val="20"/>
                <w:szCs w:val="20"/>
                <w:color w:val="auto"/>
              </w:rPr>
            </w:pPr>
            <w:r>
              <w:rPr>
                <w:rFonts w:ascii="Courier New" w:cs="Courier New" w:eastAsia="Courier New" w:hAnsi="Courier New"/>
                <w:sz w:val="12"/>
                <w:szCs w:val="12"/>
                <w:color w:val="auto"/>
              </w:rPr>
              <w:t>(37,391)</w:t>
            </w: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(37,39</w:t>
            </w:r>
          </w:p>
        </w:tc>
      </w:tr>
      <w:tr>
        <w:trPr>
          <w:trHeight w:val="135"/>
        </w:trPr>
        <w:tc>
          <w:tcPr>
            <w:tcW w:w="3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9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10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300" w:type="dxa"/>
            <w:vAlign w:val="bottom"/>
          </w:tcPr>
          <w:p>
            <w:pPr>
              <w:ind w:left="420"/>
              <w:spacing w:after="0"/>
              <w:rPr>
                <w:sz w:val="20"/>
                <w:szCs w:val="20"/>
                <w:color w:val="auto"/>
              </w:rPr>
            </w:pPr>
            <w:r>
              <w:rPr>
                <w:rFonts w:ascii="Courier New" w:cs="Courier New" w:eastAsia="Courier New" w:hAnsi="Courier New"/>
                <w:sz w:val="12"/>
                <w:szCs w:val="12"/>
                <w:color w:val="auto"/>
              </w:rPr>
              <w:t>BALANCE - MARCH 31, 2007 (UNAUDITED)</w:t>
            </w:r>
          </w:p>
        </w:tc>
        <w:tc>
          <w:tcPr>
            <w:tcW w:w="100" w:type="dxa"/>
            <w:vAlign w:val="bottom"/>
          </w:tcPr>
          <w:p>
            <w:pPr>
              <w:spacing w:after="0"/>
              <w:rPr>
                <w:sz w:val="11"/>
                <w:szCs w:val="11"/>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122,182,946</w:t>
            </w:r>
          </w:p>
        </w:tc>
        <w:tc>
          <w:tcPr>
            <w:tcW w:w="4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28,965</w:t>
            </w:r>
          </w:p>
        </w:tc>
        <w:tc>
          <w:tcPr>
            <w:tcW w:w="3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584,400</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1"/>
              <w:spacing w:after="0"/>
              <w:rPr>
                <w:sz w:val="20"/>
                <w:szCs w:val="20"/>
                <w:color w:val="auto"/>
              </w:rPr>
            </w:pPr>
            <w:r>
              <w:rPr>
                <w:rFonts w:ascii="Courier New" w:cs="Courier New" w:eastAsia="Courier New" w:hAnsi="Courier New"/>
                <w:sz w:val="12"/>
                <w:szCs w:val="12"/>
                <w:color w:val="auto"/>
              </w:rPr>
              <w:t>176,401</w:t>
            </w:r>
          </w:p>
        </w:tc>
        <w:tc>
          <w:tcPr>
            <w:tcW w:w="220" w:type="dxa"/>
            <w:vAlign w:val="bottom"/>
          </w:tcPr>
          <w:p>
            <w:pPr>
              <w:ind w:left="140"/>
              <w:spacing w:after="0"/>
              <w:rPr>
                <w:sz w:val="20"/>
                <w:szCs w:val="20"/>
                <w:color w:val="auto"/>
              </w:rPr>
            </w:pPr>
            <w:r>
              <w:rPr>
                <w:rFonts w:ascii="Courier New" w:cs="Courier New" w:eastAsia="Courier New" w:hAnsi="Courier New"/>
                <w:sz w:val="12"/>
                <w:szCs w:val="12"/>
                <w:color w:val="auto"/>
                <w:w w:val="82"/>
              </w:rPr>
              <w:t>$</w:t>
            </w:r>
          </w:p>
        </w:tc>
        <w:tc>
          <w:tcPr>
            <w:tcW w:w="8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25,218</w:t>
            </w:r>
          </w:p>
        </w:tc>
        <w:tc>
          <w:tcPr>
            <w:tcW w:w="200" w:type="dxa"/>
            <w:vAlign w:val="bottom"/>
          </w:tcPr>
          <w:p>
            <w:pPr>
              <w:ind w:left="100"/>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61"/>
              <w:spacing w:after="0"/>
              <w:rPr>
                <w:sz w:val="20"/>
                <w:szCs w:val="20"/>
                <w:color w:val="auto"/>
              </w:rPr>
            </w:pPr>
            <w:r>
              <w:rPr>
                <w:rFonts w:ascii="Courier New" w:cs="Courier New" w:eastAsia="Courier New" w:hAnsi="Courier New"/>
                <w:sz w:val="12"/>
                <w:szCs w:val="12"/>
                <w:color w:val="auto"/>
              </w:rPr>
              <w:t>(684,073)</w:t>
            </w:r>
          </w:p>
        </w:tc>
        <w:tc>
          <w:tcPr>
            <w:tcW w:w="1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41"/>
              <w:spacing w:after="0"/>
              <w:rPr>
                <w:sz w:val="20"/>
                <w:szCs w:val="20"/>
                <w:color w:val="auto"/>
              </w:rPr>
            </w:pPr>
            <w:r>
              <w:rPr>
                <w:rFonts w:ascii="Courier New" w:cs="Courier New" w:eastAsia="Courier New" w:hAnsi="Courier New"/>
                <w:sz w:val="12"/>
                <w:szCs w:val="12"/>
                <w:color w:val="auto"/>
              </w:rPr>
              <w:t>(9,072)</w:t>
            </w:r>
          </w:p>
        </w:tc>
        <w:tc>
          <w:tcPr>
            <w:tcW w:w="2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121,83</w:t>
            </w:r>
          </w:p>
        </w:tc>
      </w:tr>
      <w:tr>
        <w:trPr>
          <w:trHeight w:val="270"/>
        </w:trPr>
        <w:tc>
          <w:tcPr>
            <w:tcW w:w="3300" w:type="dxa"/>
            <w:vAlign w:val="bottom"/>
          </w:tcPr>
          <w:p>
            <w:pPr>
              <w:ind w:left="420"/>
              <w:spacing w:after="0"/>
              <w:rPr>
                <w:sz w:val="20"/>
                <w:szCs w:val="20"/>
                <w:color w:val="auto"/>
              </w:rPr>
            </w:pPr>
            <w:r>
              <w:rPr>
                <w:rFonts w:ascii="Courier New" w:cs="Courier New" w:eastAsia="Courier New" w:hAnsi="Courier New"/>
                <w:sz w:val="12"/>
                <w:szCs w:val="12"/>
                <w:color w:val="auto"/>
              </w:rPr>
              <w:t>BALANCE - JANUARY 1, 2006</w:t>
            </w:r>
          </w:p>
        </w:tc>
        <w:tc>
          <w:tcPr>
            <w:tcW w:w="100" w:type="dxa"/>
            <w:vAlign w:val="bottom"/>
          </w:tcPr>
          <w:p>
            <w:pPr>
              <w:spacing w:after="0"/>
              <w:rPr>
                <w:sz w:val="23"/>
                <w:szCs w:val="23"/>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68,232,056</w:t>
            </w:r>
          </w:p>
        </w:tc>
        <w:tc>
          <w:tcPr>
            <w:tcW w:w="4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16,548</w:t>
            </w:r>
          </w:p>
        </w:tc>
        <w:tc>
          <w:tcPr>
            <w:tcW w:w="320" w:type="dxa"/>
            <w:vAlign w:val="bottom"/>
          </w:tcPr>
          <w:p>
            <w:pPr>
              <w:spacing w:after="0"/>
              <w:rPr>
                <w:sz w:val="23"/>
                <w:szCs w:val="23"/>
                <w:color w:val="auto"/>
              </w:rPr>
            </w:pPr>
          </w:p>
        </w:tc>
        <w:tc>
          <w:tcPr>
            <w:tcW w:w="7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522,237</w:t>
            </w:r>
          </w:p>
        </w:tc>
        <w:tc>
          <w:tcPr>
            <w:tcW w:w="220" w:type="dxa"/>
            <w:vAlign w:val="bottom"/>
          </w:tcPr>
          <w:p>
            <w:pPr>
              <w:spacing w:after="0"/>
              <w:rPr>
                <w:sz w:val="23"/>
                <w:szCs w:val="23"/>
                <w:color w:val="auto"/>
              </w:rPr>
            </w:pPr>
          </w:p>
        </w:tc>
        <w:tc>
          <w:tcPr>
            <w:tcW w:w="7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Courier New" w:cs="Courier New" w:eastAsia="Courier New" w:hAnsi="Courier New"/>
                <w:sz w:val="12"/>
                <w:szCs w:val="12"/>
                <w:color w:val="auto"/>
              </w:rPr>
              <w:t>(26)</w:t>
            </w:r>
          </w:p>
        </w:tc>
        <w:tc>
          <w:tcPr>
            <w:tcW w:w="200" w:type="dxa"/>
            <w:vAlign w:val="bottom"/>
          </w:tcPr>
          <w:p>
            <w:pPr>
              <w:spacing w:after="0"/>
              <w:rPr>
                <w:sz w:val="23"/>
                <w:szCs w:val="23"/>
                <w:color w:val="auto"/>
              </w:rPr>
            </w:pPr>
          </w:p>
        </w:tc>
        <w:tc>
          <w:tcPr>
            <w:tcW w:w="860" w:type="dxa"/>
            <w:vAlign w:val="bottom"/>
          </w:tcPr>
          <w:p>
            <w:pPr>
              <w:jc w:val="right"/>
              <w:ind w:right="61"/>
              <w:spacing w:after="0"/>
              <w:rPr>
                <w:sz w:val="20"/>
                <w:szCs w:val="20"/>
                <w:color w:val="auto"/>
              </w:rPr>
            </w:pPr>
            <w:r>
              <w:rPr>
                <w:rFonts w:ascii="Courier New" w:cs="Courier New" w:eastAsia="Courier New" w:hAnsi="Courier New"/>
                <w:sz w:val="12"/>
                <w:szCs w:val="12"/>
                <w:color w:val="auto"/>
              </w:rPr>
              <w:t>(559,754)</w:t>
            </w:r>
          </w:p>
        </w:tc>
        <w:tc>
          <w:tcPr>
            <w:tcW w:w="16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Courier New" w:cs="Courier New" w:eastAsia="Courier New" w:hAnsi="Courier New"/>
                <w:sz w:val="12"/>
                <w:szCs w:val="12"/>
                <w:color w:val="auto"/>
              </w:rPr>
              <w:t>(9,072)</w:t>
            </w:r>
          </w:p>
        </w:tc>
        <w:tc>
          <w:tcPr>
            <w:tcW w:w="2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(30,06</w:t>
            </w:r>
          </w:p>
        </w:tc>
      </w:tr>
      <w:tr>
        <w:trPr>
          <w:trHeight w:val="270"/>
        </w:trPr>
        <w:tc>
          <w:tcPr>
            <w:tcW w:w="4000" w:type="dxa"/>
            <w:vAlign w:val="bottom"/>
            <w:gridSpan w:val="3"/>
          </w:tcPr>
          <w:p>
            <w:pPr>
              <w:spacing w:after="0"/>
              <w:rPr>
                <w:sz w:val="20"/>
                <w:szCs w:val="20"/>
                <w:color w:val="auto"/>
              </w:rPr>
            </w:pPr>
            <w:r>
              <w:rPr>
                <w:rFonts w:ascii="Courier New" w:cs="Courier New" w:eastAsia="Courier New" w:hAnsi="Courier New"/>
                <w:sz w:val="12"/>
                <w:szCs w:val="12"/>
                <w:color w:val="auto"/>
              </w:rPr>
              <w:t>CHANGES DURING THE THREE-MONTH PERIOD (UNAUDITED):</w:t>
            </w: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270"/>
        </w:trPr>
        <w:tc>
          <w:tcPr>
            <w:tcW w:w="3300" w:type="dxa"/>
            <w:vAlign w:val="bottom"/>
          </w:tcPr>
          <w:p>
            <w:pPr>
              <w:spacing w:after="0"/>
              <w:rPr>
                <w:sz w:val="20"/>
                <w:szCs w:val="20"/>
                <w:color w:val="auto"/>
              </w:rPr>
            </w:pPr>
            <w:r>
              <w:rPr>
                <w:rFonts w:ascii="Courier New" w:cs="Courier New" w:eastAsia="Courier New" w:hAnsi="Courier New"/>
                <w:sz w:val="12"/>
                <w:szCs w:val="12"/>
                <w:color w:val="auto"/>
              </w:rPr>
              <w:t>ISSUANCE OF SHARES</w:t>
            </w:r>
          </w:p>
        </w:tc>
        <w:tc>
          <w:tcPr>
            <w:tcW w:w="100" w:type="dxa"/>
            <w:vAlign w:val="bottom"/>
          </w:tcPr>
          <w:p>
            <w:pPr>
              <w:spacing w:after="0"/>
              <w:rPr>
                <w:sz w:val="23"/>
                <w:szCs w:val="23"/>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2,713,396</w:t>
            </w:r>
          </w:p>
        </w:tc>
        <w:tc>
          <w:tcPr>
            <w:tcW w:w="4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579</w:t>
            </w:r>
          </w:p>
        </w:tc>
        <w:tc>
          <w:tcPr>
            <w:tcW w:w="320" w:type="dxa"/>
            <w:vAlign w:val="bottom"/>
          </w:tcPr>
          <w:p>
            <w:pPr>
              <w:spacing w:after="0"/>
              <w:rPr>
                <w:sz w:val="23"/>
                <w:szCs w:val="23"/>
                <w:color w:val="auto"/>
              </w:rPr>
            </w:pPr>
          </w:p>
        </w:tc>
        <w:tc>
          <w:tcPr>
            <w:tcW w:w="7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3,708</w:t>
            </w: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4,28</w:t>
            </w:r>
          </w:p>
        </w:tc>
      </w:tr>
      <w:tr>
        <w:trPr>
          <w:trHeight w:val="135"/>
        </w:trPr>
        <w:tc>
          <w:tcPr>
            <w:tcW w:w="3300" w:type="dxa"/>
            <w:vAlign w:val="bottom"/>
          </w:tcPr>
          <w:p>
            <w:pPr>
              <w:spacing w:after="0"/>
              <w:rPr>
                <w:sz w:val="20"/>
                <w:szCs w:val="20"/>
                <w:color w:val="auto"/>
              </w:rPr>
            </w:pPr>
            <w:r>
              <w:rPr>
                <w:rFonts w:ascii="Courier New" w:cs="Courier New" w:eastAsia="Courier New" w:hAnsi="Courier New"/>
                <w:sz w:val="12"/>
                <w:szCs w:val="12"/>
                <w:color w:val="auto"/>
              </w:rPr>
              <w:t>EQUITY COMPONENT OF CONVERTIBLE DEBENTURES</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21,979</w:t>
            </w: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21,97</w:t>
            </w:r>
          </w:p>
        </w:tc>
      </w:tr>
      <w:tr>
        <w:trPr>
          <w:trHeight w:val="135"/>
        </w:trPr>
        <w:tc>
          <w:tcPr>
            <w:tcW w:w="3300" w:type="dxa"/>
            <w:vAlign w:val="bottom"/>
          </w:tcPr>
          <w:p>
            <w:pPr>
              <w:spacing w:after="0"/>
              <w:rPr>
                <w:sz w:val="20"/>
                <w:szCs w:val="20"/>
                <w:color w:val="auto"/>
              </w:rPr>
            </w:pPr>
            <w:r>
              <w:rPr>
                <w:rFonts w:ascii="Courier New" w:cs="Courier New" w:eastAsia="Courier New" w:hAnsi="Courier New"/>
                <w:sz w:val="12"/>
                <w:szCs w:val="12"/>
                <w:color w:val="auto"/>
                <w:w w:val="99"/>
              </w:rPr>
              <w:t>CONVERSION OF CONVERTIBLE DEBENTURES TO SHARES</w:t>
            </w:r>
          </w:p>
        </w:tc>
        <w:tc>
          <w:tcPr>
            <w:tcW w:w="100" w:type="dxa"/>
            <w:vAlign w:val="bottom"/>
          </w:tcPr>
          <w:p>
            <w:pPr>
              <w:spacing w:after="0"/>
              <w:rPr>
                <w:sz w:val="11"/>
                <w:szCs w:val="11"/>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6,000,737</w:t>
            </w:r>
          </w:p>
        </w:tc>
        <w:tc>
          <w:tcPr>
            <w:tcW w:w="4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1,276</w:t>
            </w:r>
          </w:p>
        </w:tc>
        <w:tc>
          <w:tcPr>
            <w:tcW w:w="320" w:type="dxa"/>
            <w:vAlign w:val="bottom"/>
          </w:tcPr>
          <w:p>
            <w:pPr>
              <w:spacing w:after="0"/>
              <w:rPr>
                <w:sz w:val="11"/>
                <w:szCs w:val="11"/>
                <w:color w:val="auto"/>
              </w:rPr>
            </w:pPr>
          </w:p>
        </w:tc>
        <w:tc>
          <w:tcPr>
            <w:tcW w:w="7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5,178</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right"/>
              <w:ind w:right="41"/>
              <w:spacing w:after="0"/>
              <w:rPr>
                <w:sz w:val="20"/>
                <w:szCs w:val="20"/>
                <w:color w:val="auto"/>
              </w:rPr>
            </w:pPr>
            <w:r>
              <w:rPr>
                <w:rFonts w:ascii="Courier New" w:cs="Courier New" w:eastAsia="Courier New" w:hAnsi="Courier New"/>
                <w:sz w:val="12"/>
                <w:szCs w:val="12"/>
                <w:color w:val="auto"/>
              </w:rPr>
              <w:t>(2,782)</w:t>
            </w: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3,67</w:t>
            </w:r>
          </w:p>
        </w:tc>
      </w:tr>
      <w:tr>
        <w:trPr>
          <w:trHeight w:val="135"/>
        </w:trPr>
        <w:tc>
          <w:tcPr>
            <w:tcW w:w="3300" w:type="dxa"/>
            <w:vAlign w:val="bottom"/>
          </w:tcPr>
          <w:p>
            <w:pPr>
              <w:spacing w:after="0"/>
              <w:rPr>
                <w:sz w:val="20"/>
                <w:szCs w:val="20"/>
                <w:color w:val="auto"/>
              </w:rPr>
            </w:pPr>
            <w:r>
              <w:rPr>
                <w:rFonts w:ascii="Courier New" w:cs="Courier New" w:eastAsia="Courier New" w:hAnsi="Courier New"/>
                <w:sz w:val="12"/>
                <w:szCs w:val="12"/>
                <w:color w:val="auto"/>
              </w:rPr>
              <w:t>EMPLOYEE STOCK-BASED COMPENSATION</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379</w:t>
            </w: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37</w:t>
            </w:r>
          </w:p>
        </w:tc>
      </w:tr>
      <w:tr>
        <w:trPr>
          <w:trHeight w:val="135"/>
        </w:trPr>
        <w:tc>
          <w:tcPr>
            <w:tcW w:w="3300" w:type="dxa"/>
            <w:vAlign w:val="bottom"/>
          </w:tcPr>
          <w:p>
            <w:pPr>
              <w:spacing w:after="0"/>
              <w:rPr>
                <w:sz w:val="20"/>
                <w:szCs w:val="20"/>
                <w:color w:val="auto"/>
              </w:rPr>
            </w:pPr>
            <w:r>
              <w:rPr>
                <w:rFonts w:ascii="Courier New" w:cs="Courier New" w:eastAsia="Courier New" w:hAnsi="Courier New"/>
                <w:sz w:val="12"/>
                <w:szCs w:val="12"/>
                <w:color w:val="auto"/>
              </w:rPr>
              <w:t>LOSS FOR THE PERIOD</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jc w:val="right"/>
              <w:ind w:right="61"/>
              <w:spacing w:after="0"/>
              <w:rPr>
                <w:sz w:val="20"/>
                <w:szCs w:val="20"/>
                <w:color w:val="auto"/>
              </w:rPr>
            </w:pPr>
            <w:r>
              <w:rPr>
                <w:rFonts w:ascii="Courier New" w:cs="Courier New" w:eastAsia="Courier New" w:hAnsi="Courier New"/>
                <w:sz w:val="12"/>
                <w:szCs w:val="12"/>
                <w:color w:val="auto"/>
              </w:rPr>
              <w:t>(45,056)</w:t>
            </w: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(45,05</w:t>
            </w:r>
          </w:p>
        </w:tc>
      </w:tr>
      <w:tr>
        <w:trPr>
          <w:trHeight w:val="135"/>
        </w:trPr>
        <w:tc>
          <w:tcPr>
            <w:tcW w:w="3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9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10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300" w:type="dxa"/>
            <w:vAlign w:val="bottom"/>
          </w:tcPr>
          <w:p>
            <w:pPr>
              <w:ind w:left="420"/>
              <w:spacing w:after="0"/>
              <w:rPr>
                <w:sz w:val="20"/>
                <w:szCs w:val="20"/>
                <w:color w:val="auto"/>
              </w:rPr>
            </w:pPr>
            <w:r>
              <w:rPr>
                <w:rFonts w:ascii="Courier New" w:cs="Courier New" w:eastAsia="Courier New" w:hAnsi="Courier New"/>
                <w:sz w:val="12"/>
                <w:szCs w:val="12"/>
                <w:color w:val="auto"/>
              </w:rPr>
              <w:t>BALANCE - MARCH 31, 2006 (UNAUDITED)</w:t>
            </w:r>
          </w:p>
        </w:tc>
        <w:tc>
          <w:tcPr>
            <w:tcW w:w="100" w:type="dxa"/>
            <w:vAlign w:val="bottom"/>
          </w:tcPr>
          <w:p>
            <w:pPr>
              <w:spacing w:after="0"/>
              <w:rPr>
                <w:sz w:val="11"/>
                <w:szCs w:val="11"/>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76,946,189</w:t>
            </w:r>
          </w:p>
        </w:tc>
        <w:tc>
          <w:tcPr>
            <w:tcW w:w="4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18,403</w:t>
            </w:r>
          </w:p>
        </w:tc>
        <w:tc>
          <w:tcPr>
            <w:tcW w:w="3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531,123</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2"/>
                <w:szCs w:val="12"/>
                <w:color w:val="auto"/>
                <w:w w:val="82"/>
              </w:rPr>
              <w:t>$</w:t>
            </w:r>
          </w:p>
        </w:tc>
        <w:tc>
          <w:tcPr>
            <w:tcW w:w="8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19,550</w:t>
            </w:r>
          </w:p>
        </w:tc>
        <w:tc>
          <w:tcPr>
            <w:tcW w:w="200" w:type="dxa"/>
            <w:vAlign w:val="bottom"/>
          </w:tcPr>
          <w:p>
            <w:pPr>
              <w:ind w:left="100"/>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61"/>
              <w:spacing w:after="0"/>
              <w:rPr>
                <w:sz w:val="20"/>
                <w:szCs w:val="20"/>
                <w:color w:val="auto"/>
              </w:rPr>
            </w:pPr>
            <w:r>
              <w:rPr>
                <w:rFonts w:ascii="Courier New" w:cs="Courier New" w:eastAsia="Courier New" w:hAnsi="Courier New"/>
                <w:sz w:val="12"/>
                <w:szCs w:val="12"/>
                <w:color w:val="auto"/>
              </w:rPr>
              <w:t>(604,810)</w:t>
            </w:r>
          </w:p>
        </w:tc>
        <w:tc>
          <w:tcPr>
            <w:tcW w:w="1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41"/>
              <w:spacing w:after="0"/>
              <w:rPr>
                <w:sz w:val="20"/>
                <w:szCs w:val="20"/>
                <w:color w:val="auto"/>
              </w:rPr>
            </w:pPr>
            <w:r>
              <w:rPr>
                <w:rFonts w:ascii="Courier New" w:cs="Courier New" w:eastAsia="Courier New" w:hAnsi="Courier New"/>
                <w:sz w:val="12"/>
                <w:szCs w:val="12"/>
                <w:color w:val="auto"/>
              </w:rPr>
              <w:t>(9,072)</w:t>
            </w:r>
          </w:p>
        </w:tc>
        <w:tc>
          <w:tcPr>
            <w:tcW w:w="2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(44,80</w:t>
            </w:r>
          </w:p>
        </w:tc>
      </w:tr>
      <w:tr>
        <w:trPr>
          <w:trHeight w:val="270"/>
        </w:trPr>
        <w:tc>
          <w:tcPr>
            <w:tcW w:w="3300" w:type="dxa"/>
            <w:vAlign w:val="bottom"/>
          </w:tcPr>
          <w:p>
            <w:pPr>
              <w:ind w:left="420"/>
              <w:spacing w:after="0"/>
              <w:rPr>
                <w:sz w:val="20"/>
                <w:szCs w:val="20"/>
                <w:color w:val="auto"/>
              </w:rPr>
            </w:pPr>
            <w:r>
              <w:rPr>
                <w:rFonts w:ascii="Courier New" w:cs="Courier New" w:eastAsia="Courier New" w:hAnsi="Courier New"/>
                <w:sz w:val="12"/>
                <w:szCs w:val="12"/>
                <w:color w:val="auto"/>
              </w:rPr>
              <w:t>BALANCE - JANUARY 1, 2006</w:t>
            </w:r>
          </w:p>
        </w:tc>
        <w:tc>
          <w:tcPr>
            <w:tcW w:w="100" w:type="dxa"/>
            <w:vAlign w:val="bottom"/>
          </w:tcPr>
          <w:p>
            <w:pPr>
              <w:spacing w:after="0"/>
              <w:rPr>
                <w:sz w:val="23"/>
                <w:szCs w:val="23"/>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68,232,056</w:t>
            </w:r>
          </w:p>
        </w:tc>
        <w:tc>
          <w:tcPr>
            <w:tcW w:w="4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16,548</w:t>
            </w:r>
          </w:p>
        </w:tc>
        <w:tc>
          <w:tcPr>
            <w:tcW w:w="3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522,237</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2"/>
                <w:szCs w:val="12"/>
                <w:color w:val="auto"/>
                <w:w w:val="82"/>
              </w:rPr>
              <w:t>$</w:t>
            </w:r>
          </w:p>
        </w:tc>
        <w:tc>
          <w:tcPr>
            <w:tcW w:w="880" w:type="dxa"/>
            <w:vAlign w:val="bottom"/>
          </w:tcPr>
          <w:p>
            <w:pPr>
              <w:jc w:val="right"/>
              <w:ind w:right="41"/>
              <w:spacing w:after="0"/>
              <w:rPr>
                <w:sz w:val="20"/>
                <w:szCs w:val="20"/>
                <w:color w:val="auto"/>
              </w:rPr>
            </w:pPr>
            <w:r>
              <w:rPr>
                <w:rFonts w:ascii="Courier New" w:cs="Courier New" w:eastAsia="Courier New" w:hAnsi="Courier New"/>
                <w:sz w:val="12"/>
                <w:szCs w:val="12"/>
                <w:color w:val="auto"/>
              </w:rPr>
              <w:t>(26)</w:t>
            </w:r>
          </w:p>
        </w:tc>
        <w:tc>
          <w:tcPr>
            <w:tcW w:w="200" w:type="dxa"/>
            <w:vAlign w:val="bottom"/>
          </w:tcPr>
          <w:p>
            <w:pPr>
              <w:ind w:left="100"/>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61"/>
              <w:spacing w:after="0"/>
              <w:rPr>
                <w:sz w:val="20"/>
                <w:szCs w:val="20"/>
                <w:color w:val="auto"/>
              </w:rPr>
            </w:pPr>
            <w:r>
              <w:rPr>
                <w:rFonts w:ascii="Courier New" w:cs="Courier New" w:eastAsia="Courier New" w:hAnsi="Courier New"/>
                <w:sz w:val="12"/>
                <w:szCs w:val="12"/>
                <w:color w:val="auto"/>
              </w:rPr>
              <w:t>(559,754)</w:t>
            </w:r>
          </w:p>
        </w:tc>
        <w:tc>
          <w:tcPr>
            <w:tcW w:w="1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41"/>
              <w:spacing w:after="0"/>
              <w:rPr>
                <w:sz w:val="20"/>
                <w:szCs w:val="20"/>
                <w:color w:val="auto"/>
              </w:rPr>
            </w:pPr>
            <w:r>
              <w:rPr>
                <w:rFonts w:ascii="Courier New" w:cs="Courier New" w:eastAsia="Courier New" w:hAnsi="Courier New"/>
                <w:sz w:val="12"/>
                <w:szCs w:val="12"/>
                <w:color w:val="auto"/>
              </w:rPr>
              <w:t>(9,072)</w:t>
            </w:r>
          </w:p>
        </w:tc>
        <w:tc>
          <w:tcPr>
            <w:tcW w:w="2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(30,06</w:t>
            </w:r>
          </w:p>
        </w:tc>
      </w:tr>
      <w:tr>
        <w:trPr>
          <w:trHeight w:val="270"/>
        </w:trPr>
        <w:tc>
          <w:tcPr>
            <w:tcW w:w="3300" w:type="dxa"/>
            <w:vAlign w:val="bottom"/>
          </w:tcPr>
          <w:p>
            <w:pPr>
              <w:spacing w:after="0"/>
              <w:rPr>
                <w:sz w:val="20"/>
                <w:szCs w:val="20"/>
                <w:color w:val="auto"/>
              </w:rPr>
            </w:pPr>
            <w:r>
              <w:rPr>
                <w:rFonts w:ascii="Courier New" w:cs="Courier New" w:eastAsia="Courier New" w:hAnsi="Courier New"/>
                <w:sz w:val="12"/>
                <w:szCs w:val="12"/>
                <w:color w:val="auto"/>
              </w:rPr>
              <w:t>CHANGES DURING 2006 :</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135"/>
        </w:trPr>
        <w:tc>
          <w:tcPr>
            <w:tcW w:w="3300" w:type="dxa"/>
            <w:vAlign w:val="bottom"/>
          </w:tcPr>
          <w:p>
            <w:pPr>
              <w:spacing w:after="0"/>
              <w:rPr>
                <w:sz w:val="20"/>
                <w:szCs w:val="20"/>
                <w:color w:val="auto"/>
              </w:rPr>
            </w:pPr>
            <w:r>
              <w:rPr>
                <w:rFonts w:ascii="Courier New" w:cs="Courier New" w:eastAsia="Courier New" w:hAnsi="Courier New"/>
                <w:sz w:val="12"/>
                <w:szCs w:val="12"/>
                <w:color w:val="auto"/>
              </w:rPr>
              <w:t>ISSUANCE OF SHARES</w:t>
            </w:r>
          </w:p>
        </w:tc>
        <w:tc>
          <w:tcPr>
            <w:tcW w:w="100" w:type="dxa"/>
            <w:vAlign w:val="bottom"/>
          </w:tcPr>
          <w:p>
            <w:pPr>
              <w:spacing w:after="0"/>
              <w:rPr>
                <w:sz w:val="11"/>
                <w:szCs w:val="11"/>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16,729,145</w:t>
            </w:r>
          </w:p>
        </w:tc>
        <w:tc>
          <w:tcPr>
            <w:tcW w:w="4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3,860</w:t>
            </w:r>
          </w:p>
        </w:tc>
        <w:tc>
          <w:tcPr>
            <w:tcW w:w="320" w:type="dxa"/>
            <w:vAlign w:val="bottom"/>
          </w:tcPr>
          <w:p>
            <w:pPr>
              <w:spacing w:after="0"/>
              <w:rPr>
                <w:sz w:val="11"/>
                <w:szCs w:val="11"/>
                <w:color w:val="auto"/>
              </w:rPr>
            </w:pPr>
          </w:p>
        </w:tc>
        <w:tc>
          <w:tcPr>
            <w:tcW w:w="7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21,235</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25,09</w:t>
            </w:r>
          </w:p>
        </w:tc>
      </w:tr>
      <w:tr>
        <w:trPr>
          <w:trHeight w:val="135"/>
        </w:trPr>
        <w:tc>
          <w:tcPr>
            <w:tcW w:w="3300" w:type="dxa"/>
            <w:vAlign w:val="bottom"/>
          </w:tcPr>
          <w:p>
            <w:pPr>
              <w:spacing w:after="0"/>
              <w:rPr>
                <w:sz w:val="20"/>
                <w:szCs w:val="20"/>
                <w:color w:val="auto"/>
              </w:rPr>
            </w:pPr>
            <w:r>
              <w:rPr>
                <w:rFonts w:ascii="Courier New" w:cs="Courier New" w:eastAsia="Courier New" w:hAnsi="Courier New"/>
                <w:sz w:val="12"/>
                <w:szCs w:val="12"/>
                <w:color w:val="auto"/>
              </w:rPr>
              <w:t>EQUITY COMPONENT OF CONVERTIBLE DEBENTURES</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27,997</w:t>
            </w: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27,99</w:t>
            </w:r>
          </w:p>
        </w:tc>
      </w:tr>
      <w:tr>
        <w:trPr>
          <w:trHeight w:val="135"/>
        </w:trPr>
        <w:tc>
          <w:tcPr>
            <w:tcW w:w="3300" w:type="dxa"/>
            <w:vAlign w:val="bottom"/>
          </w:tcPr>
          <w:p>
            <w:pPr>
              <w:spacing w:after="0"/>
              <w:rPr>
                <w:sz w:val="20"/>
                <w:szCs w:val="20"/>
                <w:color w:val="auto"/>
              </w:rPr>
            </w:pPr>
            <w:r>
              <w:rPr>
                <w:rFonts w:ascii="Courier New" w:cs="Courier New" w:eastAsia="Courier New" w:hAnsi="Courier New"/>
                <w:sz w:val="12"/>
                <w:szCs w:val="12"/>
                <w:color w:val="auto"/>
                <w:w w:val="99"/>
              </w:rPr>
              <w:t>CONVERSION OF CONVERTIBLE DEBENTURES TO SHARES</w:t>
            </w:r>
          </w:p>
        </w:tc>
        <w:tc>
          <w:tcPr>
            <w:tcW w:w="100" w:type="dxa"/>
            <w:vAlign w:val="bottom"/>
          </w:tcPr>
          <w:p>
            <w:pPr>
              <w:spacing w:after="0"/>
              <w:rPr>
                <w:sz w:val="11"/>
                <w:szCs w:val="11"/>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16,734,316</w:t>
            </w:r>
          </w:p>
        </w:tc>
        <w:tc>
          <w:tcPr>
            <w:tcW w:w="4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3,696</w:t>
            </w:r>
          </w:p>
        </w:tc>
        <w:tc>
          <w:tcPr>
            <w:tcW w:w="320" w:type="dxa"/>
            <w:vAlign w:val="bottom"/>
          </w:tcPr>
          <w:p>
            <w:pPr>
              <w:spacing w:after="0"/>
              <w:rPr>
                <w:sz w:val="11"/>
                <w:szCs w:val="11"/>
                <w:color w:val="auto"/>
              </w:rPr>
            </w:pPr>
          </w:p>
        </w:tc>
        <w:tc>
          <w:tcPr>
            <w:tcW w:w="7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14,681</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right"/>
              <w:ind w:right="41"/>
              <w:spacing w:after="0"/>
              <w:rPr>
                <w:sz w:val="20"/>
                <w:szCs w:val="20"/>
                <w:color w:val="auto"/>
              </w:rPr>
            </w:pPr>
            <w:r>
              <w:rPr>
                <w:rFonts w:ascii="Courier New" w:cs="Courier New" w:eastAsia="Courier New" w:hAnsi="Courier New"/>
                <w:sz w:val="12"/>
                <w:szCs w:val="12"/>
                <w:color w:val="auto"/>
              </w:rPr>
              <w:t>(7,758)</w:t>
            </w: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10,61</w:t>
            </w:r>
          </w:p>
        </w:tc>
      </w:tr>
      <w:tr>
        <w:trPr>
          <w:trHeight w:val="135"/>
        </w:trPr>
        <w:tc>
          <w:tcPr>
            <w:tcW w:w="3300" w:type="dxa"/>
            <w:vAlign w:val="bottom"/>
          </w:tcPr>
          <w:p>
            <w:pPr>
              <w:spacing w:after="0"/>
              <w:rPr>
                <w:sz w:val="20"/>
                <w:szCs w:val="20"/>
                <w:color w:val="auto"/>
              </w:rPr>
            </w:pPr>
            <w:r>
              <w:rPr>
                <w:rFonts w:ascii="Courier New" w:cs="Courier New" w:eastAsia="Courier New" w:hAnsi="Courier New"/>
                <w:sz w:val="12"/>
                <w:szCs w:val="12"/>
                <w:color w:val="auto"/>
              </w:rPr>
              <w:t>ISSUANCE OF WARRANTS</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1,803</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1,80</w:t>
            </w:r>
          </w:p>
        </w:tc>
      </w:tr>
      <w:tr>
        <w:trPr>
          <w:trHeight w:val="135"/>
        </w:trPr>
        <w:tc>
          <w:tcPr>
            <w:tcW w:w="3300" w:type="dxa"/>
            <w:vAlign w:val="bottom"/>
          </w:tcPr>
          <w:p>
            <w:pPr>
              <w:spacing w:after="0"/>
              <w:rPr>
                <w:sz w:val="20"/>
                <w:szCs w:val="20"/>
                <w:color w:val="auto"/>
              </w:rPr>
            </w:pPr>
            <w:r>
              <w:rPr>
                <w:rFonts w:ascii="Courier New" w:cs="Courier New" w:eastAsia="Courier New" w:hAnsi="Courier New"/>
                <w:sz w:val="12"/>
                <w:szCs w:val="12"/>
                <w:color w:val="auto"/>
              </w:rPr>
              <w:t>EMPLOYEE STOCK-BASED COMPENSATION</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3,363</w:t>
            </w: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3,36</w:t>
            </w:r>
          </w:p>
        </w:tc>
      </w:tr>
      <w:tr>
        <w:trPr>
          <w:trHeight w:val="135"/>
        </w:trPr>
        <w:tc>
          <w:tcPr>
            <w:tcW w:w="3300" w:type="dxa"/>
            <w:vAlign w:val="bottom"/>
          </w:tcPr>
          <w:p>
            <w:pPr>
              <w:spacing w:after="0"/>
              <w:rPr>
                <w:sz w:val="20"/>
                <w:szCs w:val="20"/>
                <w:color w:val="auto"/>
              </w:rPr>
            </w:pPr>
            <w:r>
              <w:rPr>
                <w:rFonts w:ascii="Courier New" w:cs="Courier New" w:eastAsia="Courier New" w:hAnsi="Courier New"/>
                <w:sz w:val="12"/>
                <w:szCs w:val="12"/>
                <w:color w:val="auto"/>
              </w:rPr>
              <w:t>EXERCISE OF OPTIONS</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7,250</w:t>
            </w:r>
          </w:p>
        </w:tc>
        <w:tc>
          <w:tcPr>
            <w:tcW w:w="4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2</w:t>
            </w:r>
          </w:p>
        </w:tc>
        <w:tc>
          <w:tcPr>
            <w:tcW w:w="320" w:type="dxa"/>
            <w:vAlign w:val="bottom"/>
          </w:tcPr>
          <w:p>
            <w:pPr>
              <w:spacing w:after="0"/>
              <w:rPr>
                <w:sz w:val="11"/>
                <w:szCs w:val="11"/>
                <w:color w:val="auto"/>
              </w:rPr>
            </w:pPr>
          </w:p>
        </w:tc>
        <w:tc>
          <w:tcPr>
            <w:tcW w:w="7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9</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1</w:t>
            </w:r>
          </w:p>
        </w:tc>
      </w:tr>
      <w:tr>
        <w:trPr>
          <w:trHeight w:val="135"/>
        </w:trPr>
        <w:tc>
          <w:tcPr>
            <w:tcW w:w="3300" w:type="dxa"/>
            <w:vAlign w:val="bottom"/>
          </w:tcPr>
          <w:p>
            <w:pPr>
              <w:spacing w:after="0"/>
              <w:rPr>
                <w:sz w:val="20"/>
                <w:szCs w:val="20"/>
                <w:color w:val="auto"/>
              </w:rPr>
            </w:pPr>
            <w:r>
              <w:rPr>
                <w:rFonts w:ascii="Courier New" w:cs="Courier New" w:eastAsia="Courier New" w:hAnsi="Courier New"/>
                <w:sz w:val="12"/>
                <w:szCs w:val="12"/>
                <w:color w:val="auto"/>
              </w:rPr>
              <w:t>EXERCISE OF WARRANTS</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w w:val="91"/>
              </w:rPr>
              <w:t>350,000</w:t>
            </w:r>
          </w:p>
        </w:tc>
        <w:tc>
          <w:tcPr>
            <w:tcW w:w="4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81</w:t>
            </w:r>
          </w:p>
        </w:tc>
        <w:tc>
          <w:tcPr>
            <w:tcW w:w="320" w:type="dxa"/>
            <w:vAlign w:val="bottom"/>
          </w:tcPr>
          <w:p>
            <w:pPr>
              <w:spacing w:after="0"/>
              <w:rPr>
                <w:sz w:val="11"/>
                <w:szCs w:val="11"/>
                <w:color w:val="auto"/>
              </w:rPr>
            </w:pPr>
          </w:p>
        </w:tc>
        <w:tc>
          <w:tcPr>
            <w:tcW w:w="7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469</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55</w:t>
            </w:r>
          </w:p>
        </w:tc>
      </w:tr>
      <w:tr>
        <w:trPr>
          <w:trHeight w:val="135"/>
        </w:trPr>
        <w:tc>
          <w:tcPr>
            <w:tcW w:w="3300" w:type="dxa"/>
            <w:vAlign w:val="bottom"/>
          </w:tcPr>
          <w:p>
            <w:pPr>
              <w:spacing w:after="0"/>
              <w:rPr>
                <w:sz w:val="20"/>
                <w:szCs w:val="20"/>
                <w:color w:val="auto"/>
              </w:rPr>
            </w:pPr>
            <w:r>
              <w:rPr>
                <w:rFonts w:ascii="Courier New" w:cs="Courier New" w:eastAsia="Courier New" w:hAnsi="Courier New"/>
                <w:sz w:val="12"/>
                <w:szCs w:val="12"/>
                <w:color w:val="auto"/>
              </w:rPr>
              <w:t>STOCK-BASED COMPENSATION RELATED TO</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5"/>
        </w:trPr>
        <w:tc>
          <w:tcPr>
            <w:tcW w:w="3300" w:type="dxa"/>
            <w:vAlign w:val="bottom"/>
          </w:tcPr>
          <w:p>
            <w:pPr>
              <w:ind w:left="280"/>
              <w:spacing w:after="0"/>
              <w:rPr>
                <w:sz w:val="20"/>
                <w:szCs w:val="20"/>
                <w:color w:val="auto"/>
              </w:rPr>
            </w:pPr>
            <w:r>
              <w:rPr>
                <w:rFonts w:ascii="Courier New" w:cs="Courier New" w:eastAsia="Courier New" w:hAnsi="Courier New"/>
                <w:sz w:val="12"/>
                <w:szCs w:val="12"/>
                <w:color w:val="auto"/>
              </w:rPr>
              <w:t>THE FACILITY AGREEMENT WITH THE BANKS</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4,146</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4,14</w:t>
            </w:r>
          </w:p>
        </w:tc>
      </w:tr>
      <w:tr>
        <w:trPr>
          <w:trHeight w:val="135"/>
        </w:trPr>
        <w:tc>
          <w:tcPr>
            <w:tcW w:w="3300" w:type="dxa"/>
            <w:vAlign w:val="bottom"/>
          </w:tcPr>
          <w:p>
            <w:pPr>
              <w:spacing w:after="0"/>
              <w:rPr>
                <w:sz w:val="20"/>
                <w:szCs w:val="20"/>
                <w:color w:val="auto"/>
              </w:rPr>
            </w:pPr>
            <w:r>
              <w:rPr>
                <w:rFonts w:ascii="Courier New" w:cs="Courier New" w:eastAsia="Courier New" w:hAnsi="Courier New"/>
                <w:sz w:val="12"/>
                <w:szCs w:val="12"/>
                <w:color w:val="auto"/>
              </w:rPr>
              <w:t>CAPITAL NOTES</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ind w:right="1"/>
              <w:spacing w:after="0"/>
              <w:rPr>
                <w:sz w:val="20"/>
                <w:szCs w:val="20"/>
                <w:color w:val="auto"/>
              </w:rPr>
            </w:pPr>
            <w:r>
              <w:rPr>
                <w:rFonts w:ascii="Courier New" w:cs="Courier New" w:eastAsia="Courier New" w:hAnsi="Courier New"/>
                <w:sz w:val="12"/>
                <w:szCs w:val="12"/>
                <w:color w:val="auto"/>
              </w:rPr>
              <w:t>176,401</w:t>
            </w: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176,40</w:t>
            </w:r>
          </w:p>
        </w:tc>
      </w:tr>
      <w:tr>
        <w:trPr>
          <w:trHeight w:val="135"/>
        </w:trPr>
        <w:tc>
          <w:tcPr>
            <w:tcW w:w="3300" w:type="dxa"/>
            <w:vAlign w:val="bottom"/>
          </w:tcPr>
          <w:p>
            <w:pPr>
              <w:spacing w:after="0"/>
              <w:rPr>
                <w:sz w:val="20"/>
                <w:szCs w:val="20"/>
                <w:color w:val="auto"/>
              </w:rPr>
            </w:pPr>
            <w:r>
              <w:rPr>
                <w:rFonts w:ascii="Courier New" w:cs="Courier New" w:eastAsia="Courier New" w:hAnsi="Courier New"/>
                <w:sz w:val="12"/>
                <w:szCs w:val="12"/>
                <w:color w:val="auto"/>
              </w:rPr>
              <w:t>LOSS FOR THE YEAR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jc w:val="right"/>
              <w:ind w:right="61"/>
              <w:spacing w:after="0"/>
              <w:rPr>
                <w:sz w:val="20"/>
                <w:szCs w:val="20"/>
                <w:color w:val="auto"/>
              </w:rPr>
            </w:pPr>
            <w:r>
              <w:rPr>
                <w:rFonts w:ascii="Courier New" w:cs="Courier New" w:eastAsia="Courier New" w:hAnsi="Courier New"/>
                <w:sz w:val="12"/>
                <w:szCs w:val="12"/>
                <w:color w:val="auto"/>
              </w:rPr>
              <w:t>(86,928)</w:t>
            </w: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(86,92</w:t>
            </w:r>
          </w:p>
        </w:tc>
      </w:tr>
      <w:tr>
        <w:trPr>
          <w:trHeight w:val="135"/>
        </w:trPr>
        <w:tc>
          <w:tcPr>
            <w:tcW w:w="3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9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10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300" w:type="dxa"/>
            <w:vAlign w:val="bottom"/>
          </w:tcPr>
          <w:p>
            <w:pPr>
              <w:ind w:left="420"/>
              <w:spacing w:after="0"/>
              <w:rPr>
                <w:sz w:val="20"/>
                <w:szCs w:val="20"/>
                <w:color w:val="auto"/>
              </w:rPr>
            </w:pPr>
            <w:r>
              <w:rPr>
                <w:rFonts w:ascii="Courier New" w:cs="Courier New" w:eastAsia="Courier New" w:hAnsi="Courier New"/>
                <w:sz w:val="12"/>
                <w:szCs w:val="12"/>
                <w:color w:val="auto"/>
              </w:rPr>
              <w:t>BALANCE - DECEMBER 31, 2006</w:t>
            </w:r>
          </w:p>
        </w:tc>
        <w:tc>
          <w:tcPr>
            <w:tcW w:w="100" w:type="dxa"/>
            <w:vAlign w:val="bottom"/>
          </w:tcPr>
          <w:p>
            <w:pPr>
              <w:spacing w:after="0"/>
              <w:rPr>
                <w:sz w:val="11"/>
                <w:szCs w:val="11"/>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102,052,767</w:t>
            </w:r>
          </w:p>
        </w:tc>
        <w:tc>
          <w:tcPr>
            <w:tcW w:w="4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24,187</w:t>
            </w:r>
          </w:p>
        </w:tc>
        <w:tc>
          <w:tcPr>
            <w:tcW w:w="3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564,580</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1"/>
              <w:spacing w:after="0"/>
              <w:rPr>
                <w:sz w:val="20"/>
                <w:szCs w:val="20"/>
                <w:color w:val="auto"/>
              </w:rPr>
            </w:pPr>
            <w:r>
              <w:rPr>
                <w:rFonts w:ascii="Courier New" w:cs="Courier New" w:eastAsia="Courier New" w:hAnsi="Courier New"/>
                <w:sz w:val="12"/>
                <w:szCs w:val="12"/>
                <w:color w:val="auto"/>
              </w:rPr>
              <w:t>176,401</w:t>
            </w:r>
          </w:p>
        </w:tc>
        <w:tc>
          <w:tcPr>
            <w:tcW w:w="220" w:type="dxa"/>
            <w:vAlign w:val="bottom"/>
          </w:tcPr>
          <w:p>
            <w:pPr>
              <w:ind w:left="140"/>
              <w:spacing w:after="0"/>
              <w:rPr>
                <w:sz w:val="20"/>
                <w:szCs w:val="20"/>
                <w:color w:val="auto"/>
              </w:rPr>
            </w:pPr>
            <w:r>
              <w:rPr>
                <w:rFonts w:ascii="Courier New" w:cs="Courier New" w:eastAsia="Courier New" w:hAnsi="Courier New"/>
                <w:sz w:val="12"/>
                <w:szCs w:val="12"/>
                <w:color w:val="auto"/>
                <w:w w:val="82"/>
              </w:rPr>
              <w:t>$</w:t>
            </w:r>
          </w:p>
        </w:tc>
        <w:tc>
          <w:tcPr>
            <w:tcW w:w="8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23,576</w:t>
            </w:r>
          </w:p>
        </w:tc>
        <w:tc>
          <w:tcPr>
            <w:tcW w:w="200" w:type="dxa"/>
            <w:vAlign w:val="bottom"/>
          </w:tcPr>
          <w:p>
            <w:pPr>
              <w:ind w:left="100"/>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61"/>
              <w:spacing w:after="0"/>
              <w:rPr>
                <w:sz w:val="20"/>
                <w:szCs w:val="20"/>
                <w:color w:val="auto"/>
              </w:rPr>
            </w:pPr>
            <w:r>
              <w:rPr>
                <w:rFonts w:ascii="Courier New" w:cs="Courier New" w:eastAsia="Courier New" w:hAnsi="Courier New"/>
                <w:sz w:val="12"/>
                <w:szCs w:val="12"/>
                <w:color w:val="auto"/>
              </w:rPr>
              <w:t>(646,682)</w:t>
            </w:r>
          </w:p>
        </w:tc>
        <w:tc>
          <w:tcPr>
            <w:tcW w:w="1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41"/>
              <w:spacing w:after="0"/>
              <w:rPr>
                <w:sz w:val="20"/>
                <w:szCs w:val="20"/>
                <w:color w:val="auto"/>
              </w:rPr>
            </w:pPr>
            <w:r>
              <w:rPr>
                <w:rFonts w:ascii="Courier New" w:cs="Courier New" w:eastAsia="Courier New" w:hAnsi="Courier New"/>
                <w:sz w:val="12"/>
                <w:szCs w:val="12"/>
                <w:color w:val="auto"/>
              </w:rPr>
              <w:t>(9,072)</w:t>
            </w:r>
          </w:p>
        </w:tc>
        <w:tc>
          <w:tcPr>
            <w:tcW w:w="2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132,99</w:t>
            </w:r>
          </w:p>
        </w:tc>
      </w:tr>
      <w:tr>
        <w:trPr>
          <w:trHeight w:val="135"/>
        </w:trPr>
        <w:tc>
          <w:tcPr>
            <w:tcW w:w="3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9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10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bl>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SEE NOTES TO CONSOLIDATED INTERIM FINANCIAL STATEMENTS.</w:t>
      </w:r>
    </w:p>
    <w:p>
      <w:pPr>
        <w:spacing w:after="0" w:line="269" w:lineRule="exact"/>
        <w:rPr>
          <w:sz w:val="20"/>
          <w:szCs w:val="20"/>
          <w:color w:val="auto"/>
        </w:rPr>
      </w:pPr>
    </w:p>
    <w:p>
      <w:pPr>
        <w:ind w:left="2660"/>
        <w:spacing w:after="0"/>
        <w:rPr>
          <w:sz w:val="20"/>
          <w:szCs w:val="20"/>
          <w:color w:val="auto"/>
        </w:rPr>
      </w:pPr>
      <w:r>
        <w:rPr>
          <w:rFonts w:ascii="Courier New" w:cs="Courier New" w:eastAsia="Courier New" w:hAnsi="Courier New"/>
          <w:sz w:val="12"/>
          <w:szCs w:val="12"/>
          <w:color w:val="auto"/>
        </w:rPr>
        <w:t>- 3 -</w:t>
      </w:r>
    </w:p>
    <w:p>
      <w:pPr>
        <w:sectPr>
          <w:pgSz w:w="11900" w:h="16838" w:orient="portrait"/>
          <w:cols w:equalWidth="0" w:num="1">
            <w:col w:w="11520"/>
          </w:cols>
          <w:pgMar w:left="220" w:top="407" w:right="159" w:bottom="0" w:gutter="0" w:footer="0" w:header="0"/>
        </w:sectPr>
      </w:pPr>
    </w:p>
    <w:bookmarkStart w:id="3" w:name="page4"/>
    <w:bookmarkEnd w:id="3"/>
    <w:p>
      <w:pPr>
        <w:jc w:val="center"/>
        <w:ind w:right="4559"/>
        <w:spacing w:after="0"/>
        <w:rPr>
          <w:sz w:val="20"/>
          <w:szCs w:val="20"/>
          <w:color w:val="auto"/>
        </w:rPr>
      </w:pPr>
      <w:r>
        <w:rPr>
          <w:rFonts w:ascii="Courier New" w:cs="Courier New" w:eastAsia="Courier New" w:hAnsi="Courier New"/>
          <w:sz w:val="12"/>
          <w:szCs w:val="12"/>
          <w:color w:val="auto"/>
        </w:rPr>
        <w:t>TOWER SEMICONDUCTOR LTD. AND SUBSIDIARY</w:t>
      </w:r>
    </w:p>
    <w:p>
      <w:pPr>
        <w:jc w:val="center"/>
        <w:ind w:right="4559"/>
        <w:spacing w:after="0"/>
        <w:rPr>
          <w:sz w:val="20"/>
          <w:szCs w:val="20"/>
          <w:color w:val="auto"/>
        </w:rPr>
      </w:pPr>
      <w:r>
        <w:rPr>
          <w:rFonts w:ascii="Courier New" w:cs="Courier New" w:eastAsia="Courier New" w:hAnsi="Courier New"/>
          <w:sz w:val="12"/>
          <w:szCs w:val="12"/>
          <w:color w:val="auto"/>
        </w:rPr>
        <w:t>CONSOLIDATED STATEMENTS OF CASH FLOWS</w:t>
      </w:r>
    </w:p>
    <w:tbl>
      <w:tblPr>
        <w:tblLayout w:type="fixed"/>
        <w:tblInd w:w="0" w:type="dxa"/>
        <w:tblCellMar>
          <w:top w:w="0" w:type="dxa"/>
          <w:left w:w="0" w:type="dxa"/>
          <w:bottom w:w="0" w:type="dxa"/>
          <w:right w:w="0" w:type="dxa"/>
        </w:tblCellMar>
      </w:tblPr>
      <w:tr>
        <w:trPr>
          <w:trHeight w:val="134"/>
        </w:trPr>
        <w:tc>
          <w:tcPr>
            <w:tcW w:w="5500" w:type="dxa"/>
            <w:vAlign w:val="bottom"/>
          </w:tcPr>
          <w:p>
            <w:pPr>
              <w:ind w:left="700"/>
              <w:spacing w:after="0" w:line="135" w:lineRule="exact"/>
              <w:rPr>
                <w:sz w:val="20"/>
                <w:szCs w:val="20"/>
                <w:color w:val="auto"/>
              </w:rPr>
            </w:pPr>
            <w:r>
              <w:rPr>
                <w:rFonts w:ascii="Courier New" w:cs="Courier New" w:eastAsia="Courier New" w:hAnsi="Courier New"/>
                <w:sz w:val="12"/>
                <w:szCs w:val="12"/>
                <w:color w:val="auto"/>
              </w:rPr>
              <w:t>(dollars in thousands, except share data and per share data)</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270"/>
        </w:trPr>
        <w:tc>
          <w:tcPr>
            <w:tcW w:w="5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gridSpan w:val="3"/>
          </w:tcPr>
          <w:p>
            <w:pPr>
              <w:jc w:val="right"/>
              <w:ind w:right="301"/>
              <w:spacing w:after="0"/>
              <w:rPr>
                <w:sz w:val="20"/>
                <w:szCs w:val="20"/>
                <w:color w:val="auto"/>
              </w:rPr>
            </w:pPr>
            <w:r>
              <w:rPr>
                <w:rFonts w:ascii="Courier New" w:cs="Courier New" w:eastAsia="Courier New" w:hAnsi="Courier New"/>
                <w:sz w:val="12"/>
                <w:szCs w:val="12"/>
                <w:color w:val="auto"/>
                <w:w w:val="95"/>
              </w:rPr>
              <w:t>THREE MONTHS ENDED</w:t>
            </w:r>
          </w:p>
        </w:tc>
        <w:tc>
          <w:tcPr>
            <w:tcW w:w="920" w:type="dxa"/>
            <w:vAlign w:val="bottom"/>
            <w:gridSpan w:val="2"/>
          </w:tcPr>
          <w:p>
            <w:pPr>
              <w:ind w:left="60"/>
              <w:spacing w:after="0"/>
              <w:rPr>
                <w:sz w:val="20"/>
                <w:szCs w:val="20"/>
                <w:color w:val="auto"/>
              </w:rPr>
            </w:pPr>
            <w:r>
              <w:rPr>
                <w:rFonts w:ascii="Courier New" w:cs="Courier New" w:eastAsia="Courier New" w:hAnsi="Courier New"/>
                <w:sz w:val="12"/>
                <w:szCs w:val="12"/>
                <w:color w:val="auto"/>
              </w:rPr>
              <w:t>YEAR ENDED</w:t>
            </w:r>
          </w:p>
        </w:tc>
      </w:tr>
      <w:tr>
        <w:trPr>
          <w:trHeight w:val="135"/>
        </w:trPr>
        <w:tc>
          <w:tcPr>
            <w:tcW w:w="5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gridSpan w:val="3"/>
          </w:tcPr>
          <w:p>
            <w:pPr>
              <w:jc w:val="right"/>
              <w:ind w:right="501"/>
              <w:spacing w:after="0"/>
              <w:rPr>
                <w:sz w:val="20"/>
                <w:szCs w:val="20"/>
                <w:color w:val="auto"/>
              </w:rPr>
            </w:pPr>
            <w:r>
              <w:rPr>
                <w:rFonts w:ascii="Courier New" w:cs="Courier New" w:eastAsia="Courier New" w:hAnsi="Courier New"/>
                <w:sz w:val="12"/>
                <w:szCs w:val="12"/>
                <w:color w:val="auto"/>
              </w:rPr>
              <w:t>MARCH 31,</w:t>
            </w:r>
          </w:p>
        </w:tc>
        <w:tc>
          <w:tcPr>
            <w:tcW w:w="920" w:type="dxa"/>
            <w:vAlign w:val="bottom"/>
            <w:gridSpan w:val="2"/>
          </w:tcPr>
          <w:p>
            <w:pPr>
              <w:ind w:left="60"/>
              <w:spacing w:after="0"/>
              <w:rPr>
                <w:sz w:val="20"/>
                <w:szCs w:val="20"/>
                <w:color w:val="auto"/>
              </w:rPr>
            </w:pPr>
            <w:r>
              <w:rPr>
                <w:rFonts w:ascii="Courier New" w:cs="Courier New" w:eastAsia="Courier New" w:hAnsi="Courier New"/>
                <w:sz w:val="12"/>
                <w:szCs w:val="12"/>
                <w:color w:val="auto"/>
                <w:w w:val="97"/>
              </w:rPr>
              <w:t>DECEMBER 31,</w:t>
            </w:r>
          </w:p>
        </w:tc>
      </w:tr>
      <w:tr>
        <w:trPr>
          <w:trHeight w:val="135"/>
        </w:trPr>
        <w:tc>
          <w:tcPr>
            <w:tcW w:w="5500" w:type="dxa"/>
            <w:vAlign w:val="bottom"/>
          </w:tcPr>
          <w:p>
            <w:pPr>
              <w:spacing w:after="0"/>
              <w:rPr>
                <w:sz w:val="11"/>
                <w:szCs w:val="11"/>
                <w:color w:val="auto"/>
              </w:rPr>
            </w:pPr>
          </w:p>
        </w:tc>
        <w:tc>
          <w:tcPr>
            <w:tcW w:w="1800" w:type="dxa"/>
            <w:vAlign w:val="bottom"/>
            <w:gridSpan w:val="4"/>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135"/>
        </w:trPr>
        <w:tc>
          <w:tcPr>
            <w:tcW w:w="5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2007</w:t>
            </w:r>
          </w:p>
        </w:tc>
        <w:tc>
          <w:tcPr>
            <w:tcW w:w="220" w:type="dxa"/>
            <w:vAlign w:val="bottom"/>
          </w:tcPr>
          <w:p>
            <w:pPr>
              <w:spacing w:after="0"/>
              <w:rPr>
                <w:sz w:val="11"/>
                <w:szCs w:val="11"/>
                <w:color w:val="auto"/>
              </w:rPr>
            </w:pPr>
          </w:p>
        </w:tc>
        <w:tc>
          <w:tcPr>
            <w:tcW w:w="6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2006</w:t>
            </w:r>
          </w:p>
        </w:tc>
        <w:tc>
          <w:tcPr>
            <w:tcW w:w="200" w:type="dxa"/>
            <w:vAlign w:val="bottom"/>
          </w:tcPr>
          <w:p>
            <w:pPr>
              <w:spacing w:after="0"/>
              <w:rPr>
                <w:sz w:val="11"/>
                <w:szCs w:val="11"/>
                <w:color w:val="auto"/>
              </w:rPr>
            </w:pPr>
          </w:p>
        </w:tc>
        <w:tc>
          <w:tcPr>
            <w:tcW w:w="7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2006</w:t>
            </w:r>
          </w:p>
        </w:tc>
      </w:tr>
      <w:tr>
        <w:trPr>
          <w:trHeight w:val="135"/>
        </w:trPr>
        <w:tc>
          <w:tcPr>
            <w:tcW w:w="5500" w:type="dxa"/>
            <w:vAlign w:val="bottom"/>
          </w:tcPr>
          <w:p>
            <w:pPr>
              <w:spacing w:after="0"/>
              <w:rPr>
                <w:sz w:val="11"/>
                <w:szCs w:val="11"/>
                <w:color w:val="auto"/>
              </w:rPr>
            </w:pPr>
          </w:p>
        </w:tc>
        <w:tc>
          <w:tcPr>
            <w:tcW w:w="92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135"/>
        </w:trPr>
        <w:tc>
          <w:tcPr>
            <w:tcW w:w="5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gridSpan w:val="3"/>
          </w:tcPr>
          <w:p>
            <w:pPr>
              <w:jc w:val="right"/>
              <w:ind w:right="501"/>
              <w:spacing w:after="0"/>
              <w:rPr>
                <w:sz w:val="20"/>
                <w:szCs w:val="20"/>
                <w:color w:val="auto"/>
              </w:rPr>
            </w:pPr>
            <w:r>
              <w:rPr>
                <w:rFonts w:ascii="Courier New" w:cs="Courier New" w:eastAsia="Courier New" w:hAnsi="Courier New"/>
                <w:sz w:val="12"/>
                <w:szCs w:val="12"/>
                <w:color w:val="auto"/>
              </w:rPr>
              <w:t>(UNAUDITED)</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5"/>
        </w:trPr>
        <w:tc>
          <w:tcPr>
            <w:tcW w:w="5500" w:type="dxa"/>
            <w:vAlign w:val="bottom"/>
          </w:tcPr>
          <w:p>
            <w:pPr>
              <w:spacing w:after="0"/>
              <w:rPr>
                <w:sz w:val="11"/>
                <w:szCs w:val="11"/>
                <w:color w:val="auto"/>
              </w:rPr>
            </w:pPr>
          </w:p>
        </w:tc>
        <w:tc>
          <w:tcPr>
            <w:tcW w:w="1800" w:type="dxa"/>
            <w:vAlign w:val="bottom"/>
            <w:gridSpan w:val="4"/>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270"/>
        </w:trPr>
        <w:tc>
          <w:tcPr>
            <w:tcW w:w="5500" w:type="dxa"/>
            <w:vAlign w:val="bottom"/>
          </w:tcPr>
          <w:p>
            <w:pPr>
              <w:spacing w:after="0"/>
              <w:rPr>
                <w:sz w:val="20"/>
                <w:szCs w:val="20"/>
                <w:color w:val="auto"/>
              </w:rPr>
            </w:pPr>
            <w:r>
              <w:rPr>
                <w:rFonts w:ascii="Courier New" w:cs="Courier New" w:eastAsia="Courier New" w:hAnsi="Courier New"/>
                <w:sz w:val="12"/>
                <w:szCs w:val="12"/>
                <w:color w:val="auto"/>
              </w:rPr>
              <w:t>CASH FLOWS - OPERATING ACTIVITIES</w:t>
            </w: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70"/>
        </w:trPr>
        <w:tc>
          <w:tcPr>
            <w:tcW w:w="5500" w:type="dxa"/>
            <w:vAlign w:val="bottom"/>
          </w:tcPr>
          <w:p>
            <w:pPr>
              <w:ind w:left="280"/>
              <w:spacing w:after="0"/>
              <w:rPr>
                <w:sz w:val="20"/>
                <w:szCs w:val="20"/>
                <w:color w:val="auto"/>
              </w:rPr>
            </w:pPr>
            <w:r>
              <w:rPr>
                <w:rFonts w:ascii="Courier New" w:cs="Courier New" w:eastAsia="Courier New" w:hAnsi="Courier New"/>
                <w:sz w:val="12"/>
                <w:szCs w:val="12"/>
                <w:color w:val="auto"/>
              </w:rPr>
              <w:t>LOSS FOR THE PERIOD</w:t>
            </w:r>
          </w:p>
        </w:tc>
        <w:tc>
          <w:tcPr>
            <w:tcW w:w="92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 (37,391)</w:t>
            </w:r>
          </w:p>
        </w:tc>
        <w:tc>
          <w:tcPr>
            <w:tcW w:w="88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 (45,056)</w:t>
            </w:r>
          </w:p>
        </w:tc>
        <w:tc>
          <w:tcPr>
            <w:tcW w:w="9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 (86,928)</w:t>
            </w:r>
          </w:p>
        </w:tc>
      </w:tr>
      <w:tr>
        <w:trPr>
          <w:trHeight w:val="135"/>
        </w:trPr>
        <w:tc>
          <w:tcPr>
            <w:tcW w:w="5500" w:type="dxa"/>
            <w:vAlign w:val="bottom"/>
          </w:tcPr>
          <w:p>
            <w:pPr>
              <w:ind w:left="280"/>
              <w:spacing w:after="0"/>
              <w:rPr>
                <w:sz w:val="20"/>
                <w:szCs w:val="20"/>
                <w:color w:val="auto"/>
              </w:rPr>
            </w:pPr>
            <w:r>
              <w:rPr>
                <w:rFonts w:ascii="Courier New" w:cs="Courier New" w:eastAsia="Courier New" w:hAnsi="Courier New"/>
                <w:sz w:val="12"/>
                <w:szCs w:val="12"/>
                <w:color w:val="auto"/>
              </w:rPr>
              <w:t>Adjustments to reconcile loss for the period</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5"/>
        </w:trPr>
        <w:tc>
          <w:tcPr>
            <w:tcW w:w="5500" w:type="dxa"/>
            <w:vAlign w:val="bottom"/>
          </w:tcPr>
          <w:p>
            <w:pPr>
              <w:ind w:left="480"/>
              <w:spacing w:after="0"/>
              <w:rPr>
                <w:sz w:val="20"/>
                <w:szCs w:val="20"/>
                <w:color w:val="auto"/>
              </w:rPr>
            </w:pPr>
            <w:r>
              <w:rPr>
                <w:rFonts w:ascii="Courier New" w:cs="Courier New" w:eastAsia="Courier New" w:hAnsi="Courier New"/>
                <w:sz w:val="12"/>
                <w:szCs w:val="12"/>
                <w:color w:val="auto"/>
              </w:rPr>
              <w:t>TO NET CASH PROVIDED BY (USED IN) OPERATING ACTIVITIES:</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5"/>
        </w:trPr>
        <w:tc>
          <w:tcPr>
            <w:tcW w:w="5500" w:type="dxa"/>
            <w:vAlign w:val="bottom"/>
          </w:tcPr>
          <w:p>
            <w:pPr>
              <w:ind w:left="620"/>
              <w:spacing w:after="0"/>
              <w:rPr>
                <w:sz w:val="20"/>
                <w:szCs w:val="20"/>
                <w:color w:val="auto"/>
              </w:rPr>
            </w:pPr>
            <w:r>
              <w:rPr>
                <w:rFonts w:ascii="Courier New" w:cs="Courier New" w:eastAsia="Courier New" w:hAnsi="Courier New"/>
                <w:sz w:val="12"/>
                <w:szCs w:val="12"/>
                <w:color w:val="auto"/>
              </w:rPr>
              <w:t>INCOME AND EXPENSE ITEMS NOT INVOLVING CASH FLOWS:</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5"/>
        </w:trPr>
        <w:tc>
          <w:tcPr>
            <w:tcW w:w="5500" w:type="dxa"/>
            <w:vAlign w:val="bottom"/>
          </w:tcPr>
          <w:p>
            <w:pPr>
              <w:ind w:left="840"/>
              <w:spacing w:after="0"/>
              <w:rPr>
                <w:sz w:val="20"/>
                <w:szCs w:val="20"/>
                <w:color w:val="auto"/>
              </w:rPr>
            </w:pPr>
            <w:r>
              <w:rPr>
                <w:rFonts w:ascii="Courier New" w:cs="Courier New" w:eastAsia="Courier New" w:hAnsi="Courier New"/>
                <w:sz w:val="12"/>
                <w:szCs w:val="12"/>
                <w:color w:val="auto"/>
              </w:rPr>
              <w:t>DEPRECIATION AND AMORTIZATION</w:t>
            </w:r>
          </w:p>
        </w:tc>
        <w:tc>
          <w:tcPr>
            <w:tcW w:w="180" w:type="dxa"/>
            <w:vAlign w:val="bottom"/>
          </w:tcPr>
          <w:p>
            <w:pPr>
              <w:spacing w:after="0"/>
              <w:rPr>
                <w:sz w:val="11"/>
                <w:szCs w:val="11"/>
                <w:color w:val="auto"/>
              </w:rPr>
            </w:pP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42,862</w:t>
            </w:r>
          </w:p>
        </w:tc>
        <w:tc>
          <w:tcPr>
            <w:tcW w:w="220" w:type="dxa"/>
            <w:vAlign w:val="bottom"/>
          </w:tcPr>
          <w:p>
            <w:pPr>
              <w:spacing w:after="0"/>
              <w:rPr>
                <w:sz w:val="11"/>
                <w:szCs w:val="11"/>
                <w:color w:val="auto"/>
              </w:rPr>
            </w:pPr>
          </w:p>
        </w:tc>
        <w:tc>
          <w:tcPr>
            <w:tcW w:w="6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41,338</w:t>
            </w:r>
          </w:p>
        </w:tc>
        <w:tc>
          <w:tcPr>
            <w:tcW w:w="200" w:type="dxa"/>
            <w:vAlign w:val="bottom"/>
          </w:tcPr>
          <w:p>
            <w:pPr>
              <w:spacing w:after="0"/>
              <w:rPr>
                <w:sz w:val="11"/>
                <w:szCs w:val="11"/>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170,816</w:t>
            </w:r>
          </w:p>
        </w:tc>
      </w:tr>
      <w:tr>
        <w:trPr>
          <w:trHeight w:val="135"/>
        </w:trPr>
        <w:tc>
          <w:tcPr>
            <w:tcW w:w="5500" w:type="dxa"/>
            <w:vAlign w:val="bottom"/>
          </w:tcPr>
          <w:p>
            <w:pPr>
              <w:ind w:left="840"/>
              <w:spacing w:after="0"/>
              <w:rPr>
                <w:sz w:val="20"/>
                <w:szCs w:val="20"/>
                <w:color w:val="auto"/>
              </w:rPr>
            </w:pPr>
            <w:r>
              <w:rPr>
                <w:rFonts w:ascii="Courier New" w:cs="Courier New" w:eastAsia="Courier New" w:hAnsi="Courier New"/>
                <w:sz w:val="12"/>
                <w:szCs w:val="12"/>
                <w:color w:val="auto"/>
              </w:rPr>
              <w:t>EFFECT OF INDEXATION AND TRANSLATION ON CONVERTIBLE DEBENTURES</w:t>
            </w:r>
          </w:p>
        </w:tc>
        <w:tc>
          <w:tcPr>
            <w:tcW w:w="180" w:type="dxa"/>
            <w:vAlign w:val="bottom"/>
          </w:tcPr>
          <w:p>
            <w:pPr>
              <w:spacing w:after="0"/>
              <w:rPr>
                <w:sz w:val="11"/>
                <w:szCs w:val="11"/>
                <w:color w:val="auto"/>
              </w:rPr>
            </w:pP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1,181</w:t>
            </w:r>
          </w:p>
        </w:tc>
        <w:tc>
          <w:tcPr>
            <w:tcW w:w="220" w:type="dxa"/>
            <w:vAlign w:val="bottom"/>
          </w:tcPr>
          <w:p>
            <w:pPr>
              <w:spacing w:after="0"/>
              <w:rPr>
                <w:sz w:val="11"/>
                <w:szCs w:val="11"/>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(257)</w:t>
            </w:r>
          </w:p>
        </w:tc>
        <w:tc>
          <w:tcPr>
            <w:tcW w:w="200" w:type="dxa"/>
            <w:vAlign w:val="bottom"/>
          </w:tcPr>
          <w:p>
            <w:pPr>
              <w:spacing w:after="0"/>
              <w:rPr>
                <w:sz w:val="11"/>
                <w:szCs w:val="11"/>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2,569</w:t>
            </w:r>
          </w:p>
        </w:tc>
      </w:tr>
      <w:tr>
        <w:trPr>
          <w:trHeight w:val="135"/>
        </w:trPr>
        <w:tc>
          <w:tcPr>
            <w:tcW w:w="5500" w:type="dxa"/>
            <w:vAlign w:val="bottom"/>
          </w:tcPr>
          <w:p>
            <w:pPr>
              <w:ind w:left="840"/>
              <w:spacing w:after="0"/>
              <w:rPr>
                <w:sz w:val="20"/>
                <w:szCs w:val="20"/>
                <w:color w:val="auto"/>
              </w:rPr>
            </w:pPr>
            <w:r>
              <w:rPr>
                <w:rFonts w:ascii="Courier New" w:cs="Courier New" w:eastAsia="Courier New" w:hAnsi="Courier New"/>
                <w:sz w:val="12"/>
                <w:szCs w:val="12"/>
                <w:color w:val="auto"/>
              </w:rPr>
              <w:t>OTHER INCOME, NET</w:t>
            </w:r>
          </w:p>
        </w:tc>
        <w:tc>
          <w:tcPr>
            <w:tcW w:w="180" w:type="dxa"/>
            <w:vAlign w:val="bottom"/>
          </w:tcPr>
          <w:p>
            <w:pPr>
              <w:spacing w:after="0"/>
              <w:rPr>
                <w:sz w:val="11"/>
                <w:szCs w:val="11"/>
                <w:color w:val="auto"/>
              </w:rPr>
            </w:pPr>
          </w:p>
        </w:tc>
        <w:tc>
          <w:tcPr>
            <w:tcW w:w="7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(69)</w:t>
            </w:r>
          </w:p>
        </w:tc>
        <w:tc>
          <w:tcPr>
            <w:tcW w:w="220" w:type="dxa"/>
            <w:vAlign w:val="bottom"/>
          </w:tcPr>
          <w:p>
            <w:pPr>
              <w:spacing w:after="0"/>
              <w:rPr>
                <w:sz w:val="11"/>
                <w:szCs w:val="11"/>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(551)</w:t>
            </w:r>
          </w:p>
        </w:tc>
        <w:tc>
          <w:tcPr>
            <w:tcW w:w="200" w:type="dxa"/>
            <w:vAlign w:val="bottom"/>
          </w:tcPr>
          <w:p>
            <w:pPr>
              <w:spacing w:after="0"/>
              <w:rPr>
                <w:sz w:val="11"/>
                <w:szCs w:val="11"/>
                <w:color w:val="auto"/>
              </w:rPr>
            </w:pPr>
          </w:p>
        </w:tc>
        <w:tc>
          <w:tcPr>
            <w:tcW w:w="7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(597)</w:t>
            </w:r>
          </w:p>
        </w:tc>
      </w:tr>
      <w:tr>
        <w:trPr>
          <w:trHeight w:val="135"/>
        </w:trPr>
        <w:tc>
          <w:tcPr>
            <w:tcW w:w="5500" w:type="dxa"/>
            <w:vAlign w:val="bottom"/>
          </w:tcPr>
          <w:p>
            <w:pPr>
              <w:ind w:left="840"/>
              <w:spacing w:after="0"/>
              <w:rPr>
                <w:sz w:val="20"/>
                <w:szCs w:val="20"/>
                <w:color w:val="auto"/>
              </w:rPr>
            </w:pPr>
            <w:r>
              <w:rPr>
                <w:rFonts w:ascii="Courier New" w:cs="Courier New" w:eastAsia="Courier New" w:hAnsi="Courier New"/>
                <w:sz w:val="12"/>
                <w:szCs w:val="12"/>
                <w:color w:val="auto"/>
              </w:rPr>
              <w:t>GAIN ON DEBT RESTRUCTURING</w:t>
            </w:r>
          </w:p>
        </w:tc>
        <w:tc>
          <w:tcPr>
            <w:tcW w:w="180" w:type="dxa"/>
            <w:vAlign w:val="bottom"/>
          </w:tcPr>
          <w:p>
            <w:pPr>
              <w:spacing w:after="0"/>
              <w:rPr>
                <w:sz w:val="11"/>
                <w:szCs w:val="11"/>
                <w:color w:val="auto"/>
              </w:rPr>
            </w:pP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6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200" w:type="dxa"/>
            <w:vAlign w:val="bottom"/>
          </w:tcPr>
          <w:p>
            <w:pPr>
              <w:spacing w:after="0"/>
              <w:rPr>
                <w:sz w:val="11"/>
                <w:szCs w:val="11"/>
                <w:color w:val="auto"/>
              </w:rPr>
            </w:pPr>
          </w:p>
        </w:tc>
        <w:tc>
          <w:tcPr>
            <w:tcW w:w="7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(80,071)</w:t>
            </w:r>
          </w:p>
        </w:tc>
      </w:tr>
      <w:tr>
        <w:trPr>
          <w:trHeight w:val="135"/>
        </w:trPr>
        <w:tc>
          <w:tcPr>
            <w:tcW w:w="5500" w:type="dxa"/>
            <w:vAlign w:val="bottom"/>
          </w:tcPr>
          <w:p>
            <w:pPr>
              <w:ind w:left="620"/>
              <w:spacing w:after="0"/>
              <w:rPr>
                <w:sz w:val="20"/>
                <w:szCs w:val="20"/>
                <w:color w:val="auto"/>
              </w:rPr>
            </w:pPr>
            <w:r>
              <w:rPr>
                <w:rFonts w:ascii="Courier New" w:cs="Courier New" w:eastAsia="Courier New" w:hAnsi="Courier New"/>
                <w:sz w:val="12"/>
                <w:szCs w:val="12"/>
                <w:color w:val="auto"/>
              </w:rPr>
              <w:t>CHANGES IN ASSETS AND LIABILITIES:</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5"/>
        </w:trPr>
        <w:tc>
          <w:tcPr>
            <w:tcW w:w="5500" w:type="dxa"/>
            <w:vAlign w:val="bottom"/>
          </w:tcPr>
          <w:p>
            <w:pPr>
              <w:ind w:left="840"/>
              <w:spacing w:after="0"/>
              <w:rPr>
                <w:sz w:val="20"/>
                <w:szCs w:val="20"/>
                <w:color w:val="auto"/>
              </w:rPr>
            </w:pPr>
            <w:r>
              <w:rPr>
                <w:rFonts w:ascii="Courier New" w:cs="Courier New" w:eastAsia="Courier New" w:hAnsi="Courier New"/>
                <w:sz w:val="12"/>
                <w:szCs w:val="12"/>
                <w:color w:val="auto"/>
              </w:rPr>
              <w:t>INCREASE IN TRADE ACCOUNTS RECEIVABLE</w:t>
            </w:r>
          </w:p>
        </w:tc>
        <w:tc>
          <w:tcPr>
            <w:tcW w:w="180" w:type="dxa"/>
            <w:vAlign w:val="bottom"/>
          </w:tcPr>
          <w:p>
            <w:pPr>
              <w:spacing w:after="0"/>
              <w:rPr>
                <w:sz w:val="11"/>
                <w:szCs w:val="11"/>
                <w:color w:val="auto"/>
              </w:rPr>
            </w:pPr>
          </w:p>
        </w:tc>
        <w:tc>
          <w:tcPr>
            <w:tcW w:w="7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(4,629)</w:t>
            </w:r>
          </w:p>
        </w:tc>
        <w:tc>
          <w:tcPr>
            <w:tcW w:w="220" w:type="dxa"/>
            <w:vAlign w:val="bottom"/>
          </w:tcPr>
          <w:p>
            <w:pPr>
              <w:spacing w:after="0"/>
              <w:rPr>
                <w:sz w:val="11"/>
                <w:szCs w:val="11"/>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(2,106)</w:t>
            </w:r>
          </w:p>
        </w:tc>
        <w:tc>
          <w:tcPr>
            <w:tcW w:w="200" w:type="dxa"/>
            <w:vAlign w:val="bottom"/>
          </w:tcPr>
          <w:p>
            <w:pPr>
              <w:spacing w:after="0"/>
              <w:rPr>
                <w:sz w:val="11"/>
                <w:szCs w:val="11"/>
                <w:color w:val="auto"/>
              </w:rPr>
            </w:pPr>
          </w:p>
        </w:tc>
        <w:tc>
          <w:tcPr>
            <w:tcW w:w="7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(14,722)</w:t>
            </w:r>
          </w:p>
        </w:tc>
      </w:tr>
      <w:tr>
        <w:trPr>
          <w:trHeight w:val="135"/>
        </w:trPr>
        <w:tc>
          <w:tcPr>
            <w:tcW w:w="5500" w:type="dxa"/>
            <w:vAlign w:val="bottom"/>
          </w:tcPr>
          <w:p>
            <w:pPr>
              <w:ind w:left="840"/>
              <w:spacing w:after="0"/>
              <w:rPr>
                <w:sz w:val="20"/>
                <w:szCs w:val="20"/>
                <w:color w:val="auto"/>
              </w:rPr>
            </w:pPr>
            <w:r>
              <w:rPr>
                <w:rFonts w:ascii="Courier New" w:cs="Courier New" w:eastAsia="Courier New" w:hAnsi="Courier New"/>
                <w:sz w:val="12"/>
                <w:szCs w:val="12"/>
                <w:color w:val="auto"/>
                <w:w w:val="99"/>
              </w:rPr>
              <w:t>DECREASE (INCREASE) IN OTHER RECEIVABLES AND OTHER CURRENT ASSETS</w:t>
            </w:r>
          </w:p>
        </w:tc>
        <w:tc>
          <w:tcPr>
            <w:tcW w:w="180" w:type="dxa"/>
            <w:vAlign w:val="bottom"/>
          </w:tcPr>
          <w:p>
            <w:pPr>
              <w:spacing w:after="0"/>
              <w:rPr>
                <w:sz w:val="11"/>
                <w:szCs w:val="11"/>
                <w:color w:val="auto"/>
              </w:rPr>
            </w:pP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124</w:t>
            </w:r>
          </w:p>
        </w:tc>
        <w:tc>
          <w:tcPr>
            <w:tcW w:w="220" w:type="dxa"/>
            <w:vAlign w:val="bottom"/>
          </w:tcPr>
          <w:p>
            <w:pPr>
              <w:spacing w:after="0"/>
              <w:rPr>
                <w:sz w:val="11"/>
                <w:szCs w:val="11"/>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(477)</w:t>
            </w:r>
          </w:p>
        </w:tc>
        <w:tc>
          <w:tcPr>
            <w:tcW w:w="200" w:type="dxa"/>
            <w:vAlign w:val="bottom"/>
          </w:tcPr>
          <w:p>
            <w:pPr>
              <w:spacing w:after="0"/>
              <w:rPr>
                <w:sz w:val="11"/>
                <w:szCs w:val="11"/>
                <w:color w:val="auto"/>
              </w:rPr>
            </w:pPr>
          </w:p>
        </w:tc>
        <w:tc>
          <w:tcPr>
            <w:tcW w:w="7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(2,662)</w:t>
            </w:r>
          </w:p>
        </w:tc>
      </w:tr>
      <w:tr>
        <w:trPr>
          <w:trHeight w:val="135"/>
        </w:trPr>
        <w:tc>
          <w:tcPr>
            <w:tcW w:w="5500" w:type="dxa"/>
            <w:vAlign w:val="bottom"/>
          </w:tcPr>
          <w:p>
            <w:pPr>
              <w:ind w:left="840"/>
              <w:spacing w:after="0"/>
              <w:rPr>
                <w:sz w:val="20"/>
                <w:szCs w:val="20"/>
                <w:color w:val="auto"/>
              </w:rPr>
            </w:pPr>
            <w:r>
              <w:rPr>
                <w:rFonts w:ascii="Courier New" w:cs="Courier New" w:eastAsia="Courier New" w:hAnsi="Courier New"/>
                <w:sz w:val="12"/>
                <w:szCs w:val="12"/>
                <w:color w:val="auto"/>
              </w:rPr>
              <w:t>INCREASE IN INVENTORIES</w:t>
            </w:r>
          </w:p>
        </w:tc>
        <w:tc>
          <w:tcPr>
            <w:tcW w:w="180" w:type="dxa"/>
            <w:vAlign w:val="bottom"/>
          </w:tcPr>
          <w:p>
            <w:pPr>
              <w:spacing w:after="0"/>
              <w:rPr>
                <w:sz w:val="11"/>
                <w:szCs w:val="11"/>
                <w:color w:val="auto"/>
              </w:rPr>
            </w:pPr>
          </w:p>
        </w:tc>
        <w:tc>
          <w:tcPr>
            <w:tcW w:w="7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(3,484)</w:t>
            </w:r>
          </w:p>
        </w:tc>
        <w:tc>
          <w:tcPr>
            <w:tcW w:w="220" w:type="dxa"/>
            <w:vAlign w:val="bottom"/>
          </w:tcPr>
          <w:p>
            <w:pPr>
              <w:spacing w:after="0"/>
              <w:rPr>
                <w:sz w:val="11"/>
                <w:szCs w:val="11"/>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(4,308)</w:t>
            </w:r>
          </w:p>
        </w:tc>
        <w:tc>
          <w:tcPr>
            <w:tcW w:w="200" w:type="dxa"/>
            <w:vAlign w:val="bottom"/>
          </w:tcPr>
          <w:p>
            <w:pPr>
              <w:spacing w:after="0"/>
              <w:rPr>
                <w:sz w:val="11"/>
                <w:szCs w:val="11"/>
                <w:color w:val="auto"/>
              </w:rPr>
            </w:pPr>
          </w:p>
        </w:tc>
        <w:tc>
          <w:tcPr>
            <w:tcW w:w="7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(16,725)</w:t>
            </w:r>
          </w:p>
        </w:tc>
      </w:tr>
      <w:tr>
        <w:trPr>
          <w:trHeight w:val="135"/>
        </w:trPr>
        <w:tc>
          <w:tcPr>
            <w:tcW w:w="5500" w:type="dxa"/>
            <w:vAlign w:val="bottom"/>
          </w:tcPr>
          <w:p>
            <w:pPr>
              <w:ind w:left="840"/>
              <w:spacing w:after="0"/>
              <w:rPr>
                <w:sz w:val="20"/>
                <w:szCs w:val="20"/>
                <w:color w:val="auto"/>
              </w:rPr>
            </w:pPr>
            <w:r>
              <w:rPr>
                <w:rFonts w:ascii="Courier New" w:cs="Courier New" w:eastAsia="Courier New" w:hAnsi="Courier New"/>
                <w:sz w:val="12"/>
                <w:szCs w:val="12"/>
                <w:color w:val="auto"/>
              </w:rPr>
              <w:t>INCREASE (DECREASE) IN TRADE ACCOUNTS PAYABLE</w:t>
            </w:r>
          </w:p>
        </w:tc>
        <w:tc>
          <w:tcPr>
            <w:tcW w:w="180" w:type="dxa"/>
            <w:vAlign w:val="bottom"/>
          </w:tcPr>
          <w:p>
            <w:pPr>
              <w:spacing w:after="0"/>
              <w:rPr>
                <w:sz w:val="11"/>
                <w:szCs w:val="11"/>
                <w:color w:val="auto"/>
              </w:rPr>
            </w:pP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9,402</w:t>
            </w:r>
          </w:p>
        </w:tc>
        <w:tc>
          <w:tcPr>
            <w:tcW w:w="220" w:type="dxa"/>
            <w:vAlign w:val="bottom"/>
          </w:tcPr>
          <w:p>
            <w:pPr>
              <w:spacing w:after="0"/>
              <w:rPr>
                <w:sz w:val="11"/>
                <w:szCs w:val="11"/>
                <w:color w:val="auto"/>
              </w:rPr>
            </w:pPr>
          </w:p>
        </w:tc>
        <w:tc>
          <w:tcPr>
            <w:tcW w:w="6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1,348</w:t>
            </w:r>
          </w:p>
        </w:tc>
        <w:tc>
          <w:tcPr>
            <w:tcW w:w="200" w:type="dxa"/>
            <w:vAlign w:val="bottom"/>
          </w:tcPr>
          <w:p>
            <w:pPr>
              <w:spacing w:after="0"/>
              <w:rPr>
                <w:sz w:val="11"/>
                <w:szCs w:val="11"/>
                <w:color w:val="auto"/>
              </w:rPr>
            </w:pPr>
          </w:p>
        </w:tc>
        <w:tc>
          <w:tcPr>
            <w:tcW w:w="7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(2,073)</w:t>
            </w:r>
          </w:p>
        </w:tc>
      </w:tr>
      <w:tr>
        <w:trPr>
          <w:trHeight w:val="135"/>
        </w:trPr>
        <w:tc>
          <w:tcPr>
            <w:tcW w:w="5500" w:type="dxa"/>
            <w:vAlign w:val="bottom"/>
          </w:tcPr>
          <w:p>
            <w:pPr>
              <w:ind w:left="840"/>
              <w:spacing w:after="0"/>
              <w:rPr>
                <w:sz w:val="20"/>
                <w:szCs w:val="20"/>
                <w:color w:val="auto"/>
              </w:rPr>
            </w:pPr>
            <w:r>
              <w:rPr>
                <w:rFonts w:ascii="Courier New" w:cs="Courier New" w:eastAsia="Courier New" w:hAnsi="Courier New"/>
                <w:sz w:val="12"/>
                <w:szCs w:val="12"/>
                <w:color w:val="auto"/>
              </w:rPr>
              <w:t>INCREASE (DECREASE) IN OTHER CURRENT LIABILITIES</w:t>
            </w:r>
          </w:p>
        </w:tc>
        <w:tc>
          <w:tcPr>
            <w:tcW w:w="180" w:type="dxa"/>
            <w:vAlign w:val="bottom"/>
          </w:tcPr>
          <w:p>
            <w:pPr>
              <w:spacing w:after="0"/>
              <w:rPr>
                <w:sz w:val="11"/>
                <w:szCs w:val="11"/>
                <w:color w:val="auto"/>
              </w:rPr>
            </w:pPr>
          </w:p>
        </w:tc>
        <w:tc>
          <w:tcPr>
            <w:tcW w:w="7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(1,398)</w:t>
            </w:r>
          </w:p>
        </w:tc>
        <w:tc>
          <w:tcPr>
            <w:tcW w:w="220" w:type="dxa"/>
            <w:vAlign w:val="bottom"/>
          </w:tcPr>
          <w:p>
            <w:pPr>
              <w:spacing w:after="0"/>
              <w:rPr>
                <w:sz w:val="11"/>
                <w:szCs w:val="11"/>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(179)</w:t>
            </w:r>
          </w:p>
        </w:tc>
        <w:tc>
          <w:tcPr>
            <w:tcW w:w="200" w:type="dxa"/>
            <w:vAlign w:val="bottom"/>
          </w:tcPr>
          <w:p>
            <w:pPr>
              <w:spacing w:after="0"/>
              <w:rPr>
                <w:sz w:val="11"/>
                <w:szCs w:val="11"/>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6,551</w:t>
            </w:r>
          </w:p>
        </w:tc>
      </w:tr>
      <w:tr>
        <w:trPr>
          <w:trHeight w:val="135"/>
        </w:trPr>
        <w:tc>
          <w:tcPr>
            <w:tcW w:w="5500" w:type="dxa"/>
            <w:vAlign w:val="bottom"/>
          </w:tcPr>
          <w:p>
            <w:pPr>
              <w:ind w:left="840"/>
              <w:spacing w:after="0"/>
              <w:rPr>
                <w:sz w:val="20"/>
                <w:szCs w:val="20"/>
                <w:color w:val="auto"/>
              </w:rPr>
            </w:pPr>
            <w:r>
              <w:rPr>
                <w:rFonts w:ascii="Courier New" w:cs="Courier New" w:eastAsia="Courier New" w:hAnsi="Courier New"/>
                <w:sz w:val="12"/>
                <w:szCs w:val="12"/>
                <w:color w:val="auto"/>
              </w:rPr>
              <w:t>DECREASE IN OTHER LONG-TERM LIABILITIES</w:t>
            </w:r>
          </w:p>
        </w:tc>
        <w:tc>
          <w:tcPr>
            <w:tcW w:w="180" w:type="dxa"/>
            <w:vAlign w:val="bottom"/>
          </w:tcPr>
          <w:p>
            <w:pPr>
              <w:spacing w:after="0"/>
              <w:rPr>
                <w:sz w:val="11"/>
                <w:szCs w:val="11"/>
                <w:color w:val="auto"/>
              </w:rPr>
            </w:pPr>
          </w:p>
        </w:tc>
        <w:tc>
          <w:tcPr>
            <w:tcW w:w="7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(521)</w:t>
            </w:r>
          </w:p>
        </w:tc>
        <w:tc>
          <w:tcPr>
            <w:tcW w:w="220" w:type="dxa"/>
            <w:vAlign w:val="bottom"/>
          </w:tcPr>
          <w:p>
            <w:pPr>
              <w:spacing w:after="0"/>
              <w:rPr>
                <w:sz w:val="11"/>
                <w:szCs w:val="11"/>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(1,206)</w:t>
            </w:r>
          </w:p>
        </w:tc>
        <w:tc>
          <w:tcPr>
            <w:tcW w:w="200" w:type="dxa"/>
            <w:vAlign w:val="bottom"/>
          </w:tcPr>
          <w:p>
            <w:pPr>
              <w:spacing w:after="0"/>
              <w:rPr>
                <w:sz w:val="11"/>
                <w:szCs w:val="11"/>
                <w:color w:val="auto"/>
              </w:rPr>
            </w:pPr>
          </w:p>
        </w:tc>
        <w:tc>
          <w:tcPr>
            <w:tcW w:w="7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(3,285)</w:t>
            </w:r>
          </w:p>
        </w:tc>
      </w:tr>
      <w:tr>
        <w:trPr>
          <w:trHeight w:val="135"/>
        </w:trPr>
        <w:tc>
          <w:tcPr>
            <w:tcW w:w="5500" w:type="dxa"/>
            <w:vAlign w:val="bottom"/>
          </w:tcPr>
          <w:p>
            <w:pPr>
              <w:spacing w:after="0"/>
              <w:rPr>
                <w:sz w:val="11"/>
                <w:szCs w:val="11"/>
                <w:color w:val="auto"/>
              </w:rPr>
            </w:pPr>
          </w:p>
        </w:tc>
        <w:tc>
          <w:tcPr>
            <w:tcW w:w="92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135"/>
        </w:trPr>
        <w:tc>
          <w:tcPr>
            <w:tcW w:w="5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6,077</w:t>
            </w:r>
          </w:p>
        </w:tc>
        <w:tc>
          <w:tcPr>
            <w:tcW w:w="220" w:type="dxa"/>
            <w:vAlign w:val="bottom"/>
          </w:tcPr>
          <w:p>
            <w:pPr>
              <w:spacing w:after="0"/>
              <w:rPr>
                <w:sz w:val="11"/>
                <w:szCs w:val="11"/>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7"/>
              </w:rPr>
              <w:t>(11,454)</w:t>
            </w:r>
          </w:p>
        </w:tc>
        <w:tc>
          <w:tcPr>
            <w:tcW w:w="200" w:type="dxa"/>
            <w:vAlign w:val="bottom"/>
          </w:tcPr>
          <w:p>
            <w:pPr>
              <w:spacing w:after="0"/>
              <w:rPr>
                <w:sz w:val="11"/>
                <w:szCs w:val="11"/>
                <w:color w:val="auto"/>
              </w:rPr>
            </w:pPr>
          </w:p>
        </w:tc>
        <w:tc>
          <w:tcPr>
            <w:tcW w:w="7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(27,127)</w:t>
            </w:r>
          </w:p>
        </w:tc>
      </w:tr>
      <w:tr>
        <w:trPr>
          <w:trHeight w:val="135"/>
        </w:trPr>
        <w:tc>
          <w:tcPr>
            <w:tcW w:w="5500" w:type="dxa"/>
            <w:vAlign w:val="bottom"/>
          </w:tcPr>
          <w:p>
            <w:pPr>
              <w:ind w:left="840"/>
              <w:spacing w:after="0"/>
              <w:rPr>
                <w:sz w:val="20"/>
                <w:szCs w:val="20"/>
                <w:color w:val="auto"/>
              </w:rPr>
            </w:pPr>
            <w:r>
              <w:rPr>
                <w:rFonts w:ascii="Courier New" w:cs="Courier New" w:eastAsia="Courier New" w:hAnsi="Courier New"/>
                <w:sz w:val="12"/>
                <w:szCs w:val="12"/>
                <w:color w:val="auto"/>
              </w:rPr>
              <w:t>DECREASE IN LONG-TERM CUSTOMERS' ADVANCES, NET</w:t>
            </w:r>
          </w:p>
        </w:tc>
        <w:tc>
          <w:tcPr>
            <w:tcW w:w="180" w:type="dxa"/>
            <w:vAlign w:val="bottom"/>
          </w:tcPr>
          <w:p>
            <w:pPr>
              <w:spacing w:after="0"/>
              <w:rPr>
                <w:sz w:val="11"/>
                <w:szCs w:val="11"/>
                <w:color w:val="auto"/>
              </w:rPr>
            </w:pPr>
          </w:p>
        </w:tc>
        <w:tc>
          <w:tcPr>
            <w:tcW w:w="7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(528)</w:t>
            </w:r>
          </w:p>
        </w:tc>
        <w:tc>
          <w:tcPr>
            <w:tcW w:w="220" w:type="dxa"/>
            <w:vAlign w:val="bottom"/>
          </w:tcPr>
          <w:p>
            <w:pPr>
              <w:spacing w:after="0"/>
              <w:rPr>
                <w:sz w:val="11"/>
                <w:szCs w:val="11"/>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(415)</w:t>
            </w:r>
          </w:p>
        </w:tc>
        <w:tc>
          <w:tcPr>
            <w:tcW w:w="200" w:type="dxa"/>
            <w:vAlign w:val="bottom"/>
          </w:tcPr>
          <w:p>
            <w:pPr>
              <w:spacing w:after="0"/>
              <w:rPr>
                <w:sz w:val="11"/>
                <w:szCs w:val="11"/>
                <w:color w:val="auto"/>
              </w:rPr>
            </w:pPr>
          </w:p>
        </w:tc>
        <w:tc>
          <w:tcPr>
            <w:tcW w:w="7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(2,306)</w:t>
            </w:r>
          </w:p>
        </w:tc>
      </w:tr>
      <w:tr>
        <w:trPr>
          <w:trHeight w:val="135"/>
        </w:trPr>
        <w:tc>
          <w:tcPr>
            <w:tcW w:w="5500" w:type="dxa"/>
            <w:vAlign w:val="bottom"/>
          </w:tcPr>
          <w:p>
            <w:pPr>
              <w:spacing w:after="0"/>
              <w:rPr>
                <w:sz w:val="11"/>
                <w:szCs w:val="11"/>
                <w:color w:val="auto"/>
              </w:rPr>
            </w:pPr>
          </w:p>
        </w:tc>
        <w:tc>
          <w:tcPr>
            <w:tcW w:w="92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135"/>
        </w:trPr>
        <w:tc>
          <w:tcPr>
            <w:tcW w:w="5500" w:type="dxa"/>
            <w:vAlign w:val="bottom"/>
          </w:tcPr>
          <w:p>
            <w:pPr>
              <w:ind w:left="980"/>
              <w:spacing w:after="0"/>
              <w:rPr>
                <w:sz w:val="20"/>
                <w:szCs w:val="20"/>
                <w:color w:val="auto"/>
              </w:rPr>
            </w:pPr>
            <w:r>
              <w:rPr>
                <w:rFonts w:ascii="Courier New" w:cs="Courier New" w:eastAsia="Courier New" w:hAnsi="Courier New"/>
                <w:sz w:val="12"/>
                <w:szCs w:val="12"/>
                <w:color w:val="auto"/>
              </w:rPr>
              <w:t>NET CASH PROVIDED BY (USED IN) OPERATING ACTIVITIES</w:t>
            </w:r>
          </w:p>
        </w:tc>
        <w:tc>
          <w:tcPr>
            <w:tcW w:w="180" w:type="dxa"/>
            <w:vAlign w:val="bottom"/>
          </w:tcPr>
          <w:p>
            <w:pPr>
              <w:spacing w:after="0"/>
              <w:rPr>
                <w:sz w:val="11"/>
                <w:szCs w:val="11"/>
                <w:color w:val="auto"/>
              </w:rPr>
            </w:pP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5,549</w:t>
            </w:r>
          </w:p>
        </w:tc>
        <w:tc>
          <w:tcPr>
            <w:tcW w:w="220" w:type="dxa"/>
            <w:vAlign w:val="bottom"/>
          </w:tcPr>
          <w:p>
            <w:pPr>
              <w:spacing w:after="0"/>
              <w:rPr>
                <w:sz w:val="11"/>
                <w:szCs w:val="11"/>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7"/>
              </w:rPr>
              <w:t>(11,869)</w:t>
            </w:r>
          </w:p>
        </w:tc>
        <w:tc>
          <w:tcPr>
            <w:tcW w:w="200" w:type="dxa"/>
            <w:vAlign w:val="bottom"/>
          </w:tcPr>
          <w:p>
            <w:pPr>
              <w:spacing w:after="0"/>
              <w:rPr>
                <w:sz w:val="11"/>
                <w:szCs w:val="11"/>
                <w:color w:val="auto"/>
              </w:rPr>
            </w:pPr>
          </w:p>
        </w:tc>
        <w:tc>
          <w:tcPr>
            <w:tcW w:w="7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(29,433)</w:t>
            </w:r>
          </w:p>
        </w:tc>
      </w:tr>
      <w:tr>
        <w:trPr>
          <w:trHeight w:val="135"/>
        </w:trPr>
        <w:tc>
          <w:tcPr>
            <w:tcW w:w="5500" w:type="dxa"/>
            <w:vAlign w:val="bottom"/>
          </w:tcPr>
          <w:p>
            <w:pPr>
              <w:spacing w:after="0"/>
              <w:rPr>
                <w:sz w:val="11"/>
                <w:szCs w:val="11"/>
                <w:color w:val="auto"/>
              </w:rPr>
            </w:pPr>
          </w:p>
        </w:tc>
        <w:tc>
          <w:tcPr>
            <w:tcW w:w="92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270"/>
        </w:trPr>
        <w:tc>
          <w:tcPr>
            <w:tcW w:w="5500" w:type="dxa"/>
            <w:vAlign w:val="bottom"/>
          </w:tcPr>
          <w:p>
            <w:pPr>
              <w:spacing w:after="0"/>
              <w:rPr>
                <w:sz w:val="20"/>
                <w:szCs w:val="20"/>
                <w:color w:val="auto"/>
              </w:rPr>
            </w:pPr>
            <w:r>
              <w:rPr>
                <w:rFonts w:ascii="Courier New" w:cs="Courier New" w:eastAsia="Courier New" w:hAnsi="Courier New"/>
                <w:sz w:val="12"/>
                <w:szCs w:val="12"/>
                <w:color w:val="auto"/>
              </w:rPr>
              <w:t>CASH FLOWS - INVESTING ACTIVITIES</w:t>
            </w: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70"/>
        </w:trPr>
        <w:tc>
          <w:tcPr>
            <w:tcW w:w="5500" w:type="dxa"/>
            <w:vAlign w:val="bottom"/>
          </w:tcPr>
          <w:p>
            <w:pPr>
              <w:ind w:left="280"/>
              <w:spacing w:after="0"/>
              <w:rPr>
                <w:sz w:val="20"/>
                <w:szCs w:val="20"/>
                <w:color w:val="auto"/>
              </w:rPr>
            </w:pPr>
            <w:r>
              <w:rPr>
                <w:rFonts w:ascii="Courier New" w:cs="Courier New" w:eastAsia="Courier New" w:hAnsi="Courier New"/>
                <w:sz w:val="12"/>
                <w:szCs w:val="12"/>
                <w:color w:val="auto"/>
              </w:rPr>
              <w:t>DECREASE IN DESIGNATED CASH, SHORT-TERM AND LONG-TERM</w:t>
            </w: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135"/>
        </w:trPr>
        <w:tc>
          <w:tcPr>
            <w:tcW w:w="5500" w:type="dxa"/>
            <w:vAlign w:val="bottom"/>
          </w:tcPr>
          <w:p>
            <w:pPr>
              <w:ind w:left="560"/>
              <w:spacing w:after="0"/>
              <w:rPr>
                <w:sz w:val="20"/>
                <w:szCs w:val="20"/>
                <w:color w:val="auto"/>
              </w:rPr>
            </w:pPr>
            <w:r>
              <w:rPr>
                <w:rFonts w:ascii="Courier New" w:cs="Courier New" w:eastAsia="Courier New" w:hAnsi="Courier New"/>
                <w:sz w:val="12"/>
                <w:szCs w:val="12"/>
                <w:color w:val="auto"/>
              </w:rPr>
              <w:t>INTEREST-BEARING DEPOSITS, NET</w:t>
            </w:r>
          </w:p>
        </w:tc>
        <w:tc>
          <w:tcPr>
            <w:tcW w:w="180" w:type="dxa"/>
            <w:vAlign w:val="bottom"/>
          </w:tcPr>
          <w:p>
            <w:pPr>
              <w:spacing w:after="0"/>
              <w:rPr>
                <w:sz w:val="11"/>
                <w:szCs w:val="11"/>
                <w:color w:val="auto"/>
              </w:rPr>
            </w:pP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6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16,535</w:t>
            </w:r>
          </w:p>
        </w:tc>
        <w:tc>
          <w:tcPr>
            <w:tcW w:w="200" w:type="dxa"/>
            <w:vAlign w:val="bottom"/>
          </w:tcPr>
          <w:p>
            <w:pPr>
              <w:spacing w:after="0"/>
              <w:rPr>
                <w:sz w:val="11"/>
                <w:szCs w:val="11"/>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31,661</w:t>
            </w:r>
          </w:p>
        </w:tc>
      </w:tr>
      <w:tr>
        <w:trPr>
          <w:trHeight w:val="135"/>
        </w:trPr>
        <w:tc>
          <w:tcPr>
            <w:tcW w:w="5500" w:type="dxa"/>
            <w:vAlign w:val="bottom"/>
          </w:tcPr>
          <w:p>
            <w:pPr>
              <w:ind w:left="280"/>
              <w:spacing w:after="0"/>
              <w:rPr>
                <w:sz w:val="20"/>
                <w:szCs w:val="20"/>
                <w:color w:val="auto"/>
              </w:rPr>
            </w:pPr>
            <w:r>
              <w:rPr>
                <w:rFonts w:ascii="Courier New" w:cs="Courier New" w:eastAsia="Courier New" w:hAnsi="Courier New"/>
                <w:sz w:val="12"/>
                <w:szCs w:val="12"/>
                <w:color w:val="auto"/>
              </w:rPr>
              <w:t>INVESTMENTS IN PROPERTY AND EQUIPMENT</w:t>
            </w:r>
          </w:p>
        </w:tc>
        <w:tc>
          <w:tcPr>
            <w:tcW w:w="180" w:type="dxa"/>
            <w:vAlign w:val="bottom"/>
          </w:tcPr>
          <w:p>
            <w:pPr>
              <w:spacing w:after="0"/>
              <w:rPr>
                <w:sz w:val="11"/>
                <w:szCs w:val="11"/>
                <w:color w:val="auto"/>
              </w:rPr>
            </w:pPr>
          </w:p>
        </w:tc>
        <w:tc>
          <w:tcPr>
            <w:tcW w:w="7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(23,836)</w:t>
            </w:r>
          </w:p>
        </w:tc>
        <w:tc>
          <w:tcPr>
            <w:tcW w:w="220" w:type="dxa"/>
            <w:vAlign w:val="bottom"/>
          </w:tcPr>
          <w:p>
            <w:pPr>
              <w:spacing w:after="0"/>
              <w:rPr>
                <w:sz w:val="11"/>
                <w:szCs w:val="11"/>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7"/>
              </w:rPr>
              <w:t>(16,666)</w:t>
            </w:r>
          </w:p>
        </w:tc>
        <w:tc>
          <w:tcPr>
            <w:tcW w:w="200" w:type="dxa"/>
            <w:vAlign w:val="bottom"/>
          </w:tcPr>
          <w:p>
            <w:pPr>
              <w:spacing w:after="0"/>
              <w:rPr>
                <w:sz w:val="11"/>
                <w:szCs w:val="11"/>
                <w:color w:val="auto"/>
              </w:rPr>
            </w:pPr>
          </w:p>
        </w:tc>
        <w:tc>
          <w:tcPr>
            <w:tcW w:w="72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5"/>
              </w:rPr>
              <w:t>(161,187)</w:t>
            </w:r>
          </w:p>
        </w:tc>
      </w:tr>
      <w:tr>
        <w:trPr>
          <w:trHeight w:val="135"/>
        </w:trPr>
        <w:tc>
          <w:tcPr>
            <w:tcW w:w="5500" w:type="dxa"/>
            <w:vAlign w:val="bottom"/>
          </w:tcPr>
          <w:p>
            <w:pPr>
              <w:ind w:left="280"/>
              <w:spacing w:after="0"/>
              <w:rPr>
                <w:sz w:val="20"/>
                <w:szCs w:val="20"/>
                <w:color w:val="auto"/>
              </w:rPr>
            </w:pPr>
            <w:r>
              <w:rPr>
                <w:rFonts w:ascii="Courier New" w:cs="Courier New" w:eastAsia="Courier New" w:hAnsi="Courier New"/>
                <w:sz w:val="12"/>
                <w:szCs w:val="12"/>
                <w:color w:val="auto"/>
              </w:rPr>
              <w:t>INVESTMENT GRANTS RECEIVED</w:t>
            </w:r>
          </w:p>
        </w:tc>
        <w:tc>
          <w:tcPr>
            <w:tcW w:w="180" w:type="dxa"/>
            <w:vAlign w:val="bottom"/>
          </w:tcPr>
          <w:p>
            <w:pPr>
              <w:spacing w:after="0"/>
              <w:rPr>
                <w:sz w:val="11"/>
                <w:szCs w:val="11"/>
                <w:color w:val="auto"/>
              </w:rPr>
            </w:pP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6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872</w:t>
            </w:r>
          </w:p>
        </w:tc>
        <w:tc>
          <w:tcPr>
            <w:tcW w:w="200" w:type="dxa"/>
            <w:vAlign w:val="bottom"/>
          </w:tcPr>
          <w:p>
            <w:pPr>
              <w:spacing w:after="0"/>
              <w:rPr>
                <w:sz w:val="11"/>
                <w:szCs w:val="11"/>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5,219</w:t>
            </w:r>
          </w:p>
        </w:tc>
      </w:tr>
      <w:tr>
        <w:trPr>
          <w:trHeight w:val="135"/>
        </w:trPr>
        <w:tc>
          <w:tcPr>
            <w:tcW w:w="5500" w:type="dxa"/>
            <w:vAlign w:val="bottom"/>
          </w:tcPr>
          <w:p>
            <w:pPr>
              <w:ind w:left="280"/>
              <w:spacing w:after="0"/>
              <w:rPr>
                <w:sz w:val="20"/>
                <w:szCs w:val="20"/>
                <w:color w:val="auto"/>
              </w:rPr>
            </w:pPr>
            <w:r>
              <w:rPr>
                <w:rFonts w:ascii="Courier New" w:cs="Courier New" w:eastAsia="Courier New" w:hAnsi="Courier New"/>
                <w:sz w:val="12"/>
                <w:szCs w:val="12"/>
                <w:color w:val="auto"/>
              </w:rPr>
              <w:t>PROCEEDS RELATED TO SALE AND DISPOSAL OF PROPERTY AND EQUIPMENT</w:t>
            </w:r>
          </w:p>
        </w:tc>
        <w:tc>
          <w:tcPr>
            <w:tcW w:w="180" w:type="dxa"/>
            <w:vAlign w:val="bottom"/>
          </w:tcPr>
          <w:p>
            <w:pPr>
              <w:spacing w:after="0"/>
              <w:rPr>
                <w:sz w:val="11"/>
                <w:szCs w:val="11"/>
                <w:color w:val="auto"/>
              </w:rPr>
            </w:pP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69</w:t>
            </w:r>
          </w:p>
        </w:tc>
        <w:tc>
          <w:tcPr>
            <w:tcW w:w="220" w:type="dxa"/>
            <w:vAlign w:val="bottom"/>
          </w:tcPr>
          <w:p>
            <w:pPr>
              <w:spacing w:after="0"/>
              <w:rPr>
                <w:sz w:val="11"/>
                <w:szCs w:val="11"/>
                <w:color w:val="auto"/>
              </w:rPr>
            </w:pPr>
          </w:p>
        </w:tc>
        <w:tc>
          <w:tcPr>
            <w:tcW w:w="6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551</w:t>
            </w:r>
          </w:p>
        </w:tc>
        <w:tc>
          <w:tcPr>
            <w:tcW w:w="200" w:type="dxa"/>
            <w:vAlign w:val="bottom"/>
          </w:tcPr>
          <w:p>
            <w:pPr>
              <w:spacing w:after="0"/>
              <w:rPr>
                <w:sz w:val="11"/>
                <w:szCs w:val="11"/>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600</w:t>
            </w:r>
          </w:p>
        </w:tc>
      </w:tr>
      <w:tr>
        <w:trPr>
          <w:trHeight w:val="135"/>
        </w:trPr>
        <w:tc>
          <w:tcPr>
            <w:tcW w:w="5500" w:type="dxa"/>
            <w:vAlign w:val="bottom"/>
          </w:tcPr>
          <w:p>
            <w:pPr>
              <w:ind w:left="280"/>
              <w:spacing w:after="0"/>
              <w:rPr>
                <w:sz w:val="20"/>
                <w:szCs w:val="20"/>
                <w:color w:val="auto"/>
              </w:rPr>
            </w:pPr>
            <w:r>
              <w:rPr>
                <w:rFonts w:ascii="Courier New" w:cs="Courier New" w:eastAsia="Courier New" w:hAnsi="Courier New"/>
                <w:sz w:val="12"/>
                <w:szCs w:val="12"/>
                <w:color w:val="auto"/>
              </w:rPr>
              <w:t>INVESTMENTS IN OTHER ASSETS</w:t>
            </w:r>
          </w:p>
        </w:tc>
        <w:tc>
          <w:tcPr>
            <w:tcW w:w="180" w:type="dxa"/>
            <w:vAlign w:val="bottom"/>
          </w:tcPr>
          <w:p>
            <w:pPr>
              <w:spacing w:after="0"/>
              <w:rPr>
                <w:sz w:val="11"/>
                <w:szCs w:val="11"/>
                <w:color w:val="auto"/>
              </w:rPr>
            </w:pPr>
          </w:p>
        </w:tc>
        <w:tc>
          <w:tcPr>
            <w:tcW w:w="7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(911)</w:t>
            </w:r>
          </w:p>
        </w:tc>
        <w:tc>
          <w:tcPr>
            <w:tcW w:w="220" w:type="dxa"/>
            <w:vAlign w:val="bottom"/>
          </w:tcPr>
          <w:p>
            <w:pPr>
              <w:spacing w:after="0"/>
              <w:rPr>
                <w:sz w:val="11"/>
                <w:szCs w:val="11"/>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(3,507)</w:t>
            </w:r>
          </w:p>
        </w:tc>
        <w:tc>
          <w:tcPr>
            <w:tcW w:w="200" w:type="dxa"/>
            <w:vAlign w:val="bottom"/>
          </w:tcPr>
          <w:p>
            <w:pPr>
              <w:spacing w:after="0"/>
              <w:rPr>
                <w:sz w:val="11"/>
                <w:szCs w:val="11"/>
                <w:color w:val="auto"/>
              </w:rPr>
            </w:pPr>
          </w:p>
        </w:tc>
        <w:tc>
          <w:tcPr>
            <w:tcW w:w="7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(5,074)</w:t>
            </w:r>
          </w:p>
        </w:tc>
      </w:tr>
      <w:tr>
        <w:trPr>
          <w:trHeight w:val="135"/>
        </w:trPr>
        <w:tc>
          <w:tcPr>
            <w:tcW w:w="5500" w:type="dxa"/>
            <w:vAlign w:val="bottom"/>
          </w:tcPr>
          <w:p>
            <w:pPr>
              <w:ind w:left="280"/>
              <w:spacing w:after="0"/>
              <w:rPr>
                <w:sz w:val="20"/>
                <w:szCs w:val="20"/>
                <w:color w:val="auto"/>
              </w:rPr>
            </w:pPr>
            <w:r>
              <w:rPr>
                <w:rFonts w:ascii="Courier New" w:cs="Courier New" w:eastAsia="Courier New" w:hAnsi="Courier New"/>
                <w:sz w:val="12"/>
                <w:szCs w:val="12"/>
                <w:color w:val="auto"/>
              </w:rPr>
              <w:t>INCREASE IN SHORT-TERM INTEREST-BEARING DEPOSITS</w:t>
            </w:r>
          </w:p>
        </w:tc>
        <w:tc>
          <w:tcPr>
            <w:tcW w:w="180" w:type="dxa"/>
            <w:vAlign w:val="bottom"/>
          </w:tcPr>
          <w:p>
            <w:pPr>
              <w:spacing w:after="0"/>
              <w:rPr>
                <w:sz w:val="11"/>
                <w:szCs w:val="11"/>
                <w:color w:val="auto"/>
              </w:rPr>
            </w:pPr>
          </w:p>
        </w:tc>
        <w:tc>
          <w:tcPr>
            <w:tcW w:w="7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(3,770)</w:t>
            </w:r>
          </w:p>
        </w:tc>
        <w:tc>
          <w:tcPr>
            <w:tcW w:w="220" w:type="dxa"/>
            <w:vAlign w:val="bottom"/>
          </w:tcPr>
          <w:p>
            <w:pPr>
              <w:spacing w:after="0"/>
              <w:rPr>
                <w:sz w:val="11"/>
                <w:szCs w:val="11"/>
                <w:color w:val="auto"/>
              </w:rPr>
            </w:pPr>
          </w:p>
        </w:tc>
        <w:tc>
          <w:tcPr>
            <w:tcW w:w="6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200" w:type="dxa"/>
            <w:vAlign w:val="bottom"/>
          </w:tcPr>
          <w:p>
            <w:pPr>
              <w:spacing w:after="0"/>
              <w:rPr>
                <w:sz w:val="11"/>
                <w:szCs w:val="11"/>
                <w:color w:val="auto"/>
              </w:rPr>
            </w:pPr>
          </w:p>
        </w:tc>
        <w:tc>
          <w:tcPr>
            <w:tcW w:w="7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(1,230)</w:t>
            </w:r>
          </w:p>
        </w:tc>
      </w:tr>
      <w:tr>
        <w:trPr>
          <w:trHeight w:val="135"/>
        </w:trPr>
        <w:tc>
          <w:tcPr>
            <w:tcW w:w="5500" w:type="dxa"/>
            <w:vAlign w:val="bottom"/>
          </w:tcPr>
          <w:p>
            <w:pPr>
              <w:spacing w:after="0"/>
              <w:rPr>
                <w:sz w:val="11"/>
                <w:szCs w:val="11"/>
                <w:color w:val="auto"/>
              </w:rPr>
            </w:pPr>
          </w:p>
        </w:tc>
        <w:tc>
          <w:tcPr>
            <w:tcW w:w="92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135"/>
        </w:trPr>
        <w:tc>
          <w:tcPr>
            <w:tcW w:w="5500" w:type="dxa"/>
            <w:vAlign w:val="bottom"/>
          </w:tcPr>
          <w:p>
            <w:pPr>
              <w:ind w:left="980"/>
              <w:spacing w:after="0"/>
              <w:rPr>
                <w:sz w:val="20"/>
                <w:szCs w:val="20"/>
                <w:color w:val="auto"/>
              </w:rPr>
            </w:pPr>
            <w:r>
              <w:rPr>
                <w:rFonts w:ascii="Courier New" w:cs="Courier New" w:eastAsia="Courier New" w:hAnsi="Courier New"/>
                <w:sz w:val="12"/>
                <w:szCs w:val="12"/>
                <w:color w:val="auto"/>
              </w:rPr>
              <w:t>NET CASH USED IN INVESTING ACTIVITIES</w:t>
            </w:r>
          </w:p>
        </w:tc>
        <w:tc>
          <w:tcPr>
            <w:tcW w:w="180" w:type="dxa"/>
            <w:vAlign w:val="bottom"/>
          </w:tcPr>
          <w:p>
            <w:pPr>
              <w:spacing w:after="0"/>
              <w:rPr>
                <w:sz w:val="11"/>
                <w:szCs w:val="11"/>
                <w:color w:val="auto"/>
              </w:rPr>
            </w:pPr>
          </w:p>
        </w:tc>
        <w:tc>
          <w:tcPr>
            <w:tcW w:w="7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(28,448)</w:t>
            </w:r>
          </w:p>
        </w:tc>
        <w:tc>
          <w:tcPr>
            <w:tcW w:w="220" w:type="dxa"/>
            <w:vAlign w:val="bottom"/>
          </w:tcPr>
          <w:p>
            <w:pPr>
              <w:spacing w:after="0"/>
              <w:rPr>
                <w:sz w:val="11"/>
                <w:szCs w:val="11"/>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(2,215)</w:t>
            </w:r>
          </w:p>
        </w:tc>
        <w:tc>
          <w:tcPr>
            <w:tcW w:w="200" w:type="dxa"/>
            <w:vAlign w:val="bottom"/>
          </w:tcPr>
          <w:p>
            <w:pPr>
              <w:spacing w:after="0"/>
              <w:rPr>
                <w:sz w:val="11"/>
                <w:szCs w:val="11"/>
                <w:color w:val="auto"/>
              </w:rPr>
            </w:pPr>
          </w:p>
        </w:tc>
        <w:tc>
          <w:tcPr>
            <w:tcW w:w="72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5"/>
              </w:rPr>
              <w:t>(130,011)</w:t>
            </w:r>
          </w:p>
        </w:tc>
      </w:tr>
      <w:tr>
        <w:trPr>
          <w:trHeight w:val="135"/>
        </w:trPr>
        <w:tc>
          <w:tcPr>
            <w:tcW w:w="5500" w:type="dxa"/>
            <w:vAlign w:val="bottom"/>
          </w:tcPr>
          <w:p>
            <w:pPr>
              <w:spacing w:after="0"/>
              <w:rPr>
                <w:sz w:val="11"/>
                <w:szCs w:val="11"/>
                <w:color w:val="auto"/>
              </w:rPr>
            </w:pPr>
          </w:p>
        </w:tc>
        <w:tc>
          <w:tcPr>
            <w:tcW w:w="92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270"/>
        </w:trPr>
        <w:tc>
          <w:tcPr>
            <w:tcW w:w="5500" w:type="dxa"/>
            <w:vAlign w:val="bottom"/>
          </w:tcPr>
          <w:p>
            <w:pPr>
              <w:spacing w:after="0"/>
              <w:rPr>
                <w:sz w:val="20"/>
                <w:szCs w:val="20"/>
                <w:color w:val="auto"/>
              </w:rPr>
            </w:pPr>
            <w:r>
              <w:rPr>
                <w:rFonts w:ascii="Courier New" w:cs="Courier New" w:eastAsia="Courier New" w:hAnsi="Courier New"/>
                <w:sz w:val="12"/>
                <w:szCs w:val="12"/>
                <w:color w:val="auto"/>
              </w:rPr>
              <w:t>CASH FLOWS - FINANCING ACTIVITIES</w:t>
            </w: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70"/>
        </w:trPr>
        <w:tc>
          <w:tcPr>
            <w:tcW w:w="5500" w:type="dxa"/>
            <w:vAlign w:val="bottom"/>
          </w:tcPr>
          <w:p>
            <w:pPr>
              <w:ind w:left="280"/>
              <w:spacing w:after="0"/>
              <w:rPr>
                <w:sz w:val="20"/>
                <w:szCs w:val="20"/>
                <w:color w:val="auto"/>
              </w:rPr>
            </w:pPr>
            <w:r>
              <w:rPr>
                <w:rFonts w:ascii="Courier New" w:cs="Courier New" w:eastAsia="Courier New" w:hAnsi="Courier New"/>
                <w:sz w:val="12"/>
                <w:szCs w:val="12"/>
                <w:color w:val="auto"/>
              </w:rPr>
              <w:t>PROCEEDS FROM ISSUANCE OF CONVERTIBLE DEBENTURES, NET</w:t>
            </w:r>
          </w:p>
        </w:tc>
        <w:tc>
          <w:tcPr>
            <w:tcW w:w="180" w:type="dxa"/>
            <w:vAlign w:val="bottom"/>
          </w:tcPr>
          <w:p>
            <w:pPr>
              <w:spacing w:after="0"/>
              <w:rPr>
                <w:sz w:val="23"/>
                <w:szCs w:val="23"/>
                <w:color w:val="auto"/>
              </w:rPr>
            </w:pP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23"/>
                <w:szCs w:val="23"/>
                <w:color w:val="auto"/>
              </w:rPr>
            </w:pPr>
          </w:p>
        </w:tc>
        <w:tc>
          <w:tcPr>
            <w:tcW w:w="6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22,203</w:t>
            </w:r>
          </w:p>
        </w:tc>
        <w:tc>
          <w:tcPr>
            <w:tcW w:w="200" w:type="dxa"/>
            <w:vAlign w:val="bottom"/>
          </w:tcPr>
          <w:p>
            <w:pPr>
              <w:spacing w:after="0"/>
              <w:rPr>
                <w:sz w:val="23"/>
                <w:szCs w:val="23"/>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58,766</w:t>
            </w:r>
          </w:p>
        </w:tc>
      </w:tr>
      <w:tr>
        <w:trPr>
          <w:trHeight w:val="135"/>
        </w:trPr>
        <w:tc>
          <w:tcPr>
            <w:tcW w:w="5500" w:type="dxa"/>
            <w:vAlign w:val="bottom"/>
          </w:tcPr>
          <w:p>
            <w:pPr>
              <w:ind w:left="280"/>
              <w:spacing w:after="0"/>
              <w:rPr>
                <w:sz w:val="20"/>
                <w:szCs w:val="20"/>
                <w:color w:val="auto"/>
              </w:rPr>
            </w:pPr>
            <w:r>
              <w:rPr>
                <w:rFonts w:ascii="Courier New" w:cs="Courier New" w:eastAsia="Courier New" w:hAnsi="Courier New"/>
                <w:sz w:val="12"/>
                <w:szCs w:val="12"/>
                <w:color w:val="auto"/>
              </w:rPr>
              <w:t>PROCEEDS FROM LONG-TERM DEBT</w:t>
            </w:r>
          </w:p>
        </w:tc>
        <w:tc>
          <w:tcPr>
            <w:tcW w:w="180" w:type="dxa"/>
            <w:vAlign w:val="bottom"/>
          </w:tcPr>
          <w:p>
            <w:pPr>
              <w:spacing w:after="0"/>
              <w:rPr>
                <w:sz w:val="11"/>
                <w:szCs w:val="11"/>
                <w:color w:val="auto"/>
              </w:rPr>
            </w:pP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6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8,590</w:t>
            </w:r>
          </w:p>
        </w:tc>
        <w:tc>
          <w:tcPr>
            <w:tcW w:w="200" w:type="dxa"/>
            <w:vAlign w:val="bottom"/>
          </w:tcPr>
          <w:p>
            <w:pPr>
              <w:spacing w:after="0"/>
              <w:rPr>
                <w:sz w:val="11"/>
                <w:szCs w:val="11"/>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18,295</w:t>
            </w:r>
          </w:p>
        </w:tc>
      </w:tr>
      <w:tr>
        <w:trPr>
          <w:trHeight w:val="135"/>
        </w:trPr>
        <w:tc>
          <w:tcPr>
            <w:tcW w:w="5500" w:type="dxa"/>
            <w:vAlign w:val="bottom"/>
          </w:tcPr>
          <w:p>
            <w:pPr>
              <w:ind w:left="280"/>
              <w:spacing w:after="0"/>
              <w:rPr>
                <w:sz w:val="20"/>
                <w:szCs w:val="20"/>
                <w:color w:val="auto"/>
              </w:rPr>
            </w:pPr>
            <w:r>
              <w:rPr>
                <w:rFonts w:ascii="Courier New" w:cs="Courier New" w:eastAsia="Courier New" w:hAnsi="Courier New"/>
                <w:sz w:val="12"/>
                <w:szCs w:val="12"/>
                <w:color w:val="auto"/>
              </w:rPr>
              <w:t>PROCEEDS FROM ISSUANCE OF ORDINARY SHARES AND WARRANTS, NET</w:t>
            </w:r>
          </w:p>
        </w:tc>
        <w:tc>
          <w:tcPr>
            <w:tcW w:w="180" w:type="dxa"/>
            <w:vAlign w:val="bottom"/>
          </w:tcPr>
          <w:p>
            <w:pPr>
              <w:spacing w:after="0"/>
              <w:rPr>
                <w:sz w:val="11"/>
                <w:szCs w:val="11"/>
                <w:color w:val="auto"/>
              </w:rPr>
            </w:pP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28,867</w:t>
            </w:r>
          </w:p>
        </w:tc>
        <w:tc>
          <w:tcPr>
            <w:tcW w:w="220" w:type="dxa"/>
            <w:vAlign w:val="bottom"/>
          </w:tcPr>
          <w:p>
            <w:pPr>
              <w:spacing w:after="0"/>
              <w:rPr>
                <w:sz w:val="11"/>
                <w:szCs w:val="11"/>
                <w:color w:val="auto"/>
              </w:rPr>
            </w:pPr>
          </w:p>
        </w:tc>
        <w:tc>
          <w:tcPr>
            <w:tcW w:w="6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200" w:type="dxa"/>
            <w:vAlign w:val="bottom"/>
          </w:tcPr>
          <w:p>
            <w:pPr>
              <w:spacing w:after="0"/>
              <w:rPr>
                <w:sz w:val="11"/>
                <w:szCs w:val="11"/>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20,673</w:t>
            </w:r>
          </w:p>
        </w:tc>
      </w:tr>
      <w:tr>
        <w:trPr>
          <w:trHeight w:val="135"/>
        </w:trPr>
        <w:tc>
          <w:tcPr>
            <w:tcW w:w="5500" w:type="dxa"/>
            <w:vAlign w:val="bottom"/>
          </w:tcPr>
          <w:p>
            <w:pPr>
              <w:ind w:left="280"/>
              <w:spacing w:after="0"/>
              <w:rPr>
                <w:sz w:val="20"/>
                <w:szCs w:val="20"/>
                <w:color w:val="auto"/>
              </w:rPr>
            </w:pPr>
            <w:r>
              <w:rPr>
                <w:rFonts w:ascii="Courier New" w:cs="Courier New" w:eastAsia="Courier New" w:hAnsi="Courier New"/>
                <w:sz w:val="12"/>
                <w:szCs w:val="12"/>
                <w:color w:val="auto"/>
              </w:rPr>
              <w:t>PROCEEDS ON ACCOUNT OF A WARRANT</w:t>
            </w:r>
          </w:p>
        </w:tc>
        <w:tc>
          <w:tcPr>
            <w:tcW w:w="180" w:type="dxa"/>
            <w:vAlign w:val="bottom"/>
          </w:tcPr>
          <w:p>
            <w:pPr>
              <w:spacing w:after="0"/>
              <w:rPr>
                <w:sz w:val="11"/>
                <w:szCs w:val="11"/>
                <w:color w:val="auto"/>
              </w:rPr>
            </w:pP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6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200" w:type="dxa"/>
            <w:vAlign w:val="bottom"/>
          </w:tcPr>
          <w:p>
            <w:pPr>
              <w:spacing w:after="0"/>
              <w:rPr>
                <w:sz w:val="11"/>
                <w:szCs w:val="11"/>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550</w:t>
            </w:r>
          </w:p>
        </w:tc>
      </w:tr>
      <w:tr>
        <w:trPr>
          <w:trHeight w:val="135"/>
        </w:trPr>
        <w:tc>
          <w:tcPr>
            <w:tcW w:w="5500" w:type="dxa"/>
            <w:vAlign w:val="bottom"/>
          </w:tcPr>
          <w:p>
            <w:pPr>
              <w:ind w:left="280"/>
              <w:spacing w:after="0"/>
              <w:rPr>
                <w:sz w:val="20"/>
                <w:szCs w:val="20"/>
                <w:color w:val="auto"/>
              </w:rPr>
            </w:pPr>
            <w:r>
              <w:rPr>
                <w:rFonts w:ascii="Courier New" w:cs="Courier New" w:eastAsia="Courier New" w:hAnsi="Courier New"/>
                <w:sz w:val="12"/>
                <w:szCs w:val="12"/>
                <w:color w:val="auto"/>
              </w:rPr>
              <w:t>PROCEEDS ON ACCOUNT OF SHARE CAPITAL</w:t>
            </w:r>
          </w:p>
        </w:tc>
        <w:tc>
          <w:tcPr>
            <w:tcW w:w="180" w:type="dxa"/>
            <w:vAlign w:val="bottom"/>
          </w:tcPr>
          <w:p>
            <w:pPr>
              <w:spacing w:after="0"/>
              <w:rPr>
                <w:sz w:val="11"/>
                <w:szCs w:val="11"/>
                <w:color w:val="auto"/>
              </w:rPr>
            </w:pP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6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200" w:type="dxa"/>
            <w:vAlign w:val="bottom"/>
          </w:tcPr>
          <w:p>
            <w:pPr>
              <w:spacing w:after="0"/>
              <w:rPr>
                <w:sz w:val="11"/>
                <w:szCs w:val="11"/>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100,000</w:t>
            </w:r>
          </w:p>
        </w:tc>
      </w:tr>
      <w:tr>
        <w:trPr>
          <w:trHeight w:val="135"/>
        </w:trPr>
        <w:tc>
          <w:tcPr>
            <w:tcW w:w="5500" w:type="dxa"/>
            <w:vAlign w:val="bottom"/>
          </w:tcPr>
          <w:p>
            <w:pPr>
              <w:ind w:left="280"/>
              <w:spacing w:after="0"/>
              <w:rPr>
                <w:sz w:val="20"/>
                <w:szCs w:val="20"/>
                <w:color w:val="auto"/>
              </w:rPr>
            </w:pPr>
            <w:r>
              <w:rPr>
                <w:rFonts w:ascii="Courier New" w:cs="Courier New" w:eastAsia="Courier New" w:hAnsi="Courier New"/>
                <w:sz w:val="12"/>
                <w:szCs w:val="12"/>
                <w:color w:val="auto"/>
              </w:rPr>
              <w:t>REPAYMENT OF CONVERTIBLE DEBEBNTURE</w:t>
            </w:r>
          </w:p>
        </w:tc>
        <w:tc>
          <w:tcPr>
            <w:tcW w:w="180" w:type="dxa"/>
            <w:vAlign w:val="bottom"/>
          </w:tcPr>
          <w:p>
            <w:pPr>
              <w:spacing w:after="0"/>
              <w:rPr>
                <w:sz w:val="11"/>
                <w:szCs w:val="11"/>
                <w:color w:val="auto"/>
              </w:rPr>
            </w:pPr>
          </w:p>
        </w:tc>
        <w:tc>
          <w:tcPr>
            <w:tcW w:w="7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(7,088)</w:t>
            </w:r>
          </w:p>
        </w:tc>
        <w:tc>
          <w:tcPr>
            <w:tcW w:w="220" w:type="dxa"/>
            <w:vAlign w:val="bottom"/>
          </w:tcPr>
          <w:p>
            <w:pPr>
              <w:spacing w:after="0"/>
              <w:rPr>
                <w:sz w:val="11"/>
                <w:szCs w:val="11"/>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(6,476)</w:t>
            </w:r>
          </w:p>
        </w:tc>
        <w:tc>
          <w:tcPr>
            <w:tcW w:w="200" w:type="dxa"/>
            <w:vAlign w:val="bottom"/>
          </w:tcPr>
          <w:p>
            <w:pPr>
              <w:spacing w:after="0"/>
              <w:rPr>
                <w:sz w:val="11"/>
                <w:szCs w:val="11"/>
                <w:color w:val="auto"/>
              </w:rPr>
            </w:pPr>
          </w:p>
        </w:tc>
        <w:tc>
          <w:tcPr>
            <w:tcW w:w="7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(6,476)</w:t>
            </w:r>
          </w:p>
        </w:tc>
      </w:tr>
      <w:tr>
        <w:trPr>
          <w:trHeight w:val="135"/>
        </w:trPr>
        <w:tc>
          <w:tcPr>
            <w:tcW w:w="5500" w:type="dxa"/>
            <w:vAlign w:val="bottom"/>
          </w:tcPr>
          <w:p>
            <w:pPr>
              <w:ind w:left="280"/>
              <w:spacing w:after="0"/>
              <w:rPr>
                <w:sz w:val="20"/>
                <w:szCs w:val="20"/>
                <w:color w:val="auto"/>
              </w:rPr>
            </w:pPr>
            <w:r>
              <w:rPr>
                <w:rFonts w:ascii="Courier New" w:cs="Courier New" w:eastAsia="Courier New" w:hAnsi="Courier New"/>
                <w:sz w:val="12"/>
                <w:szCs w:val="12"/>
                <w:color w:val="auto"/>
              </w:rPr>
              <w:t>PROCEEDS FROM EXERCISE OF SHARE OPTIONS</w:t>
            </w:r>
          </w:p>
        </w:tc>
        <w:tc>
          <w:tcPr>
            <w:tcW w:w="180" w:type="dxa"/>
            <w:vAlign w:val="bottom"/>
          </w:tcPr>
          <w:p>
            <w:pPr>
              <w:spacing w:after="0"/>
              <w:rPr>
                <w:sz w:val="11"/>
                <w:szCs w:val="11"/>
                <w:color w:val="auto"/>
              </w:rPr>
            </w:pP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w:t>
            </w:r>
          </w:p>
        </w:tc>
        <w:tc>
          <w:tcPr>
            <w:tcW w:w="220" w:type="dxa"/>
            <w:vAlign w:val="bottom"/>
          </w:tcPr>
          <w:p>
            <w:pPr>
              <w:spacing w:after="0"/>
              <w:rPr>
                <w:sz w:val="11"/>
                <w:szCs w:val="11"/>
                <w:color w:val="auto"/>
              </w:rPr>
            </w:pPr>
          </w:p>
        </w:tc>
        <w:tc>
          <w:tcPr>
            <w:tcW w:w="6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200" w:type="dxa"/>
            <w:vAlign w:val="bottom"/>
          </w:tcPr>
          <w:p>
            <w:pPr>
              <w:spacing w:after="0"/>
              <w:rPr>
                <w:sz w:val="11"/>
                <w:szCs w:val="11"/>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9</w:t>
            </w:r>
          </w:p>
        </w:tc>
      </w:tr>
      <w:tr>
        <w:trPr>
          <w:trHeight w:val="135"/>
        </w:trPr>
        <w:tc>
          <w:tcPr>
            <w:tcW w:w="5500" w:type="dxa"/>
            <w:vAlign w:val="bottom"/>
          </w:tcPr>
          <w:p>
            <w:pPr>
              <w:spacing w:after="0"/>
              <w:rPr>
                <w:sz w:val="11"/>
                <w:szCs w:val="11"/>
                <w:color w:val="auto"/>
              </w:rPr>
            </w:pPr>
          </w:p>
        </w:tc>
        <w:tc>
          <w:tcPr>
            <w:tcW w:w="92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135"/>
        </w:trPr>
        <w:tc>
          <w:tcPr>
            <w:tcW w:w="5500" w:type="dxa"/>
            <w:vAlign w:val="bottom"/>
          </w:tcPr>
          <w:p>
            <w:pPr>
              <w:ind w:left="980"/>
              <w:spacing w:after="0"/>
              <w:rPr>
                <w:sz w:val="20"/>
                <w:szCs w:val="20"/>
                <w:color w:val="auto"/>
              </w:rPr>
            </w:pPr>
            <w:r>
              <w:rPr>
                <w:rFonts w:ascii="Courier New" w:cs="Courier New" w:eastAsia="Courier New" w:hAnsi="Courier New"/>
                <w:sz w:val="12"/>
                <w:szCs w:val="12"/>
                <w:color w:val="auto"/>
              </w:rPr>
              <w:t>NET CASH PROVIDED BY FINANCING ACTIVITIES</w:t>
            </w:r>
          </w:p>
        </w:tc>
        <w:tc>
          <w:tcPr>
            <w:tcW w:w="180" w:type="dxa"/>
            <w:vAlign w:val="bottom"/>
          </w:tcPr>
          <w:p>
            <w:pPr>
              <w:spacing w:after="0"/>
              <w:rPr>
                <w:sz w:val="11"/>
                <w:szCs w:val="11"/>
                <w:color w:val="auto"/>
              </w:rPr>
            </w:pP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21,781</w:t>
            </w:r>
          </w:p>
        </w:tc>
        <w:tc>
          <w:tcPr>
            <w:tcW w:w="220" w:type="dxa"/>
            <w:vAlign w:val="bottom"/>
          </w:tcPr>
          <w:p>
            <w:pPr>
              <w:spacing w:after="0"/>
              <w:rPr>
                <w:sz w:val="11"/>
                <w:szCs w:val="11"/>
                <w:color w:val="auto"/>
              </w:rPr>
            </w:pPr>
          </w:p>
        </w:tc>
        <w:tc>
          <w:tcPr>
            <w:tcW w:w="6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24,317</w:t>
            </w:r>
          </w:p>
        </w:tc>
        <w:tc>
          <w:tcPr>
            <w:tcW w:w="200" w:type="dxa"/>
            <w:vAlign w:val="bottom"/>
          </w:tcPr>
          <w:p>
            <w:pPr>
              <w:spacing w:after="0"/>
              <w:rPr>
                <w:sz w:val="11"/>
                <w:szCs w:val="11"/>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191,817</w:t>
            </w:r>
          </w:p>
        </w:tc>
      </w:tr>
      <w:tr>
        <w:trPr>
          <w:trHeight w:val="135"/>
        </w:trPr>
        <w:tc>
          <w:tcPr>
            <w:tcW w:w="5500" w:type="dxa"/>
            <w:vAlign w:val="bottom"/>
          </w:tcPr>
          <w:p>
            <w:pPr>
              <w:spacing w:after="0"/>
              <w:rPr>
                <w:sz w:val="11"/>
                <w:szCs w:val="11"/>
                <w:color w:val="auto"/>
              </w:rPr>
            </w:pPr>
          </w:p>
        </w:tc>
        <w:tc>
          <w:tcPr>
            <w:tcW w:w="92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270"/>
        </w:trPr>
        <w:tc>
          <w:tcPr>
            <w:tcW w:w="5500" w:type="dxa"/>
            <w:vAlign w:val="bottom"/>
          </w:tcPr>
          <w:p>
            <w:pPr>
              <w:ind w:left="620"/>
              <w:spacing w:after="0"/>
              <w:rPr>
                <w:sz w:val="20"/>
                <w:szCs w:val="20"/>
                <w:color w:val="auto"/>
              </w:rPr>
            </w:pPr>
            <w:r>
              <w:rPr>
                <w:rFonts w:ascii="Courier New" w:cs="Courier New" w:eastAsia="Courier New" w:hAnsi="Courier New"/>
                <w:sz w:val="12"/>
                <w:szCs w:val="12"/>
                <w:color w:val="auto"/>
              </w:rPr>
              <w:t>INCREASE (DECREASE) IN CASH AND CASH EQUIVALENTS</w:t>
            </w:r>
          </w:p>
        </w:tc>
        <w:tc>
          <w:tcPr>
            <w:tcW w:w="180" w:type="dxa"/>
            <w:vAlign w:val="bottom"/>
          </w:tcPr>
          <w:p>
            <w:pPr>
              <w:spacing w:after="0"/>
              <w:rPr>
                <w:sz w:val="23"/>
                <w:szCs w:val="23"/>
                <w:color w:val="auto"/>
              </w:rPr>
            </w:pPr>
          </w:p>
        </w:tc>
        <w:tc>
          <w:tcPr>
            <w:tcW w:w="7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(1,118)</w:t>
            </w:r>
          </w:p>
        </w:tc>
        <w:tc>
          <w:tcPr>
            <w:tcW w:w="220" w:type="dxa"/>
            <w:vAlign w:val="bottom"/>
          </w:tcPr>
          <w:p>
            <w:pPr>
              <w:spacing w:after="0"/>
              <w:rPr>
                <w:sz w:val="23"/>
                <w:szCs w:val="23"/>
                <w:color w:val="auto"/>
              </w:rPr>
            </w:pPr>
          </w:p>
        </w:tc>
        <w:tc>
          <w:tcPr>
            <w:tcW w:w="6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10,233</w:t>
            </w:r>
          </w:p>
        </w:tc>
        <w:tc>
          <w:tcPr>
            <w:tcW w:w="200" w:type="dxa"/>
            <w:vAlign w:val="bottom"/>
          </w:tcPr>
          <w:p>
            <w:pPr>
              <w:spacing w:after="0"/>
              <w:rPr>
                <w:sz w:val="23"/>
                <w:szCs w:val="23"/>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32,373</w:t>
            </w:r>
          </w:p>
        </w:tc>
      </w:tr>
      <w:tr>
        <w:trPr>
          <w:trHeight w:val="135"/>
        </w:trPr>
        <w:tc>
          <w:tcPr>
            <w:tcW w:w="5500" w:type="dxa"/>
            <w:vAlign w:val="bottom"/>
          </w:tcPr>
          <w:p>
            <w:pPr>
              <w:spacing w:after="0"/>
              <w:rPr>
                <w:sz w:val="20"/>
                <w:szCs w:val="20"/>
                <w:color w:val="auto"/>
              </w:rPr>
            </w:pPr>
            <w:r>
              <w:rPr>
                <w:rFonts w:ascii="Courier New" w:cs="Courier New" w:eastAsia="Courier New" w:hAnsi="Courier New"/>
                <w:sz w:val="12"/>
                <w:szCs w:val="12"/>
                <w:color w:val="auto"/>
              </w:rPr>
              <w:t>CASH AND CASH EQUIVALENTS - BEGINNING OF PERIOD</w:t>
            </w:r>
          </w:p>
        </w:tc>
        <w:tc>
          <w:tcPr>
            <w:tcW w:w="180" w:type="dxa"/>
            <w:vAlign w:val="bottom"/>
          </w:tcPr>
          <w:p>
            <w:pPr>
              <w:spacing w:after="0"/>
              <w:rPr>
                <w:sz w:val="11"/>
                <w:szCs w:val="11"/>
                <w:color w:val="auto"/>
              </w:rPr>
            </w:pP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39,710</w:t>
            </w:r>
          </w:p>
        </w:tc>
        <w:tc>
          <w:tcPr>
            <w:tcW w:w="220" w:type="dxa"/>
            <w:vAlign w:val="bottom"/>
          </w:tcPr>
          <w:p>
            <w:pPr>
              <w:spacing w:after="0"/>
              <w:rPr>
                <w:sz w:val="11"/>
                <w:szCs w:val="11"/>
                <w:color w:val="auto"/>
              </w:rPr>
            </w:pPr>
          </w:p>
        </w:tc>
        <w:tc>
          <w:tcPr>
            <w:tcW w:w="6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7,337</w:t>
            </w:r>
          </w:p>
        </w:tc>
        <w:tc>
          <w:tcPr>
            <w:tcW w:w="200" w:type="dxa"/>
            <w:vAlign w:val="bottom"/>
          </w:tcPr>
          <w:p>
            <w:pPr>
              <w:spacing w:after="0"/>
              <w:rPr>
                <w:sz w:val="11"/>
                <w:szCs w:val="11"/>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7,337</w:t>
            </w:r>
          </w:p>
        </w:tc>
      </w:tr>
      <w:tr>
        <w:trPr>
          <w:trHeight w:val="135"/>
        </w:trPr>
        <w:tc>
          <w:tcPr>
            <w:tcW w:w="5500" w:type="dxa"/>
            <w:vAlign w:val="bottom"/>
          </w:tcPr>
          <w:p>
            <w:pPr>
              <w:spacing w:after="0"/>
              <w:rPr>
                <w:sz w:val="11"/>
                <w:szCs w:val="11"/>
                <w:color w:val="auto"/>
              </w:rPr>
            </w:pPr>
          </w:p>
        </w:tc>
        <w:tc>
          <w:tcPr>
            <w:tcW w:w="92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270"/>
        </w:trPr>
        <w:tc>
          <w:tcPr>
            <w:tcW w:w="5500" w:type="dxa"/>
            <w:vAlign w:val="bottom"/>
          </w:tcPr>
          <w:p>
            <w:pPr>
              <w:ind w:left="620"/>
              <w:spacing w:after="0"/>
              <w:rPr>
                <w:sz w:val="20"/>
                <w:szCs w:val="20"/>
                <w:color w:val="auto"/>
              </w:rPr>
            </w:pPr>
            <w:r>
              <w:rPr>
                <w:rFonts w:ascii="Courier New" w:cs="Courier New" w:eastAsia="Courier New" w:hAnsi="Courier New"/>
                <w:sz w:val="12"/>
                <w:szCs w:val="12"/>
                <w:color w:val="auto"/>
              </w:rPr>
              <w:t>CASH AND CASH EQUIVALENTS - END OF PERIOD</w:t>
            </w: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38,592</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17,570</w:t>
            </w:r>
          </w:p>
        </w:tc>
        <w:tc>
          <w:tcPr>
            <w:tcW w:w="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39,710</w:t>
            </w:r>
          </w:p>
        </w:tc>
      </w:tr>
      <w:tr>
        <w:trPr>
          <w:trHeight w:val="135"/>
        </w:trPr>
        <w:tc>
          <w:tcPr>
            <w:tcW w:w="5500" w:type="dxa"/>
            <w:vAlign w:val="bottom"/>
          </w:tcPr>
          <w:p>
            <w:pPr>
              <w:spacing w:after="0"/>
              <w:rPr>
                <w:sz w:val="11"/>
                <w:szCs w:val="11"/>
                <w:color w:val="auto"/>
              </w:rPr>
            </w:pPr>
          </w:p>
        </w:tc>
        <w:tc>
          <w:tcPr>
            <w:tcW w:w="92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270"/>
        </w:trPr>
        <w:tc>
          <w:tcPr>
            <w:tcW w:w="5500" w:type="dxa"/>
            <w:vAlign w:val="bottom"/>
          </w:tcPr>
          <w:p>
            <w:pPr>
              <w:spacing w:after="0"/>
              <w:rPr>
                <w:sz w:val="20"/>
                <w:szCs w:val="20"/>
                <w:color w:val="auto"/>
              </w:rPr>
            </w:pPr>
            <w:r>
              <w:rPr>
                <w:rFonts w:ascii="Courier New" w:cs="Courier New" w:eastAsia="Courier New" w:hAnsi="Courier New"/>
                <w:sz w:val="12"/>
                <w:szCs w:val="12"/>
                <w:color w:val="auto"/>
              </w:rPr>
              <w:t>NON-CASH ACTIVITIES</w:t>
            </w: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70"/>
        </w:trPr>
        <w:tc>
          <w:tcPr>
            <w:tcW w:w="5500" w:type="dxa"/>
            <w:vAlign w:val="bottom"/>
          </w:tcPr>
          <w:p>
            <w:pPr>
              <w:ind w:left="280"/>
              <w:spacing w:after="0"/>
              <w:rPr>
                <w:sz w:val="20"/>
                <w:szCs w:val="20"/>
                <w:color w:val="auto"/>
              </w:rPr>
            </w:pPr>
            <w:r>
              <w:rPr>
                <w:rFonts w:ascii="Courier New" w:cs="Courier New" w:eastAsia="Courier New" w:hAnsi="Courier New"/>
                <w:sz w:val="12"/>
                <w:szCs w:val="12"/>
                <w:color w:val="auto"/>
              </w:rPr>
              <w:t>INVESTMENTS IN PROPERTY AND EQUIPMENT</w:t>
            </w: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8,743</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1,901</w:t>
            </w:r>
          </w:p>
        </w:tc>
        <w:tc>
          <w:tcPr>
            <w:tcW w:w="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39,913</w:t>
            </w:r>
          </w:p>
        </w:tc>
      </w:tr>
      <w:tr>
        <w:trPr>
          <w:trHeight w:val="135"/>
        </w:trPr>
        <w:tc>
          <w:tcPr>
            <w:tcW w:w="5500" w:type="dxa"/>
            <w:vAlign w:val="bottom"/>
          </w:tcPr>
          <w:p>
            <w:pPr>
              <w:spacing w:after="0"/>
              <w:rPr>
                <w:sz w:val="11"/>
                <w:szCs w:val="11"/>
                <w:color w:val="auto"/>
              </w:rPr>
            </w:pPr>
          </w:p>
        </w:tc>
        <w:tc>
          <w:tcPr>
            <w:tcW w:w="92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135"/>
        </w:trPr>
        <w:tc>
          <w:tcPr>
            <w:tcW w:w="5500" w:type="dxa"/>
            <w:vAlign w:val="bottom"/>
          </w:tcPr>
          <w:p>
            <w:pPr>
              <w:ind w:left="280"/>
              <w:spacing w:after="0"/>
              <w:rPr>
                <w:sz w:val="20"/>
                <w:szCs w:val="20"/>
                <w:color w:val="auto"/>
              </w:rPr>
            </w:pPr>
            <w:r>
              <w:rPr>
                <w:rFonts w:ascii="Courier New" w:cs="Courier New" w:eastAsia="Courier New" w:hAnsi="Courier New"/>
                <w:sz w:val="12"/>
                <w:szCs w:val="12"/>
                <w:color w:val="auto"/>
              </w:rPr>
              <w:t>STOCK-BASED COMPENSATION RELATED TO</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5"/>
        </w:trPr>
        <w:tc>
          <w:tcPr>
            <w:tcW w:w="5500" w:type="dxa"/>
            <w:vAlign w:val="bottom"/>
          </w:tcPr>
          <w:p>
            <w:pPr>
              <w:ind w:left="480"/>
              <w:spacing w:after="0"/>
              <w:rPr>
                <w:sz w:val="20"/>
                <w:szCs w:val="20"/>
                <w:color w:val="auto"/>
              </w:rPr>
            </w:pPr>
            <w:r>
              <w:rPr>
                <w:rFonts w:ascii="Courier New" w:cs="Courier New" w:eastAsia="Courier New" w:hAnsi="Courier New"/>
                <w:sz w:val="12"/>
                <w:szCs w:val="12"/>
                <w:color w:val="auto"/>
              </w:rPr>
              <w:t>THE FACILITY AGREEMENT WITH THE BANKS</w:t>
            </w: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4,146</w:t>
            </w:r>
          </w:p>
        </w:tc>
      </w:tr>
      <w:tr>
        <w:trPr>
          <w:trHeight w:val="135"/>
        </w:trPr>
        <w:tc>
          <w:tcPr>
            <w:tcW w:w="5500" w:type="dxa"/>
            <w:vAlign w:val="bottom"/>
          </w:tcPr>
          <w:p>
            <w:pPr>
              <w:spacing w:after="0"/>
              <w:rPr>
                <w:sz w:val="11"/>
                <w:szCs w:val="11"/>
                <w:color w:val="auto"/>
              </w:rPr>
            </w:pPr>
          </w:p>
        </w:tc>
        <w:tc>
          <w:tcPr>
            <w:tcW w:w="92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135"/>
        </w:trPr>
        <w:tc>
          <w:tcPr>
            <w:tcW w:w="5500" w:type="dxa"/>
            <w:vAlign w:val="bottom"/>
          </w:tcPr>
          <w:p>
            <w:pPr>
              <w:ind w:left="280"/>
              <w:spacing w:after="0"/>
              <w:rPr>
                <w:sz w:val="20"/>
                <w:szCs w:val="20"/>
                <w:color w:val="auto"/>
              </w:rPr>
            </w:pPr>
            <w:r>
              <w:rPr>
                <w:rFonts w:ascii="Courier New" w:cs="Courier New" w:eastAsia="Courier New" w:hAnsi="Courier New"/>
                <w:sz w:val="12"/>
                <w:szCs w:val="12"/>
                <w:color w:val="auto"/>
              </w:rPr>
              <w:t>INVESTMENTS IN OTHER ASSETS</w:t>
            </w: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433</w:t>
            </w:r>
          </w:p>
        </w:tc>
      </w:tr>
      <w:tr>
        <w:trPr>
          <w:trHeight w:val="135"/>
        </w:trPr>
        <w:tc>
          <w:tcPr>
            <w:tcW w:w="5500" w:type="dxa"/>
            <w:vAlign w:val="bottom"/>
          </w:tcPr>
          <w:p>
            <w:pPr>
              <w:spacing w:after="0"/>
              <w:rPr>
                <w:sz w:val="11"/>
                <w:szCs w:val="11"/>
                <w:color w:val="auto"/>
              </w:rPr>
            </w:pPr>
          </w:p>
        </w:tc>
        <w:tc>
          <w:tcPr>
            <w:tcW w:w="92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135"/>
        </w:trPr>
        <w:tc>
          <w:tcPr>
            <w:tcW w:w="5500" w:type="dxa"/>
            <w:vAlign w:val="bottom"/>
          </w:tcPr>
          <w:p>
            <w:pPr>
              <w:ind w:left="280"/>
              <w:spacing w:after="0"/>
              <w:rPr>
                <w:sz w:val="20"/>
                <w:szCs w:val="20"/>
                <w:color w:val="auto"/>
              </w:rPr>
            </w:pPr>
            <w:r>
              <w:rPr>
                <w:rFonts w:ascii="Courier New" w:cs="Courier New" w:eastAsia="Courier New" w:hAnsi="Courier New"/>
                <w:sz w:val="12"/>
                <w:szCs w:val="12"/>
                <w:color w:val="auto"/>
              </w:rPr>
              <w:t>CONVERSION OF LONG-TERM CUSTOMERS' ADVANCES</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5"/>
        </w:trPr>
        <w:tc>
          <w:tcPr>
            <w:tcW w:w="5500" w:type="dxa"/>
            <w:vAlign w:val="bottom"/>
          </w:tcPr>
          <w:p>
            <w:pPr>
              <w:ind w:left="480"/>
              <w:spacing w:after="0"/>
              <w:rPr>
                <w:sz w:val="20"/>
                <w:szCs w:val="20"/>
                <w:color w:val="auto"/>
              </w:rPr>
            </w:pPr>
            <w:r>
              <w:rPr>
                <w:rFonts w:ascii="Courier New" w:cs="Courier New" w:eastAsia="Courier New" w:hAnsi="Courier New"/>
                <w:sz w:val="12"/>
                <w:szCs w:val="12"/>
                <w:color w:val="auto"/>
              </w:rPr>
              <w:t>TO SHARE CAPITAL</w:t>
            </w: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1,666</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4,287</w:t>
            </w:r>
          </w:p>
        </w:tc>
        <w:tc>
          <w:tcPr>
            <w:tcW w:w="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7,621</w:t>
            </w:r>
          </w:p>
        </w:tc>
      </w:tr>
      <w:tr>
        <w:trPr>
          <w:trHeight w:val="135"/>
        </w:trPr>
        <w:tc>
          <w:tcPr>
            <w:tcW w:w="5500" w:type="dxa"/>
            <w:vAlign w:val="bottom"/>
          </w:tcPr>
          <w:p>
            <w:pPr>
              <w:spacing w:after="0"/>
              <w:rPr>
                <w:sz w:val="11"/>
                <w:szCs w:val="11"/>
                <w:color w:val="auto"/>
              </w:rPr>
            </w:pPr>
          </w:p>
        </w:tc>
        <w:tc>
          <w:tcPr>
            <w:tcW w:w="92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135"/>
        </w:trPr>
        <w:tc>
          <w:tcPr>
            <w:tcW w:w="5500" w:type="dxa"/>
            <w:vAlign w:val="bottom"/>
          </w:tcPr>
          <w:p>
            <w:pPr>
              <w:ind w:left="280"/>
              <w:spacing w:after="0"/>
              <w:rPr>
                <w:sz w:val="20"/>
                <w:szCs w:val="20"/>
                <w:color w:val="auto"/>
              </w:rPr>
            </w:pPr>
            <w:r>
              <w:rPr>
                <w:rFonts w:ascii="Courier New" w:cs="Courier New" w:eastAsia="Courier New" w:hAnsi="Courier New"/>
                <w:sz w:val="12"/>
                <w:szCs w:val="12"/>
                <w:color w:val="auto"/>
              </w:rPr>
              <w:t>CONVERSION OF CONVERTIBLE DEBENTURES TO SHARES CAPITAL</w:t>
            </w: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304</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3,672</w:t>
            </w:r>
          </w:p>
        </w:tc>
        <w:tc>
          <w:tcPr>
            <w:tcW w:w="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10,619</w:t>
            </w:r>
          </w:p>
        </w:tc>
      </w:tr>
      <w:tr>
        <w:trPr>
          <w:trHeight w:val="135"/>
        </w:trPr>
        <w:tc>
          <w:tcPr>
            <w:tcW w:w="5500" w:type="dxa"/>
            <w:vAlign w:val="bottom"/>
          </w:tcPr>
          <w:p>
            <w:pPr>
              <w:spacing w:after="0"/>
              <w:rPr>
                <w:sz w:val="11"/>
                <w:szCs w:val="11"/>
                <w:color w:val="auto"/>
              </w:rPr>
            </w:pPr>
          </w:p>
        </w:tc>
        <w:tc>
          <w:tcPr>
            <w:tcW w:w="92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135"/>
        </w:trPr>
        <w:tc>
          <w:tcPr>
            <w:tcW w:w="5500" w:type="dxa"/>
            <w:vAlign w:val="bottom"/>
          </w:tcPr>
          <w:p>
            <w:pPr>
              <w:ind w:left="280"/>
              <w:spacing w:after="0"/>
              <w:rPr>
                <w:sz w:val="20"/>
                <w:szCs w:val="20"/>
                <w:color w:val="auto"/>
              </w:rPr>
            </w:pPr>
            <w:r>
              <w:rPr>
                <w:rFonts w:ascii="Courier New" w:cs="Courier New" w:eastAsia="Courier New" w:hAnsi="Courier New"/>
                <w:sz w:val="12"/>
                <w:szCs w:val="12"/>
                <w:color w:val="auto"/>
              </w:rPr>
              <w:t>CONVERSION OF LONG TERM DEBT TO CAPITAL NOTES</w:t>
            </w: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76,401</w:t>
            </w:r>
          </w:p>
        </w:tc>
      </w:tr>
      <w:tr>
        <w:trPr>
          <w:trHeight w:val="135"/>
        </w:trPr>
        <w:tc>
          <w:tcPr>
            <w:tcW w:w="5500" w:type="dxa"/>
            <w:vAlign w:val="bottom"/>
          </w:tcPr>
          <w:p>
            <w:pPr>
              <w:spacing w:after="0"/>
              <w:rPr>
                <w:sz w:val="11"/>
                <w:szCs w:val="11"/>
                <w:color w:val="auto"/>
              </w:rPr>
            </w:pPr>
          </w:p>
        </w:tc>
        <w:tc>
          <w:tcPr>
            <w:tcW w:w="92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270"/>
        </w:trPr>
        <w:tc>
          <w:tcPr>
            <w:tcW w:w="5500" w:type="dxa"/>
            <w:vAlign w:val="bottom"/>
          </w:tcPr>
          <w:p>
            <w:pPr>
              <w:spacing w:after="0"/>
              <w:rPr>
                <w:sz w:val="20"/>
                <w:szCs w:val="20"/>
                <w:color w:val="auto"/>
              </w:rPr>
            </w:pPr>
            <w:r>
              <w:rPr>
                <w:rFonts w:ascii="Courier New" w:cs="Courier New" w:eastAsia="Courier New" w:hAnsi="Courier New"/>
                <w:sz w:val="12"/>
                <w:szCs w:val="12"/>
                <w:color w:val="auto"/>
              </w:rPr>
              <w:t>SUPPLEMENTAL DISCLOSURE OF CASH FLOW INFORMATION</w:t>
            </w: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70"/>
        </w:trPr>
        <w:tc>
          <w:tcPr>
            <w:tcW w:w="5500" w:type="dxa"/>
            <w:vAlign w:val="bottom"/>
          </w:tcPr>
          <w:p>
            <w:pPr>
              <w:ind w:left="280"/>
              <w:spacing w:after="0"/>
              <w:rPr>
                <w:sz w:val="20"/>
                <w:szCs w:val="20"/>
                <w:color w:val="auto"/>
              </w:rPr>
            </w:pPr>
            <w:r>
              <w:rPr>
                <w:rFonts w:ascii="Courier New" w:cs="Courier New" w:eastAsia="Courier New" w:hAnsi="Courier New"/>
                <w:sz w:val="12"/>
                <w:szCs w:val="12"/>
                <w:color w:val="auto"/>
              </w:rPr>
              <w:t>CASH PAID DURING THE PERIOD FOR INTEREST</w:t>
            </w: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7,221</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10,546</w:t>
            </w:r>
          </w:p>
        </w:tc>
        <w:tc>
          <w:tcPr>
            <w:tcW w:w="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35,008</w:t>
            </w:r>
          </w:p>
        </w:tc>
      </w:tr>
      <w:tr>
        <w:trPr>
          <w:trHeight w:val="135"/>
        </w:trPr>
        <w:tc>
          <w:tcPr>
            <w:tcW w:w="5500" w:type="dxa"/>
            <w:vAlign w:val="bottom"/>
          </w:tcPr>
          <w:p>
            <w:pPr>
              <w:spacing w:after="0"/>
              <w:rPr>
                <w:sz w:val="11"/>
                <w:szCs w:val="11"/>
                <w:color w:val="auto"/>
              </w:rPr>
            </w:pPr>
          </w:p>
        </w:tc>
        <w:tc>
          <w:tcPr>
            <w:tcW w:w="92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135"/>
        </w:trPr>
        <w:tc>
          <w:tcPr>
            <w:tcW w:w="5500" w:type="dxa"/>
            <w:vAlign w:val="bottom"/>
          </w:tcPr>
          <w:p>
            <w:pPr>
              <w:ind w:left="280"/>
              <w:spacing w:after="0"/>
              <w:rPr>
                <w:sz w:val="20"/>
                <w:szCs w:val="20"/>
                <w:color w:val="auto"/>
              </w:rPr>
            </w:pPr>
            <w:r>
              <w:rPr>
                <w:rFonts w:ascii="Courier New" w:cs="Courier New" w:eastAsia="Courier New" w:hAnsi="Courier New"/>
                <w:sz w:val="12"/>
                <w:szCs w:val="12"/>
                <w:color w:val="auto"/>
              </w:rPr>
              <w:t>CASH PAID DURING THE PERIOD FOR INCOME TAXES</w:t>
            </w: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4</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14</w:t>
            </w:r>
          </w:p>
        </w:tc>
        <w:tc>
          <w:tcPr>
            <w:tcW w:w="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134</w:t>
            </w:r>
          </w:p>
        </w:tc>
      </w:tr>
      <w:tr>
        <w:trPr>
          <w:trHeight w:val="135"/>
        </w:trPr>
        <w:tc>
          <w:tcPr>
            <w:tcW w:w="5500" w:type="dxa"/>
            <w:vAlign w:val="bottom"/>
          </w:tcPr>
          <w:p>
            <w:pPr>
              <w:spacing w:after="0"/>
              <w:rPr>
                <w:sz w:val="11"/>
                <w:szCs w:val="11"/>
                <w:color w:val="auto"/>
              </w:rPr>
            </w:pPr>
          </w:p>
        </w:tc>
        <w:tc>
          <w:tcPr>
            <w:tcW w:w="92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r>
    </w:tbl>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SEE NOTES TO CONSOLIDATED FINANCIAL STATEMENTS.</w:t>
      </w:r>
    </w:p>
    <w:p>
      <w:pPr>
        <w:spacing w:after="0" w:line="269" w:lineRule="exact"/>
        <w:rPr>
          <w:sz w:val="20"/>
          <w:szCs w:val="20"/>
          <w:color w:val="auto"/>
        </w:rPr>
      </w:pPr>
    </w:p>
    <w:p>
      <w:pPr>
        <w:ind w:left="2660"/>
        <w:spacing w:after="0"/>
        <w:rPr>
          <w:sz w:val="20"/>
          <w:szCs w:val="20"/>
          <w:color w:val="auto"/>
        </w:rPr>
      </w:pPr>
      <w:r>
        <w:rPr>
          <w:rFonts w:ascii="Courier New" w:cs="Courier New" w:eastAsia="Courier New" w:hAnsi="Courier New"/>
          <w:sz w:val="12"/>
          <w:szCs w:val="12"/>
          <w:color w:val="auto"/>
        </w:rPr>
        <w:t>- 4 -</w:t>
      </w:r>
    </w:p>
    <w:p>
      <w:pPr>
        <w:spacing w:after="0" w:line="386"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2"/>
          <w:szCs w:val="12"/>
          <w:color w:val="auto"/>
        </w:rPr>
        <w:t>TOWER SEMICONDUCTOR LTD. AND SUBSIDIARY</w:t>
      </w:r>
    </w:p>
    <w:p>
      <w:pPr>
        <w:jc w:val="center"/>
        <w:ind w:right="4559"/>
        <w:spacing w:after="0"/>
        <w:rPr>
          <w:sz w:val="20"/>
          <w:szCs w:val="20"/>
          <w:color w:val="auto"/>
        </w:rPr>
      </w:pPr>
      <w:r>
        <w:rPr>
          <w:rFonts w:ascii="Courier New" w:cs="Courier New" w:eastAsia="Courier New" w:hAnsi="Courier New"/>
          <w:sz w:val="12"/>
          <w:szCs w:val="12"/>
          <w:color w:val="auto"/>
        </w:rPr>
        <w:t>NOTES TO UNAUDITED CONDENSED INTERIM CONSOLIDATED</w:t>
      </w:r>
    </w:p>
    <w:p>
      <w:pPr>
        <w:ind w:left="1400"/>
        <w:spacing w:after="0" w:line="237" w:lineRule="auto"/>
        <w:rPr>
          <w:sz w:val="20"/>
          <w:szCs w:val="20"/>
          <w:color w:val="auto"/>
        </w:rPr>
      </w:pPr>
      <w:r>
        <w:rPr>
          <w:rFonts w:ascii="Courier New" w:cs="Courier New" w:eastAsia="Courier New" w:hAnsi="Courier New"/>
          <w:sz w:val="12"/>
          <w:szCs w:val="12"/>
          <w:color w:val="auto"/>
        </w:rPr>
        <w:t>FINANCIAL STATEMENTS AS OF MARCH 31, 2007</w:t>
      </w: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1 - GENERAL</w:t>
      </w:r>
    </w:p>
    <w:p>
      <w:pPr>
        <w:spacing w:after="0" w:line="134" w:lineRule="exact"/>
        <w:rPr>
          <w:sz w:val="20"/>
          <w:szCs w:val="20"/>
          <w:color w:val="auto"/>
        </w:rPr>
      </w:pPr>
    </w:p>
    <w:p>
      <w:pPr>
        <w:ind w:left="700" w:hanging="357"/>
        <w:spacing w:after="0"/>
        <w:tabs>
          <w:tab w:leader="none" w:pos="700"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BASIS FOR PRESENTATION</w:t>
      </w:r>
    </w:p>
    <w:p>
      <w:pPr>
        <w:spacing w:after="0" w:line="138" w:lineRule="exact"/>
        <w:rPr>
          <w:rFonts w:ascii="Courier New" w:cs="Courier New" w:eastAsia="Courier New" w:hAnsi="Courier New"/>
          <w:sz w:val="12"/>
          <w:szCs w:val="12"/>
          <w:color w:val="auto"/>
        </w:rPr>
      </w:pPr>
    </w:p>
    <w:p>
      <w:pPr>
        <w:ind w:left="1040" w:right="4619" w:hanging="345"/>
        <w:spacing w:after="0" w:line="261" w:lineRule="auto"/>
        <w:tabs>
          <w:tab w:leader="none" w:pos="1040" w:val="left"/>
        </w:tabs>
        <w:numPr>
          <w:ilvl w:val="1"/>
          <w:numId w:val="1"/>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unaudited condensed interim consolidated financial statements as of March 31, 2007 and for the three months then ended ("interim financial statements") of Tower Semiconductor Ltd. and subsidiary ("the Company") should be read in conjunction with the audited consolidated financial statements of the Company as of December 31, 2006 and for the year then ended, including the notes thereto. In the opinion of management, the interim financial statements include all adjustments necessary for a fair presentation of the financial position and results of operations as of the date and for the interim periods presented. The results of operations for the interim periods are not necessarily</w:t>
      </w:r>
    </w:p>
    <w:p>
      <w:pPr>
        <w:sectPr>
          <w:pgSz w:w="11900" w:h="16838" w:orient="portrait"/>
          <w:cols w:equalWidth="0" w:num="1">
            <w:col w:w="10239"/>
          </w:cols>
          <w:pgMar w:left="220" w:top="407" w:right="1440" w:bottom="0" w:gutter="0" w:footer="0" w:header="0"/>
        </w:sectPr>
      </w:pPr>
    </w:p>
    <w:bookmarkStart w:id="4" w:name="page5"/>
    <w:bookmarkEnd w:id="4"/>
    <w:p>
      <w:pPr>
        <w:ind w:left="1040"/>
        <w:spacing w:after="0"/>
        <w:rPr>
          <w:sz w:val="20"/>
          <w:szCs w:val="20"/>
          <w:color w:val="auto"/>
        </w:rPr>
      </w:pPr>
      <w:r>
        <w:rPr>
          <w:rFonts w:ascii="Courier New" w:cs="Courier New" w:eastAsia="Courier New" w:hAnsi="Courier New"/>
          <w:sz w:val="12"/>
          <w:szCs w:val="12"/>
          <w:color w:val="auto"/>
        </w:rPr>
        <w:t>indicative of the results to be expected on a full-year basis.</w:t>
      </w:r>
    </w:p>
    <w:p>
      <w:pPr>
        <w:spacing w:after="0" w:line="139" w:lineRule="exact"/>
        <w:rPr>
          <w:sz w:val="20"/>
          <w:szCs w:val="20"/>
          <w:color w:val="auto"/>
        </w:rPr>
      </w:pPr>
    </w:p>
    <w:p>
      <w:pPr>
        <w:ind w:left="1040" w:right="4619" w:hanging="345"/>
        <w:spacing w:after="0" w:line="261" w:lineRule="auto"/>
        <w:tabs>
          <w:tab w:leader="none" w:pos="1040" w:val="left"/>
        </w:tabs>
        <w:numPr>
          <w:ilvl w:val="0"/>
          <w:numId w:val="2"/>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interim financial statements have been prepared in conformity with generally accepted accounting principles ("GAAP") in Israel ("Israeli GAAP"). The interim financial statements differ in certain respects from GAAP in the United States of America ("U.S. GAAP"), as indicated in Note 5. The accounting principles applied in the preparation of these interim financial statements are consistent with those principles applied in the preparation of the most recent annual audited financial statements, except for the accounting principles detailed in paragraph 3 below.</w:t>
      </w:r>
    </w:p>
    <w:p>
      <w:pPr>
        <w:spacing w:after="0" w:line="131" w:lineRule="exact"/>
        <w:rPr>
          <w:rFonts w:ascii="Courier New" w:cs="Courier New" w:eastAsia="Courier New" w:hAnsi="Courier New"/>
          <w:sz w:val="11"/>
          <w:szCs w:val="11"/>
          <w:color w:val="auto"/>
        </w:rPr>
      </w:pPr>
    </w:p>
    <w:p>
      <w:pPr>
        <w:ind w:left="1040" w:right="5119" w:hanging="345"/>
        <w:spacing w:after="0" w:line="235" w:lineRule="auto"/>
        <w:tabs>
          <w:tab w:leader="none" w:pos="104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RECENT ACCOUNTING PRONOUNCEMENTS BY THE ISRAELI ACCOUNTING STANDARDS BOARD</w:t>
      </w:r>
    </w:p>
    <w:p>
      <w:pPr>
        <w:spacing w:after="0" w:line="139" w:lineRule="exact"/>
        <w:rPr>
          <w:rFonts w:ascii="Courier New" w:cs="Courier New" w:eastAsia="Courier New" w:hAnsi="Courier New"/>
          <w:sz w:val="12"/>
          <w:szCs w:val="12"/>
          <w:color w:val="auto"/>
        </w:rPr>
      </w:pPr>
    </w:p>
    <w:p>
      <w:pPr>
        <w:ind w:left="1400" w:right="5119" w:hanging="354"/>
        <w:spacing w:after="0" w:line="235" w:lineRule="auto"/>
        <w:tabs>
          <w:tab w:leader="none" w:pos="1400" w:val="left"/>
        </w:tabs>
        <w:numPr>
          <w:ilvl w:val="1"/>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ACCOUNTING STANDARD NO. 29 "ADOPTION OF INTERNATIONAL FINANCIAL REPORTING STANDARDS"</w:t>
      </w:r>
    </w:p>
    <w:p>
      <w:pPr>
        <w:spacing w:after="0" w:line="139" w:lineRule="exact"/>
        <w:rPr>
          <w:rFonts w:ascii="Courier New" w:cs="Courier New" w:eastAsia="Courier New" w:hAnsi="Courier New"/>
          <w:sz w:val="12"/>
          <w:szCs w:val="12"/>
          <w:color w:val="auto"/>
        </w:rPr>
      </w:pPr>
    </w:p>
    <w:p>
      <w:pPr>
        <w:ind w:left="1400" w:right="4619"/>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July 2006, the Israeli Accounting Standards Board published Accounting Standard No. 29 - "Adoption of International Financial Reporting Standards" - IFRS ("the Standard"). According to the Standard, an entity subject to the Israeli Securities Law and authoritative regulations thereunder (including dual listed companies), excluding foreign corporations, that do not prepare their financial statements in accordance with Israeli GAAP, as defined by the Israeli Securities Law will be required to prepare financial statements in accordance with the IFRS and related interpretations published by the International Accounting Standards Board, for the reporting periods commencing January 1, 2008, including interim periods.</w:t>
      </w:r>
    </w:p>
    <w:p>
      <w:pPr>
        <w:spacing w:after="0" w:line="269" w:lineRule="exact"/>
        <w:rPr>
          <w:rFonts w:ascii="Courier New" w:cs="Courier New" w:eastAsia="Courier New" w:hAnsi="Courier New"/>
          <w:sz w:val="12"/>
          <w:szCs w:val="12"/>
          <w:color w:val="auto"/>
        </w:rPr>
      </w:pPr>
    </w:p>
    <w:p>
      <w:pPr>
        <w:ind w:left="2740" w:hanging="149"/>
        <w:spacing w:after="0"/>
        <w:tabs>
          <w:tab w:leader="none" w:pos="2740" w:val="left"/>
        </w:tabs>
        <w:numPr>
          <w:ilvl w:val="2"/>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5 -</w:t>
      </w:r>
    </w:p>
    <w:p>
      <w:pPr>
        <w:spacing w:after="0" w:line="386"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2"/>
          <w:szCs w:val="12"/>
          <w:color w:val="auto"/>
        </w:rPr>
        <w:t>TOWER SEMICONDUCTOR LTD. AND SUBSIDIARY</w:t>
      </w:r>
    </w:p>
    <w:p>
      <w:pPr>
        <w:jc w:val="center"/>
        <w:ind w:right="4559"/>
        <w:spacing w:after="0"/>
        <w:rPr>
          <w:sz w:val="20"/>
          <w:szCs w:val="20"/>
          <w:color w:val="auto"/>
        </w:rPr>
      </w:pPr>
      <w:r>
        <w:rPr>
          <w:rFonts w:ascii="Courier New" w:cs="Courier New" w:eastAsia="Courier New" w:hAnsi="Courier New"/>
          <w:sz w:val="12"/>
          <w:szCs w:val="12"/>
          <w:color w:val="auto"/>
        </w:rPr>
        <w:t>NOTES TO UNAUDITED CONDENSED INTERIM CONSOLIDATED</w:t>
      </w:r>
    </w:p>
    <w:p>
      <w:pPr>
        <w:ind w:left="1400"/>
        <w:spacing w:after="0" w:line="237" w:lineRule="auto"/>
        <w:rPr>
          <w:sz w:val="20"/>
          <w:szCs w:val="20"/>
          <w:color w:val="auto"/>
        </w:rPr>
      </w:pPr>
      <w:r>
        <w:rPr>
          <w:rFonts w:ascii="Courier New" w:cs="Courier New" w:eastAsia="Courier New" w:hAnsi="Courier New"/>
          <w:sz w:val="12"/>
          <w:szCs w:val="12"/>
          <w:color w:val="auto"/>
        </w:rPr>
        <w:t>FINANCIAL STATEMENTS AS OF MARCH 31, 2007</w:t>
      </w: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1 - GENERAL (CONT.)</w:t>
      </w:r>
    </w:p>
    <w:p>
      <w:pPr>
        <w:spacing w:after="0" w:line="134" w:lineRule="exact"/>
        <w:rPr>
          <w:sz w:val="20"/>
          <w:szCs w:val="20"/>
          <w:color w:val="auto"/>
        </w:rPr>
      </w:pPr>
    </w:p>
    <w:p>
      <w:pPr>
        <w:ind w:left="700" w:hanging="357"/>
        <w:spacing w:after="0"/>
        <w:tabs>
          <w:tab w:leader="none" w:pos="70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BASIS FOR PRESENTATION (CONT.)</w:t>
      </w:r>
    </w:p>
    <w:p>
      <w:pPr>
        <w:spacing w:after="0" w:line="138" w:lineRule="exact"/>
        <w:rPr>
          <w:rFonts w:ascii="Courier New" w:cs="Courier New" w:eastAsia="Courier New" w:hAnsi="Courier New"/>
          <w:sz w:val="12"/>
          <w:szCs w:val="12"/>
          <w:color w:val="auto"/>
        </w:rPr>
      </w:pPr>
    </w:p>
    <w:p>
      <w:pPr>
        <w:ind w:left="1040" w:right="5119" w:hanging="345"/>
        <w:spacing w:after="0" w:line="235" w:lineRule="auto"/>
        <w:tabs>
          <w:tab w:leader="none" w:pos="1040" w:val="left"/>
        </w:tabs>
        <w:numPr>
          <w:ilvl w:val="1"/>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RECENT ACCOUNTING PRONOUNCEMENTS BY THE ISRAELI ACCOUNTING STANDARDS BOARD (CONT.)</w:t>
      </w:r>
    </w:p>
    <w:p>
      <w:pPr>
        <w:spacing w:after="0" w:line="139" w:lineRule="exact"/>
        <w:rPr>
          <w:rFonts w:ascii="Courier New" w:cs="Courier New" w:eastAsia="Courier New" w:hAnsi="Courier New"/>
          <w:sz w:val="12"/>
          <w:szCs w:val="12"/>
          <w:color w:val="auto"/>
        </w:rPr>
      </w:pPr>
    </w:p>
    <w:p>
      <w:pPr>
        <w:ind w:left="1400" w:right="5119" w:hanging="354"/>
        <w:spacing w:after="0" w:line="273" w:lineRule="auto"/>
        <w:tabs>
          <w:tab w:leader="none" w:pos="1400" w:val="left"/>
        </w:tabs>
        <w:numPr>
          <w:ilvl w:val="2"/>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ACCOUNTING STANDARD NO. 29 "ADOPTION OF INTERNATIONAL FINANCIAL REPORTING STANDARDS" (CONT.)</w:t>
      </w:r>
    </w:p>
    <w:p>
      <w:pPr>
        <w:spacing w:after="0" w:line="121" w:lineRule="exact"/>
        <w:rPr>
          <w:rFonts w:ascii="Courier New" w:cs="Courier New" w:eastAsia="Courier New" w:hAnsi="Courier New"/>
          <w:sz w:val="11"/>
          <w:szCs w:val="11"/>
          <w:color w:val="auto"/>
        </w:rPr>
      </w:pPr>
    </w:p>
    <w:p>
      <w:pPr>
        <w:ind w:left="1400" w:right="4619"/>
        <w:spacing w:after="0" w:line="261" w:lineRule="auto"/>
        <w:rPr>
          <w:rFonts w:ascii="Courier New" w:cs="Courier New" w:eastAsia="Courier New" w:hAnsi="Courier New"/>
          <w:sz w:val="11"/>
          <w:szCs w:val="11"/>
          <w:color w:val="auto"/>
        </w:rPr>
      </w:pPr>
      <w:r>
        <w:rPr>
          <w:rFonts w:ascii="Courier New" w:cs="Courier New" w:eastAsia="Courier New" w:hAnsi="Courier New"/>
          <w:sz w:val="11"/>
          <w:szCs w:val="11"/>
          <w:color w:val="auto"/>
        </w:rPr>
        <w:t>An entity adopting IFRS as of January 1, 2008 and electing to report comparative figures in accordance with the IFRS for only 2007, will be required to prepare opening balance-sheet amounts as of January 1, 2007 based on the IFRS. Reporting in accordance with the IFRS will be carried out based on the provisions of IFRS No. 1, "First-time Adoption of IFRS Standards", which establishes guidance on implementing and transitioning from financial reporting based on domestic national accounting standards to reporting in accordance with IFRS. IFRS No. 1 supersedes the transitional provisions established in other IFRSs (including those established in former domestic national accounting standards), stating that all IFRSs should be adopted retroactively for the opening balance-sheet amounts. Nevertheless, IFRS No. 1 grants exemptions on certain issues by allowing the alternative of not applying the retroactive application in respect thereof.</w:t>
      </w:r>
    </w:p>
    <w:p>
      <w:pPr>
        <w:spacing w:after="0" w:line="259" w:lineRule="exact"/>
        <w:rPr>
          <w:rFonts w:ascii="Courier New" w:cs="Courier New" w:eastAsia="Courier New" w:hAnsi="Courier New"/>
          <w:sz w:val="11"/>
          <w:szCs w:val="11"/>
          <w:color w:val="auto"/>
        </w:rPr>
      </w:pPr>
    </w:p>
    <w:p>
      <w:pPr>
        <w:ind w:left="1400" w:hanging="354"/>
        <w:spacing w:after="0"/>
        <w:tabs>
          <w:tab w:leader="none" w:pos="1400" w:val="left"/>
        </w:tabs>
        <w:numPr>
          <w:ilvl w:val="2"/>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ACCOUNTING STANDARD NO. 26 "INVENTORY"</w:t>
      </w:r>
    </w:p>
    <w:p>
      <w:pPr>
        <w:spacing w:after="0" w:line="138" w:lineRule="exact"/>
        <w:rPr>
          <w:rFonts w:ascii="Courier New" w:cs="Courier New" w:eastAsia="Courier New" w:hAnsi="Courier New"/>
          <w:sz w:val="12"/>
          <w:szCs w:val="12"/>
          <w:color w:val="auto"/>
        </w:rPr>
      </w:pPr>
    </w:p>
    <w:p>
      <w:pPr>
        <w:ind w:left="14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August 2006 the Israeli Accounting Standards Board published Accounting Standard No. 26 - "Inventory" ("the Standard"), which outlines the accounting treatment for inventory. The Standard applies to all types of inventory, other than building earmarked for sale and addressed by Accounting Standard No.2 ("Construction of Buildings for Sale"), inventory of work in progress stemming from performance contracts, addressed by Accounting Standard No.4 ("Work Based on Performance Contract"), financial instruments and biological assets relating to agricultural activity and agricultural production during harvest.</w:t>
      </w:r>
    </w:p>
    <w:p>
      <w:pPr>
        <w:spacing w:after="0" w:line="144" w:lineRule="exact"/>
        <w:rPr>
          <w:rFonts w:ascii="Courier New" w:cs="Courier New" w:eastAsia="Courier New" w:hAnsi="Courier New"/>
          <w:sz w:val="12"/>
          <w:szCs w:val="12"/>
          <w:color w:val="auto"/>
        </w:rPr>
      </w:pPr>
    </w:p>
    <w:p>
      <w:pPr>
        <w:ind w:left="14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Standard applies to financial statements covering periods beginning January 1, 2007 and onwards and should be implemented retroactively. The Standard did not affect the Company's financial position, results of operations and cash flows.</w:t>
      </w:r>
    </w:p>
    <w:p>
      <w:pPr>
        <w:spacing w:after="0" w:line="270" w:lineRule="exact"/>
        <w:rPr>
          <w:rFonts w:ascii="Courier New" w:cs="Courier New" w:eastAsia="Courier New" w:hAnsi="Courier New"/>
          <w:sz w:val="12"/>
          <w:szCs w:val="12"/>
          <w:color w:val="auto"/>
        </w:rPr>
      </w:pPr>
    </w:p>
    <w:p>
      <w:pPr>
        <w:ind w:left="2740" w:hanging="149"/>
        <w:spacing w:after="0"/>
        <w:tabs>
          <w:tab w:leader="none" w:pos="2740" w:val="left"/>
        </w:tabs>
        <w:numPr>
          <w:ilvl w:val="3"/>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6 -</w:t>
      </w:r>
    </w:p>
    <w:p>
      <w:pPr>
        <w:spacing w:after="0" w:line="386"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2"/>
          <w:szCs w:val="12"/>
          <w:color w:val="auto"/>
        </w:rPr>
        <w:t>TOWER SEMICONDUCTOR LTD. AND SUBSIDIARY</w:t>
      </w:r>
    </w:p>
    <w:p>
      <w:pPr>
        <w:jc w:val="center"/>
        <w:ind w:right="4559"/>
        <w:spacing w:after="0"/>
        <w:rPr>
          <w:sz w:val="20"/>
          <w:szCs w:val="20"/>
          <w:color w:val="auto"/>
        </w:rPr>
      </w:pPr>
      <w:r>
        <w:rPr>
          <w:rFonts w:ascii="Courier New" w:cs="Courier New" w:eastAsia="Courier New" w:hAnsi="Courier New"/>
          <w:sz w:val="12"/>
          <w:szCs w:val="12"/>
          <w:color w:val="auto"/>
        </w:rPr>
        <w:t>NOTES TO UNAUDITED CONDENSED INTERIM CONSOLIDATED</w:t>
      </w:r>
    </w:p>
    <w:p>
      <w:pPr>
        <w:ind w:left="1400"/>
        <w:spacing w:after="0" w:line="237" w:lineRule="auto"/>
        <w:rPr>
          <w:sz w:val="20"/>
          <w:szCs w:val="20"/>
          <w:color w:val="auto"/>
        </w:rPr>
      </w:pPr>
      <w:r>
        <w:rPr>
          <w:rFonts w:ascii="Courier New" w:cs="Courier New" w:eastAsia="Courier New" w:hAnsi="Courier New"/>
          <w:sz w:val="12"/>
          <w:szCs w:val="12"/>
          <w:color w:val="auto"/>
        </w:rPr>
        <w:t>FINANCIAL STATEMENTS AS OF MARCH 31, 2007</w:t>
      </w: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1 - GENERAL (CONT.)</w:t>
      </w:r>
    </w:p>
    <w:p>
      <w:pPr>
        <w:spacing w:after="0" w:line="134" w:lineRule="exact"/>
        <w:rPr>
          <w:sz w:val="20"/>
          <w:szCs w:val="20"/>
          <w:color w:val="auto"/>
        </w:rPr>
      </w:pPr>
    </w:p>
    <w:p>
      <w:pPr>
        <w:ind w:left="700" w:hanging="357"/>
        <w:spacing w:after="0"/>
        <w:tabs>
          <w:tab w:leader="none" w:pos="70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BASIS FOR PRESENTATION (CONT.)</w:t>
      </w:r>
    </w:p>
    <w:p>
      <w:pPr>
        <w:spacing w:after="0" w:line="138" w:lineRule="exact"/>
        <w:rPr>
          <w:rFonts w:ascii="Courier New" w:cs="Courier New" w:eastAsia="Courier New" w:hAnsi="Courier New"/>
          <w:sz w:val="12"/>
          <w:szCs w:val="12"/>
          <w:color w:val="auto"/>
        </w:rPr>
      </w:pPr>
    </w:p>
    <w:p>
      <w:pPr>
        <w:ind w:left="1040" w:right="5119" w:hanging="345"/>
        <w:spacing w:after="0" w:line="235" w:lineRule="auto"/>
        <w:tabs>
          <w:tab w:leader="none" w:pos="1040" w:val="left"/>
        </w:tabs>
        <w:numPr>
          <w:ilvl w:val="1"/>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RECENT ACCOUNTING PRONOUNCEMENTS BY THE ISRAELI ACCOUNTING STANDARDS BOARD (CONT.)</w:t>
      </w:r>
    </w:p>
    <w:p>
      <w:pPr>
        <w:spacing w:after="0" w:line="134" w:lineRule="exact"/>
        <w:rPr>
          <w:rFonts w:ascii="Courier New" w:cs="Courier New" w:eastAsia="Courier New" w:hAnsi="Courier New"/>
          <w:sz w:val="12"/>
          <w:szCs w:val="12"/>
          <w:color w:val="auto"/>
        </w:rPr>
      </w:pPr>
    </w:p>
    <w:p>
      <w:pPr>
        <w:ind w:left="1400" w:hanging="354"/>
        <w:spacing w:after="0"/>
        <w:tabs>
          <w:tab w:leader="none" w:pos="1400" w:val="left"/>
        </w:tabs>
        <w:numPr>
          <w:ilvl w:val="2"/>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ACCOUNTING STANDARD NO. 27 "FIXED ASSETS"</w:t>
      </w:r>
    </w:p>
    <w:p>
      <w:pPr>
        <w:spacing w:after="0" w:line="138" w:lineRule="exact"/>
        <w:rPr>
          <w:rFonts w:ascii="Courier New" w:cs="Courier New" w:eastAsia="Courier New" w:hAnsi="Courier New"/>
          <w:sz w:val="12"/>
          <w:szCs w:val="12"/>
          <w:color w:val="auto"/>
        </w:rPr>
      </w:pPr>
    </w:p>
    <w:p>
      <w:pPr>
        <w:ind w:left="140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September 2006 the Israeli Accounting Standards Board published Accounting Standard No. 27 (the "Standard"), which establishes the accounting treatment for fixed assets, including recognition of assets, determination of their book value, related depreciation, losses from impairment as well as the disclosure required in the financial statements. The Standard states that a fixed-asset item will be measured at the initial recognition date at cost. The cost should also include the initial estimate of costs required to dismantle and remove the item.</w:t>
      </w:r>
    </w:p>
    <w:p>
      <w:pPr>
        <w:spacing w:after="0" w:line="131" w:lineRule="exact"/>
        <w:rPr>
          <w:rFonts w:ascii="Courier New" w:cs="Courier New" w:eastAsia="Courier New" w:hAnsi="Courier New"/>
          <w:sz w:val="12"/>
          <w:szCs w:val="12"/>
          <w:color w:val="auto"/>
        </w:rPr>
      </w:pPr>
    </w:p>
    <w:p>
      <w:pPr>
        <w:ind w:left="1400" w:right="4619"/>
        <w:spacing w:after="0" w:line="273"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Following the initial recognition, the Standard permits the entity to implement in its accounting policy the measurement</w:t>
      </w:r>
    </w:p>
    <w:p>
      <w:pPr>
        <w:sectPr>
          <w:pgSz w:w="11900" w:h="16838" w:orient="portrait"/>
          <w:cols w:equalWidth="0" w:num="1">
            <w:col w:w="10239"/>
          </w:cols>
          <w:pgMar w:left="220" w:top="137" w:right="1440" w:bottom="0" w:gutter="0" w:footer="0" w:header="0"/>
        </w:sectPr>
      </w:pPr>
    </w:p>
    <w:bookmarkStart w:id="5" w:name="page6"/>
    <w:bookmarkEnd w:id="5"/>
    <w:p>
      <w:pPr>
        <w:ind w:left="1400"/>
        <w:spacing w:after="0"/>
        <w:rPr>
          <w:sz w:val="20"/>
          <w:szCs w:val="20"/>
          <w:color w:val="auto"/>
        </w:rPr>
      </w:pPr>
      <w:r>
        <w:rPr>
          <w:rFonts w:ascii="Courier New" w:cs="Courier New" w:eastAsia="Courier New" w:hAnsi="Courier New"/>
          <w:sz w:val="11"/>
          <w:szCs w:val="11"/>
          <w:color w:val="auto"/>
        </w:rPr>
        <w:t>of the fixed assets by the cost method or by revaluation so</w:t>
      </w:r>
    </w:p>
    <w:p>
      <w:pPr>
        <w:spacing w:after="0" w:line="6" w:lineRule="exact"/>
        <w:rPr>
          <w:sz w:val="20"/>
          <w:szCs w:val="20"/>
          <w:color w:val="auto"/>
        </w:rPr>
      </w:pPr>
    </w:p>
    <w:p>
      <w:pPr>
        <w:ind w:left="1400"/>
        <w:spacing w:after="0"/>
        <w:rPr>
          <w:sz w:val="20"/>
          <w:szCs w:val="20"/>
          <w:color w:val="auto"/>
        </w:rPr>
      </w:pPr>
      <w:r>
        <w:rPr>
          <w:rFonts w:ascii="Courier New" w:cs="Courier New" w:eastAsia="Courier New" w:hAnsi="Courier New"/>
          <w:sz w:val="12"/>
          <w:szCs w:val="12"/>
          <w:color w:val="auto"/>
        </w:rPr>
        <w:t>long as this policy is implemented in regard to all the</w:t>
      </w:r>
    </w:p>
    <w:p>
      <w:pPr>
        <w:ind w:left="1400"/>
        <w:spacing w:after="0"/>
        <w:rPr>
          <w:sz w:val="20"/>
          <w:szCs w:val="20"/>
          <w:color w:val="auto"/>
        </w:rPr>
      </w:pPr>
      <w:r>
        <w:rPr>
          <w:rFonts w:ascii="Courier New" w:cs="Courier New" w:eastAsia="Courier New" w:hAnsi="Courier New"/>
          <w:sz w:val="12"/>
          <w:szCs w:val="12"/>
          <w:color w:val="auto"/>
        </w:rPr>
        <w:t>items in that group.</w:t>
      </w:r>
    </w:p>
    <w:p>
      <w:pPr>
        <w:spacing w:after="0" w:line="133" w:lineRule="exact"/>
        <w:rPr>
          <w:sz w:val="20"/>
          <w:szCs w:val="20"/>
          <w:color w:val="auto"/>
        </w:rPr>
      </w:pPr>
    </w:p>
    <w:p>
      <w:pPr>
        <w:ind w:left="1400"/>
        <w:spacing w:after="0"/>
        <w:rPr>
          <w:sz w:val="20"/>
          <w:szCs w:val="20"/>
          <w:color w:val="auto"/>
        </w:rPr>
      </w:pPr>
      <w:r>
        <w:rPr>
          <w:rFonts w:ascii="Courier New" w:cs="Courier New" w:eastAsia="Courier New" w:hAnsi="Courier New"/>
          <w:sz w:val="12"/>
          <w:szCs w:val="12"/>
          <w:color w:val="auto"/>
        </w:rPr>
        <w:t>Cost method - an item will be presented at cost less</w:t>
      </w:r>
    </w:p>
    <w:p>
      <w:pPr>
        <w:ind w:left="1400"/>
        <w:spacing w:after="0"/>
        <w:rPr>
          <w:sz w:val="20"/>
          <w:szCs w:val="20"/>
          <w:color w:val="auto"/>
        </w:rPr>
      </w:pPr>
      <w:r>
        <w:rPr>
          <w:rFonts w:ascii="Courier New" w:cs="Courier New" w:eastAsia="Courier New" w:hAnsi="Courier New"/>
          <w:sz w:val="12"/>
          <w:szCs w:val="12"/>
          <w:color w:val="auto"/>
        </w:rPr>
        <w:t>accumulated depreciation net book value, less accumulated</w:t>
      </w:r>
    </w:p>
    <w:p>
      <w:pPr>
        <w:ind w:left="1400"/>
        <w:spacing w:after="0" w:line="237" w:lineRule="auto"/>
        <w:rPr>
          <w:sz w:val="20"/>
          <w:szCs w:val="20"/>
          <w:color w:val="auto"/>
        </w:rPr>
      </w:pPr>
      <w:r>
        <w:rPr>
          <w:rFonts w:ascii="Courier New" w:cs="Courier New" w:eastAsia="Courier New" w:hAnsi="Courier New"/>
          <w:sz w:val="12"/>
          <w:szCs w:val="12"/>
          <w:color w:val="auto"/>
        </w:rPr>
        <w:t>impairment losses.</w:t>
      </w:r>
    </w:p>
    <w:p>
      <w:pPr>
        <w:spacing w:after="0" w:line="134" w:lineRule="exact"/>
        <w:rPr>
          <w:sz w:val="20"/>
          <w:szCs w:val="20"/>
          <w:color w:val="auto"/>
        </w:rPr>
      </w:pPr>
    </w:p>
    <w:p>
      <w:pPr>
        <w:ind w:left="1400"/>
        <w:spacing w:after="0"/>
        <w:rPr>
          <w:sz w:val="20"/>
          <w:szCs w:val="20"/>
          <w:color w:val="auto"/>
        </w:rPr>
      </w:pPr>
      <w:r>
        <w:rPr>
          <w:rFonts w:ascii="Courier New" w:cs="Courier New" w:eastAsia="Courier New" w:hAnsi="Courier New"/>
          <w:sz w:val="12"/>
          <w:szCs w:val="12"/>
          <w:color w:val="auto"/>
        </w:rPr>
        <w:t>Revaluation method - an item whose fair value can be</w:t>
      </w:r>
    </w:p>
    <w:p>
      <w:pPr>
        <w:spacing w:after="0" w:line="4" w:lineRule="exact"/>
        <w:rPr>
          <w:sz w:val="20"/>
          <w:szCs w:val="20"/>
          <w:color w:val="auto"/>
        </w:rPr>
      </w:pPr>
    </w:p>
    <w:p>
      <w:pPr>
        <w:ind w:left="1400"/>
        <w:spacing w:after="0"/>
        <w:rPr>
          <w:sz w:val="20"/>
          <w:szCs w:val="20"/>
          <w:color w:val="auto"/>
        </w:rPr>
      </w:pPr>
      <w:r>
        <w:rPr>
          <w:rFonts w:ascii="Courier New" w:cs="Courier New" w:eastAsia="Courier New" w:hAnsi="Courier New"/>
          <w:sz w:val="11"/>
          <w:szCs w:val="11"/>
          <w:color w:val="auto"/>
        </w:rPr>
        <w:t>measured reliably will be presented at its estimated amount,</w:t>
      </w:r>
    </w:p>
    <w:p>
      <w:pPr>
        <w:spacing w:after="0" w:line="10" w:lineRule="exact"/>
        <w:rPr>
          <w:sz w:val="20"/>
          <w:szCs w:val="20"/>
          <w:color w:val="auto"/>
        </w:rPr>
      </w:pPr>
    </w:p>
    <w:p>
      <w:pPr>
        <w:ind w:left="1400"/>
        <w:spacing w:after="0"/>
        <w:rPr>
          <w:sz w:val="20"/>
          <w:szCs w:val="20"/>
          <w:color w:val="auto"/>
        </w:rPr>
      </w:pPr>
      <w:r>
        <w:rPr>
          <w:rFonts w:ascii="Courier New" w:cs="Courier New" w:eastAsia="Courier New" w:hAnsi="Courier New"/>
          <w:sz w:val="11"/>
          <w:szCs w:val="11"/>
          <w:color w:val="auto"/>
        </w:rPr>
        <w:t>which equals its fair value at the revaluation date, net of</w:t>
      </w:r>
    </w:p>
    <w:p>
      <w:pPr>
        <w:spacing w:after="0" w:line="6" w:lineRule="exact"/>
        <w:rPr>
          <w:sz w:val="20"/>
          <w:szCs w:val="20"/>
          <w:color w:val="auto"/>
        </w:rPr>
      </w:pPr>
    </w:p>
    <w:p>
      <w:pPr>
        <w:ind w:left="1400"/>
        <w:spacing w:after="0"/>
        <w:rPr>
          <w:sz w:val="20"/>
          <w:szCs w:val="20"/>
          <w:color w:val="auto"/>
        </w:rPr>
      </w:pPr>
      <w:r>
        <w:rPr>
          <w:rFonts w:ascii="Courier New" w:cs="Courier New" w:eastAsia="Courier New" w:hAnsi="Courier New"/>
          <w:sz w:val="12"/>
          <w:szCs w:val="12"/>
          <w:color w:val="auto"/>
        </w:rPr>
        <w:t>depreciation accumulated subsequently and less accumulated</w:t>
      </w:r>
    </w:p>
    <w:p>
      <w:pPr>
        <w:spacing w:after="0" w:line="4" w:lineRule="exact"/>
        <w:rPr>
          <w:sz w:val="20"/>
          <w:szCs w:val="20"/>
          <w:color w:val="auto"/>
        </w:rPr>
      </w:pPr>
    </w:p>
    <w:p>
      <w:pPr>
        <w:ind w:left="1400"/>
        <w:spacing w:after="0"/>
        <w:rPr>
          <w:sz w:val="20"/>
          <w:szCs w:val="20"/>
          <w:color w:val="auto"/>
        </w:rPr>
      </w:pPr>
      <w:r>
        <w:rPr>
          <w:rFonts w:ascii="Courier New" w:cs="Courier New" w:eastAsia="Courier New" w:hAnsi="Courier New"/>
          <w:sz w:val="11"/>
          <w:szCs w:val="11"/>
          <w:color w:val="auto"/>
        </w:rPr>
        <w:t>impairment losses. This increase in asset's value due to the</w:t>
      </w:r>
    </w:p>
    <w:p>
      <w:pPr>
        <w:spacing w:after="0" w:line="6" w:lineRule="exact"/>
        <w:rPr>
          <w:sz w:val="20"/>
          <w:szCs w:val="20"/>
          <w:color w:val="auto"/>
        </w:rPr>
      </w:pPr>
    </w:p>
    <w:p>
      <w:pPr>
        <w:ind w:left="1400"/>
        <w:spacing w:after="0"/>
        <w:rPr>
          <w:sz w:val="20"/>
          <w:szCs w:val="20"/>
          <w:color w:val="auto"/>
        </w:rPr>
      </w:pPr>
      <w:r>
        <w:rPr>
          <w:rFonts w:ascii="Courier New" w:cs="Courier New" w:eastAsia="Courier New" w:hAnsi="Courier New"/>
          <w:sz w:val="12"/>
          <w:szCs w:val="12"/>
          <w:color w:val="auto"/>
        </w:rPr>
        <w:t>revaluation should be allocated directly to shareholders'</w:t>
      </w:r>
    </w:p>
    <w:p>
      <w:pPr>
        <w:ind w:left="1400"/>
        <w:spacing w:after="0"/>
        <w:rPr>
          <w:sz w:val="20"/>
          <w:szCs w:val="20"/>
          <w:color w:val="auto"/>
        </w:rPr>
      </w:pPr>
      <w:r>
        <w:rPr>
          <w:rFonts w:ascii="Courier New" w:cs="Courier New" w:eastAsia="Courier New" w:hAnsi="Courier New"/>
          <w:sz w:val="12"/>
          <w:szCs w:val="12"/>
          <w:color w:val="auto"/>
        </w:rPr>
        <w:t>equity ("revaluation reserve").</w:t>
      </w:r>
    </w:p>
    <w:p>
      <w:pPr>
        <w:spacing w:after="0" w:line="133" w:lineRule="exact"/>
        <w:rPr>
          <w:sz w:val="20"/>
          <w:szCs w:val="20"/>
          <w:color w:val="auto"/>
        </w:rPr>
      </w:pPr>
    </w:p>
    <w:p>
      <w:pPr>
        <w:ind w:left="1400"/>
        <w:spacing w:after="0"/>
        <w:rPr>
          <w:sz w:val="20"/>
          <w:szCs w:val="20"/>
          <w:color w:val="auto"/>
        </w:rPr>
      </w:pPr>
      <w:r>
        <w:rPr>
          <w:rFonts w:ascii="Courier New" w:cs="Courier New" w:eastAsia="Courier New" w:hAnsi="Courier New"/>
          <w:sz w:val="12"/>
          <w:szCs w:val="12"/>
          <w:color w:val="auto"/>
        </w:rPr>
        <w:t>This new standard applies to financial statements covering</w:t>
      </w:r>
    </w:p>
    <w:p>
      <w:pPr>
        <w:ind w:left="1400"/>
        <w:spacing w:after="0"/>
        <w:rPr>
          <w:sz w:val="20"/>
          <w:szCs w:val="20"/>
          <w:color w:val="auto"/>
        </w:rPr>
      </w:pPr>
      <w:r>
        <w:rPr>
          <w:rFonts w:ascii="Courier New" w:cs="Courier New" w:eastAsia="Courier New" w:hAnsi="Courier New"/>
          <w:sz w:val="12"/>
          <w:szCs w:val="12"/>
          <w:color w:val="auto"/>
        </w:rPr>
        <w:t>periods beginning January 1, 2007 and onwards and</w:t>
      </w:r>
    </w:p>
    <w:p>
      <w:pPr>
        <w:ind w:left="1400"/>
        <w:spacing w:after="0" w:line="237" w:lineRule="auto"/>
        <w:rPr>
          <w:sz w:val="20"/>
          <w:szCs w:val="20"/>
          <w:color w:val="auto"/>
        </w:rPr>
      </w:pPr>
      <w:r>
        <w:rPr>
          <w:rFonts w:ascii="Courier New" w:cs="Courier New" w:eastAsia="Courier New" w:hAnsi="Courier New"/>
          <w:sz w:val="12"/>
          <w:szCs w:val="12"/>
          <w:color w:val="auto"/>
        </w:rPr>
        <w:t>implemented retroactively. The Standard did not affect the</w:t>
      </w:r>
    </w:p>
    <w:p>
      <w:pPr>
        <w:ind w:left="1400"/>
        <w:spacing w:after="0"/>
        <w:rPr>
          <w:sz w:val="20"/>
          <w:szCs w:val="20"/>
          <w:color w:val="auto"/>
        </w:rPr>
      </w:pPr>
      <w:r>
        <w:rPr>
          <w:rFonts w:ascii="Courier New" w:cs="Courier New" w:eastAsia="Courier New" w:hAnsi="Courier New"/>
          <w:sz w:val="12"/>
          <w:szCs w:val="12"/>
          <w:color w:val="auto"/>
        </w:rPr>
        <w:t>Company's financial position or results of operations,</w:t>
      </w:r>
    </w:p>
    <w:p>
      <w:pPr>
        <w:ind w:left="1400"/>
        <w:spacing w:after="0" w:line="237" w:lineRule="auto"/>
        <w:rPr>
          <w:sz w:val="20"/>
          <w:szCs w:val="20"/>
          <w:color w:val="auto"/>
        </w:rPr>
      </w:pPr>
      <w:r>
        <w:rPr>
          <w:rFonts w:ascii="Courier New" w:cs="Courier New" w:eastAsia="Courier New" w:hAnsi="Courier New"/>
          <w:sz w:val="12"/>
          <w:szCs w:val="12"/>
          <w:color w:val="auto"/>
        </w:rPr>
        <w:t>except for reclassification in the balance sheet and cash</w:t>
      </w:r>
    </w:p>
    <w:p>
      <w:pPr>
        <w:spacing w:after="0" w:line="4" w:lineRule="exact"/>
        <w:rPr>
          <w:sz w:val="20"/>
          <w:szCs w:val="20"/>
          <w:color w:val="auto"/>
        </w:rPr>
      </w:pPr>
    </w:p>
    <w:p>
      <w:pPr>
        <w:ind w:left="1400"/>
        <w:spacing w:after="0"/>
        <w:rPr>
          <w:sz w:val="20"/>
          <w:szCs w:val="20"/>
          <w:color w:val="auto"/>
        </w:rPr>
      </w:pPr>
      <w:r>
        <w:rPr>
          <w:rFonts w:ascii="Courier New" w:cs="Courier New" w:eastAsia="Courier New" w:hAnsi="Courier New"/>
          <w:sz w:val="11"/>
          <w:szCs w:val="11"/>
          <w:color w:val="auto"/>
        </w:rPr>
        <w:t>flows report of spare parts from inventory to fixed assets.</w:t>
      </w:r>
    </w:p>
    <w:p>
      <w:pPr>
        <w:spacing w:after="0" w:line="141" w:lineRule="exact"/>
        <w:rPr>
          <w:sz w:val="20"/>
          <w:szCs w:val="20"/>
          <w:color w:val="auto"/>
        </w:rPr>
      </w:pPr>
    </w:p>
    <w:p>
      <w:pPr>
        <w:ind w:left="1400"/>
        <w:spacing w:after="0"/>
        <w:rPr>
          <w:sz w:val="20"/>
          <w:szCs w:val="20"/>
          <w:color w:val="auto"/>
        </w:rPr>
      </w:pPr>
      <w:r>
        <w:rPr>
          <w:rFonts w:ascii="Courier New" w:cs="Courier New" w:eastAsia="Courier New" w:hAnsi="Courier New"/>
          <w:sz w:val="12"/>
          <w:szCs w:val="12"/>
          <w:color w:val="auto"/>
        </w:rPr>
        <w:t>In April 2007 the Israeli Accounting Standard Board</w:t>
      </w:r>
    </w:p>
    <w:p>
      <w:pPr>
        <w:ind w:left="1400"/>
        <w:spacing w:after="0"/>
        <w:rPr>
          <w:sz w:val="20"/>
          <w:szCs w:val="20"/>
          <w:color w:val="auto"/>
        </w:rPr>
      </w:pPr>
      <w:r>
        <w:rPr>
          <w:rFonts w:ascii="Courier New" w:cs="Courier New" w:eastAsia="Courier New" w:hAnsi="Courier New"/>
          <w:sz w:val="12"/>
          <w:szCs w:val="12"/>
          <w:color w:val="auto"/>
        </w:rPr>
        <w:t>published Standard no. 28 that amends Standard no. 27 to</w:t>
      </w:r>
    </w:p>
    <w:p>
      <w:pPr>
        <w:ind w:left="1400"/>
        <w:spacing w:after="0" w:line="237" w:lineRule="auto"/>
        <w:rPr>
          <w:sz w:val="20"/>
          <w:szCs w:val="20"/>
          <w:color w:val="auto"/>
        </w:rPr>
      </w:pPr>
      <w:r>
        <w:rPr>
          <w:rFonts w:ascii="Courier New" w:cs="Courier New" w:eastAsia="Courier New" w:hAnsi="Courier New"/>
          <w:sz w:val="12"/>
          <w:szCs w:val="12"/>
          <w:color w:val="auto"/>
        </w:rPr>
        <w:t>allow, at transition, the exemptions allowed under IFRS 1</w:t>
      </w:r>
    </w:p>
    <w:p>
      <w:pPr>
        <w:ind w:left="1400"/>
        <w:spacing w:after="0"/>
        <w:rPr>
          <w:sz w:val="20"/>
          <w:szCs w:val="20"/>
          <w:color w:val="auto"/>
        </w:rPr>
      </w:pPr>
      <w:r>
        <w:rPr>
          <w:rFonts w:ascii="Courier New" w:cs="Courier New" w:eastAsia="Courier New" w:hAnsi="Courier New"/>
          <w:sz w:val="12"/>
          <w:szCs w:val="12"/>
          <w:color w:val="auto"/>
        </w:rPr>
        <w:t>regarding fixed assets.</w:t>
      </w:r>
    </w:p>
    <w:p>
      <w:pPr>
        <w:spacing w:after="0" w:line="269"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- 7 -</w:t>
      </w:r>
    </w:p>
    <w:p>
      <w:pPr>
        <w:spacing w:after="0" w:line="386"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2"/>
          <w:szCs w:val="12"/>
          <w:color w:val="auto"/>
        </w:rPr>
        <w:t>TOWER SEMICONDUCTOR LTD. AND SUBSIDIARY</w:t>
      </w:r>
    </w:p>
    <w:p>
      <w:pPr>
        <w:jc w:val="center"/>
        <w:ind w:right="4559"/>
        <w:spacing w:after="0"/>
        <w:rPr>
          <w:sz w:val="20"/>
          <w:szCs w:val="20"/>
          <w:color w:val="auto"/>
        </w:rPr>
      </w:pPr>
      <w:r>
        <w:rPr>
          <w:rFonts w:ascii="Courier New" w:cs="Courier New" w:eastAsia="Courier New" w:hAnsi="Courier New"/>
          <w:sz w:val="12"/>
          <w:szCs w:val="12"/>
          <w:color w:val="auto"/>
        </w:rPr>
        <w:t>NOTES TO UNAUDITED CONDENSED INTERIM CONSOLIDATED</w:t>
      </w:r>
    </w:p>
    <w:p>
      <w:pPr>
        <w:ind w:left="1400"/>
        <w:spacing w:after="0" w:line="237" w:lineRule="auto"/>
        <w:rPr>
          <w:sz w:val="20"/>
          <w:szCs w:val="20"/>
          <w:color w:val="auto"/>
        </w:rPr>
      </w:pPr>
      <w:r>
        <w:rPr>
          <w:rFonts w:ascii="Courier New" w:cs="Courier New" w:eastAsia="Courier New" w:hAnsi="Courier New"/>
          <w:sz w:val="12"/>
          <w:szCs w:val="12"/>
          <w:color w:val="auto"/>
        </w:rPr>
        <w:t>FINANCIAL STATEMENTS AS OF MARCH 31, 2007</w:t>
      </w: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1 - GENERAL (CONT.)</w:t>
      </w:r>
    </w:p>
    <w:p>
      <w:pPr>
        <w:spacing w:after="0" w:line="134" w:lineRule="exact"/>
        <w:rPr>
          <w:sz w:val="20"/>
          <w:szCs w:val="20"/>
          <w:color w:val="auto"/>
        </w:rPr>
      </w:pPr>
    </w:p>
    <w:p>
      <w:pPr>
        <w:ind w:left="700" w:hanging="357"/>
        <w:spacing w:after="0"/>
        <w:tabs>
          <w:tab w:leader="none" w:pos="700"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BASIS FOR PRESENTATION (CONT.)</w:t>
      </w:r>
    </w:p>
    <w:p>
      <w:pPr>
        <w:spacing w:after="0" w:line="138" w:lineRule="exact"/>
        <w:rPr>
          <w:rFonts w:ascii="Courier New" w:cs="Courier New" w:eastAsia="Courier New" w:hAnsi="Courier New"/>
          <w:sz w:val="12"/>
          <w:szCs w:val="12"/>
          <w:color w:val="auto"/>
        </w:rPr>
      </w:pPr>
    </w:p>
    <w:p>
      <w:pPr>
        <w:ind w:left="1040" w:right="5119" w:hanging="345"/>
        <w:spacing w:after="0" w:line="235" w:lineRule="auto"/>
        <w:tabs>
          <w:tab w:leader="none" w:pos="1040" w:val="left"/>
        </w:tabs>
        <w:numPr>
          <w:ilvl w:val="1"/>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RECENT ACCOUNTING PRONOUNCEMENTS BY THE ISRAELI ACCOUNTING STANDARDS BOARD (CONT.)</w:t>
      </w:r>
    </w:p>
    <w:p>
      <w:pPr>
        <w:spacing w:after="0" w:line="139" w:lineRule="exact"/>
        <w:rPr>
          <w:rFonts w:ascii="Courier New" w:cs="Courier New" w:eastAsia="Courier New" w:hAnsi="Courier New"/>
          <w:sz w:val="12"/>
          <w:szCs w:val="12"/>
          <w:color w:val="auto"/>
        </w:rPr>
      </w:pPr>
    </w:p>
    <w:p>
      <w:pPr>
        <w:ind w:left="1400" w:right="4899" w:hanging="354"/>
        <w:spacing w:after="0" w:line="273" w:lineRule="auto"/>
        <w:tabs>
          <w:tab w:leader="none" w:pos="1400" w:val="left"/>
        </w:tabs>
        <w:numPr>
          <w:ilvl w:val="2"/>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ACCOUNTING STANDARD NO. 23, "ACCOUNTING FOR TRANSACTIONS BETWEEN AN ENTITY AND A CONTROLLING PARTY"</w:t>
      </w:r>
    </w:p>
    <w:p>
      <w:pPr>
        <w:spacing w:after="0" w:line="121" w:lineRule="exact"/>
        <w:rPr>
          <w:rFonts w:ascii="Courier New" w:cs="Courier New" w:eastAsia="Courier New" w:hAnsi="Courier New"/>
          <w:sz w:val="11"/>
          <w:szCs w:val="11"/>
          <w:color w:val="auto"/>
        </w:rPr>
      </w:pPr>
    </w:p>
    <w:p>
      <w:pPr>
        <w:ind w:left="1400" w:right="4619"/>
        <w:spacing w:after="0" w:line="238"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In December 2006 the Israeli Accounting Standards Board published Accounting Standard No. 23, "Accounting for Transactions between an Entity and a controlling party (the "Standard"). The Standard applies to entities subject to the Israeli Securities Law - 1968. The Standard establishes the requirements for accounting for transactions between an entity and its controlling party which involve the disposition of an asset, the taking on of a liability, reimbursement or debt concession, and the receiving of loans. The Standard does not apply to business combinations under common control. The Standard stipulates that transactions between an entity and a controlling party will be measured based on fair value; transactions which in nature are owner investments should be reported directly in equity and not be recognized in the controlled entity's profit and loss; the differences between the consideration set in transactions between an entity and a controlling party and their fair value will be allocated directly to equity; and current and deferred taxes pertaining to the items allocated to equity due to transactions with controlling parties will be allocated directly to equity as well.</w:t>
      </w:r>
    </w:p>
    <w:p>
      <w:pPr>
        <w:spacing w:after="0" w:line="141" w:lineRule="exact"/>
        <w:rPr>
          <w:rFonts w:ascii="Courier New" w:cs="Courier New" w:eastAsia="Courier New" w:hAnsi="Courier New"/>
          <w:sz w:val="11"/>
          <w:szCs w:val="11"/>
          <w:color w:val="auto"/>
        </w:rPr>
      </w:pPr>
    </w:p>
    <w:p>
      <w:pPr>
        <w:ind w:left="1400" w:right="4619"/>
        <w:spacing w:after="0" w:line="237"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The Standard applies to transactions between an entity and a controlling party taking place subsequent to January 1, 2007 and for loans granted from or given to a controlling party prior to the Standard's coming into effect, starting on the Standard's effective date. The Standard did not affect the Company's financial position, results of operations and cash flows.</w:t>
      </w:r>
    </w:p>
    <w:p>
      <w:pPr>
        <w:spacing w:after="0" w:line="136" w:lineRule="exact"/>
        <w:rPr>
          <w:rFonts w:ascii="Courier New" w:cs="Courier New" w:eastAsia="Courier New" w:hAnsi="Courier New"/>
          <w:sz w:val="11"/>
          <w:szCs w:val="11"/>
          <w:color w:val="auto"/>
        </w:rPr>
      </w:pPr>
    </w:p>
    <w:p>
      <w:pPr>
        <w:ind w:left="1400" w:hanging="354"/>
        <w:spacing w:after="0"/>
        <w:tabs>
          <w:tab w:leader="none" w:pos="1400" w:val="left"/>
        </w:tabs>
        <w:numPr>
          <w:ilvl w:val="2"/>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ACCOUNTING STANDARD NO. 30 - "INTANGIBLE ASSETS"</w:t>
      </w:r>
    </w:p>
    <w:p>
      <w:pPr>
        <w:spacing w:after="0" w:line="138" w:lineRule="exact"/>
        <w:rPr>
          <w:rFonts w:ascii="Courier New" w:cs="Courier New" w:eastAsia="Courier New" w:hAnsi="Courier New"/>
          <w:sz w:val="12"/>
          <w:szCs w:val="12"/>
          <w:color w:val="auto"/>
        </w:rPr>
      </w:pPr>
    </w:p>
    <w:p>
      <w:pPr>
        <w:ind w:left="1400" w:right="4839"/>
        <w:spacing w:after="0" w:line="26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March 2007, The Israeli Accounting Standards Board published Accounting Standard No. 30, "Intangible Assets" (the "Standard"), which sets the accounting treatment for Intangible Assets that are not covered by any other standard, as well as the disclosure requirements in the financial statements for the entity's Intangible Assets.</w:t>
      </w:r>
    </w:p>
    <w:p>
      <w:pPr>
        <w:spacing w:after="0" w:line="125" w:lineRule="exact"/>
        <w:rPr>
          <w:rFonts w:ascii="Courier New" w:cs="Courier New" w:eastAsia="Courier New" w:hAnsi="Courier New"/>
          <w:sz w:val="12"/>
          <w:szCs w:val="12"/>
          <w:color w:val="auto"/>
        </w:rPr>
      </w:pPr>
    </w:p>
    <w:p>
      <w:pPr>
        <w:ind w:left="1400"/>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An intangible asset shall be measured initially at cost.</w:t>
      </w:r>
    </w:p>
    <w:p>
      <w:pPr>
        <w:spacing w:after="0" w:line="269" w:lineRule="exact"/>
        <w:rPr>
          <w:rFonts w:ascii="Courier New" w:cs="Courier New" w:eastAsia="Courier New" w:hAnsi="Courier New"/>
          <w:sz w:val="12"/>
          <w:szCs w:val="12"/>
          <w:color w:val="auto"/>
        </w:rPr>
      </w:pPr>
    </w:p>
    <w:p>
      <w:pPr>
        <w:ind w:left="2740" w:hanging="149"/>
        <w:spacing w:after="0"/>
        <w:tabs>
          <w:tab w:leader="none" w:pos="2740" w:val="left"/>
        </w:tabs>
        <w:numPr>
          <w:ilvl w:val="3"/>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8 -</w:t>
      </w:r>
    </w:p>
    <w:p>
      <w:pPr>
        <w:spacing w:after="0" w:line="386"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2"/>
          <w:szCs w:val="12"/>
          <w:color w:val="auto"/>
        </w:rPr>
        <w:t>TOWER SEMICONDUCTOR LTD. AND SUBSIDIARY</w:t>
      </w:r>
    </w:p>
    <w:p>
      <w:pPr>
        <w:jc w:val="center"/>
        <w:ind w:right="4559"/>
        <w:spacing w:after="0"/>
        <w:rPr>
          <w:sz w:val="20"/>
          <w:szCs w:val="20"/>
          <w:color w:val="auto"/>
        </w:rPr>
      </w:pPr>
      <w:r>
        <w:rPr>
          <w:rFonts w:ascii="Courier New" w:cs="Courier New" w:eastAsia="Courier New" w:hAnsi="Courier New"/>
          <w:sz w:val="12"/>
          <w:szCs w:val="12"/>
          <w:color w:val="auto"/>
        </w:rPr>
        <w:t>NOTES TO UNAUDITED CONDENSED INTERIM CONSOLIDATED</w:t>
      </w:r>
    </w:p>
    <w:p>
      <w:pPr>
        <w:ind w:left="1400"/>
        <w:spacing w:after="0" w:line="237" w:lineRule="auto"/>
        <w:rPr>
          <w:sz w:val="20"/>
          <w:szCs w:val="20"/>
          <w:color w:val="auto"/>
        </w:rPr>
      </w:pPr>
      <w:r>
        <w:rPr>
          <w:rFonts w:ascii="Courier New" w:cs="Courier New" w:eastAsia="Courier New" w:hAnsi="Courier New"/>
          <w:sz w:val="12"/>
          <w:szCs w:val="12"/>
          <w:color w:val="auto"/>
        </w:rPr>
        <w:t>FINANCIAL STATEMENTS AS OF MARCH 31, 2007</w:t>
      </w: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1 - GENERAL (CONT.)</w:t>
      </w:r>
    </w:p>
    <w:p>
      <w:pPr>
        <w:spacing w:after="0" w:line="134" w:lineRule="exact"/>
        <w:rPr>
          <w:sz w:val="20"/>
          <w:szCs w:val="20"/>
          <w:color w:val="auto"/>
        </w:rPr>
      </w:pPr>
    </w:p>
    <w:p>
      <w:pPr>
        <w:ind w:left="700" w:hanging="357"/>
        <w:spacing w:after="0"/>
        <w:tabs>
          <w:tab w:leader="none" w:pos="700" w:val="left"/>
        </w:tabs>
        <w:numPr>
          <w:ilvl w:val="0"/>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BASIS FOR PRESENTATION (CONT.)</w:t>
      </w:r>
    </w:p>
    <w:p>
      <w:pPr>
        <w:spacing w:after="0" w:line="138" w:lineRule="exact"/>
        <w:rPr>
          <w:rFonts w:ascii="Courier New" w:cs="Courier New" w:eastAsia="Courier New" w:hAnsi="Courier New"/>
          <w:sz w:val="12"/>
          <w:szCs w:val="12"/>
          <w:color w:val="auto"/>
        </w:rPr>
      </w:pPr>
    </w:p>
    <w:p>
      <w:pPr>
        <w:ind w:left="1040" w:right="5119" w:hanging="345"/>
        <w:spacing w:after="0" w:line="235" w:lineRule="auto"/>
        <w:tabs>
          <w:tab w:leader="none" w:pos="1040" w:val="left"/>
        </w:tabs>
        <w:numPr>
          <w:ilvl w:val="1"/>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RECENT ACCOUNTING PRONOUNCEMENTS BY THE ISRAELI ACCOUNTING STANDARDS BOARD (CONT.)</w:t>
      </w:r>
    </w:p>
    <w:p>
      <w:pPr>
        <w:spacing w:after="0" w:line="134" w:lineRule="exact"/>
        <w:rPr>
          <w:rFonts w:ascii="Courier New" w:cs="Courier New" w:eastAsia="Courier New" w:hAnsi="Courier New"/>
          <w:sz w:val="12"/>
          <w:szCs w:val="12"/>
          <w:color w:val="auto"/>
        </w:rPr>
      </w:pPr>
    </w:p>
    <w:p>
      <w:pPr>
        <w:ind w:left="1400" w:hanging="354"/>
        <w:spacing w:after="0"/>
        <w:tabs>
          <w:tab w:leader="none" w:pos="1400" w:val="left"/>
        </w:tabs>
        <w:numPr>
          <w:ilvl w:val="2"/>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ACCOUNTING STANDARD NO. 30 - "INTANGIBLE ASSETS" (CONT.)</w:t>
      </w:r>
    </w:p>
    <w:p>
      <w:pPr>
        <w:spacing w:after="0" w:line="138" w:lineRule="exact"/>
        <w:rPr>
          <w:rFonts w:ascii="Courier New" w:cs="Courier New" w:eastAsia="Courier New" w:hAnsi="Courier New"/>
          <w:sz w:val="12"/>
          <w:szCs w:val="12"/>
          <w:color w:val="auto"/>
        </w:rPr>
      </w:pPr>
    </w:p>
    <w:p>
      <w:pPr>
        <w:ind w:left="140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Expenditures arising from research (or from the research phase of an internal project) shall not be recognized as an asset and should be expensed when incurred. An intangible asset arising from development (or from the development phase of an internal project) shall be recognized if, and only if, the criteria for recognition as an intangible asset in the standard are met. Expenditure on an intangible item that was not recognized initially, shall not be recognized as part of the cost of an intangible asset at a later date.</w:t>
      </w:r>
    </w:p>
    <w:p>
      <w:pPr>
        <w:spacing w:after="0" w:line="131" w:lineRule="exact"/>
        <w:rPr>
          <w:rFonts w:ascii="Courier New" w:cs="Courier New" w:eastAsia="Courier New" w:hAnsi="Courier New"/>
          <w:sz w:val="12"/>
          <w:szCs w:val="12"/>
          <w:color w:val="auto"/>
        </w:rPr>
      </w:pPr>
    </w:p>
    <w:p>
      <w:pPr>
        <w:ind w:left="1400" w:right="4759"/>
        <w:spacing w:after="0" w:line="266"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After initial recognition, an entity may choose to measure intangible asset at its cost less any accumulated amortization and any accumulated impairment losses, or for</w:t>
      </w:r>
    </w:p>
    <w:p>
      <w:pPr>
        <w:sectPr>
          <w:pgSz w:w="11900" w:h="16838" w:orient="portrait"/>
          <w:cols w:equalWidth="0" w:num="1">
            <w:col w:w="10239"/>
          </w:cols>
          <w:pgMar w:left="220" w:top="141" w:right="1440" w:bottom="0" w:gutter="0" w:footer="0" w:header="0"/>
        </w:sectPr>
      </w:pPr>
    </w:p>
    <w:bookmarkStart w:id="6" w:name="page7"/>
    <w:bookmarkEnd w:id="6"/>
    <w:p>
      <w:pPr>
        <w:ind w:left="1400"/>
        <w:spacing w:after="0"/>
        <w:rPr>
          <w:sz w:val="20"/>
          <w:szCs w:val="20"/>
          <w:color w:val="auto"/>
        </w:rPr>
      </w:pPr>
      <w:r>
        <w:rPr>
          <w:rFonts w:ascii="Courier New" w:cs="Courier New" w:eastAsia="Courier New" w:hAnsi="Courier New"/>
          <w:sz w:val="12"/>
          <w:szCs w:val="12"/>
          <w:color w:val="auto"/>
        </w:rPr>
        <w:t>an intangible asset that have an active market, as defined</w:t>
      </w:r>
    </w:p>
    <w:p>
      <w:pPr>
        <w:spacing w:after="0" w:line="4" w:lineRule="exact"/>
        <w:rPr>
          <w:sz w:val="20"/>
          <w:szCs w:val="20"/>
          <w:color w:val="auto"/>
        </w:rPr>
      </w:pPr>
    </w:p>
    <w:p>
      <w:pPr>
        <w:ind w:left="1400"/>
        <w:spacing w:after="0"/>
        <w:rPr>
          <w:sz w:val="20"/>
          <w:szCs w:val="20"/>
          <w:color w:val="auto"/>
        </w:rPr>
      </w:pPr>
      <w:r>
        <w:rPr>
          <w:rFonts w:ascii="Courier New" w:cs="Courier New" w:eastAsia="Courier New" w:hAnsi="Courier New"/>
          <w:sz w:val="11"/>
          <w:szCs w:val="11"/>
          <w:color w:val="auto"/>
        </w:rPr>
        <w:t>in the standard, may be carried at a revalued amount, being</w:t>
      </w:r>
    </w:p>
    <w:p>
      <w:pPr>
        <w:spacing w:after="0" w:line="6" w:lineRule="exact"/>
        <w:rPr>
          <w:sz w:val="20"/>
          <w:szCs w:val="20"/>
          <w:color w:val="auto"/>
        </w:rPr>
      </w:pPr>
    </w:p>
    <w:p>
      <w:pPr>
        <w:ind w:left="1400"/>
        <w:spacing w:after="0"/>
        <w:rPr>
          <w:sz w:val="20"/>
          <w:szCs w:val="20"/>
          <w:color w:val="auto"/>
        </w:rPr>
      </w:pPr>
      <w:r>
        <w:rPr>
          <w:rFonts w:ascii="Courier New" w:cs="Courier New" w:eastAsia="Courier New" w:hAnsi="Courier New"/>
          <w:sz w:val="12"/>
          <w:szCs w:val="12"/>
          <w:color w:val="auto"/>
        </w:rPr>
        <w:t>its fair value at the date of the revaluation less any</w:t>
      </w:r>
    </w:p>
    <w:p>
      <w:pPr>
        <w:ind w:left="1400"/>
        <w:spacing w:after="0"/>
        <w:rPr>
          <w:sz w:val="20"/>
          <w:szCs w:val="20"/>
          <w:color w:val="auto"/>
        </w:rPr>
      </w:pPr>
      <w:r>
        <w:rPr>
          <w:rFonts w:ascii="Courier New" w:cs="Courier New" w:eastAsia="Courier New" w:hAnsi="Courier New"/>
          <w:sz w:val="12"/>
          <w:szCs w:val="12"/>
          <w:color w:val="auto"/>
        </w:rPr>
        <w:t>subsequent accumulated amortization and any subsequent</w:t>
      </w:r>
    </w:p>
    <w:p>
      <w:pPr>
        <w:ind w:left="1400"/>
        <w:spacing w:after="0" w:line="237" w:lineRule="auto"/>
        <w:rPr>
          <w:sz w:val="20"/>
          <w:szCs w:val="20"/>
          <w:color w:val="auto"/>
        </w:rPr>
      </w:pPr>
      <w:r>
        <w:rPr>
          <w:rFonts w:ascii="Courier New" w:cs="Courier New" w:eastAsia="Courier New" w:hAnsi="Courier New"/>
          <w:sz w:val="12"/>
          <w:szCs w:val="12"/>
          <w:color w:val="auto"/>
        </w:rPr>
        <w:t>accumulated impairment losses. An entity shall assess</w:t>
      </w:r>
    </w:p>
    <w:p>
      <w:pPr>
        <w:spacing w:after="0" w:line="4" w:lineRule="exact"/>
        <w:rPr>
          <w:sz w:val="20"/>
          <w:szCs w:val="20"/>
          <w:color w:val="auto"/>
        </w:rPr>
      </w:pPr>
    </w:p>
    <w:p>
      <w:pPr>
        <w:ind w:left="1400"/>
        <w:spacing w:after="0"/>
        <w:rPr>
          <w:sz w:val="20"/>
          <w:szCs w:val="20"/>
          <w:color w:val="auto"/>
        </w:rPr>
      </w:pPr>
      <w:r>
        <w:rPr>
          <w:rFonts w:ascii="Courier New" w:cs="Courier New" w:eastAsia="Courier New" w:hAnsi="Courier New"/>
          <w:sz w:val="11"/>
          <w:szCs w:val="11"/>
          <w:color w:val="auto"/>
        </w:rPr>
        <w:t>whether the useful life of an intangible asset is finite or</w:t>
      </w:r>
    </w:p>
    <w:p>
      <w:pPr>
        <w:spacing w:after="0" w:line="6" w:lineRule="exact"/>
        <w:rPr>
          <w:sz w:val="20"/>
          <w:szCs w:val="20"/>
          <w:color w:val="auto"/>
        </w:rPr>
      </w:pPr>
    </w:p>
    <w:p>
      <w:pPr>
        <w:ind w:left="1400"/>
        <w:spacing w:after="0"/>
        <w:rPr>
          <w:sz w:val="20"/>
          <w:szCs w:val="20"/>
          <w:color w:val="auto"/>
        </w:rPr>
      </w:pPr>
      <w:r>
        <w:rPr>
          <w:rFonts w:ascii="Courier New" w:cs="Courier New" w:eastAsia="Courier New" w:hAnsi="Courier New"/>
          <w:sz w:val="12"/>
          <w:szCs w:val="12"/>
          <w:color w:val="auto"/>
        </w:rPr>
        <w:t>indefinite. The amortization of an intangible asset with a</w:t>
      </w:r>
    </w:p>
    <w:p>
      <w:pPr>
        <w:ind w:left="1400"/>
        <w:spacing w:after="0"/>
        <w:rPr>
          <w:sz w:val="20"/>
          <w:szCs w:val="20"/>
          <w:color w:val="auto"/>
        </w:rPr>
      </w:pPr>
      <w:r>
        <w:rPr>
          <w:rFonts w:ascii="Courier New" w:cs="Courier New" w:eastAsia="Courier New" w:hAnsi="Courier New"/>
          <w:sz w:val="12"/>
          <w:szCs w:val="12"/>
          <w:color w:val="auto"/>
        </w:rPr>
        <w:t>finite useful life shall be over its useful life using a</w:t>
      </w:r>
    </w:p>
    <w:p>
      <w:pPr>
        <w:ind w:left="1400"/>
        <w:spacing w:after="0" w:line="237" w:lineRule="auto"/>
        <w:rPr>
          <w:sz w:val="20"/>
          <w:szCs w:val="20"/>
          <w:color w:val="auto"/>
        </w:rPr>
      </w:pPr>
      <w:r>
        <w:rPr>
          <w:rFonts w:ascii="Courier New" w:cs="Courier New" w:eastAsia="Courier New" w:hAnsi="Courier New"/>
          <w:sz w:val="12"/>
          <w:szCs w:val="12"/>
          <w:color w:val="auto"/>
        </w:rPr>
        <w:t>systematic basis. An intangible asset with an indefinite</w:t>
      </w:r>
    </w:p>
    <w:p>
      <w:pPr>
        <w:ind w:left="1400"/>
        <w:spacing w:after="0"/>
        <w:rPr>
          <w:sz w:val="20"/>
          <w:szCs w:val="20"/>
          <w:color w:val="auto"/>
        </w:rPr>
      </w:pPr>
      <w:r>
        <w:rPr>
          <w:rFonts w:ascii="Courier New" w:cs="Courier New" w:eastAsia="Courier New" w:hAnsi="Courier New"/>
          <w:sz w:val="12"/>
          <w:szCs w:val="12"/>
          <w:color w:val="auto"/>
        </w:rPr>
        <w:t>useful life shall not be amortized. Instead, an entity is</w:t>
      </w:r>
    </w:p>
    <w:p>
      <w:pPr>
        <w:ind w:left="1400"/>
        <w:spacing w:after="0" w:line="237" w:lineRule="auto"/>
        <w:rPr>
          <w:sz w:val="20"/>
          <w:szCs w:val="20"/>
          <w:color w:val="auto"/>
        </w:rPr>
      </w:pPr>
      <w:r>
        <w:rPr>
          <w:rFonts w:ascii="Courier New" w:cs="Courier New" w:eastAsia="Courier New" w:hAnsi="Courier New"/>
          <w:sz w:val="12"/>
          <w:szCs w:val="12"/>
          <w:color w:val="auto"/>
        </w:rPr>
        <w:t>required to test an intangible asset with an indefinite</w:t>
      </w:r>
    </w:p>
    <w:p>
      <w:pPr>
        <w:spacing w:after="0" w:line="4" w:lineRule="exact"/>
        <w:rPr>
          <w:sz w:val="20"/>
          <w:szCs w:val="20"/>
          <w:color w:val="auto"/>
        </w:rPr>
      </w:pPr>
    </w:p>
    <w:p>
      <w:pPr>
        <w:ind w:left="1400"/>
        <w:spacing w:after="0"/>
        <w:rPr>
          <w:sz w:val="20"/>
          <w:szCs w:val="20"/>
          <w:color w:val="auto"/>
        </w:rPr>
      </w:pPr>
      <w:r>
        <w:rPr>
          <w:rFonts w:ascii="Courier New" w:cs="Courier New" w:eastAsia="Courier New" w:hAnsi="Courier New"/>
          <w:sz w:val="11"/>
          <w:szCs w:val="11"/>
          <w:color w:val="auto"/>
        </w:rPr>
        <w:t>useful life for impairment in a manner similar to the method</w:t>
      </w:r>
    </w:p>
    <w:p>
      <w:pPr>
        <w:spacing w:after="0" w:line="6" w:lineRule="exact"/>
        <w:rPr>
          <w:sz w:val="20"/>
          <w:szCs w:val="20"/>
          <w:color w:val="auto"/>
        </w:rPr>
      </w:pPr>
    </w:p>
    <w:p>
      <w:pPr>
        <w:ind w:left="1400"/>
        <w:spacing w:after="0"/>
        <w:rPr>
          <w:sz w:val="20"/>
          <w:szCs w:val="20"/>
          <w:color w:val="auto"/>
        </w:rPr>
      </w:pPr>
      <w:r>
        <w:rPr>
          <w:rFonts w:ascii="Courier New" w:cs="Courier New" w:eastAsia="Courier New" w:hAnsi="Courier New"/>
          <w:sz w:val="12"/>
          <w:szCs w:val="12"/>
          <w:color w:val="auto"/>
        </w:rPr>
        <w:t>prescribed in Standard No. 15, annually, or whenever there</w:t>
      </w:r>
    </w:p>
    <w:p>
      <w:pPr>
        <w:spacing w:after="0" w:line="4" w:lineRule="exact"/>
        <w:rPr>
          <w:sz w:val="20"/>
          <w:szCs w:val="20"/>
          <w:color w:val="auto"/>
        </w:rPr>
      </w:pPr>
    </w:p>
    <w:p>
      <w:pPr>
        <w:ind w:left="1400"/>
        <w:spacing w:after="0"/>
        <w:rPr>
          <w:sz w:val="20"/>
          <w:szCs w:val="20"/>
          <w:color w:val="auto"/>
        </w:rPr>
      </w:pPr>
      <w:r>
        <w:rPr>
          <w:rFonts w:ascii="Courier New" w:cs="Courier New" w:eastAsia="Courier New" w:hAnsi="Courier New"/>
          <w:sz w:val="11"/>
          <w:szCs w:val="11"/>
          <w:color w:val="auto"/>
        </w:rPr>
        <w:t>is an indication that the intangible asset may be impaired.</w:t>
      </w:r>
    </w:p>
    <w:p>
      <w:pPr>
        <w:spacing w:after="0" w:line="146" w:lineRule="exact"/>
        <w:rPr>
          <w:sz w:val="20"/>
          <w:szCs w:val="20"/>
          <w:color w:val="auto"/>
        </w:rPr>
      </w:pPr>
    </w:p>
    <w:p>
      <w:pPr>
        <w:ind w:left="1400"/>
        <w:spacing w:after="0"/>
        <w:rPr>
          <w:sz w:val="20"/>
          <w:szCs w:val="20"/>
          <w:color w:val="auto"/>
        </w:rPr>
      </w:pPr>
      <w:r>
        <w:rPr>
          <w:rFonts w:ascii="Courier New" w:cs="Courier New" w:eastAsia="Courier New" w:hAnsi="Courier New"/>
          <w:sz w:val="11"/>
          <w:szCs w:val="11"/>
          <w:color w:val="auto"/>
        </w:rPr>
        <w:t>This Standard shall apply to financial statements for annual</w:t>
      </w:r>
    </w:p>
    <w:p>
      <w:pPr>
        <w:spacing w:after="0" w:line="10" w:lineRule="exact"/>
        <w:rPr>
          <w:sz w:val="20"/>
          <w:szCs w:val="20"/>
          <w:color w:val="auto"/>
        </w:rPr>
      </w:pPr>
    </w:p>
    <w:p>
      <w:pPr>
        <w:ind w:left="1400"/>
        <w:spacing w:after="0"/>
        <w:rPr>
          <w:sz w:val="20"/>
          <w:szCs w:val="20"/>
          <w:color w:val="auto"/>
        </w:rPr>
      </w:pPr>
      <w:r>
        <w:rPr>
          <w:rFonts w:ascii="Courier New" w:cs="Courier New" w:eastAsia="Courier New" w:hAnsi="Courier New"/>
          <w:sz w:val="11"/>
          <w:szCs w:val="11"/>
          <w:color w:val="auto"/>
        </w:rPr>
        <w:t>periods beginning on or after January 1, 2007. The Standard</w:t>
      </w:r>
    </w:p>
    <w:p>
      <w:pPr>
        <w:spacing w:after="0" w:line="10" w:lineRule="exact"/>
        <w:rPr>
          <w:sz w:val="20"/>
          <w:szCs w:val="20"/>
          <w:color w:val="auto"/>
        </w:rPr>
      </w:pPr>
    </w:p>
    <w:p>
      <w:pPr>
        <w:ind w:left="1400"/>
        <w:spacing w:after="0"/>
        <w:rPr>
          <w:sz w:val="20"/>
          <w:szCs w:val="20"/>
          <w:color w:val="auto"/>
        </w:rPr>
      </w:pPr>
      <w:r>
        <w:rPr>
          <w:rFonts w:ascii="Courier New" w:cs="Courier New" w:eastAsia="Courier New" w:hAnsi="Courier New"/>
          <w:sz w:val="11"/>
          <w:szCs w:val="11"/>
          <w:color w:val="auto"/>
        </w:rPr>
        <w:t>did not affect the Company's financial position, results of</w:t>
      </w:r>
    </w:p>
    <w:p>
      <w:pPr>
        <w:spacing w:after="0" w:line="6" w:lineRule="exact"/>
        <w:rPr>
          <w:sz w:val="20"/>
          <w:szCs w:val="20"/>
          <w:color w:val="auto"/>
        </w:rPr>
      </w:pPr>
    </w:p>
    <w:p>
      <w:pPr>
        <w:ind w:left="1400"/>
        <w:spacing w:after="0"/>
        <w:rPr>
          <w:sz w:val="20"/>
          <w:szCs w:val="20"/>
          <w:color w:val="auto"/>
        </w:rPr>
      </w:pPr>
      <w:r>
        <w:rPr>
          <w:rFonts w:ascii="Courier New" w:cs="Courier New" w:eastAsia="Courier New" w:hAnsi="Courier New"/>
          <w:sz w:val="12"/>
          <w:szCs w:val="12"/>
          <w:color w:val="auto"/>
        </w:rPr>
        <w:t>operations and cash flows.</w:t>
      </w:r>
    </w:p>
    <w:p>
      <w:pPr>
        <w:spacing w:after="0" w:line="139" w:lineRule="exact"/>
        <w:rPr>
          <w:sz w:val="20"/>
          <w:szCs w:val="20"/>
          <w:color w:val="auto"/>
        </w:rPr>
      </w:pPr>
    </w:p>
    <w:p>
      <w:pPr>
        <w:ind w:left="1040" w:right="4839" w:hanging="345"/>
        <w:spacing w:after="0" w:line="235" w:lineRule="auto"/>
        <w:tabs>
          <w:tab w:leader="none" w:pos="1040" w:val="left"/>
        </w:tabs>
        <w:numPr>
          <w:ilvl w:val="0"/>
          <w:numId w:val="7"/>
        </w:numPr>
        <w:rPr>
          <w:rFonts w:ascii="Courier New" w:cs="Courier New" w:eastAsia="Courier New" w:hAnsi="Courier New"/>
          <w:sz w:val="12"/>
          <w:szCs w:val="12"/>
          <w:color w:val="auto"/>
        </w:rPr>
      </w:pPr>
      <w:r>
        <w:rPr>
          <w:rFonts w:ascii="Courier New" w:cs="Courier New" w:eastAsia="Courier New" w:hAnsi="Courier New"/>
          <w:sz w:val="12"/>
          <w:szCs w:val="12"/>
          <w:color w:val="auto"/>
        </w:rPr>
        <w:t>Certain amounts in prior years' financial statements have been reclassified in order to conform to 2007 presentation.</w:t>
      </w:r>
    </w:p>
    <w:p>
      <w:pPr>
        <w:spacing w:after="0" w:line="269" w:lineRule="exact"/>
        <w:rPr>
          <w:rFonts w:ascii="Courier New" w:cs="Courier New" w:eastAsia="Courier New" w:hAnsi="Courier New"/>
          <w:sz w:val="12"/>
          <w:szCs w:val="12"/>
          <w:color w:val="auto"/>
        </w:rPr>
      </w:pPr>
    </w:p>
    <w:p>
      <w:pPr>
        <w:ind w:left="2740" w:hanging="149"/>
        <w:spacing w:after="0"/>
        <w:tabs>
          <w:tab w:leader="none" w:pos="2740" w:val="left"/>
        </w:tabs>
        <w:numPr>
          <w:ilvl w:val="1"/>
          <w:numId w:val="7"/>
        </w:numPr>
        <w:rPr>
          <w:rFonts w:ascii="Courier New" w:cs="Courier New" w:eastAsia="Courier New" w:hAnsi="Courier New"/>
          <w:sz w:val="12"/>
          <w:szCs w:val="12"/>
          <w:color w:val="auto"/>
        </w:rPr>
      </w:pPr>
      <w:r>
        <w:rPr>
          <w:rFonts w:ascii="Courier New" w:cs="Courier New" w:eastAsia="Courier New" w:hAnsi="Courier New"/>
          <w:sz w:val="12"/>
          <w:szCs w:val="12"/>
          <w:color w:val="auto"/>
        </w:rPr>
        <w:t>9 -</w:t>
      </w:r>
    </w:p>
    <w:p>
      <w:pPr>
        <w:spacing w:after="0" w:line="386"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2"/>
          <w:szCs w:val="12"/>
          <w:color w:val="auto"/>
        </w:rPr>
        <w:t>TOWER SEMICONDUCTOR LTD. AND SUBSIDIARY</w:t>
      </w:r>
    </w:p>
    <w:p>
      <w:pPr>
        <w:jc w:val="center"/>
        <w:ind w:right="4559"/>
        <w:spacing w:after="0"/>
        <w:rPr>
          <w:sz w:val="20"/>
          <w:szCs w:val="20"/>
          <w:color w:val="auto"/>
        </w:rPr>
      </w:pPr>
      <w:r>
        <w:rPr>
          <w:rFonts w:ascii="Courier New" w:cs="Courier New" w:eastAsia="Courier New" w:hAnsi="Courier New"/>
          <w:sz w:val="12"/>
          <w:szCs w:val="12"/>
          <w:color w:val="auto"/>
        </w:rPr>
        <w:t>NOTES TO UNAUDITED CONDENSED INTERIM CONSOLIDATED</w:t>
      </w:r>
    </w:p>
    <w:p>
      <w:pPr>
        <w:ind w:left="1400"/>
        <w:spacing w:after="0" w:line="237" w:lineRule="auto"/>
        <w:rPr>
          <w:sz w:val="20"/>
          <w:szCs w:val="20"/>
          <w:color w:val="auto"/>
        </w:rPr>
      </w:pPr>
      <w:r>
        <w:rPr>
          <w:rFonts w:ascii="Courier New" w:cs="Courier New" w:eastAsia="Courier New" w:hAnsi="Courier New"/>
          <w:sz w:val="12"/>
          <w:szCs w:val="12"/>
          <w:color w:val="auto"/>
        </w:rPr>
        <w:t>FINANCIAL STATEMENTS AS OF MARCH 31, 2007</w:t>
      </w: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1 - GENERAL (CONT.)</w:t>
      </w:r>
    </w:p>
    <w:p>
      <w:pPr>
        <w:spacing w:after="0" w:line="134" w:lineRule="exact"/>
        <w:rPr>
          <w:sz w:val="20"/>
          <w:szCs w:val="20"/>
          <w:color w:val="auto"/>
        </w:rPr>
      </w:pPr>
    </w:p>
    <w:p>
      <w:pPr>
        <w:ind w:left="700" w:hanging="357"/>
        <w:spacing w:after="0"/>
        <w:tabs>
          <w:tab w:leader="none" w:pos="700" w:val="left"/>
        </w:tabs>
        <w:numPr>
          <w:ilvl w:val="0"/>
          <w:numId w:val="8"/>
        </w:numPr>
        <w:rPr>
          <w:rFonts w:ascii="Courier New" w:cs="Courier New" w:eastAsia="Courier New" w:hAnsi="Courier New"/>
          <w:sz w:val="12"/>
          <w:szCs w:val="12"/>
          <w:color w:val="auto"/>
        </w:rPr>
      </w:pPr>
      <w:r>
        <w:rPr>
          <w:rFonts w:ascii="Courier New" w:cs="Courier New" w:eastAsia="Courier New" w:hAnsi="Courier New"/>
          <w:sz w:val="12"/>
          <w:szCs w:val="12"/>
          <w:color w:val="auto"/>
        </w:rPr>
        <w:t>ESTABLISHMENT AND OPERATIONS OF NEW FABRICATION FACILITY ("FAB 2")</w:t>
      </w:r>
    </w:p>
    <w:p>
      <w:pPr>
        <w:spacing w:after="0" w:line="138" w:lineRule="exact"/>
        <w:rPr>
          <w:rFonts w:ascii="Courier New" w:cs="Courier New" w:eastAsia="Courier New" w:hAnsi="Courier New"/>
          <w:sz w:val="12"/>
          <w:szCs w:val="12"/>
          <w:color w:val="auto"/>
        </w:rPr>
      </w:pPr>
    </w:p>
    <w:p>
      <w:pPr>
        <w:ind w:left="700" w:right="4759"/>
        <w:spacing w:after="0" w:line="260"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2001, the Company's Board of Directors approved the establishment of the Company's second wafer fabrication facility in Israel ("Fab 2"). In Fab 2, the Company manufactures semiconductor integrated circuits on silicon wafers in geometries of 0.18 to 0.13 micron on</w:t>
      </w:r>
    </w:p>
    <w:p>
      <w:pPr>
        <w:ind w:left="700" w:right="4619"/>
        <w:spacing w:after="0" w:line="263"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200-millimeter wafers. In connection with the establishment, equipping and financing of Fab 2, the Company has entered into several related agreements and other arrangements and since 2001 has completed public and private financing transactions. For additional information, see Note 11A to the 2006 audited consolidated financial statements.</w:t>
      </w:r>
    </w:p>
    <w:p>
      <w:pPr>
        <w:spacing w:after="0" w:line="127" w:lineRule="exact"/>
        <w:rPr>
          <w:rFonts w:ascii="Courier New" w:cs="Courier New" w:eastAsia="Courier New" w:hAnsi="Courier New"/>
          <w:sz w:val="12"/>
          <w:szCs w:val="12"/>
          <w:color w:val="auto"/>
        </w:rPr>
      </w:pPr>
    </w:p>
    <w:p>
      <w:pPr>
        <w:ind w:left="700" w:right="469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Fab 2 project is a complex undertaking, which entails substantial risks and uncertainties. For further details concerning the Fab 2 project and related agreements, some of which were amended several times, see Note 11A to the 2006 audited consolidated financial statements.</w:t>
      </w:r>
    </w:p>
    <w:p>
      <w:pPr>
        <w:spacing w:after="0" w:line="135"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8"/>
        </w:numPr>
        <w:rPr>
          <w:rFonts w:ascii="Courier New" w:cs="Courier New" w:eastAsia="Courier New" w:hAnsi="Courier New"/>
          <w:sz w:val="12"/>
          <w:szCs w:val="12"/>
          <w:color w:val="auto"/>
        </w:rPr>
      </w:pPr>
      <w:r>
        <w:rPr>
          <w:rFonts w:ascii="Courier New" w:cs="Courier New" w:eastAsia="Courier New" w:hAnsi="Courier New"/>
          <w:sz w:val="12"/>
          <w:szCs w:val="12"/>
          <w:color w:val="auto"/>
        </w:rPr>
        <w:t>FINANCING OF THE COMPANY'S ONGOING OPERATIONS</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recent years, the Company has experienced significant recurring losses, recurring negative cash flows from operating activities and an increasing accumulated deficit. The Company is working in various ways to mitigate its financial difficulties and among them are the following:</w:t>
      </w:r>
    </w:p>
    <w:p>
      <w:pPr>
        <w:spacing w:after="0" w:line="139"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Since the second half of 2005, the Company increased its customer base, mainly in Fab 2, modified its organizational structure to better address its customers and its market positioning, improved its sales and its EBITDA, reduced its losses, increased its capacity level and utilization rates, raised funds totaling approximately $238,000 in gross proceeds (see Note 3 below and Notes 12C(2); 12I; 12J; and 12K to the 2006 audited consolidated financial statements) and restructured its bank debt (see Note 11A(6) to the 2006 audited consolidated financial statements).</w:t>
      </w:r>
    </w:p>
    <w:p>
      <w:pPr>
        <w:spacing w:after="0" w:line="142" w:lineRule="exact"/>
        <w:rPr>
          <w:rFonts w:ascii="Courier New" w:cs="Courier New" w:eastAsia="Courier New" w:hAnsi="Courier New"/>
          <w:sz w:val="12"/>
          <w:szCs w:val="12"/>
          <w:color w:val="auto"/>
        </w:rPr>
      </w:pPr>
    </w:p>
    <w:p>
      <w:pPr>
        <w:ind w:left="700" w:right="469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March 2006, the board of directors of the Company approved a plan to ramp up Fab 2's capacity to approximately 24,000 wafers per month in order to help meet customer needs and product qualification needs, based on its customer pipeline and reinforced by forecasted market conditions. The Company is currently in advanced stages of the Fab 2 ramp-up plan.</w:t>
      </w:r>
    </w:p>
    <w:p>
      <w:pPr>
        <w:spacing w:after="0" w:line="140"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For details regarding the financing efforts of the ramp-up plan, including the definitive amendment to the Company's facility agreement with two leading Israeli banks ("Banks") for the restructuring of approximately $527,000 in debt and the securities purchase agreement with Israel Corporation Ltd. ("TIC") according to which TIC invested $100,000 in the Company, which both closed in September 2006, see Notes 11A(6) and 11A(4) to the 2006 audited consolidated financial statements.</w:t>
      </w:r>
    </w:p>
    <w:p>
      <w:pPr>
        <w:spacing w:after="0" w:line="142" w:lineRule="exact"/>
        <w:rPr>
          <w:rFonts w:ascii="Courier New" w:cs="Courier New" w:eastAsia="Courier New" w:hAnsi="Courier New"/>
          <w:sz w:val="12"/>
          <w:szCs w:val="12"/>
          <w:color w:val="auto"/>
        </w:rPr>
      </w:pPr>
    </w:p>
    <w:p>
      <w:pPr>
        <w:ind w:left="700" w:right="4699"/>
        <w:spacing w:after="0" w:line="273"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Further, the Company continues to examine alternatives for additional funding sources in order to further ramp-up the equipping of Fab2.</w:t>
      </w:r>
    </w:p>
    <w:p>
      <w:pPr>
        <w:spacing w:after="0" w:line="252" w:lineRule="exact"/>
        <w:rPr>
          <w:rFonts w:ascii="Courier New" w:cs="Courier New" w:eastAsia="Courier New" w:hAnsi="Courier New"/>
          <w:sz w:val="12"/>
          <w:szCs w:val="12"/>
          <w:color w:val="auto"/>
        </w:rPr>
      </w:pPr>
    </w:p>
    <w:p>
      <w:pPr>
        <w:ind w:left="2740" w:hanging="149"/>
        <w:spacing w:after="0"/>
        <w:tabs>
          <w:tab w:leader="none" w:pos="2740" w:val="left"/>
        </w:tabs>
        <w:numPr>
          <w:ilvl w:val="1"/>
          <w:numId w:val="8"/>
        </w:numPr>
        <w:rPr>
          <w:rFonts w:ascii="Courier New" w:cs="Courier New" w:eastAsia="Courier New" w:hAnsi="Courier New"/>
          <w:sz w:val="12"/>
          <w:szCs w:val="12"/>
          <w:color w:val="auto"/>
        </w:rPr>
      </w:pPr>
      <w:r>
        <w:rPr>
          <w:rFonts w:ascii="Courier New" w:cs="Courier New" w:eastAsia="Courier New" w:hAnsi="Courier New"/>
          <w:sz w:val="12"/>
          <w:szCs w:val="12"/>
          <w:color w:val="auto"/>
        </w:rPr>
        <w:t>10 -</w:t>
      </w:r>
    </w:p>
    <w:p>
      <w:pPr>
        <w:spacing w:after="0" w:line="386"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2"/>
          <w:szCs w:val="12"/>
          <w:color w:val="auto"/>
        </w:rPr>
        <w:t>TOWER SEMICONDUCTOR LTD. AND SUBSIDIARY</w:t>
      </w:r>
    </w:p>
    <w:p>
      <w:pPr>
        <w:jc w:val="center"/>
        <w:ind w:right="4559"/>
        <w:spacing w:after="0"/>
        <w:rPr>
          <w:sz w:val="20"/>
          <w:szCs w:val="20"/>
          <w:color w:val="auto"/>
        </w:rPr>
      </w:pPr>
      <w:r>
        <w:rPr>
          <w:rFonts w:ascii="Courier New" w:cs="Courier New" w:eastAsia="Courier New" w:hAnsi="Courier New"/>
          <w:sz w:val="12"/>
          <w:szCs w:val="12"/>
          <w:color w:val="auto"/>
        </w:rPr>
        <w:t>NOTES TO UNAUDITED CONDENSED INTERIM CONSOLIDATED</w:t>
      </w:r>
    </w:p>
    <w:p>
      <w:pPr>
        <w:ind w:left="1400"/>
        <w:spacing w:after="0" w:line="237" w:lineRule="auto"/>
        <w:rPr>
          <w:sz w:val="20"/>
          <w:szCs w:val="20"/>
          <w:color w:val="auto"/>
        </w:rPr>
      </w:pPr>
      <w:r>
        <w:rPr>
          <w:rFonts w:ascii="Courier New" w:cs="Courier New" w:eastAsia="Courier New" w:hAnsi="Courier New"/>
          <w:sz w:val="12"/>
          <w:szCs w:val="12"/>
          <w:color w:val="auto"/>
        </w:rPr>
        <w:t>FINANCIAL STATEMENTS AS OF MARCH 31, 2007</w:t>
      </w: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2 - INVENTORIES</w:t>
      </w:r>
    </w:p>
    <w:p>
      <w:pPr>
        <w:spacing w:after="0" w:line="134"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Inventories consist of the following (*):</w:t>
      </w:r>
    </w:p>
    <w:p>
      <w:pPr>
        <w:spacing w:after="0" w:line="134" w:lineRule="exact"/>
        <w:rPr>
          <w:sz w:val="20"/>
          <w:szCs w:val="20"/>
          <w:color w:val="auto"/>
        </w:rPr>
      </w:pPr>
    </w:p>
    <w:tbl>
      <w:tblPr>
        <w:tblLayout w:type="fixed"/>
        <w:tblInd w:w="340" w:type="dxa"/>
        <w:tblCellMar>
          <w:top w:w="0" w:type="dxa"/>
          <w:left w:w="0" w:type="dxa"/>
          <w:bottom w:w="0" w:type="dxa"/>
          <w:right w:w="0" w:type="dxa"/>
        </w:tblCellMar>
      </w:tblPr>
      <w:tr>
        <w:trPr>
          <w:trHeight w:val="136"/>
        </w:trPr>
        <w:tc>
          <w:tcPr>
            <w:tcW w:w="1160" w:type="dxa"/>
            <w:vAlign w:val="bottom"/>
          </w:tcPr>
          <w:p>
            <w:pPr>
              <w:spacing w:after="0"/>
              <w:rPr>
                <w:sz w:val="11"/>
                <w:szCs w:val="11"/>
                <w:color w:val="auto"/>
              </w:rPr>
            </w:pPr>
          </w:p>
        </w:tc>
        <w:tc>
          <w:tcPr>
            <w:tcW w:w="134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March 31,</w:t>
            </w:r>
          </w:p>
        </w:tc>
        <w:tc>
          <w:tcPr>
            <w:tcW w:w="880" w:type="dxa"/>
            <w:vAlign w:val="bottom"/>
          </w:tcPr>
          <w:p>
            <w:pPr>
              <w:jc w:val="right"/>
              <w:spacing w:after="0"/>
              <w:rPr>
                <w:sz w:val="20"/>
                <w:szCs w:val="20"/>
                <w:color w:val="auto"/>
              </w:rPr>
            </w:pPr>
            <w:r>
              <w:rPr>
                <w:rFonts w:ascii="Courier New" w:cs="Courier New" w:eastAsia="Courier New" w:hAnsi="Courier New"/>
                <w:sz w:val="12"/>
                <w:szCs w:val="12"/>
                <w:color w:val="auto"/>
                <w:w w:val="99"/>
              </w:rPr>
              <w:t>December 31,</w:t>
            </w:r>
          </w:p>
        </w:tc>
      </w:tr>
      <w:tr>
        <w:trPr>
          <w:trHeight w:val="135"/>
        </w:trPr>
        <w:tc>
          <w:tcPr>
            <w:tcW w:w="1160" w:type="dxa"/>
            <w:vAlign w:val="bottom"/>
          </w:tcPr>
          <w:p>
            <w:pPr>
              <w:spacing w:after="0"/>
              <w:rPr>
                <w:sz w:val="11"/>
                <w:szCs w:val="11"/>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r>
      <w:tr>
        <w:trPr>
          <w:trHeight w:val="135"/>
        </w:trPr>
        <w:tc>
          <w:tcPr>
            <w:tcW w:w="1160" w:type="dxa"/>
            <w:vAlign w:val="bottom"/>
          </w:tcPr>
          <w:p>
            <w:pPr>
              <w:spacing w:after="0"/>
              <w:rPr>
                <w:sz w:val="11"/>
                <w:szCs w:val="11"/>
                <w:color w:val="auto"/>
              </w:rPr>
            </w:pPr>
          </w:p>
        </w:tc>
        <w:tc>
          <w:tcPr>
            <w:tcW w:w="7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2007</w:t>
            </w:r>
          </w:p>
        </w:tc>
        <w:tc>
          <w:tcPr>
            <w:tcW w:w="6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2006</w:t>
            </w:r>
          </w:p>
        </w:tc>
        <w:tc>
          <w:tcPr>
            <w:tcW w:w="8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2006</w:t>
            </w:r>
          </w:p>
        </w:tc>
      </w:tr>
      <w:tr>
        <w:trPr>
          <w:trHeight w:val="135"/>
        </w:trPr>
        <w:tc>
          <w:tcPr>
            <w:tcW w:w="1160" w:type="dxa"/>
            <w:vAlign w:val="bottom"/>
          </w:tcPr>
          <w:p>
            <w:pPr>
              <w:spacing w:after="0"/>
              <w:rPr>
                <w:sz w:val="11"/>
                <w:szCs w:val="11"/>
                <w:color w:val="auto"/>
              </w:rPr>
            </w:pPr>
          </w:p>
        </w:tc>
        <w:tc>
          <w:tcPr>
            <w:tcW w:w="7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r>
      <w:tr>
        <w:trPr>
          <w:trHeight w:val="135"/>
        </w:trPr>
        <w:tc>
          <w:tcPr>
            <w:tcW w:w="1160" w:type="dxa"/>
            <w:vAlign w:val="bottom"/>
          </w:tcPr>
          <w:p>
            <w:pPr>
              <w:spacing w:after="0"/>
              <w:rPr>
                <w:sz w:val="11"/>
                <w:szCs w:val="11"/>
                <w:color w:val="auto"/>
              </w:rPr>
            </w:pPr>
          </w:p>
        </w:tc>
        <w:tc>
          <w:tcPr>
            <w:tcW w:w="134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(unaudited)</w:t>
            </w:r>
          </w:p>
        </w:tc>
        <w:tc>
          <w:tcPr>
            <w:tcW w:w="880" w:type="dxa"/>
            <w:vAlign w:val="bottom"/>
          </w:tcPr>
          <w:p>
            <w:pPr>
              <w:spacing w:after="0"/>
              <w:rPr>
                <w:sz w:val="11"/>
                <w:szCs w:val="11"/>
                <w:color w:val="auto"/>
              </w:rPr>
            </w:pPr>
          </w:p>
        </w:tc>
      </w:tr>
      <w:tr>
        <w:trPr>
          <w:trHeight w:val="270"/>
        </w:trPr>
        <w:tc>
          <w:tcPr>
            <w:tcW w:w="1160" w:type="dxa"/>
            <w:vAlign w:val="bottom"/>
          </w:tcPr>
          <w:p>
            <w:pPr>
              <w:spacing w:after="0"/>
              <w:rPr>
                <w:sz w:val="20"/>
                <w:szCs w:val="20"/>
                <w:color w:val="auto"/>
              </w:rPr>
            </w:pPr>
            <w:r>
              <w:rPr>
                <w:rFonts w:ascii="Courier New" w:cs="Courier New" w:eastAsia="Courier New" w:hAnsi="Courier New"/>
                <w:sz w:val="12"/>
                <w:szCs w:val="12"/>
                <w:color w:val="auto"/>
              </w:rPr>
              <w:t>Raw materials</w:t>
            </w:r>
          </w:p>
        </w:tc>
        <w:tc>
          <w:tcPr>
            <w:tcW w:w="7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$11,741</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$ 7,357</w:t>
            </w:r>
          </w:p>
        </w:tc>
        <w:tc>
          <w:tcPr>
            <w:tcW w:w="8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$11,234</w:t>
            </w:r>
          </w:p>
        </w:tc>
      </w:tr>
      <w:tr>
        <w:trPr>
          <w:trHeight w:val="135"/>
        </w:trPr>
        <w:tc>
          <w:tcPr>
            <w:tcW w:w="1160" w:type="dxa"/>
            <w:vAlign w:val="bottom"/>
          </w:tcPr>
          <w:p>
            <w:pPr>
              <w:spacing w:after="0"/>
              <w:rPr>
                <w:sz w:val="20"/>
                <w:szCs w:val="20"/>
                <w:color w:val="auto"/>
              </w:rPr>
            </w:pPr>
            <w:r>
              <w:rPr>
                <w:rFonts w:ascii="Courier New" w:cs="Courier New" w:eastAsia="Courier New" w:hAnsi="Courier New"/>
                <w:sz w:val="12"/>
                <w:szCs w:val="12"/>
                <w:color w:val="auto"/>
              </w:rPr>
              <w:t>Work in process</w:t>
            </w:r>
          </w:p>
        </w:tc>
        <w:tc>
          <w:tcPr>
            <w:tcW w:w="7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25,829</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14,552</w:t>
            </w:r>
          </w:p>
        </w:tc>
        <w:tc>
          <w:tcPr>
            <w:tcW w:w="8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22,884</w:t>
            </w:r>
          </w:p>
        </w:tc>
      </w:tr>
      <w:tr>
        <w:trPr>
          <w:trHeight w:val="135"/>
        </w:trPr>
        <w:tc>
          <w:tcPr>
            <w:tcW w:w="1160" w:type="dxa"/>
            <w:vAlign w:val="bottom"/>
          </w:tcPr>
          <w:p>
            <w:pPr>
              <w:spacing w:after="0"/>
              <w:rPr>
                <w:sz w:val="20"/>
                <w:szCs w:val="20"/>
                <w:color w:val="auto"/>
              </w:rPr>
            </w:pPr>
            <w:r>
              <w:rPr>
                <w:rFonts w:ascii="Courier New" w:cs="Courier New" w:eastAsia="Courier New" w:hAnsi="Courier New"/>
                <w:sz w:val="12"/>
                <w:szCs w:val="12"/>
                <w:color w:val="auto"/>
              </w:rPr>
              <w:t>Finished goods</w:t>
            </w:r>
          </w:p>
        </w:tc>
        <w:tc>
          <w:tcPr>
            <w:tcW w:w="7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675</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2,559</w:t>
            </w:r>
          </w:p>
        </w:tc>
        <w:tc>
          <w:tcPr>
            <w:tcW w:w="8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645</w:t>
            </w:r>
          </w:p>
        </w:tc>
      </w:tr>
      <w:tr>
        <w:trPr>
          <w:trHeight w:val="135"/>
        </w:trPr>
        <w:tc>
          <w:tcPr>
            <w:tcW w:w="1160" w:type="dxa"/>
            <w:vAlign w:val="bottom"/>
          </w:tcPr>
          <w:p>
            <w:pPr>
              <w:spacing w:after="0"/>
              <w:rPr>
                <w:sz w:val="11"/>
                <w:szCs w:val="11"/>
                <w:color w:val="auto"/>
              </w:rPr>
            </w:pPr>
          </w:p>
        </w:tc>
        <w:tc>
          <w:tcPr>
            <w:tcW w:w="7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r>
      <w:tr>
        <w:trPr>
          <w:trHeight w:val="135"/>
        </w:trPr>
        <w:tc>
          <w:tcPr>
            <w:tcW w:w="1160" w:type="dxa"/>
            <w:vAlign w:val="bottom"/>
          </w:tcPr>
          <w:p>
            <w:pPr>
              <w:spacing w:after="0"/>
              <w:rPr>
                <w:sz w:val="11"/>
                <w:szCs w:val="11"/>
                <w:color w:val="auto"/>
              </w:rPr>
            </w:pPr>
          </w:p>
        </w:tc>
        <w:tc>
          <w:tcPr>
            <w:tcW w:w="7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$38,245</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$24,468</w:t>
            </w:r>
          </w:p>
        </w:tc>
        <w:tc>
          <w:tcPr>
            <w:tcW w:w="8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$34,763</w:t>
            </w:r>
          </w:p>
        </w:tc>
      </w:tr>
      <w:tr>
        <w:trPr>
          <w:trHeight w:val="135"/>
        </w:trPr>
        <w:tc>
          <w:tcPr>
            <w:tcW w:w="1160" w:type="dxa"/>
            <w:vAlign w:val="bottom"/>
          </w:tcPr>
          <w:p>
            <w:pPr>
              <w:spacing w:after="0"/>
              <w:rPr>
                <w:sz w:val="11"/>
                <w:szCs w:val="11"/>
                <w:color w:val="auto"/>
              </w:rPr>
            </w:pPr>
          </w:p>
        </w:tc>
        <w:tc>
          <w:tcPr>
            <w:tcW w:w="7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r>
    </w:tbl>
    <w:p>
      <w:pPr>
        <w:spacing w:after="0" w:line="139" w:lineRule="exact"/>
        <w:rPr>
          <w:sz w:val="20"/>
          <w:szCs w:val="20"/>
          <w:color w:val="auto"/>
        </w:rPr>
      </w:pPr>
    </w:p>
    <w:p>
      <w:pPr>
        <w:jc w:val="both"/>
        <w:ind w:left="700" w:right="4619" w:hanging="357"/>
        <w:spacing w:after="0" w:line="236" w:lineRule="auto"/>
        <w:tabs>
          <w:tab w:leader="none" w:pos="700" w:val="left"/>
        </w:tabs>
        <w:numPr>
          <w:ilvl w:val="0"/>
          <w:numId w:val="9"/>
        </w:numPr>
        <w:rPr>
          <w:rFonts w:ascii="Courier New" w:cs="Courier New" w:eastAsia="Courier New" w:hAnsi="Courier New"/>
          <w:sz w:val="12"/>
          <w:szCs w:val="12"/>
          <w:color w:val="auto"/>
        </w:rPr>
      </w:pPr>
      <w:r>
        <w:rPr>
          <w:rFonts w:ascii="Courier New" w:cs="Courier New" w:eastAsia="Courier New" w:hAnsi="Courier New"/>
          <w:sz w:val="12"/>
          <w:szCs w:val="12"/>
          <w:color w:val="auto"/>
        </w:rPr>
        <w:t>Net of aggregate write downs to net realizable value of $2,905, $4,018 and $6,707 as of March 31, 2007, March 31, 2006 and December 31, 2006, respectively.</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3 - 2007 PRIVATE PLACEMENT</w:t>
      </w:r>
    </w:p>
    <w:p>
      <w:pPr>
        <w:sectPr>
          <w:pgSz w:w="11900" w:h="16838" w:orient="portrait"/>
          <w:cols w:equalWidth="0" w:num="1">
            <w:col w:w="10239"/>
          </w:cols>
          <w:pgMar w:left="220" w:top="137" w:right="1440" w:bottom="0" w:gutter="0" w:footer="0" w:header="0"/>
        </w:sectPr>
      </w:pPr>
    </w:p>
    <w:bookmarkStart w:id="7" w:name="page8"/>
    <w:bookmarkEnd w:id="7"/>
    <w:p>
      <w:pPr>
        <w:ind w:left="340" w:right="4619"/>
        <w:spacing w:after="0" w:line="261" w:lineRule="auto"/>
        <w:rPr>
          <w:sz w:val="20"/>
          <w:szCs w:val="20"/>
          <w:color w:val="auto"/>
        </w:rPr>
      </w:pPr>
      <w:r>
        <w:rPr>
          <w:rFonts w:ascii="Courier New" w:cs="Courier New" w:eastAsia="Courier New" w:hAnsi="Courier New"/>
          <w:sz w:val="11"/>
          <w:szCs w:val="11"/>
          <w:color w:val="auto"/>
        </w:rPr>
        <w:t>In March 2007, the Company completed a private placement of its securities in which it sold ordinary shares and warrants for the purchase of ordinary shares, raising a total of approximately $28,960 in gross proceeds. In the private placement, the Company issued approximately 18.8 million shares, warrants exercisable into approximately 9.4 million shares at an exercise price of $2.04 (subject to downwards adjustments), exercisable until March 15, 2012 ("Series I Warrants"), and short-term warrants exercisable into approximately 18.8 million shares at an exercise price which was identical to the closing price of the Company's Ordinary Shares on the NASDAQ on the trading day immediately prior to the closing of the private placement ("Series II Warrants"), exercisable until the later of December 31, 2007 or 90 days from the effectiveness of a registration statement covering the resale of the shares issued and the shares issuable upon exercise of the warrants (the "Registration Statement"). As of the date of approval of the financial statements, the Registration Statement has not been declared effective. Subject to the Registration Statement being effective, the Company can compel the exercise of the Series II Warrants if during any 20 out of 30 consecutive trading days the closing price of the Company's shares on NASDAQ exceeds $2.12.</w:t>
      </w:r>
    </w:p>
    <w:p>
      <w:pPr>
        <w:spacing w:after="0" w:line="258"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In accordance with Standard No. 22 of the Isareli GAAP, the Series I</w:t>
      </w:r>
    </w:p>
    <w:p>
      <w:pPr>
        <w:ind w:left="340"/>
        <w:spacing w:after="0"/>
        <w:rPr>
          <w:sz w:val="20"/>
          <w:szCs w:val="20"/>
          <w:color w:val="auto"/>
        </w:rPr>
      </w:pPr>
      <w:r>
        <w:rPr>
          <w:rFonts w:ascii="Courier New" w:cs="Courier New" w:eastAsia="Courier New" w:hAnsi="Courier New"/>
          <w:sz w:val="12"/>
          <w:szCs w:val="12"/>
          <w:color w:val="auto"/>
        </w:rPr>
        <w:t>warrants have been initially classified as a liability and subsequently</w:t>
      </w:r>
    </w:p>
    <w:p>
      <w:pPr>
        <w:ind w:left="340"/>
        <w:spacing w:after="0" w:line="237" w:lineRule="auto"/>
        <w:rPr>
          <w:sz w:val="20"/>
          <w:szCs w:val="20"/>
          <w:color w:val="auto"/>
        </w:rPr>
      </w:pPr>
      <w:r>
        <w:rPr>
          <w:rFonts w:ascii="Courier New" w:cs="Courier New" w:eastAsia="Courier New" w:hAnsi="Courier New"/>
          <w:sz w:val="12"/>
          <w:szCs w:val="12"/>
          <w:color w:val="auto"/>
        </w:rPr>
        <w:t>marked to market through profit and loss.</w:t>
      </w:r>
    </w:p>
    <w:p>
      <w:pPr>
        <w:spacing w:after="0" w:line="139" w:lineRule="exact"/>
        <w:rPr>
          <w:sz w:val="20"/>
          <w:szCs w:val="20"/>
          <w:color w:val="auto"/>
        </w:rPr>
      </w:pPr>
    </w:p>
    <w:p>
      <w:pPr>
        <w:ind w:left="340" w:right="4759"/>
        <w:spacing w:after="0" w:line="235" w:lineRule="auto"/>
        <w:rPr>
          <w:sz w:val="20"/>
          <w:szCs w:val="20"/>
          <w:color w:val="auto"/>
        </w:rPr>
      </w:pPr>
      <w:r>
        <w:rPr>
          <w:rFonts w:ascii="Courier New" w:cs="Courier New" w:eastAsia="Courier New" w:hAnsi="Courier New"/>
          <w:sz w:val="12"/>
          <w:szCs w:val="12"/>
          <w:color w:val="auto"/>
        </w:rPr>
        <w:t>See Note 5F for disclosure of the accounting treatment in accordance with U.S. GAAP.</w:t>
      </w: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- 11 -</w:t>
      </w:r>
    </w:p>
    <w:p>
      <w:pPr>
        <w:spacing w:after="0" w:line="386"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2"/>
          <w:szCs w:val="12"/>
          <w:color w:val="auto"/>
        </w:rPr>
        <w:t>TOWER SEMICONDUCTOR LTD. AND SUBSIDIARY</w:t>
      </w:r>
    </w:p>
    <w:p>
      <w:pPr>
        <w:jc w:val="center"/>
        <w:ind w:right="4559"/>
        <w:spacing w:after="0"/>
        <w:rPr>
          <w:sz w:val="20"/>
          <w:szCs w:val="20"/>
          <w:color w:val="auto"/>
        </w:rPr>
      </w:pPr>
      <w:r>
        <w:rPr>
          <w:rFonts w:ascii="Courier New" w:cs="Courier New" w:eastAsia="Courier New" w:hAnsi="Courier New"/>
          <w:sz w:val="12"/>
          <w:szCs w:val="12"/>
          <w:color w:val="auto"/>
        </w:rPr>
        <w:t>NOTES TO UNAUDITED CONDENSED INTERIM CONSOLIDATED</w:t>
      </w:r>
    </w:p>
    <w:p>
      <w:pPr>
        <w:ind w:left="1400"/>
        <w:spacing w:after="0" w:line="237" w:lineRule="auto"/>
        <w:rPr>
          <w:sz w:val="20"/>
          <w:szCs w:val="20"/>
          <w:color w:val="auto"/>
        </w:rPr>
      </w:pPr>
      <w:r>
        <w:rPr>
          <w:rFonts w:ascii="Courier New" w:cs="Courier New" w:eastAsia="Courier New" w:hAnsi="Courier New"/>
          <w:sz w:val="12"/>
          <w:szCs w:val="12"/>
          <w:color w:val="auto"/>
        </w:rPr>
        <w:t>FINANCIAL STATEMENTS AS OF MARCH 31, 2007</w:t>
      </w: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4 - SHARE OPTION PLAN</w:t>
      </w:r>
    </w:p>
    <w:p>
      <w:pPr>
        <w:spacing w:after="0" w:line="134" w:lineRule="exact"/>
        <w:rPr>
          <w:sz w:val="20"/>
          <w:szCs w:val="20"/>
          <w:color w:val="auto"/>
        </w:rPr>
      </w:pPr>
    </w:p>
    <w:p>
      <w:pPr>
        <w:ind w:left="700" w:hanging="357"/>
        <w:spacing w:after="0"/>
        <w:tabs>
          <w:tab w:leader="none" w:pos="700" w:val="left"/>
        </w:tabs>
        <w:numPr>
          <w:ilvl w:val="0"/>
          <w:numId w:val="10"/>
        </w:numPr>
        <w:rPr>
          <w:rFonts w:ascii="Courier New" w:cs="Courier New" w:eastAsia="Courier New" w:hAnsi="Courier New"/>
          <w:sz w:val="12"/>
          <w:szCs w:val="12"/>
          <w:color w:val="auto"/>
        </w:rPr>
      </w:pPr>
      <w:r>
        <w:rPr>
          <w:rFonts w:ascii="Courier New" w:cs="Courier New" w:eastAsia="Courier New" w:hAnsi="Courier New"/>
          <w:sz w:val="12"/>
          <w:szCs w:val="12"/>
          <w:color w:val="auto"/>
        </w:rPr>
        <w:t>OPTIONS GRANTED TO THE CHIEF EXECUTIVE OFFICER ("CEO")</w:t>
      </w:r>
    </w:p>
    <w:p>
      <w:pPr>
        <w:spacing w:after="0" w:line="138" w:lineRule="exact"/>
        <w:rPr>
          <w:rFonts w:ascii="Courier New" w:cs="Courier New" w:eastAsia="Courier New" w:hAnsi="Courier New"/>
          <w:sz w:val="12"/>
          <w:szCs w:val="12"/>
          <w:color w:val="auto"/>
        </w:rPr>
      </w:pPr>
    </w:p>
    <w:p>
      <w:pPr>
        <w:ind w:left="700" w:right="489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As of the balance sheet date, a total of 14,782,416 options were granted to the CEO under his approved option plans. For additional information, see Note 12B(1)(c) to the 2006 audited consolidated financial statements.</w:t>
      </w:r>
    </w:p>
    <w:p>
      <w:pPr>
        <w:spacing w:after="0" w:line="136"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10"/>
        </w:numPr>
        <w:rPr>
          <w:rFonts w:ascii="Courier New" w:cs="Courier New" w:eastAsia="Courier New" w:hAnsi="Courier New"/>
          <w:sz w:val="12"/>
          <w:szCs w:val="12"/>
          <w:color w:val="auto"/>
        </w:rPr>
      </w:pPr>
      <w:r>
        <w:rPr>
          <w:rFonts w:ascii="Courier New" w:cs="Courier New" w:eastAsia="Courier New" w:hAnsi="Courier New"/>
          <w:sz w:val="12"/>
          <w:szCs w:val="12"/>
          <w:color w:val="auto"/>
        </w:rPr>
        <w:t>EMPLOYEE OPTIONS</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May 2006, the Board of Directors approved that if the total number of employee options, including the options to the CEO, during the then upcoming 24 months will represent less than 8% of the Company's shares on a fully diluted basis, additional options will be allocated for grants to the Company's employees. As of the balance sheet date, approximately 3,900,000 options are reserved for such allocation. For additional information, see Note 12B(1)(d) to the 2006 audited consolidated financial statements.</w:t>
      </w:r>
    </w:p>
    <w:p>
      <w:pPr>
        <w:spacing w:after="0" w:line="137"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10"/>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INDEPENDENT DIRECTORS OPTION PLAN</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As of the balance sheet date, a total of 430,000 options granted to the Company's independent directors (excluding the CEO and the Chairman of the Board of Directors), were outstanding, following their approval by the shareholders of the Company in January 2007. For additional information, see Note 12B(1)(f) to the 2006 audited consolidated financial statements.</w:t>
      </w:r>
    </w:p>
    <w:p>
      <w:pPr>
        <w:spacing w:after="0" w:line="135"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10"/>
        </w:numPr>
        <w:rPr>
          <w:rFonts w:ascii="Courier New" w:cs="Courier New" w:eastAsia="Courier New" w:hAnsi="Courier New"/>
          <w:sz w:val="12"/>
          <w:szCs w:val="12"/>
          <w:color w:val="auto"/>
        </w:rPr>
      </w:pPr>
      <w:r>
        <w:rPr>
          <w:rFonts w:ascii="Courier New" w:cs="Courier New" w:eastAsia="Courier New" w:hAnsi="Courier New"/>
          <w:sz w:val="12"/>
          <w:szCs w:val="12"/>
          <w:color w:val="auto"/>
        </w:rPr>
        <w:t>OPTIONS TO THE NEW CHAIRMAN OF THE COMPANY'S BOARD OF DIRECTORS</w:t>
      </w:r>
    </w:p>
    <w:p>
      <w:pPr>
        <w:spacing w:after="0" w:line="138" w:lineRule="exact"/>
        <w:rPr>
          <w:rFonts w:ascii="Courier New" w:cs="Courier New" w:eastAsia="Courier New" w:hAnsi="Courier New"/>
          <w:sz w:val="12"/>
          <w:szCs w:val="12"/>
          <w:color w:val="auto"/>
        </w:rPr>
      </w:pPr>
    </w:p>
    <w:p>
      <w:pPr>
        <w:ind w:left="700" w:right="469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As of the balance sheet date, a total of 3,158,090 options granted to the Chairman of the Board of Directors of the Company, were outstanding, following their approval by the shareholders of the Company in January 2007. For additional information, see Note 12B(1)(b) to the 2006 audited consolidated financial statements.</w:t>
      </w:r>
    </w:p>
    <w:p>
      <w:pPr>
        <w:spacing w:after="0" w:line="270" w:lineRule="exact"/>
        <w:rPr>
          <w:rFonts w:ascii="Courier New" w:cs="Courier New" w:eastAsia="Courier New" w:hAnsi="Courier New"/>
          <w:sz w:val="12"/>
          <w:szCs w:val="12"/>
          <w:color w:val="auto"/>
        </w:rPr>
      </w:pPr>
    </w:p>
    <w:p>
      <w:pPr>
        <w:ind w:left="2740" w:hanging="149"/>
        <w:spacing w:after="0"/>
        <w:tabs>
          <w:tab w:leader="none" w:pos="2740" w:val="left"/>
        </w:tabs>
        <w:numPr>
          <w:ilvl w:val="1"/>
          <w:numId w:val="10"/>
        </w:numPr>
        <w:rPr>
          <w:rFonts w:ascii="Courier New" w:cs="Courier New" w:eastAsia="Courier New" w:hAnsi="Courier New"/>
          <w:sz w:val="12"/>
          <w:szCs w:val="12"/>
          <w:color w:val="auto"/>
        </w:rPr>
      </w:pPr>
      <w:r>
        <w:rPr>
          <w:rFonts w:ascii="Courier New" w:cs="Courier New" w:eastAsia="Courier New" w:hAnsi="Courier New"/>
          <w:sz w:val="12"/>
          <w:szCs w:val="12"/>
          <w:color w:val="auto"/>
        </w:rPr>
        <w:t>12 -</w:t>
      </w:r>
    </w:p>
    <w:p>
      <w:pPr>
        <w:spacing w:after="0" w:line="386"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2"/>
          <w:szCs w:val="12"/>
          <w:color w:val="auto"/>
        </w:rPr>
        <w:t>TOWER SEMICONDUCTOR LTD. AND SUBSIDIARY</w:t>
      </w:r>
    </w:p>
    <w:p>
      <w:pPr>
        <w:jc w:val="center"/>
        <w:ind w:right="4559"/>
        <w:spacing w:after="0"/>
        <w:rPr>
          <w:sz w:val="20"/>
          <w:szCs w:val="20"/>
          <w:color w:val="auto"/>
        </w:rPr>
      </w:pPr>
      <w:r>
        <w:rPr>
          <w:rFonts w:ascii="Courier New" w:cs="Courier New" w:eastAsia="Courier New" w:hAnsi="Courier New"/>
          <w:sz w:val="12"/>
          <w:szCs w:val="12"/>
          <w:color w:val="auto"/>
        </w:rPr>
        <w:t>NOTES TO UNAUDITED CONDENSED INTERIM CONSOLIDATED</w:t>
      </w:r>
    </w:p>
    <w:p>
      <w:pPr>
        <w:ind w:left="1400"/>
        <w:spacing w:after="0" w:line="237" w:lineRule="auto"/>
        <w:rPr>
          <w:sz w:val="20"/>
          <w:szCs w:val="20"/>
          <w:color w:val="auto"/>
        </w:rPr>
      </w:pPr>
      <w:r>
        <w:rPr>
          <w:rFonts w:ascii="Courier New" w:cs="Courier New" w:eastAsia="Courier New" w:hAnsi="Courier New"/>
          <w:sz w:val="12"/>
          <w:szCs w:val="12"/>
          <w:color w:val="auto"/>
        </w:rPr>
        <w:t>FINANCIAL STATEMENTS AS OF MARCH 31, 2007</w:t>
      </w: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5 - MATERIAL DIFFERENCES BETWEEN ISRAELI AND U.S. GAAP</w:t>
      </w:r>
    </w:p>
    <w:p>
      <w:pPr>
        <w:spacing w:after="0" w:line="139" w:lineRule="exact"/>
        <w:rPr>
          <w:sz w:val="20"/>
          <w:szCs w:val="20"/>
          <w:color w:val="auto"/>
        </w:rPr>
      </w:pPr>
    </w:p>
    <w:p>
      <w:pPr>
        <w:ind w:left="340" w:right="4619"/>
        <w:spacing w:after="0" w:line="264" w:lineRule="auto"/>
        <w:rPr>
          <w:sz w:val="20"/>
          <w:szCs w:val="20"/>
          <w:color w:val="auto"/>
        </w:rPr>
      </w:pPr>
      <w:r>
        <w:rPr>
          <w:rFonts w:ascii="Courier New" w:cs="Courier New" w:eastAsia="Courier New" w:hAnsi="Courier New"/>
          <w:sz w:val="11"/>
          <w:szCs w:val="11"/>
          <w:color w:val="auto"/>
        </w:rPr>
        <w:t>With regard to the Company's interim financial statements, the material differences between GAAP in Israel and in the U.S. relate to the following. See Note 5(I) below for the presentation of the Company's unaudited balance sheet as of March 31, 2007 in accordance with U.S. GAAP.</w:t>
      </w:r>
    </w:p>
    <w:p>
      <w:pPr>
        <w:spacing w:after="0" w:line="127" w:lineRule="exact"/>
        <w:rPr>
          <w:sz w:val="20"/>
          <w:szCs w:val="20"/>
          <w:color w:val="auto"/>
        </w:rPr>
      </w:pPr>
    </w:p>
    <w:p>
      <w:pPr>
        <w:ind w:left="700" w:right="6459" w:hanging="357"/>
        <w:spacing w:after="0" w:line="520" w:lineRule="auto"/>
        <w:tabs>
          <w:tab w:leader="none" w:pos="700" w:val="left"/>
        </w:tabs>
        <w:numPr>
          <w:ilvl w:val="0"/>
          <w:numId w:val="11"/>
        </w:numPr>
        <w:rPr>
          <w:rFonts w:ascii="Courier New" w:cs="Courier New" w:eastAsia="Courier New" w:hAnsi="Courier New"/>
          <w:sz w:val="11"/>
          <w:szCs w:val="11"/>
          <w:color w:val="auto"/>
        </w:rPr>
      </w:pPr>
      <w:r>
        <w:rPr>
          <w:rFonts w:ascii="Courier New" w:cs="Courier New" w:eastAsia="Courier New" w:hAnsi="Courier New"/>
          <w:sz w:val="11"/>
          <w:szCs w:val="11"/>
          <w:color w:val="auto"/>
        </w:rPr>
        <w:t>RECENT ACCOUNTING PRONOUNCEMENTS BY THE FASB SFAS NO. 157, "FAIR VALUE MEASUREMENTS"</w:t>
      </w:r>
    </w:p>
    <w:p>
      <w:pPr>
        <w:ind w:left="700" w:right="4619"/>
        <w:spacing w:after="0" w:line="236"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In September 2006, the FASB issued SFAS No. 157, "Fair Value Measurements" (SFAS No. 157). The purpose of SFAS No. 157 is to define fair value, establish a framework for measuring fair value, and enhance disclosures about fair value measurements.</w:t>
      </w:r>
    </w:p>
    <w:p>
      <w:pPr>
        <w:spacing w:after="0" w:line="140" w:lineRule="exact"/>
        <w:rPr>
          <w:rFonts w:ascii="Courier New" w:cs="Courier New" w:eastAsia="Courier New" w:hAnsi="Courier New"/>
          <w:sz w:val="11"/>
          <w:szCs w:val="11"/>
          <w:color w:val="auto"/>
        </w:rPr>
      </w:pPr>
    </w:p>
    <w:p>
      <w:pPr>
        <w:ind w:left="700" w:right="4619"/>
        <w:spacing w:after="0" w:line="236"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The Company decided to early adopt the provisions of SFAS No. 157 effective January 1, 2007, concurrent with the adoption of FASB 159 "The Fair Value Option for Financial Assets and Financial Liabilities" (SFAS No. 159) see H below.</w:t>
      </w:r>
    </w:p>
    <w:p>
      <w:pPr>
        <w:spacing w:after="0" w:line="13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Fair Value Measurements on earnings as of March 31, 2007:</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720" w:type="dxa"/>
            <w:vAlign w:val="bottom"/>
          </w:tcPr>
          <w:p>
            <w:pPr>
              <w:spacing w:after="0"/>
              <w:rPr>
                <w:sz w:val="11"/>
                <w:szCs w:val="11"/>
                <w:color w:val="auto"/>
              </w:rPr>
            </w:pPr>
          </w:p>
        </w:tc>
        <w:tc>
          <w:tcPr>
            <w:tcW w:w="1300" w:type="dxa"/>
            <w:vAlign w:val="bottom"/>
          </w:tcPr>
          <w:p>
            <w:pPr>
              <w:ind w:left="460"/>
              <w:spacing w:after="0"/>
              <w:rPr>
                <w:sz w:val="20"/>
                <w:szCs w:val="20"/>
                <w:color w:val="auto"/>
              </w:rPr>
            </w:pPr>
            <w:r>
              <w:rPr>
                <w:rFonts w:ascii="Courier New" w:cs="Courier New" w:eastAsia="Courier New" w:hAnsi="Courier New"/>
                <w:sz w:val="12"/>
                <w:szCs w:val="12"/>
                <w:color w:val="auto"/>
              </w:rPr>
              <w:t>Significant</w:t>
            </w:r>
          </w:p>
        </w:tc>
      </w:tr>
      <w:tr>
        <w:trPr>
          <w:trHeight w:val="135"/>
        </w:trPr>
        <w:tc>
          <w:tcPr>
            <w:tcW w:w="1720" w:type="dxa"/>
            <w:vAlign w:val="bottom"/>
          </w:tcPr>
          <w:p>
            <w:pPr>
              <w:spacing w:after="0"/>
              <w:rPr>
                <w:sz w:val="11"/>
                <w:szCs w:val="11"/>
                <w:color w:val="auto"/>
              </w:rPr>
            </w:pPr>
          </w:p>
        </w:tc>
        <w:tc>
          <w:tcPr>
            <w:tcW w:w="1300" w:type="dxa"/>
            <w:vAlign w:val="bottom"/>
          </w:tcPr>
          <w:p>
            <w:pPr>
              <w:ind w:left="460"/>
              <w:spacing w:after="0"/>
              <w:rPr>
                <w:sz w:val="20"/>
                <w:szCs w:val="20"/>
                <w:color w:val="auto"/>
              </w:rPr>
            </w:pPr>
            <w:r>
              <w:rPr>
                <w:rFonts w:ascii="Courier New" w:cs="Courier New" w:eastAsia="Courier New" w:hAnsi="Courier New"/>
                <w:sz w:val="12"/>
                <w:szCs w:val="12"/>
                <w:color w:val="auto"/>
                <w:w w:val="94"/>
              </w:rPr>
              <w:t>Unobservable</w:t>
            </w:r>
          </w:p>
        </w:tc>
      </w:tr>
      <w:tr>
        <w:trPr>
          <w:trHeight w:val="135"/>
        </w:trPr>
        <w:tc>
          <w:tcPr>
            <w:tcW w:w="1720" w:type="dxa"/>
            <w:vAlign w:val="bottom"/>
          </w:tcPr>
          <w:p>
            <w:pPr>
              <w:spacing w:after="0"/>
              <w:rPr>
                <w:sz w:val="11"/>
                <w:szCs w:val="11"/>
                <w:color w:val="auto"/>
              </w:rPr>
            </w:pPr>
          </w:p>
        </w:tc>
        <w:tc>
          <w:tcPr>
            <w:tcW w:w="13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Inputs</w:t>
            </w:r>
          </w:p>
        </w:tc>
      </w:tr>
      <w:tr>
        <w:trPr>
          <w:trHeight w:val="135"/>
        </w:trPr>
        <w:tc>
          <w:tcPr>
            <w:tcW w:w="1720" w:type="dxa"/>
            <w:vAlign w:val="bottom"/>
          </w:tcPr>
          <w:p>
            <w:pPr>
              <w:spacing w:after="0"/>
              <w:rPr>
                <w:sz w:val="11"/>
                <w:szCs w:val="11"/>
                <w:color w:val="auto"/>
              </w:rPr>
            </w:pPr>
          </w:p>
        </w:tc>
        <w:tc>
          <w:tcPr>
            <w:tcW w:w="13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270"/>
        </w:trPr>
        <w:tc>
          <w:tcPr>
            <w:tcW w:w="1720" w:type="dxa"/>
            <w:vAlign w:val="bottom"/>
          </w:tcPr>
          <w:p>
            <w:pPr>
              <w:spacing w:after="0"/>
              <w:rPr>
                <w:sz w:val="20"/>
                <w:szCs w:val="20"/>
                <w:color w:val="auto"/>
              </w:rPr>
            </w:pPr>
            <w:r>
              <w:rPr>
                <w:rFonts w:ascii="Courier New" w:cs="Courier New" w:eastAsia="Courier New" w:hAnsi="Courier New"/>
                <w:sz w:val="12"/>
                <w:szCs w:val="12"/>
                <w:color w:val="auto"/>
              </w:rPr>
              <w:t>Derivatives</w:t>
            </w:r>
          </w:p>
        </w:tc>
        <w:tc>
          <w:tcPr>
            <w:tcW w:w="13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10,911</w:t>
            </w:r>
          </w:p>
        </w:tc>
      </w:tr>
      <w:tr>
        <w:trPr>
          <w:trHeight w:val="135"/>
        </w:trPr>
        <w:tc>
          <w:tcPr>
            <w:tcW w:w="1720" w:type="dxa"/>
            <w:vAlign w:val="bottom"/>
          </w:tcPr>
          <w:p>
            <w:pPr>
              <w:spacing w:after="0"/>
              <w:rPr>
                <w:sz w:val="20"/>
                <w:szCs w:val="20"/>
                <w:color w:val="auto"/>
              </w:rPr>
            </w:pPr>
            <w:r>
              <w:rPr>
                <w:rFonts w:ascii="Courier New" w:cs="Courier New" w:eastAsia="Courier New" w:hAnsi="Courier New"/>
                <w:sz w:val="12"/>
                <w:szCs w:val="12"/>
                <w:color w:val="auto"/>
              </w:rPr>
              <w:t>Facility Agreement</w:t>
            </w:r>
          </w:p>
        </w:tc>
        <w:tc>
          <w:tcPr>
            <w:tcW w:w="13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358,349</w:t>
            </w:r>
          </w:p>
        </w:tc>
      </w:tr>
      <w:tr>
        <w:trPr>
          <w:trHeight w:val="135"/>
        </w:trPr>
        <w:tc>
          <w:tcPr>
            <w:tcW w:w="1720" w:type="dxa"/>
            <w:vAlign w:val="bottom"/>
          </w:tcPr>
          <w:p>
            <w:pPr>
              <w:spacing w:after="0"/>
              <w:rPr>
                <w:sz w:val="11"/>
                <w:szCs w:val="11"/>
                <w:color w:val="auto"/>
              </w:rPr>
            </w:pPr>
          </w:p>
        </w:tc>
        <w:tc>
          <w:tcPr>
            <w:tcW w:w="13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270"/>
        </w:trPr>
        <w:tc>
          <w:tcPr>
            <w:tcW w:w="1720" w:type="dxa"/>
            <w:vAlign w:val="bottom"/>
          </w:tcPr>
          <w:p>
            <w:pPr>
              <w:spacing w:after="0"/>
              <w:rPr>
                <w:sz w:val="20"/>
                <w:szCs w:val="20"/>
                <w:color w:val="auto"/>
              </w:rPr>
            </w:pPr>
            <w:r>
              <w:rPr>
                <w:rFonts w:ascii="Courier New" w:cs="Courier New" w:eastAsia="Courier New" w:hAnsi="Courier New"/>
                <w:sz w:val="12"/>
                <w:szCs w:val="12"/>
                <w:color w:val="auto"/>
              </w:rPr>
              <w:t>Total</w:t>
            </w:r>
          </w:p>
        </w:tc>
        <w:tc>
          <w:tcPr>
            <w:tcW w:w="13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$369,260</w:t>
            </w:r>
          </w:p>
        </w:tc>
      </w:tr>
      <w:tr>
        <w:trPr>
          <w:trHeight w:val="135"/>
        </w:trPr>
        <w:tc>
          <w:tcPr>
            <w:tcW w:w="1720" w:type="dxa"/>
            <w:vAlign w:val="bottom"/>
          </w:tcPr>
          <w:p>
            <w:pPr>
              <w:spacing w:after="0"/>
              <w:rPr>
                <w:sz w:val="11"/>
                <w:szCs w:val="11"/>
                <w:color w:val="auto"/>
              </w:rPr>
            </w:pPr>
          </w:p>
        </w:tc>
        <w:tc>
          <w:tcPr>
            <w:tcW w:w="13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bl>
    <w:p>
      <w:pPr>
        <w:spacing w:after="0" w:line="134"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Fair Value Measurements Using Significant Unobservable Inputs:</w:t>
      </w:r>
    </w:p>
    <w:p>
      <w:pPr>
        <w:sectPr>
          <w:pgSz w:w="11900" w:h="16838" w:orient="portrait"/>
          <w:cols w:equalWidth="0" w:num="1">
            <w:col w:w="10239"/>
          </w:cols>
          <w:pgMar w:left="220" w:top="276" w:right="1440" w:bottom="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36"/>
        </w:trPr>
        <w:tc>
          <w:tcPr>
            <w:tcW w:w="3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100"/>
              <w:spacing w:after="0"/>
              <w:rPr>
                <w:sz w:val="20"/>
                <w:szCs w:val="20"/>
                <w:color w:val="auto"/>
              </w:rPr>
            </w:pPr>
            <w:r>
              <w:rPr>
                <w:rFonts w:ascii="Courier New" w:cs="Courier New" w:eastAsia="Courier New" w:hAnsi="Courier New"/>
                <w:sz w:val="12"/>
                <w:szCs w:val="12"/>
                <w:color w:val="auto"/>
              </w:rPr>
              <w:t>Facility</w:t>
            </w:r>
          </w:p>
        </w:tc>
        <w:tc>
          <w:tcPr>
            <w:tcW w:w="640" w:type="dxa"/>
            <w:vAlign w:val="bottom"/>
          </w:tcPr>
          <w:p>
            <w:pPr>
              <w:spacing w:after="0"/>
              <w:rPr>
                <w:sz w:val="11"/>
                <w:szCs w:val="11"/>
                <w:color w:val="auto"/>
              </w:rPr>
            </w:pPr>
          </w:p>
        </w:tc>
      </w:tr>
      <w:tr>
        <w:trPr>
          <w:trHeight w:val="135"/>
        </w:trPr>
        <w:tc>
          <w:tcPr>
            <w:tcW w:w="410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Derivatives</w:t>
            </w:r>
          </w:p>
        </w:tc>
        <w:tc>
          <w:tcPr>
            <w:tcW w:w="800" w:type="dxa"/>
            <w:vAlign w:val="bottom"/>
          </w:tcPr>
          <w:p>
            <w:pPr>
              <w:ind w:left="100"/>
              <w:spacing w:after="0"/>
              <w:rPr>
                <w:sz w:val="20"/>
                <w:szCs w:val="20"/>
                <w:color w:val="auto"/>
              </w:rPr>
            </w:pPr>
            <w:r>
              <w:rPr>
                <w:rFonts w:ascii="Courier New" w:cs="Courier New" w:eastAsia="Courier New" w:hAnsi="Courier New"/>
                <w:sz w:val="12"/>
                <w:szCs w:val="12"/>
                <w:color w:val="auto"/>
              </w:rPr>
              <w:t>Agreement</w:t>
            </w:r>
          </w:p>
        </w:tc>
        <w:tc>
          <w:tcPr>
            <w:tcW w:w="640" w:type="dxa"/>
            <w:vAlign w:val="bottom"/>
          </w:tcPr>
          <w:p>
            <w:pPr>
              <w:jc w:val="right"/>
              <w:ind w:right="1"/>
              <w:spacing w:after="0"/>
              <w:rPr>
                <w:sz w:val="20"/>
                <w:szCs w:val="20"/>
                <w:color w:val="auto"/>
              </w:rPr>
            </w:pPr>
            <w:r>
              <w:rPr>
                <w:rFonts w:ascii="Courier New" w:cs="Courier New" w:eastAsia="Courier New" w:hAnsi="Courier New"/>
                <w:sz w:val="12"/>
                <w:szCs w:val="12"/>
                <w:color w:val="auto"/>
              </w:rPr>
              <w:t>Total</w:t>
            </w:r>
          </w:p>
        </w:tc>
      </w:tr>
      <w:tr>
        <w:trPr>
          <w:trHeight w:val="135"/>
        </w:trPr>
        <w:tc>
          <w:tcPr>
            <w:tcW w:w="3320" w:type="dxa"/>
            <w:vAlign w:val="bottom"/>
          </w:tcPr>
          <w:p>
            <w:pPr>
              <w:spacing w:after="0"/>
              <w:rPr>
                <w:sz w:val="11"/>
                <w:szCs w:val="11"/>
                <w:color w:val="auto"/>
              </w:rPr>
            </w:pPr>
          </w:p>
        </w:tc>
        <w:tc>
          <w:tcPr>
            <w:tcW w:w="7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3320" w:type="dxa"/>
            <w:vAlign w:val="bottom"/>
          </w:tcPr>
          <w:p>
            <w:pPr>
              <w:spacing w:after="0"/>
              <w:rPr>
                <w:sz w:val="20"/>
                <w:szCs w:val="20"/>
                <w:color w:val="auto"/>
              </w:rPr>
            </w:pPr>
            <w:r>
              <w:rPr>
                <w:rFonts w:ascii="Courier New" w:cs="Courier New" w:eastAsia="Courier New" w:hAnsi="Courier New"/>
                <w:sz w:val="12"/>
                <w:szCs w:val="12"/>
                <w:color w:val="auto"/>
              </w:rPr>
              <w:t>Beginning balance</w:t>
            </w:r>
          </w:p>
        </w:tc>
        <w:tc>
          <w:tcPr>
            <w:tcW w:w="7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$ 11,264</w:t>
            </w:r>
          </w:p>
        </w:tc>
        <w:tc>
          <w:tcPr>
            <w:tcW w:w="8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357,108</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368,372</w:t>
            </w:r>
          </w:p>
        </w:tc>
      </w:tr>
      <w:tr>
        <w:trPr>
          <w:trHeight w:val="135"/>
        </w:trPr>
        <w:tc>
          <w:tcPr>
            <w:tcW w:w="3320" w:type="dxa"/>
            <w:vAlign w:val="bottom"/>
          </w:tcPr>
          <w:p>
            <w:pPr>
              <w:spacing w:after="0"/>
              <w:rPr>
                <w:sz w:val="20"/>
                <w:szCs w:val="20"/>
                <w:color w:val="auto"/>
              </w:rPr>
            </w:pPr>
            <w:r>
              <w:rPr>
                <w:rFonts w:ascii="Courier New" w:cs="Courier New" w:eastAsia="Courier New" w:hAnsi="Courier New"/>
                <w:sz w:val="12"/>
                <w:szCs w:val="12"/>
                <w:color w:val="auto"/>
                <w:w w:val="97"/>
              </w:rPr>
              <w:t>Unrealized gains or losses included in earnings</w:t>
            </w:r>
          </w:p>
        </w:tc>
        <w:tc>
          <w:tcPr>
            <w:tcW w:w="780" w:type="dxa"/>
            <w:vAlign w:val="bottom"/>
          </w:tcPr>
          <w:p>
            <w:pPr>
              <w:jc w:val="right"/>
              <w:ind w:right="41"/>
              <w:spacing w:after="0"/>
              <w:rPr>
                <w:sz w:val="20"/>
                <w:szCs w:val="20"/>
                <w:color w:val="auto"/>
              </w:rPr>
            </w:pPr>
            <w:r>
              <w:rPr>
                <w:rFonts w:ascii="Courier New" w:cs="Courier New" w:eastAsia="Courier New" w:hAnsi="Courier New"/>
                <w:sz w:val="12"/>
                <w:szCs w:val="12"/>
                <w:color w:val="auto"/>
              </w:rPr>
              <w:t>(353)</w:t>
            </w:r>
          </w:p>
        </w:tc>
        <w:tc>
          <w:tcPr>
            <w:tcW w:w="8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1,241</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888</w:t>
            </w:r>
          </w:p>
        </w:tc>
      </w:tr>
      <w:tr>
        <w:trPr>
          <w:trHeight w:val="135"/>
        </w:trPr>
        <w:tc>
          <w:tcPr>
            <w:tcW w:w="3320" w:type="dxa"/>
            <w:vAlign w:val="bottom"/>
          </w:tcPr>
          <w:p>
            <w:pPr>
              <w:spacing w:after="0"/>
              <w:rPr>
                <w:sz w:val="11"/>
                <w:szCs w:val="11"/>
                <w:color w:val="auto"/>
              </w:rPr>
            </w:pPr>
          </w:p>
        </w:tc>
        <w:tc>
          <w:tcPr>
            <w:tcW w:w="7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320" w:type="dxa"/>
            <w:vAlign w:val="bottom"/>
          </w:tcPr>
          <w:p>
            <w:pPr>
              <w:spacing w:after="0"/>
              <w:rPr>
                <w:sz w:val="20"/>
                <w:szCs w:val="20"/>
                <w:color w:val="auto"/>
              </w:rPr>
            </w:pPr>
            <w:r>
              <w:rPr>
                <w:rFonts w:ascii="Courier New" w:cs="Courier New" w:eastAsia="Courier New" w:hAnsi="Courier New"/>
                <w:sz w:val="12"/>
                <w:szCs w:val="12"/>
                <w:color w:val="auto"/>
              </w:rPr>
              <w:t>Ending balance</w:t>
            </w:r>
          </w:p>
        </w:tc>
        <w:tc>
          <w:tcPr>
            <w:tcW w:w="7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$ 10,911</w:t>
            </w:r>
          </w:p>
        </w:tc>
        <w:tc>
          <w:tcPr>
            <w:tcW w:w="8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$358,349</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$369,260</w:t>
            </w:r>
          </w:p>
        </w:tc>
      </w:tr>
      <w:tr>
        <w:trPr>
          <w:trHeight w:val="135"/>
        </w:trPr>
        <w:tc>
          <w:tcPr>
            <w:tcW w:w="3320" w:type="dxa"/>
            <w:vAlign w:val="bottom"/>
          </w:tcPr>
          <w:p>
            <w:pPr>
              <w:spacing w:after="0"/>
              <w:rPr>
                <w:sz w:val="11"/>
                <w:szCs w:val="11"/>
                <w:color w:val="auto"/>
              </w:rPr>
            </w:pPr>
          </w:p>
        </w:tc>
        <w:tc>
          <w:tcPr>
            <w:tcW w:w="7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405"/>
        </w:trPr>
        <w:tc>
          <w:tcPr>
            <w:tcW w:w="332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- 13 -</w:t>
            </w: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386"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2"/>
          <w:szCs w:val="12"/>
          <w:color w:val="auto"/>
        </w:rPr>
        <w:t>TOWER SEMICONDUCTOR LTD. AND SUBSIDIARY</w:t>
      </w:r>
    </w:p>
    <w:p>
      <w:pPr>
        <w:jc w:val="center"/>
        <w:ind w:right="4559"/>
        <w:spacing w:after="0"/>
        <w:rPr>
          <w:sz w:val="20"/>
          <w:szCs w:val="20"/>
          <w:color w:val="auto"/>
        </w:rPr>
      </w:pPr>
      <w:r>
        <w:rPr>
          <w:rFonts w:ascii="Courier New" w:cs="Courier New" w:eastAsia="Courier New" w:hAnsi="Courier New"/>
          <w:sz w:val="12"/>
          <w:szCs w:val="12"/>
          <w:color w:val="auto"/>
        </w:rPr>
        <w:t>NOTES TO UNAUDITED CONDENSED INTERIM CONSOLIDATED</w:t>
      </w:r>
    </w:p>
    <w:p>
      <w:pPr>
        <w:ind w:left="1400"/>
        <w:spacing w:after="0" w:line="237" w:lineRule="auto"/>
        <w:rPr>
          <w:sz w:val="20"/>
          <w:szCs w:val="20"/>
          <w:color w:val="auto"/>
        </w:rPr>
      </w:pPr>
      <w:r>
        <w:rPr>
          <w:rFonts w:ascii="Courier New" w:cs="Courier New" w:eastAsia="Courier New" w:hAnsi="Courier New"/>
          <w:sz w:val="12"/>
          <w:szCs w:val="12"/>
          <w:color w:val="auto"/>
        </w:rPr>
        <w:t>FINANCIAL STATEMENTS AS OF MARCH 31, 2007</w:t>
      </w: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5 - MATERIAL DIFFERENCES BETWEEN ISRAELI AND U.S. GAAP (CONT.)</w:t>
      </w:r>
    </w:p>
    <w:p>
      <w:pPr>
        <w:spacing w:after="0" w:line="134"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SFAS NO. 159, "THE FAIR VALUE OPTION FOR FINANCIAL ASSETS AND</w:t>
      </w:r>
    </w:p>
    <w:p>
      <w:pPr>
        <w:ind w:left="700"/>
        <w:spacing w:after="0"/>
        <w:rPr>
          <w:sz w:val="20"/>
          <w:szCs w:val="20"/>
          <w:color w:val="auto"/>
        </w:rPr>
      </w:pPr>
      <w:r>
        <w:rPr>
          <w:rFonts w:ascii="Courier New" w:cs="Courier New" w:eastAsia="Courier New" w:hAnsi="Courier New"/>
          <w:sz w:val="12"/>
          <w:szCs w:val="12"/>
          <w:color w:val="auto"/>
        </w:rPr>
        <w:t>FINANCIAL LIABILITIES"</w:t>
      </w:r>
    </w:p>
    <w:p>
      <w:pPr>
        <w:spacing w:after="0" w:line="138"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In February 2007, the FASB issued SFAS No. 159, "The Fair Value Option</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for Financial Assets and Financial Liabilities" (SFAS No. 159). SFAS</w:t>
      </w:r>
    </w:p>
    <w:p>
      <w:pPr>
        <w:ind w:left="700"/>
        <w:spacing w:after="0"/>
        <w:rPr>
          <w:sz w:val="20"/>
          <w:szCs w:val="20"/>
          <w:color w:val="auto"/>
        </w:rPr>
      </w:pPr>
      <w:r>
        <w:rPr>
          <w:rFonts w:ascii="Courier New" w:cs="Courier New" w:eastAsia="Courier New" w:hAnsi="Courier New"/>
          <w:sz w:val="12"/>
          <w:szCs w:val="12"/>
          <w:color w:val="auto"/>
        </w:rPr>
        <w:t>No. 159 permits companies to choose to measure certain financial</w:t>
      </w:r>
    </w:p>
    <w:p>
      <w:pPr>
        <w:ind w:left="700"/>
        <w:spacing w:after="0" w:line="237" w:lineRule="auto"/>
        <w:rPr>
          <w:sz w:val="20"/>
          <w:szCs w:val="20"/>
          <w:color w:val="auto"/>
        </w:rPr>
      </w:pPr>
      <w:r>
        <w:rPr>
          <w:rFonts w:ascii="Courier New" w:cs="Courier New" w:eastAsia="Courier New" w:hAnsi="Courier New"/>
          <w:sz w:val="12"/>
          <w:szCs w:val="12"/>
          <w:color w:val="auto"/>
        </w:rPr>
        <w:t>instruments and certain other items at fair value. The standard</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requires that unrealized gains and losses on items for which the fair</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value option has been elected be reported in earnings. SFAS No. 159 is</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effective for the Company beginning in the first quarter of fiscal</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year 2008, although earlier adoption is permitted. The Company decided</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to early adopt the provisions of SFAS No. 159 effective January 1,</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2007, and elected to carry at fair value the Facility agreement, see H</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below.</w:t>
      </w:r>
    </w:p>
    <w:p>
      <w:pPr>
        <w:spacing w:after="0" w:line="134"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FIN NO. 48, ACCOUNTING FOR UNCERTAINTY IN INCOME TAXES</w:t>
      </w:r>
    </w:p>
    <w:p>
      <w:pPr>
        <w:spacing w:after="0" w:line="134"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On July 13, 2006, the FASB issued Interpretation No. 48, "Accounting</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for Uncertainty in Income Taxes - an interpretation of FASB Statement</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No. 109" ("FIN 48"), which clarifies the accounting for uncertainty in</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tax positions. This Interpretation requires recognition in the</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financial statements of the impact of a tax position, if that position</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is more likely than not of being sustained on audit, based on the</w:t>
      </w:r>
    </w:p>
    <w:p>
      <w:pPr>
        <w:ind w:left="700"/>
        <w:spacing w:after="0"/>
        <w:rPr>
          <w:sz w:val="20"/>
          <w:szCs w:val="20"/>
          <w:color w:val="auto"/>
        </w:rPr>
      </w:pPr>
      <w:r>
        <w:rPr>
          <w:rFonts w:ascii="Courier New" w:cs="Courier New" w:eastAsia="Courier New" w:hAnsi="Courier New"/>
          <w:sz w:val="12"/>
          <w:szCs w:val="12"/>
          <w:color w:val="auto"/>
        </w:rPr>
        <w:t>technical merits of the position. A tax position that meets the</w:t>
      </w:r>
    </w:p>
    <w:p>
      <w:pPr>
        <w:ind w:left="700"/>
        <w:spacing w:after="0" w:line="237" w:lineRule="auto"/>
        <w:rPr>
          <w:sz w:val="20"/>
          <w:szCs w:val="20"/>
          <w:color w:val="auto"/>
        </w:rPr>
      </w:pPr>
      <w:r>
        <w:rPr>
          <w:rFonts w:ascii="Courier New" w:cs="Courier New" w:eastAsia="Courier New" w:hAnsi="Courier New"/>
          <w:sz w:val="12"/>
          <w:szCs w:val="12"/>
          <w:color w:val="auto"/>
        </w:rPr>
        <w:t>more-likely-than-not recognition threshold shall initially and</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subsequently be measured as the largest amount of tax benefit that is</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greater than 50 percent likely of being realized upon ultimate</w:t>
      </w:r>
    </w:p>
    <w:p>
      <w:pPr>
        <w:ind w:left="700"/>
        <w:spacing w:after="0"/>
        <w:rPr>
          <w:sz w:val="20"/>
          <w:szCs w:val="20"/>
          <w:color w:val="auto"/>
        </w:rPr>
      </w:pPr>
      <w:r>
        <w:rPr>
          <w:rFonts w:ascii="Courier New" w:cs="Courier New" w:eastAsia="Courier New" w:hAnsi="Courier New"/>
          <w:sz w:val="12"/>
          <w:szCs w:val="12"/>
          <w:color w:val="auto"/>
        </w:rPr>
        <w:t>settlement with a taxing authority that has full knowledge of all</w:t>
      </w:r>
    </w:p>
    <w:p>
      <w:pPr>
        <w:ind w:left="700"/>
        <w:spacing w:after="0" w:line="237" w:lineRule="auto"/>
        <w:rPr>
          <w:sz w:val="20"/>
          <w:szCs w:val="20"/>
          <w:color w:val="auto"/>
        </w:rPr>
      </w:pPr>
      <w:r>
        <w:rPr>
          <w:rFonts w:ascii="Courier New" w:cs="Courier New" w:eastAsia="Courier New" w:hAnsi="Courier New"/>
          <w:sz w:val="12"/>
          <w:szCs w:val="12"/>
          <w:color w:val="auto"/>
        </w:rPr>
        <w:t>relevant information. Measurement of a tax position that meets the</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more-likely-than-not recognition threshold shall consider the amounts</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and probabilities of the outcomes that could be realized upon ultimate</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settlement using the facts, circumstances, and information available</w:t>
      </w:r>
    </w:p>
    <w:p>
      <w:pPr>
        <w:ind w:left="700"/>
        <w:spacing w:after="0"/>
        <w:rPr>
          <w:sz w:val="20"/>
          <w:szCs w:val="20"/>
          <w:color w:val="auto"/>
        </w:rPr>
      </w:pPr>
      <w:r>
        <w:rPr>
          <w:rFonts w:ascii="Courier New" w:cs="Courier New" w:eastAsia="Courier New" w:hAnsi="Courier New"/>
          <w:sz w:val="12"/>
          <w:szCs w:val="12"/>
          <w:color w:val="auto"/>
        </w:rPr>
        <w:t>at the reporting date.</w:t>
      </w:r>
    </w:p>
    <w:p>
      <w:pPr>
        <w:spacing w:after="0" w:line="133"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The provisions of FIN 48 are effective for the 2007 fiscal year with</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the cumulative effect of the change in accounting principles recorded</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as an adjustment to the opening balance of retained earnings. FIN 48</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did not have a material effect on the financial condition and results</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of operations of the Company.</w:t>
      </w:r>
    </w:p>
    <w:p>
      <w:pPr>
        <w:spacing w:after="0" w:line="139" w:lineRule="exact"/>
        <w:rPr>
          <w:sz w:val="20"/>
          <w:szCs w:val="20"/>
          <w:color w:val="auto"/>
        </w:rPr>
      </w:pPr>
    </w:p>
    <w:p>
      <w:pPr>
        <w:ind w:left="700" w:right="5039" w:hanging="357"/>
        <w:spacing w:after="0" w:line="235" w:lineRule="auto"/>
        <w:tabs>
          <w:tab w:leader="none" w:pos="700" w:val="left"/>
        </w:tabs>
        <w:numPr>
          <w:ilvl w:val="0"/>
          <w:numId w:val="12"/>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PRESENTATION OF NET LONG-TERM LIABILITIES IN RESPECT OF EMPLOYEE SEVERANCE PAY</w:t>
      </w:r>
    </w:p>
    <w:p>
      <w:pPr>
        <w:spacing w:after="0" w:line="139" w:lineRule="exact"/>
        <w:rPr>
          <w:rFonts w:ascii="Courier New" w:cs="Courier New" w:eastAsia="Courier New" w:hAnsi="Courier New"/>
          <w:sz w:val="12"/>
          <w:szCs w:val="12"/>
          <w:color w:val="auto"/>
        </w:rPr>
      </w:pPr>
    </w:p>
    <w:p>
      <w:pPr>
        <w:ind w:left="700" w:right="469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Under U.S. GAAP, assets and liabilities relating to severance arrangements are to be presented separately and are not to be offset, while according to Israeli GAAP such an offset is required. Accordingly, as of March 31, 2007, an amount of $13,207 was reclassified from other long-term liabilities as long-term investments.</w:t>
      </w:r>
    </w:p>
    <w:p>
      <w:pPr>
        <w:spacing w:after="0" w:line="135"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12"/>
        </w:numPr>
        <w:rPr>
          <w:rFonts w:ascii="Courier New" w:cs="Courier New" w:eastAsia="Courier New" w:hAnsi="Courier New"/>
          <w:sz w:val="12"/>
          <w:szCs w:val="12"/>
          <w:color w:val="auto"/>
        </w:rPr>
      </w:pPr>
      <w:r>
        <w:rPr>
          <w:rFonts w:ascii="Courier New" w:cs="Courier New" w:eastAsia="Courier New" w:hAnsi="Courier New"/>
          <w:sz w:val="12"/>
          <w:szCs w:val="12"/>
          <w:color w:val="auto"/>
        </w:rPr>
        <w:t>HEDGING ACTIVITIES IN ACCORDANCE WITH U.S. GAAP (SFAS 133)</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Complying with SFAS 133 as amended and the related interpretations thereon as they apply to the Company's hedging transactions, as of March 31, 2007, such transactions would have resulted in: an increase in other long-term investments in the amount of $1,420; an accumulated other comprehensive loss component of equity balance as of March 31, 2007 in the amount of $241 ($203 as of December 31, 2006); and in a decrease of $1,661 in property and equipment, net as of March 31, 2007.</w:t>
      </w:r>
    </w:p>
    <w:p>
      <w:pPr>
        <w:spacing w:after="0" w:line="272" w:lineRule="exact"/>
        <w:rPr>
          <w:rFonts w:ascii="Courier New" w:cs="Courier New" w:eastAsia="Courier New" w:hAnsi="Courier New"/>
          <w:sz w:val="12"/>
          <w:szCs w:val="12"/>
          <w:color w:val="auto"/>
        </w:rPr>
      </w:pPr>
    </w:p>
    <w:p>
      <w:pPr>
        <w:ind w:left="2740" w:hanging="149"/>
        <w:spacing w:after="0"/>
        <w:tabs>
          <w:tab w:leader="none" w:pos="2740" w:val="left"/>
        </w:tabs>
        <w:numPr>
          <w:ilvl w:val="1"/>
          <w:numId w:val="12"/>
        </w:numPr>
        <w:rPr>
          <w:rFonts w:ascii="Courier New" w:cs="Courier New" w:eastAsia="Courier New" w:hAnsi="Courier New"/>
          <w:sz w:val="12"/>
          <w:szCs w:val="12"/>
          <w:color w:val="auto"/>
        </w:rPr>
      </w:pPr>
      <w:r>
        <w:rPr>
          <w:rFonts w:ascii="Courier New" w:cs="Courier New" w:eastAsia="Courier New" w:hAnsi="Courier New"/>
          <w:sz w:val="12"/>
          <w:szCs w:val="12"/>
          <w:color w:val="auto"/>
        </w:rPr>
        <w:t>14 -</w:t>
      </w:r>
    </w:p>
    <w:p>
      <w:pPr>
        <w:spacing w:after="0" w:line="386"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2"/>
          <w:szCs w:val="12"/>
          <w:color w:val="auto"/>
        </w:rPr>
        <w:t>TOWER SEMICONDUCTOR LTD. AND SUBSIDIARY</w:t>
      </w:r>
    </w:p>
    <w:p>
      <w:pPr>
        <w:jc w:val="center"/>
        <w:ind w:right="4559"/>
        <w:spacing w:after="0"/>
        <w:rPr>
          <w:sz w:val="20"/>
          <w:szCs w:val="20"/>
          <w:color w:val="auto"/>
        </w:rPr>
      </w:pPr>
      <w:r>
        <w:rPr>
          <w:rFonts w:ascii="Courier New" w:cs="Courier New" w:eastAsia="Courier New" w:hAnsi="Courier New"/>
          <w:sz w:val="12"/>
          <w:szCs w:val="12"/>
          <w:color w:val="auto"/>
        </w:rPr>
        <w:t>NOTES TO UNAUDITED CONDENSED INTERIM CONSOLIDATED</w:t>
      </w:r>
    </w:p>
    <w:p>
      <w:pPr>
        <w:ind w:left="1400"/>
        <w:spacing w:after="0" w:line="237" w:lineRule="auto"/>
        <w:rPr>
          <w:sz w:val="20"/>
          <w:szCs w:val="20"/>
          <w:color w:val="auto"/>
        </w:rPr>
      </w:pPr>
      <w:r>
        <w:rPr>
          <w:rFonts w:ascii="Courier New" w:cs="Courier New" w:eastAsia="Courier New" w:hAnsi="Courier New"/>
          <w:sz w:val="12"/>
          <w:szCs w:val="12"/>
          <w:color w:val="auto"/>
        </w:rPr>
        <w:t>FINANCIAL STATEMENTS AS OF MARCH 31, 2007</w:t>
      </w: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5 - MATERIAL DIFFERENCES BETWEEN ISRAELI AND U.S. GAAP (CONT.)</w:t>
      </w:r>
    </w:p>
    <w:p>
      <w:pPr>
        <w:spacing w:after="0" w:line="134" w:lineRule="exact"/>
        <w:rPr>
          <w:sz w:val="20"/>
          <w:szCs w:val="20"/>
          <w:color w:val="auto"/>
        </w:rPr>
      </w:pPr>
    </w:p>
    <w:p>
      <w:pPr>
        <w:ind w:left="700" w:hanging="357"/>
        <w:spacing w:after="0"/>
        <w:tabs>
          <w:tab w:leader="none" w:pos="700" w:val="left"/>
        </w:tabs>
        <w:numPr>
          <w:ilvl w:val="0"/>
          <w:numId w:val="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ISSUANCE OF CONVERTIBLE DEBENTURES</w:t>
      </w:r>
    </w:p>
    <w:p>
      <w:pPr>
        <w:spacing w:after="0" w:line="138" w:lineRule="exact"/>
        <w:rPr>
          <w:rFonts w:ascii="Courier New" w:cs="Courier New" w:eastAsia="Courier New" w:hAnsi="Courier New"/>
          <w:sz w:val="12"/>
          <w:szCs w:val="12"/>
          <w:color w:val="auto"/>
        </w:rPr>
      </w:pPr>
    </w:p>
    <w:p>
      <w:pPr>
        <w:ind w:left="70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Under Accounting Principles Board Opinion No. 14 ("APB 14"), the proceeds from the sale of the securities in the Company's January 2002 Israeli public offering are to be allocated to each of the securities issued based on their relative fair value, while according to Israeli GAAP such treatment was not required. Complying with APB 14, based on the average market value of each of the components issued in the first three days following their issuance (in January 2002), would have resulted in an increase in shareholders' equity as of the issuance date in the amount of $2,363 (net of $196 related issuance expenses), and a decrease in convertible debentures as of such date in the amount of $2,559. The additional accumulated effect of amortization of the discount on the convertible debentures under U.S. GAAP as of March 31, 2007 would have been $970. Commencing with the adoption of Standard No. 22 in January 2006, allocation of proceeds in a unit, to its components, is based on relative fair values under Israeli GAAP as well as under US GAAP.</w:t>
      </w:r>
    </w:p>
    <w:p>
      <w:pPr>
        <w:spacing w:after="0" w:line="264" w:lineRule="exact"/>
        <w:rPr>
          <w:rFonts w:ascii="Courier New" w:cs="Courier New" w:eastAsia="Courier New" w:hAnsi="Courier New"/>
          <w:sz w:val="12"/>
          <w:szCs w:val="12"/>
          <w:color w:val="auto"/>
        </w:rPr>
      </w:pPr>
    </w:p>
    <w:p>
      <w:pPr>
        <w:ind w:left="700" w:right="4839"/>
        <w:spacing w:after="0" w:line="26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Under US GAAP, convertible debentures have to be evaluated to determine if they contain embedded derivative that warrant bifurcation. Conversion features embedded in convertible debentures will need to be evaluated as to whether they can be classified as equity based on the criteria established in EITF Issues 00-19 and 05-2. The Company evaluated the conversion features embedded in its debentures (i.e., sale of convertible debentures in 2002 - "2002 debentures", sale of convertible debentures in 2005 - "2005</w:t>
      </w:r>
    </w:p>
    <w:p>
      <w:pPr>
        <w:sectPr>
          <w:pgSz w:w="11900" w:h="16838" w:orient="portrait"/>
          <w:cols w:equalWidth="0" w:num="1">
            <w:col w:w="10239"/>
          </w:cols>
          <w:pgMar w:left="220" w:top="137" w:right="1440" w:bottom="0" w:gutter="0" w:footer="0" w:header="0"/>
        </w:sectPr>
      </w:pPr>
    </w:p>
    <w:bookmarkStart w:id="9" w:name="page10"/>
    <w:bookmarkEnd w:id="9"/>
    <w:p>
      <w:pPr>
        <w:ind w:left="700"/>
        <w:spacing w:after="0"/>
        <w:rPr>
          <w:sz w:val="20"/>
          <w:szCs w:val="20"/>
          <w:color w:val="auto"/>
        </w:rPr>
      </w:pPr>
      <w:r>
        <w:rPr>
          <w:rFonts w:ascii="Courier New" w:cs="Courier New" w:eastAsia="Courier New" w:hAnsi="Courier New"/>
          <w:sz w:val="12"/>
          <w:szCs w:val="12"/>
          <w:color w:val="auto"/>
        </w:rPr>
        <w:t>debentures" and sale of convertible debentures in 2006 - "2006</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debentures") and concluded that the conversion feature embedded in the</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2005 and 2006 debentures warrant bifurcation while the conversion</w:t>
      </w:r>
    </w:p>
    <w:p>
      <w:pPr>
        <w:ind w:left="700"/>
        <w:spacing w:after="0"/>
        <w:rPr>
          <w:sz w:val="20"/>
          <w:szCs w:val="20"/>
          <w:color w:val="auto"/>
        </w:rPr>
      </w:pPr>
      <w:r>
        <w:rPr>
          <w:rFonts w:ascii="Courier New" w:cs="Courier New" w:eastAsia="Courier New" w:hAnsi="Courier New"/>
          <w:sz w:val="12"/>
          <w:szCs w:val="12"/>
          <w:color w:val="auto"/>
        </w:rPr>
        <w:t>feature embedded in the 2002 debentures are scoped out.</w:t>
      </w:r>
    </w:p>
    <w:p>
      <w:pPr>
        <w:spacing w:after="0" w:line="133"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2002 DEBENTURES:</w:t>
      </w:r>
    </w:p>
    <w:p>
      <w:pPr>
        <w:spacing w:after="0" w:line="134"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Under US GAAP, the equity component, in the amount of $1,681,</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classified in equity under Israeli GAAP was reclassified as liability.</w:t>
      </w:r>
    </w:p>
    <w:p>
      <w:pPr>
        <w:spacing w:after="0" w:line="14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2005 AND 2006 DEBENTURES:</w:t>
      </w:r>
    </w:p>
    <w:p>
      <w:pPr>
        <w:spacing w:after="0" w:line="134"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Under US GAAP, the equity component of the 2005 and 2006 debentures,</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in the amounts of $12,358 and $6,030 respectively classified as equity</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under Israeli GAAP were reclassified to liabilities and the conversion</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features were bifurcated from the debt host and marked to market</w:t>
      </w:r>
    </w:p>
    <w:p>
      <w:pPr>
        <w:ind w:left="700"/>
        <w:spacing w:after="0"/>
        <w:rPr>
          <w:sz w:val="20"/>
          <w:szCs w:val="20"/>
          <w:color w:val="auto"/>
        </w:rPr>
      </w:pPr>
      <w:r>
        <w:rPr>
          <w:rFonts w:ascii="Courier New" w:cs="Courier New" w:eastAsia="Courier New" w:hAnsi="Courier New"/>
          <w:sz w:val="12"/>
          <w:szCs w:val="12"/>
          <w:color w:val="auto"/>
        </w:rPr>
        <w:t>through earnings. The initial amount allocated to the bifurcated</w:t>
      </w:r>
    </w:p>
    <w:p>
      <w:pPr>
        <w:ind w:left="700"/>
        <w:spacing w:after="0" w:line="237" w:lineRule="auto"/>
        <w:rPr>
          <w:sz w:val="20"/>
          <w:szCs w:val="20"/>
          <w:color w:val="auto"/>
        </w:rPr>
      </w:pPr>
      <w:r>
        <w:rPr>
          <w:rFonts w:ascii="Courier New" w:cs="Courier New" w:eastAsia="Courier New" w:hAnsi="Courier New"/>
          <w:sz w:val="12"/>
          <w:szCs w:val="12"/>
          <w:color w:val="auto"/>
        </w:rPr>
        <w:t>conversion features were determined using the "with and without"</w:t>
      </w:r>
    </w:p>
    <w:p>
      <w:pPr>
        <w:ind w:left="700"/>
        <w:spacing w:after="0"/>
        <w:rPr>
          <w:sz w:val="20"/>
          <w:szCs w:val="20"/>
          <w:color w:val="auto"/>
        </w:rPr>
      </w:pPr>
      <w:r>
        <w:rPr>
          <w:rFonts w:ascii="Courier New" w:cs="Courier New" w:eastAsia="Courier New" w:hAnsi="Courier New"/>
          <w:sz w:val="12"/>
          <w:szCs w:val="12"/>
          <w:color w:val="auto"/>
        </w:rPr>
        <w:t>method based on the fair value of the embedded derivative prescribed</w:t>
      </w:r>
    </w:p>
    <w:p>
      <w:pPr>
        <w:ind w:left="700"/>
        <w:spacing w:after="0" w:line="237" w:lineRule="auto"/>
        <w:rPr>
          <w:sz w:val="20"/>
          <w:szCs w:val="20"/>
          <w:color w:val="auto"/>
        </w:rPr>
      </w:pPr>
      <w:r>
        <w:rPr>
          <w:rFonts w:ascii="Courier New" w:cs="Courier New" w:eastAsia="Courier New" w:hAnsi="Courier New"/>
          <w:sz w:val="12"/>
          <w:szCs w:val="12"/>
          <w:color w:val="auto"/>
        </w:rPr>
        <w:t>in DIG Issue B6.</w:t>
      </w:r>
    </w:p>
    <w:p>
      <w:pPr>
        <w:spacing w:after="0" w:line="134"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All the above would have resulted, as of March 31, 2007, mainly in a</w:t>
      </w:r>
    </w:p>
    <w:p>
      <w:pPr>
        <w:ind w:left="700"/>
        <w:spacing w:after="0"/>
        <w:rPr>
          <w:sz w:val="20"/>
          <w:szCs w:val="20"/>
          <w:color w:val="auto"/>
        </w:rPr>
      </w:pPr>
      <w:r>
        <w:rPr>
          <w:rFonts w:ascii="Courier New" w:cs="Courier New" w:eastAsia="Courier New" w:hAnsi="Courier New"/>
          <w:sz w:val="12"/>
          <w:szCs w:val="12"/>
          <w:color w:val="auto"/>
        </w:rPr>
        <w:t>decrease in convertible debentures in the amount of $4,624; an</w:t>
      </w:r>
    </w:p>
    <w:p>
      <w:pPr>
        <w:ind w:left="700"/>
        <w:spacing w:after="0" w:line="237" w:lineRule="auto"/>
        <w:rPr>
          <w:sz w:val="20"/>
          <w:szCs w:val="20"/>
          <w:color w:val="auto"/>
        </w:rPr>
      </w:pPr>
      <w:r>
        <w:rPr>
          <w:rFonts w:ascii="Courier New" w:cs="Courier New" w:eastAsia="Courier New" w:hAnsi="Courier New"/>
          <w:sz w:val="12"/>
          <w:szCs w:val="12"/>
          <w:color w:val="auto"/>
        </w:rPr>
        <w:t>increase in the shareholder's equity in the amount of $5,404; and an</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increase in other assets in the amount of $780. The Company's loss for</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the three-month period ended March 31, 2007 would have increased in</w:t>
      </w:r>
    </w:p>
    <w:p>
      <w:pPr>
        <w:ind w:left="700"/>
        <w:spacing w:after="0"/>
        <w:rPr>
          <w:sz w:val="20"/>
          <w:szCs w:val="20"/>
          <w:color w:val="auto"/>
        </w:rPr>
      </w:pPr>
      <w:r>
        <w:rPr>
          <w:rFonts w:ascii="Courier New" w:cs="Courier New" w:eastAsia="Courier New" w:hAnsi="Courier New"/>
          <w:sz w:val="12"/>
          <w:szCs w:val="12"/>
          <w:color w:val="auto"/>
        </w:rPr>
        <w:t>the amount of $2,285.</w:t>
      </w:r>
    </w:p>
    <w:p>
      <w:pPr>
        <w:spacing w:after="0" w:line="269"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- 15 -</w:t>
      </w:r>
    </w:p>
    <w:p>
      <w:pPr>
        <w:spacing w:after="0" w:line="386"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2"/>
          <w:szCs w:val="12"/>
          <w:color w:val="auto"/>
        </w:rPr>
        <w:t>TOWER SEMICONDUCTOR LTD. AND SUBSIDIARY</w:t>
      </w:r>
    </w:p>
    <w:p>
      <w:pPr>
        <w:jc w:val="center"/>
        <w:ind w:right="4559"/>
        <w:spacing w:after="0"/>
        <w:rPr>
          <w:sz w:val="20"/>
          <w:szCs w:val="20"/>
          <w:color w:val="auto"/>
        </w:rPr>
      </w:pPr>
      <w:r>
        <w:rPr>
          <w:rFonts w:ascii="Courier New" w:cs="Courier New" w:eastAsia="Courier New" w:hAnsi="Courier New"/>
          <w:sz w:val="12"/>
          <w:szCs w:val="12"/>
          <w:color w:val="auto"/>
        </w:rPr>
        <w:t>NOTES TO UNAUDITED CONDENSED INTERIM CONSOLIDATED</w:t>
      </w:r>
    </w:p>
    <w:p>
      <w:pPr>
        <w:ind w:left="1400"/>
        <w:spacing w:after="0" w:line="237" w:lineRule="auto"/>
        <w:rPr>
          <w:sz w:val="20"/>
          <w:szCs w:val="20"/>
          <w:color w:val="auto"/>
        </w:rPr>
      </w:pPr>
      <w:r>
        <w:rPr>
          <w:rFonts w:ascii="Courier New" w:cs="Courier New" w:eastAsia="Courier New" w:hAnsi="Courier New"/>
          <w:sz w:val="12"/>
          <w:szCs w:val="12"/>
          <w:color w:val="auto"/>
        </w:rPr>
        <w:t>FINANCIAL STATEMENTS AS OF MARCH 31, 2007</w:t>
      </w: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5 - MATERIAL DIFFERENCES BETWEEN ISRAELI AND U.S. GAAP (CONT.)</w:t>
      </w:r>
    </w:p>
    <w:p>
      <w:pPr>
        <w:spacing w:after="0" w:line="134" w:lineRule="exact"/>
        <w:rPr>
          <w:sz w:val="20"/>
          <w:szCs w:val="20"/>
          <w:color w:val="auto"/>
        </w:rPr>
      </w:pPr>
    </w:p>
    <w:p>
      <w:pPr>
        <w:ind w:left="700" w:hanging="357"/>
        <w:spacing w:after="0"/>
        <w:tabs>
          <w:tab w:leader="none" w:pos="700" w:val="left"/>
        </w:tabs>
        <w:numPr>
          <w:ilvl w:val="0"/>
          <w:numId w:val="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ISSUED WARRANTS PRESENTATION</w:t>
      </w:r>
    </w:p>
    <w:p>
      <w:pPr>
        <w:spacing w:after="0" w:line="138" w:lineRule="exact"/>
        <w:rPr>
          <w:rFonts w:ascii="Courier New" w:cs="Courier New" w:eastAsia="Courier New" w:hAnsi="Courier New"/>
          <w:sz w:val="12"/>
          <w:szCs w:val="12"/>
          <w:color w:val="auto"/>
        </w:rPr>
      </w:pPr>
    </w:p>
    <w:p>
      <w:pPr>
        <w:ind w:left="700" w:right="469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Under U.S. GAAP the Company's series 5 warrants were initially recorded as liability due to the ratchet provision included in them. Upon the effective date of the prospectus filed in Israel registering such warrants, the ratchet expired and the series 5 warrants were eligible for equity classification based on the criteria in EITF 00-19.</w:t>
      </w:r>
    </w:p>
    <w:p>
      <w:pPr>
        <w:spacing w:after="0" w:line="140"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Complying with the above would have resulted as of March 31, 2007 mainly in a decrease in other long term liabilities and an increase in shareholder's equity in the amount of $2,341. The Company's loss for the three-month period ended March 31, 2007 would have increased in the amount of $747.</w:t>
      </w:r>
    </w:p>
    <w:p>
      <w:pPr>
        <w:spacing w:after="0" w:line="135"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2007 PRIVATE PLACEMENT</w:t>
      </w:r>
    </w:p>
    <w:p>
      <w:pPr>
        <w:spacing w:after="0" w:line="138" w:lineRule="exact"/>
        <w:rPr>
          <w:rFonts w:ascii="Courier New" w:cs="Courier New" w:eastAsia="Courier New" w:hAnsi="Courier New"/>
          <w:sz w:val="12"/>
          <w:szCs w:val="12"/>
          <w:color w:val="auto"/>
        </w:rPr>
      </w:pPr>
    </w:p>
    <w:p>
      <w:pPr>
        <w:ind w:left="700" w:right="469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Under US GAAP all components in the private placement should be classified in equity. As of March 2007 this difference will result in a decrease in liabilities and increase in shareholders equity in the amount of $3,897.</w:t>
      </w:r>
    </w:p>
    <w:p>
      <w:pPr>
        <w:spacing w:after="0" w:line="136"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EMPLOYEE STOCK BASED COMPENSATION</w:t>
      </w:r>
    </w:p>
    <w:p>
      <w:pPr>
        <w:spacing w:after="0" w:line="138" w:lineRule="exact"/>
        <w:rPr>
          <w:rFonts w:ascii="Courier New" w:cs="Courier New" w:eastAsia="Courier New" w:hAnsi="Courier New"/>
          <w:sz w:val="12"/>
          <w:szCs w:val="12"/>
          <w:color w:val="auto"/>
        </w:rPr>
      </w:pPr>
    </w:p>
    <w:p>
      <w:pPr>
        <w:ind w:left="700" w:right="4619"/>
        <w:spacing w:after="0" w:line="260"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Company adopted, effective January 1, 2006, SFAS 123R according to which the compensation expense related to employee and directors share option awards would have resulted in an increase in the compensations expenses for the period ending March 31, 2007 in the amount of $289.</w:t>
      </w:r>
    </w:p>
    <w:p>
      <w:pPr>
        <w:ind w:left="700" w:right="469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elected the modified prospective method as its transition method. The adoption of SFAS 123R for US GAAP along with the adoption of Standard no. 24 for Israeli GAAP, decreased the potential differences between US GAAP and Israeli GAAP as it related to stock based compensation.</w:t>
      </w:r>
    </w:p>
    <w:p>
      <w:pPr>
        <w:spacing w:after="0" w:line="135"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FACILITY AGREEMENT</w:t>
      </w:r>
    </w:p>
    <w:p>
      <w:pPr>
        <w:spacing w:after="0" w:line="138" w:lineRule="exact"/>
        <w:rPr>
          <w:rFonts w:ascii="Courier New" w:cs="Courier New" w:eastAsia="Courier New" w:hAnsi="Courier New"/>
          <w:sz w:val="12"/>
          <w:szCs w:val="12"/>
          <w:color w:val="auto"/>
        </w:rPr>
      </w:pPr>
    </w:p>
    <w:p>
      <w:pPr>
        <w:ind w:left="700" w:right="4619"/>
        <w:spacing w:after="0" w:line="260"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Under US GAAP the debt modification under the Amendment to the Company's facility agreement, which closed in September 2006, is considered troubled debt restructuring within the scope of FASB No. 15 Accounting by Debtors and Creditors for Troubled Debt Restructurings which requires the following: (i) the amount considered settled for shares and classified in equity is based on the price per share as quoted at the closing date; (ii) the remaining balance after deduction of the amount used as proceeds for the share issuance in (i) above, will remain outstanding ; (iii) a new, lower effective interest rate will be calculated as the interest rate that equates future payments to the outstanding balance; and (iv) no gains or losses are recognized in the current period. During the first quarter of 2007 the Company decided to early adopt the provisions of SFAS No. 159 THE FAIR VALUE OPTION FOR FINANCIAL ASSETS AND FINANCIAL LIABILITIES. As required by the standard the Company also adopted the provisions of FASB 157 FAIR VALUE MEASUREMENTS. The adoption of the standard is effective January 1, 2007. According to the standard the Company can choose to carry at fair value eligible items as defined in the standard, from the date of early adoption and accordingly the Company decided to apply the fair value option to the Facility agreement.</w:t>
      </w:r>
    </w:p>
    <w:p>
      <w:pPr>
        <w:spacing w:after="0" w:line="200" w:lineRule="exact"/>
        <w:rPr>
          <w:rFonts w:ascii="Courier New" w:cs="Courier New" w:eastAsia="Courier New" w:hAnsi="Courier New"/>
          <w:sz w:val="12"/>
          <w:szCs w:val="12"/>
          <w:color w:val="auto"/>
        </w:rPr>
      </w:pPr>
    </w:p>
    <w:p>
      <w:pPr>
        <w:spacing w:after="0" w:line="203" w:lineRule="exact"/>
        <w:rPr>
          <w:rFonts w:ascii="Courier New" w:cs="Courier New" w:eastAsia="Courier New" w:hAnsi="Courier New"/>
          <w:sz w:val="12"/>
          <w:szCs w:val="12"/>
          <w:color w:val="auto"/>
        </w:rPr>
      </w:pPr>
    </w:p>
    <w:p>
      <w:pPr>
        <w:ind w:left="2740" w:hanging="149"/>
        <w:spacing w:after="0"/>
        <w:tabs>
          <w:tab w:leader="none" w:pos="2740" w:val="left"/>
        </w:tabs>
        <w:numPr>
          <w:ilvl w:val="1"/>
          <w:numId w:val="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16 -</w:t>
      </w:r>
    </w:p>
    <w:p>
      <w:pPr>
        <w:spacing w:after="0" w:line="386"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2"/>
          <w:szCs w:val="12"/>
          <w:color w:val="auto"/>
        </w:rPr>
        <w:t>TOWER SEMICONDUCTOR LTD. AND SUBSIDIARY</w:t>
      </w:r>
    </w:p>
    <w:p>
      <w:pPr>
        <w:jc w:val="center"/>
        <w:ind w:right="4559"/>
        <w:spacing w:after="0"/>
        <w:rPr>
          <w:sz w:val="20"/>
          <w:szCs w:val="20"/>
          <w:color w:val="auto"/>
        </w:rPr>
      </w:pPr>
      <w:r>
        <w:rPr>
          <w:rFonts w:ascii="Courier New" w:cs="Courier New" w:eastAsia="Courier New" w:hAnsi="Courier New"/>
          <w:sz w:val="12"/>
          <w:szCs w:val="12"/>
          <w:color w:val="auto"/>
        </w:rPr>
        <w:t>NOTES TO UNAUDITED CONDENSED INTERIM CONSOLIDATED</w:t>
      </w:r>
    </w:p>
    <w:p>
      <w:pPr>
        <w:ind w:left="1400"/>
        <w:spacing w:after="0" w:line="237" w:lineRule="auto"/>
        <w:rPr>
          <w:sz w:val="20"/>
          <w:szCs w:val="20"/>
          <w:color w:val="auto"/>
        </w:rPr>
      </w:pPr>
      <w:r>
        <w:rPr>
          <w:rFonts w:ascii="Courier New" w:cs="Courier New" w:eastAsia="Courier New" w:hAnsi="Courier New"/>
          <w:sz w:val="12"/>
          <w:szCs w:val="12"/>
          <w:color w:val="auto"/>
        </w:rPr>
        <w:t>FINANCIAL STATEMENTS AS OF MARCH 31, 2007</w:t>
      </w: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5 - MATERIAL DIFFERENCES BETWEEN ISRAELI AND U.S. GAAP (CONT.)</w:t>
      </w:r>
    </w:p>
    <w:p>
      <w:pPr>
        <w:spacing w:after="0" w:line="134" w:lineRule="exact"/>
        <w:rPr>
          <w:sz w:val="20"/>
          <w:szCs w:val="20"/>
          <w:color w:val="auto"/>
        </w:rPr>
      </w:pPr>
    </w:p>
    <w:p>
      <w:pPr>
        <w:ind w:left="700" w:hanging="357"/>
        <w:spacing w:after="0"/>
        <w:tabs>
          <w:tab w:leader="none" w:pos="700" w:val="left"/>
        </w:tabs>
        <w:numPr>
          <w:ilvl w:val="0"/>
          <w:numId w:val="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FACILITY AGREEMENT (CONT.)</w:t>
      </w:r>
    </w:p>
    <w:p>
      <w:pPr>
        <w:spacing w:after="0" w:line="138" w:lineRule="exact"/>
        <w:rPr>
          <w:rFonts w:ascii="Courier New" w:cs="Courier New" w:eastAsia="Courier New" w:hAnsi="Courier New"/>
          <w:sz w:val="12"/>
          <w:szCs w:val="12"/>
          <w:color w:val="auto"/>
        </w:rPr>
      </w:pPr>
    </w:p>
    <w:p>
      <w:pPr>
        <w:ind w:left="70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effect of applying the fair value option to the facility agreement as of the January 1, 2007 was $65,207 which has been recorded as a cumulative effect adjustment to retained earnings (no tax effects have been recorded). The carrying amount of the facility agreement prior to the adoption was $432,430 and immediately after was $ 367,223. The Company reasoned it election of the fair value option for the facility agreement on the fact that the application of FASB 15 to the facility agreement did not reflect the economic benefits that has been achieved with the consummation of the facility agreement and that the application of the fair value reflect such benefits in more economic way. Also the adoption of the fair value option will decrease the GAAP</w:t>
      </w:r>
    </w:p>
    <w:p>
      <w:pPr>
        <w:sectPr>
          <w:pgSz w:w="11900" w:h="16838" w:orient="portrait"/>
          <w:cols w:equalWidth="0" w:num="1">
            <w:col w:w="10239"/>
          </w:cols>
          <w:pgMar w:left="220" w:top="137" w:right="1440" w:bottom="0" w:gutter="0" w:footer="0" w:header="0"/>
        </w:sectPr>
      </w:pPr>
    </w:p>
    <w:bookmarkStart w:id="10" w:name="page11"/>
    <w:bookmarkEnd w:id="10"/>
    <w:p>
      <w:pPr>
        <w:ind w:left="700"/>
        <w:spacing w:after="0"/>
        <w:rPr>
          <w:sz w:val="20"/>
          <w:szCs w:val="20"/>
          <w:color w:val="auto"/>
        </w:rPr>
      </w:pPr>
      <w:r>
        <w:rPr>
          <w:rFonts w:ascii="Courier New" w:cs="Courier New" w:eastAsia="Courier New" w:hAnsi="Courier New"/>
          <w:sz w:val="12"/>
          <w:szCs w:val="12"/>
          <w:color w:val="auto"/>
        </w:rPr>
        <w:t>difference that currently exist between Israeli GAAP and IFRS vs. the</w:t>
      </w:r>
    </w:p>
    <w:p>
      <w:pPr>
        <w:ind w:left="700"/>
        <w:spacing w:after="0"/>
        <w:rPr>
          <w:sz w:val="20"/>
          <w:szCs w:val="20"/>
          <w:color w:val="auto"/>
        </w:rPr>
      </w:pPr>
      <w:r>
        <w:rPr>
          <w:rFonts w:ascii="Courier New" w:cs="Courier New" w:eastAsia="Courier New" w:hAnsi="Courier New"/>
          <w:sz w:val="12"/>
          <w:szCs w:val="12"/>
          <w:color w:val="auto"/>
        </w:rPr>
        <w:t>US GAAP.</w:t>
      </w:r>
    </w:p>
    <w:p>
      <w:pPr>
        <w:spacing w:after="0" w:line="133"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Under US GAAP the debt modification under the Amendment is considered</w:t>
      </w:r>
    </w:p>
    <w:p>
      <w:pPr>
        <w:ind w:left="700"/>
        <w:spacing w:after="0"/>
        <w:rPr>
          <w:sz w:val="20"/>
          <w:szCs w:val="20"/>
          <w:color w:val="auto"/>
        </w:rPr>
      </w:pPr>
      <w:r>
        <w:rPr>
          <w:rFonts w:ascii="Courier New" w:cs="Courier New" w:eastAsia="Courier New" w:hAnsi="Courier New"/>
          <w:sz w:val="12"/>
          <w:szCs w:val="12"/>
          <w:color w:val="auto"/>
        </w:rPr>
        <w:t>to include an embedded derivative that should be separately accounted</w:t>
      </w:r>
    </w:p>
    <w:p>
      <w:pPr>
        <w:ind w:left="700"/>
        <w:spacing w:after="0" w:line="237" w:lineRule="auto"/>
        <w:rPr>
          <w:sz w:val="20"/>
          <w:szCs w:val="20"/>
          <w:color w:val="auto"/>
        </w:rPr>
      </w:pPr>
      <w:r>
        <w:rPr>
          <w:rFonts w:ascii="Courier New" w:cs="Courier New" w:eastAsia="Courier New" w:hAnsi="Courier New"/>
          <w:sz w:val="12"/>
          <w:szCs w:val="12"/>
          <w:color w:val="auto"/>
        </w:rPr>
        <w:t>for. The Company considered the obligation to issue shares as agreed</w:t>
      </w:r>
    </w:p>
    <w:p>
      <w:pPr>
        <w:ind w:left="700"/>
        <w:spacing w:after="0"/>
        <w:rPr>
          <w:sz w:val="20"/>
          <w:szCs w:val="20"/>
          <w:color w:val="auto"/>
        </w:rPr>
      </w:pPr>
      <w:r>
        <w:rPr>
          <w:rFonts w:ascii="Courier New" w:cs="Courier New" w:eastAsia="Courier New" w:hAnsi="Courier New"/>
          <w:sz w:val="12"/>
          <w:szCs w:val="12"/>
          <w:color w:val="auto"/>
        </w:rPr>
        <w:t>with the Banks and determined that it contains two components (i) a</w:t>
      </w:r>
    </w:p>
    <w:p>
      <w:pPr>
        <w:ind w:left="700"/>
        <w:spacing w:after="0" w:line="237" w:lineRule="auto"/>
        <w:rPr>
          <w:sz w:val="20"/>
          <w:szCs w:val="20"/>
          <w:color w:val="auto"/>
        </w:rPr>
      </w:pPr>
      <w:r>
        <w:rPr>
          <w:rFonts w:ascii="Courier New" w:cs="Courier New" w:eastAsia="Courier New" w:hAnsi="Courier New"/>
          <w:sz w:val="12"/>
          <w:szCs w:val="12"/>
          <w:color w:val="auto"/>
        </w:rPr>
        <w:t>contingent component and (ii) an uncontingent component. The</w:t>
      </w:r>
    </w:p>
    <w:p>
      <w:pPr>
        <w:ind w:left="700"/>
        <w:spacing w:after="0"/>
        <w:rPr>
          <w:sz w:val="20"/>
          <w:szCs w:val="20"/>
          <w:color w:val="auto"/>
        </w:rPr>
      </w:pPr>
      <w:r>
        <w:rPr>
          <w:rFonts w:ascii="Courier New" w:cs="Courier New" w:eastAsia="Courier New" w:hAnsi="Courier New"/>
          <w:sz w:val="12"/>
          <w:szCs w:val="12"/>
          <w:color w:val="auto"/>
        </w:rPr>
        <w:t>contingent component is the obligation to issue shares equal to half</w:t>
      </w:r>
    </w:p>
    <w:p>
      <w:pPr>
        <w:ind w:left="700"/>
        <w:spacing w:after="0" w:line="237" w:lineRule="auto"/>
        <w:rPr>
          <w:sz w:val="20"/>
          <w:szCs w:val="20"/>
          <w:color w:val="auto"/>
        </w:rPr>
      </w:pPr>
      <w:r>
        <w:rPr>
          <w:rFonts w:ascii="Courier New" w:cs="Courier New" w:eastAsia="Courier New" w:hAnsi="Courier New"/>
          <w:sz w:val="12"/>
          <w:szCs w:val="12"/>
          <w:color w:val="auto"/>
        </w:rPr>
        <w:t>of the amount of the Decreased Amount if the Fourth Quarter 2010 Price</w:t>
      </w:r>
    </w:p>
    <w:p>
      <w:pPr>
        <w:ind w:left="700"/>
        <w:spacing w:after="0"/>
        <w:rPr>
          <w:sz w:val="20"/>
          <w:szCs w:val="20"/>
          <w:color w:val="auto"/>
        </w:rPr>
      </w:pPr>
      <w:r>
        <w:rPr>
          <w:rFonts w:ascii="Courier New" w:cs="Courier New" w:eastAsia="Courier New" w:hAnsi="Courier New"/>
          <w:sz w:val="12"/>
          <w:szCs w:val="12"/>
          <w:color w:val="auto"/>
        </w:rPr>
        <w:t>is less than $3.49. The uncontingent component is the obligation to</w:t>
      </w:r>
    </w:p>
    <w:p>
      <w:pPr>
        <w:ind w:left="700"/>
        <w:spacing w:after="0" w:line="237" w:lineRule="auto"/>
        <w:rPr>
          <w:sz w:val="20"/>
          <w:szCs w:val="20"/>
          <w:color w:val="auto"/>
        </w:rPr>
      </w:pPr>
      <w:r>
        <w:rPr>
          <w:rFonts w:ascii="Courier New" w:cs="Courier New" w:eastAsia="Courier New" w:hAnsi="Courier New"/>
          <w:sz w:val="12"/>
          <w:szCs w:val="12"/>
          <w:color w:val="auto"/>
        </w:rPr>
        <w:t>issue shares equal to half of the Decreased Amount regardless of the</w:t>
      </w:r>
    </w:p>
    <w:p>
      <w:pPr>
        <w:ind w:left="700"/>
        <w:spacing w:after="0"/>
        <w:rPr>
          <w:sz w:val="20"/>
          <w:szCs w:val="20"/>
          <w:color w:val="auto"/>
        </w:rPr>
      </w:pPr>
      <w:r>
        <w:rPr>
          <w:rFonts w:ascii="Courier New" w:cs="Courier New" w:eastAsia="Courier New" w:hAnsi="Courier New"/>
          <w:sz w:val="12"/>
          <w:szCs w:val="12"/>
          <w:color w:val="auto"/>
        </w:rPr>
        <w:t>Fourth Quarter 2010 Price. The Company accounted for the uncontingent</w:t>
      </w:r>
    </w:p>
    <w:p>
      <w:pPr>
        <w:ind w:left="700"/>
        <w:spacing w:after="0" w:line="237" w:lineRule="auto"/>
        <w:rPr>
          <w:sz w:val="20"/>
          <w:szCs w:val="20"/>
          <w:color w:val="auto"/>
        </w:rPr>
      </w:pPr>
      <w:r>
        <w:rPr>
          <w:rFonts w:ascii="Courier New" w:cs="Courier New" w:eastAsia="Courier New" w:hAnsi="Courier New"/>
          <w:sz w:val="12"/>
          <w:szCs w:val="12"/>
          <w:color w:val="auto"/>
        </w:rPr>
        <w:t>component as an additional interest expense and calculated the</w:t>
      </w:r>
    </w:p>
    <w:p>
      <w:pPr>
        <w:ind w:left="700"/>
        <w:spacing w:after="0"/>
        <w:rPr>
          <w:sz w:val="20"/>
          <w:szCs w:val="20"/>
          <w:color w:val="auto"/>
        </w:rPr>
      </w:pPr>
      <w:r>
        <w:rPr>
          <w:rFonts w:ascii="Courier New" w:cs="Courier New" w:eastAsia="Courier New" w:hAnsi="Courier New"/>
          <w:sz w:val="12"/>
          <w:szCs w:val="12"/>
          <w:color w:val="auto"/>
        </w:rPr>
        <w:t>effective interest rate to include such expense. The Company treated</w:t>
      </w:r>
    </w:p>
    <w:p>
      <w:pPr>
        <w:ind w:left="700"/>
        <w:spacing w:after="0" w:line="237" w:lineRule="auto"/>
        <w:rPr>
          <w:sz w:val="20"/>
          <w:szCs w:val="20"/>
          <w:color w:val="auto"/>
        </w:rPr>
      </w:pPr>
      <w:r>
        <w:rPr>
          <w:rFonts w:ascii="Courier New" w:cs="Courier New" w:eastAsia="Courier New" w:hAnsi="Courier New"/>
          <w:sz w:val="12"/>
          <w:szCs w:val="12"/>
          <w:color w:val="auto"/>
        </w:rPr>
        <w:t>the uncontingent component as an embedded derivative that needs to be</w:t>
      </w:r>
    </w:p>
    <w:p>
      <w:pPr>
        <w:ind w:left="700"/>
        <w:spacing w:after="0"/>
        <w:rPr>
          <w:sz w:val="20"/>
          <w:szCs w:val="20"/>
          <w:color w:val="auto"/>
        </w:rPr>
      </w:pPr>
      <w:r>
        <w:rPr>
          <w:rFonts w:ascii="Courier New" w:cs="Courier New" w:eastAsia="Courier New" w:hAnsi="Courier New"/>
          <w:sz w:val="12"/>
          <w:szCs w:val="12"/>
          <w:color w:val="auto"/>
        </w:rPr>
        <w:t>bifurcated and separately accounted for based on fair value. Initial</w:t>
      </w:r>
    </w:p>
    <w:p>
      <w:pPr>
        <w:ind w:left="700"/>
        <w:spacing w:after="0" w:line="237" w:lineRule="auto"/>
        <w:rPr>
          <w:sz w:val="20"/>
          <w:szCs w:val="20"/>
          <w:color w:val="auto"/>
        </w:rPr>
      </w:pPr>
      <w:r>
        <w:rPr>
          <w:rFonts w:ascii="Courier New" w:cs="Courier New" w:eastAsia="Courier New" w:hAnsi="Courier New"/>
          <w:sz w:val="12"/>
          <w:szCs w:val="12"/>
          <w:color w:val="auto"/>
        </w:rPr>
        <w:t>separation of the embedded derivative will be done using the "with and</w:t>
      </w:r>
    </w:p>
    <w:p>
      <w:pPr>
        <w:ind w:left="700"/>
        <w:spacing w:after="0"/>
        <w:rPr>
          <w:sz w:val="20"/>
          <w:szCs w:val="20"/>
          <w:color w:val="auto"/>
        </w:rPr>
      </w:pPr>
      <w:r>
        <w:rPr>
          <w:rFonts w:ascii="Courier New" w:cs="Courier New" w:eastAsia="Courier New" w:hAnsi="Courier New"/>
          <w:sz w:val="12"/>
          <w:szCs w:val="12"/>
          <w:color w:val="auto"/>
        </w:rPr>
        <w:t>without" method described in DIG Issue B6. Changes in the fair value</w:t>
      </w:r>
    </w:p>
    <w:p>
      <w:pPr>
        <w:ind w:left="700"/>
        <w:spacing w:after="0" w:line="237" w:lineRule="auto"/>
        <w:rPr>
          <w:sz w:val="20"/>
          <w:szCs w:val="20"/>
          <w:color w:val="auto"/>
        </w:rPr>
      </w:pPr>
      <w:r>
        <w:rPr>
          <w:rFonts w:ascii="Courier New" w:cs="Courier New" w:eastAsia="Courier New" w:hAnsi="Courier New"/>
          <w:sz w:val="12"/>
          <w:szCs w:val="12"/>
          <w:color w:val="auto"/>
        </w:rPr>
        <w:t>of the embedded derivative will be included in financing expenses.</w:t>
      </w:r>
    </w:p>
    <w:p>
      <w:pPr>
        <w:spacing w:after="0" w:line="135"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All the above resulted in a decrease of $9,704 in the shareholders</w:t>
      </w:r>
    </w:p>
    <w:p>
      <w:pPr>
        <w:ind w:left="700"/>
        <w:spacing w:after="0"/>
        <w:rPr>
          <w:sz w:val="20"/>
          <w:szCs w:val="20"/>
          <w:color w:val="auto"/>
        </w:rPr>
      </w:pPr>
      <w:r>
        <w:rPr>
          <w:rFonts w:ascii="Courier New" w:cs="Courier New" w:eastAsia="Courier New" w:hAnsi="Courier New"/>
          <w:sz w:val="12"/>
          <w:szCs w:val="12"/>
          <w:color w:val="auto"/>
        </w:rPr>
        <w:t>equity and an increase of the same amount in the long-term loans from</w:t>
      </w:r>
    </w:p>
    <w:p>
      <w:pPr>
        <w:ind w:left="700"/>
        <w:spacing w:after="0" w:line="237" w:lineRule="auto"/>
        <w:rPr>
          <w:sz w:val="20"/>
          <w:szCs w:val="20"/>
          <w:color w:val="auto"/>
        </w:rPr>
      </w:pPr>
      <w:r>
        <w:rPr>
          <w:rFonts w:ascii="Courier New" w:cs="Courier New" w:eastAsia="Courier New" w:hAnsi="Courier New"/>
          <w:sz w:val="12"/>
          <w:szCs w:val="12"/>
          <w:color w:val="auto"/>
        </w:rPr>
        <w:t>the banks as of March 31, 2007. The decrease in the shareholders</w:t>
      </w:r>
    </w:p>
    <w:p>
      <w:pPr>
        <w:ind w:left="700"/>
        <w:spacing w:after="0"/>
        <w:rPr>
          <w:sz w:val="20"/>
          <w:szCs w:val="20"/>
          <w:color w:val="auto"/>
        </w:rPr>
      </w:pPr>
      <w:r>
        <w:rPr>
          <w:rFonts w:ascii="Courier New" w:cs="Courier New" w:eastAsia="Courier New" w:hAnsi="Courier New"/>
          <w:sz w:val="12"/>
          <w:szCs w:val="12"/>
          <w:color w:val="auto"/>
        </w:rPr>
        <w:t>equity includes cumulative effect as of December 31, 2006, which</w:t>
      </w:r>
    </w:p>
    <w:p>
      <w:pPr>
        <w:ind w:left="700"/>
        <w:spacing w:after="0" w:line="237" w:lineRule="auto"/>
        <w:rPr>
          <w:sz w:val="20"/>
          <w:szCs w:val="20"/>
          <w:color w:val="auto"/>
        </w:rPr>
      </w:pPr>
      <w:r>
        <w:rPr>
          <w:rFonts w:ascii="Courier New" w:cs="Courier New" w:eastAsia="Courier New" w:hAnsi="Courier New"/>
          <w:sz w:val="12"/>
          <w:szCs w:val="12"/>
          <w:color w:val="auto"/>
        </w:rPr>
        <w:t>decreased the accumulated deficit in the amount of $65,207. The</w:t>
      </w:r>
    </w:p>
    <w:p>
      <w:pPr>
        <w:ind w:left="700"/>
        <w:spacing w:after="0"/>
        <w:rPr>
          <w:sz w:val="20"/>
          <w:szCs w:val="20"/>
          <w:color w:val="auto"/>
        </w:rPr>
      </w:pPr>
      <w:r>
        <w:rPr>
          <w:rFonts w:ascii="Courier New" w:cs="Courier New" w:eastAsia="Courier New" w:hAnsi="Courier New"/>
          <w:sz w:val="12"/>
          <w:szCs w:val="12"/>
          <w:color w:val="auto"/>
        </w:rPr>
        <w:t>Company's loss for the three-month period ended March 31, 2007 would</w:t>
      </w:r>
    </w:p>
    <w:p>
      <w:pPr>
        <w:ind w:left="700"/>
        <w:spacing w:after="0" w:line="237" w:lineRule="auto"/>
        <w:rPr>
          <w:sz w:val="20"/>
          <w:szCs w:val="20"/>
          <w:color w:val="auto"/>
        </w:rPr>
      </w:pPr>
      <w:r>
        <w:rPr>
          <w:rFonts w:ascii="Courier New" w:cs="Courier New" w:eastAsia="Courier New" w:hAnsi="Courier New"/>
          <w:sz w:val="12"/>
          <w:szCs w:val="12"/>
          <w:color w:val="auto"/>
        </w:rPr>
        <w:t>have decreased in the amount of $572.</w:t>
      </w: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- 17 -</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120"/>
        <w:spacing w:after="0"/>
        <w:rPr>
          <w:sz w:val="20"/>
          <w:szCs w:val="20"/>
          <w:color w:val="auto"/>
        </w:rPr>
      </w:pPr>
      <w:r>
        <w:rPr>
          <w:rFonts w:ascii="Courier New" w:cs="Courier New" w:eastAsia="Courier New" w:hAnsi="Courier New"/>
          <w:sz w:val="12"/>
          <w:szCs w:val="12"/>
          <w:color w:val="auto"/>
        </w:rPr>
        <w:t>NOTES TO UNAUDITED CONDENSED INTERIM CONSOLIDATED</w:t>
      </w:r>
    </w:p>
    <w:p>
      <w:pPr>
        <w:ind w:left="1400"/>
        <w:spacing w:after="0" w:line="237" w:lineRule="auto"/>
        <w:rPr>
          <w:sz w:val="20"/>
          <w:szCs w:val="20"/>
          <w:color w:val="auto"/>
        </w:rPr>
      </w:pPr>
      <w:r>
        <w:rPr>
          <w:rFonts w:ascii="Courier New" w:cs="Courier New" w:eastAsia="Courier New" w:hAnsi="Courier New"/>
          <w:sz w:val="12"/>
          <w:szCs w:val="12"/>
          <w:color w:val="auto"/>
        </w:rPr>
        <w:t>FINANCIAL STATEMENTS AS OF MARCH 31,2007</w:t>
      </w: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5 - MATERIAL DIFFERENCES BETWEEN ISRAEL AND U.S. GAAP (CONT.)</w:t>
      </w:r>
    </w:p>
    <w:p>
      <w:pPr>
        <w:spacing w:after="0" w:line="134" w:lineRule="exact"/>
        <w:rPr>
          <w:sz w:val="20"/>
          <w:szCs w:val="20"/>
          <w:color w:val="auto"/>
        </w:rPr>
      </w:pPr>
    </w:p>
    <w:p>
      <w:pPr>
        <w:ind w:left="700" w:hanging="357"/>
        <w:spacing w:after="0"/>
        <w:tabs>
          <w:tab w:leader="none" w:pos="700" w:val="left"/>
        </w:tabs>
        <w:numPr>
          <w:ilvl w:val="0"/>
          <w:numId w:val="16"/>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BALANCE SHEETS IN ACCORDANCE WITH U.S. GAAP</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80" w:type="dxa"/>
            <w:vAlign w:val="bottom"/>
            <w:gridSpan w:val="3"/>
          </w:tcPr>
          <w:p>
            <w:pPr>
              <w:jc w:val="right"/>
              <w:ind w:right="21"/>
              <w:spacing w:after="0"/>
              <w:rPr>
                <w:sz w:val="20"/>
                <w:szCs w:val="20"/>
                <w:color w:val="auto"/>
              </w:rPr>
            </w:pPr>
            <w:r>
              <w:rPr>
                <w:rFonts w:ascii="Courier New" w:cs="Courier New" w:eastAsia="Courier New" w:hAnsi="Courier New"/>
                <w:sz w:val="12"/>
                <w:szCs w:val="12"/>
                <w:color w:val="auto"/>
              </w:rPr>
              <w:t>AS OF MARCH 31, 2007</w:t>
            </w:r>
          </w:p>
        </w:tc>
        <w:tc>
          <w:tcPr>
            <w:tcW w:w="660" w:type="dxa"/>
            <w:vAlign w:val="bottom"/>
          </w:tcPr>
          <w:p>
            <w:pPr>
              <w:spacing w:after="0"/>
              <w:rPr>
                <w:sz w:val="11"/>
                <w:szCs w:val="11"/>
                <w:color w:val="auto"/>
              </w:rPr>
            </w:pPr>
          </w:p>
        </w:tc>
        <w:tc>
          <w:tcPr>
            <w:tcW w:w="2640" w:type="dxa"/>
            <w:vAlign w:val="bottom"/>
            <w:gridSpan w:val="3"/>
          </w:tcPr>
          <w:p>
            <w:pPr>
              <w:jc w:val="center"/>
              <w:spacing w:after="0"/>
              <w:rPr>
                <w:sz w:val="20"/>
                <w:szCs w:val="20"/>
                <w:color w:val="auto"/>
              </w:rPr>
            </w:pPr>
            <w:r>
              <w:rPr>
                <w:rFonts w:ascii="Courier New" w:cs="Courier New" w:eastAsia="Courier New" w:hAnsi="Courier New"/>
                <w:sz w:val="12"/>
                <w:szCs w:val="12"/>
                <w:color w:val="auto"/>
                <w:w w:val="97"/>
              </w:rPr>
              <w:t>AS OF DECEMBER 31, 2006</w:t>
            </w:r>
          </w:p>
        </w:tc>
      </w:tr>
      <w:tr>
        <w:trPr>
          <w:trHeight w:val="135"/>
        </w:trPr>
        <w:tc>
          <w:tcPr>
            <w:tcW w:w="2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40" w:type="dxa"/>
            <w:vAlign w:val="bottom"/>
            <w:gridSpan w:val="3"/>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2980" w:type="dxa"/>
            <w:vAlign w:val="bottom"/>
          </w:tcPr>
          <w:p>
            <w:pPr>
              <w:spacing w:after="0"/>
              <w:rPr>
                <w:sz w:val="11"/>
                <w:szCs w:val="11"/>
                <w:color w:val="auto"/>
              </w:rPr>
            </w:pPr>
          </w:p>
        </w:tc>
        <w:tc>
          <w:tcPr>
            <w:tcW w:w="840" w:type="dxa"/>
            <w:vAlign w:val="bottom"/>
          </w:tcPr>
          <w:p>
            <w:pPr>
              <w:jc w:val="center"/>
              <w:ind w:right="21"/>
              <w:spacing w:after="0"/>
              <w:rPr>
                <w:sz w:val="20"/>
                <w:szCs w:val="20"/>
                <w:color w:val="auto"/>
              </w:rPr>
            </w:pPr>
            <w:r>
              <w:rPr>
                <w:rFonts w:ascii="Courier New" w:cs="Courier New" w:eastAsia="Courier New" w:hAnsi="Courier New"/>
                <w:sz w:val="12"/>
                <w:szCs w:val="12"/>
                <w:color w:val="auto"/>
                <w:w w:val="97"/>
              </w:rPr>
              <w:t>U.S.</w:t>
            </w:r>
          </w:p>
        </w:tc>
        <w:tc>
          <w:tcPr>
            <w:tcW w:w="1020" w:type="dxa"/>
            <w:vAlign w:val="bottom"/>
          </w:tcPr>
          <w:p>
            <w:pPr>
              <w:ind w:left="240"/>
              <w:spacing w:after="0"/>
              <w:rPr>
                <w:sz w:val="20"/>
                <w:szCs w:val="20"/>
                <w:color w:val="auto"/>
              </w:rPr>
            </w:pPr>
            <w:r>
              <w:rPr>
                <w:rFonts w:ascii="Courier New" w:cs="Courier New" w:eastAsia="Courier New" w:hAnsi="Courier New"/>
                <w:sz w:val="12"/>
                <w:szCs w:val="12"/>
                <w:color w:val="auto"/>
              </w:rPr>
              <w:t>AS PER</w:t>
            </w:r>
          </w:p>
        </w:tc>
        <w:tc>
          <w:tcPr>
            <w:tcW w:w="800" w:type="dxa"/>
            <w:vAlign w:val="bottom"/>
          </w:tcPr>
          <w:p>
            <w:pPr>
              <w:spacing w:after="0"/>
              <w:rPr>
                <w:sz w:val="11"/>
                <w:szCs w:val="11"/>
                <w:color w:val="auto"/>
              </w:rPr>
            </w:pPr>
          </w:p>
        </w:tc>
        <w:tc>
          <w:tcPr>
            <w:tcW w:w="92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AS PER</w:t>
            </w:r>
          </w:p>
        </w:tc>
        <w:tc>
          <w:tcPr>
            <w:tcW w:w="920" w:type="dxa"/>
            <w:vAlign w:val="bottom"/>
          </w:tcPr>
          <w:p>
            <w:pPr>
              <w:ind w:left="180"/>
              <w:spacing w:after="0"/>
              <w:rPr>
                <w:sz w:val="20"/>
                <w:szCs w:val="20"/>
                <w:color w:val="auto"/>
              </w:rPr>
            </w:pPr>
            <w:r>
              <w:rPr>
                <w:rFonts w:ascii="Courier New" w:cs="Courier New" w:eastAsia="Courier New" w:hAnsi="Courier New"/>
                <w:sz w:val="12"/>
                <w:szCs w:val="12"/>
                <w:color w:val="auto"/>
              </w:rPr>
              <w:t>AS PER</w:t>
            </w:r>
          </w:p>
        </w:tc>
        <w:tc>
          <w:tcPr>
            <w:tcW w:w="900" w:type="dxa"/>
            <w:vAlign w:val="bottom"/>
          </w:tcPr>
          <w:p>
            <w:pPr>
              <w:spacing w:after="0"/>
              <w:rPr>
                <w:sz w:val="11"/>
                <w:szCs w:val="11"/>
                <w:color w:val="auto"/>
              </w:rPr>
            </w:pPr>
          </w:p>
        </w:tc>
        <w:tc>
          <w:tcPr>
            <w:tcW w:w="8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AS PER</w:t>
            </w:r>
          </w:p>
        </w:tc>
      </w:tr>
      <w:tr>
        <w:trPr>
          <w:trHeight w:val="135"/>
        </w:trPr>
        <w:tc>
          <w:tcPr>
            <w:tcW w:w="2980" w:type="dxa"/>
            <w:vAlign w:val="bottom"/>
          </w:tcPr>
          <w:p>
            <w:pPr>
              <w:spacing w:after="0"/>
              <w:rPr>
                <w:sz w:val="11"/>
                <w:szCs w:val="11"/>
                <w:color w:val="auto"/>
              </w:rPr>
            </w:pPr>
          </w:p>
        </w:tc>
        <w:tc>
          <w:tcPr>
            <w:tcW w:w="840" w:type="dxa"/>
            <w:vAlign w:val="bottom"/>
          </w:tcPr>
          <w:p>
            <w:pPr>
              <w:jc w:val="center"/>
              <w:ind w:right="21"/>
              <w:spacing w:after="0"/>
              <w:rPr>
                <w:sz w:val="20"/>
                <w:szCs w:val="20"/>
                <w:color w:val="auto"/>
              </w:rPr>
            </w:pPr>
            <w:r>
              <w:rPr>
                <w:rFonts w:ascii="Courier New" w:cs="Courier New" w:eastAsia="Courier New" w:hAnsi="Courier New"/>
                <w:sz w:val="12"/>
                <w:szCs w:val="12"/>
                <w:color w:val="auto"/>
                <w:w w:val="97"/>
              </w:rPr>
              <w:t>GAAP</w:t>
            </w:r>
          </w:p>
        </w:tc>
        <w:tc>
          <w:tcPr>
            <w:tcW w:w="1020" w:type="dxa"/>
            <w:vAlign w:val="bottom"/>
          </w:tcPr>
          <w:p>
            <w:pPr>
              <w:ind w:left="240"/>
              <w:spacing w:after="0"/>
              <w:rPr>
                <w:sz w:val="20"/>
                <w:szCs w:val="20"/>
                <w:color w:val="auto"/>
              </w:rPr>
            </w:pPr>
            <w:r>
              <w:rPr>
                <w:rFonts w:ascii="Courier New" w:cs="Courier New" w:eastAsia="Courier New" w:hAnsi="Courier New"/>
                <w:sz w:val="12"/>
                <w:szCs w:val="12"/>
                <w:color w:val="auto"/>
              </w:rPr>
              <w:t>ISRAELI</w:t>
            </w:r>
          </w:p>
        </w:tc>
        <w:tc>
          <w:tcPr>
            <w:tcW w:w="8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ADJUST-</w:t>
            </w:r>
          </w:p>
        </w:tc>
        <w:tc>
          <w:tcPr>
            <w:tcW w:w="920" w:type="dxa"/>
            <w:vAlign w:val="bottom"/>
            <w:gridSpan w:val="2"/>
          </w:tcPr>
          <w:p>
            <w:pPr>
              <w:jc w:val="right"/>
              <w:ind w:right="321"/>
              <w:spacing w:after="0"/>
              <w:rPr>
                <w:sz w:val="20"/>
                <w:szCs w:val="20"/>
                <w:color w:val="auto"/>
              </w:rPr>
            </w:pPr>
            <w:r>
              <w:rPr>
                <w:rFonts w:ascii="Courier New" w:cs="Courier New" w:eastAsia="Courier New" w:hAnsi="Courier New"/>
                <w:sz w:val="12"/>
                <w:szCs w:val="12"/>
                <w:color w:val="auto"/>
              </w:rPr>
              <w:t>U.S.</w:t>
            </w:r>
          </w:p>
        </w:tc>
        <w:tc>
          <w:tcPr>
            <w:tcW w:w="920" w:type="dxa"/>
            <w:vAlign w:val="bottom"/>
          </w:tcPr>
          <w:p>
            <w:pPr>
              <w:ind w:left="180"/>
              <w:spacing w:after="0"/>
              <w:rPr>
                <w:sz w:val="20"/>
                <w:szCs w:val="20"/>
                <w:color w:val="auto"/>
              </w:rPr>
            </w:pPr>
            <w:r>
              <w:rPr>
                <w:rFonts w:ascii="Courier New" w:cs="Courier New" w:eastAsia="Courier New" w:hAnsi="Courier New"/>
                <w:sz w:val="12"/>
                <w:szCs w:val="12"/>
                <w:color w:val="auto"/>
              </w:rPr>
              <w:t>ISRAELI</w:t>
            </w:r>
          </w:p>
        </w:tc>
        <w:tc>
          <w:tcPr>
            <w:tcW w:w="900" w:type="dxa"/>
            <w:vAlign w:val="bottom"/>
          </w:tcPr>
          <w:p>
            <w:pPr>
              <w:jc w:val="center"/>
              <w:ind w:right="21"/>
              <w:spacing w:after="0"/>
              <w:rPr>
                <w:sz w:val="20"/>
                <w:szCs w:val="20"/>
                <w:color w:val="auto"/>
              </w:rPr>
            </w:pPr>
            <w:r>
              <w:rPr>
                <w:rFonts w:ascii="Courier New" w:cs="Courier New" w:eastAsia="Courier New" w:hAnsi="Courier New"/>
                <w:sz w:val="12"/>
                <w:szCs w:val="12"/>
                <w:color w:val="auto"/>
                <w:w w:val="99"/>
              </w:rPr>
              <w:t>ADJUST-</w:t>
            </w:r>
          </w:p>
        </w:tc>
        <w:tc>
          <w:tcPr>
            <w:tcW w:w="8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U.S.</w:t>
            </w:r>
          </w:p>
        </w:tc>
      </w:tr>
      <w:tr>
        <w:trPr>
          <w:trHeight w:val="135"/>
        </w:trPr>
        <w:tc>
          <w:tcPr>
            <w:tcW w:w="2980" w:type="dxa"/>
            <w:vAlign w:val="bottom"/>
          </w:tcPr>
          <w:p>
            <w:pPr>
              <w:spacing w:after="0"/>
              <w:rPr>
                <w:sz w:val="11"/>
                <w:szCs w:val="11"/>
                <w:color w:val="auto"/>
              </w:rPr>
            </w:pPr>
          </w:p>
        </w:tc>
        <w:tc>
          <w:tcPr>
            <w:tcW w:w="840" w:type="dxa"/>
            <w:vAlign w:val="bottom"/>
          </w:tcPr>
          <w:p>
            <w:pPr>
              <w:jc w:val="center"/>
              <w:ind w:right="1"/>
              <w:spacing w:after="0"/>
              <w:rPr>
                <w:sz w:val="20"/>
                <w:szCs w:val="20"/>
                <w:color w:val="auto"/>
              </w:rPr>
            </w:pPr>
            <w:r>
              <w:rPr>
                <w:rFonts w:ascii="Courier New" w:cs="Courier New" w:eastAsia="Courier New" w:hAnsi="Courier New"/>
                <w:sz w:val="12"/>
                <w:szCs w:val="12"/>
                <w:color w:val="auto"/>
                <w:w w:val="97"/>
              </w:rPr>
              <w:t>REMARK</w:t>
            </w:r>
          </w:p>
        </w:tc>
        <w:tc>
          <w:tcPr>
            <w:tcW w:w="102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GAAP</w:t>
            </w:r>
          </w:p>
        </w:tc>
        <w:tc>
          <w:tcPr>
            <w:tcW w:w="80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MENTS</w:t>
            </w:r>
          </w:p>
        </w:tc>
        <w:tc>
          <w:tcPr>
            <w:tcW w:w="920" w:type="dxa"/>
            <w:vAlign w:val="bottom"/>
            <w:gridSpan w:val="2"/>
          </w:tcPr>
          <w:p>
            <w:pPr>
              <w:jc w:val="right"/>
              <w:ind w:right="321"/>
              <w:spacing w:after="0"/>
              <w:rPr>
                <w:sz w:val="20"/>
                <w:szCs w:val="20"/>
                <w:color w:val="auto"/>
              </w:rPr>
            </w:pPr>
            <w:r>
              <w:rPr>
                <w:rFonts w:ascii="Courier New" w:cs="Courier New" w:eastAsia="Courier New" w:hAnsi="Courier New"/>
                <w:sz w:val="12"/>
                <w:szCs w:val="12"/>
                <w:color w:val="auto"/>
              </w:rPr>
              <w:t>GAAP</w:t>
            </w:r>
          </w:p>
        </w:tc>
        <w:tc>
          <w:tcPr>
            <w:tcW w:w="92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GAAP</w:t>
            </w:r>
          </w:p>
        </w:tc>
        <w:tc>
          <w:tcPr>
            <w:tcW w:w="900" w:type="dxa"/>
            <w:vAlign w:val="bottom"/>
          </w:tcPr>
          <w:p>
            <w:pPr>
              <w:jc w:val="center"/>
              <w:ind w:right="1"/>
              <w:spacing w:after="0"/>
              <w:rPr>
                <w:sz w:val="20"/>
                <w:szCs w:val="20"/>
                <w:color w:val="auto"/>
              </w:rPr>
            </w:pPr>
            <w:r>
              <w:rPr>
                <w:rFonts w:ascii="Courier New" w:cs="Courier New" w:eastAsia="Courier New" w:hAnsi="Courier New"/>
                <w:sz w:val="12"/>
                <w:szCs w:val="12"/>
                <w:color w:val="auto"/>
                <w:w w:val="99"/>
              </w:rPr>
              <w:t>MENTS</w:t>
            </w:r>
          </w:p>
        </w:tc>
        <w:tc>
          <w:tcPr>
            <w:tcW w:w="8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GAAP</w:t>
            </w:r>
          </w:p>
        </w:tc>
      </w:tr>
      <w:tr>
        <w:trPr>
          <w:trHeight w:val="135"/>
        </w:trPr>
        <w:tc>
          <w:tcPr>
            <w:tcW w:w="298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Courier New" w:cs="Courier New" w:eastAsia="Courier New" w:hAnsi="Courier New"/>
                <w:sz w:val="12"/>
                <w:szCs w:val="12"/>
                <w:color w:val="auto"/>
                <w:w w:val="98"/>
              </w:rPr>
              <w:t>---------</w:t>
            </w:r>
          </w:p>
        </w:tc>
        <w:tc>
          <w:tcPr>
            <w:tcW w:w="10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01"/>
              <w:spacing w:after="0"/>
              <w:rPr>
                <w:sz w:val="20"/>
                <w:szCs w:val="20"/>
                <w:color w:val="auto"/>
              </w:rPr>
            </w:pPr>
            <w:r>
              <w:rPr>
                <w:rFonts w:ascii="Courier New" w:cs="Courier New" w:eastAsia="Courier New" w:hAnsi="Courier New"/>
                <w:sz w:val="12"/>
                <w:szCs w:val="12"/>
                <w:color w:val="auto"/>
                <w:w w:val="95"/>
              </w:rPr>
              <w:t>---------</w:t>
            </w:r>
          </w:p>
        </w:tc>
        <w:tc>
          <w:tcPr>
            <w:tcW w:w="92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270"/>
        </w:trPr>
        <w:tc>
          <w:tcPr>
            <w:tcW w:w="2980" w:type="dxa"/>
            <w:vAlign w:val="bottom"/>
          </w:tcPr>
          <w:p>
            <w:pPr>
              <w:spacing w:after="0"/>
              <w:rPr>
                <w:sz w:val="20"/>
                <w:szCs w:val="20"/>
                <w:color w:val="auto"/>
              </w:rPr>
            </w:pPr>
            <w:r>
              <w:rPr>
                <w:rFonts w:ascii="Courier New" w:cs="Courier New" w:eastAsia="Courier New" w:hAnsi="Courier New"/>
                <w:sz w:val="12"/>
                <w:szCs w:val="12"/>
                <w:color w:val="auto"/>
              </w:rPr>
              <w:t>A S S E T S</w:t>
            </w:r>
          </w:p>
        </w:tc>
        <w:tc>
          <w:tcPr>
            <w:tcW w:w="8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0"/>
        </w:trPr>
        <w:tc>
          <w:tcPr>
            <w:tcW w:w="2980" w:type="dxa"/>
            <w:vAlign w:val="bottom"/>
          </w:tcPr>
          <w:p>
            <w:pPr>
              <w:ind w:left="340"/>
              <w:spacing w:after="0"/>
              <w:rPr>
                <w:sz w:val="20"/>
                <w:szCs w:val="20"/>
                <w:color w:val="auto"/>
              </w:rPr>
            </w:pPr>
            <w:r>
              <w:rPr>
                <w:rFonts w:ascii="Courier New" w:cs="Courier New" w:eastAsia="Courier New" w:hAnsi="Courier New"/>
                <w:sz w:val="12"/>
                <w:szCs w:val="12"/>
                <w:color w:val="auto"/>
              </w:rPr>
              <w:t>CURRENT ASSETS</w:t>
            </w:r>
          </w:p>
        </w:tc>
        <w:tc>
          <w:tcPr>
            <w:tcW w:w="8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135"/>
        </w:trPr>
        <w:tc>
          <w:tcPr>
            <w:tcW w:w="2980" w:type="dxa"/>
            <w:vAlign w:val="bottom"/>
          </w:tcPr>
          <w:p>
            <w:pPr>
              <w:ind w:left="560"/>
              <w:spacing w:after="0"/>
              <w:rPr>
                <w:sz w:val="20"/>
                <w:szCs w:val="20"/>
                <w:color w:val="auto"/>
              </w:rPr>
            </w:pPr>
            <w:r>
              <w:rPr>
                <w:rFonts w:ascii="Courier New" w:cs="Courier New" w:eastAsia="Courier New" w:hAnsi="Courier New"/>
                <w:sz w:val="12"/>
                <w:szCs w:val="12"/>
                <w:color w:val="auto"/>
              </w:rPr>
              <w:t>CASH AND CASH EQUIVALENTS</w:t>
            </w:r>
          </w:p>
        </w:tc>
        <w:tc>
          <w:tcPr>
            <w:tcW w:w="840" w:type="dxa"/>
            <w:vAlign w:val="bottom"/>
          </w:tcPr>
          <w:p>
            <w:pPr>
              <w:spacing w:after="0"/>
              <w:rPr>
                <w:sz w:val="11"/>
                <w:szCs w:val="11"/>
                <w:color w:val="auto"/>
              </w:rPr>
            </w:pPr>
          </w:p>
        </w:tc>
        <w:tc>
          <w:tcPr>
            <w:tcW w:w="10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  38,592</w:t>
            </w:r>
          </w:p>
        </w:tc>
        <w:tc>
          <w:tcPr>
            <w:tcW w:w="800" w:type="dxa"/>
            <w:vAlign w:val="bottom"/>
          </w:tcPr>
          <w:p>
            <w:pPr>
              <w:spacing w:after="0"/>
              <w:rPr>
                <w:sz w:val="11"/>
                <w:szCs w:val="11"/>
                <w:color w:val="auto"/>
              </w:rPr>
            </w:pPr>
          </w:p>
        </w:tc>
        <w:tc>
          <w:tcPr>
            <w:tcW w:w="2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38,592</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  39,710</w:t>
            </w:r>
          </w:p>
        </w:tc>
        <w:tc>
          <w:tcPr>
            <w:tcW w:w="900" w:type="dxa"/>
            <w:vAlign w:val="bottom"/>
          </w:tcPr>
          <w:p>
            <w:pPr>
              <w:spacing w:after="0"/>
              <w:rPr>
                <w:sz w:val="11"/>
                <w:szCs w:val="11"/>
                <w:color w:val="auto"/>
              </w:rPr>
            </w:pPr>
          </w:p>
        </w:tc>
        <w:tc>
          <w:tcPr>
            <w:tcW w:w="8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  39,710</w:t>
            </w:r>
          </w:p>
        </w:tc>
      </w:tr>
      <w:tr>
        <w:trPr>
          <w:trHeight w:val="135"/>
        </w:trPr>
        <w:tc>
          <w:tcPr>
            <w:tcW w:w="2980" w:type="dxa"/>
            <w:vAlign w:val="bottom"/>
          </w:tcPr>
          <w:p>
            <w:pPr>
              <w:ind w:left="560"/>
              <w:spacing w:after="0"/>
              <w:rPr>
                <w:sz w:val="20"/>
                <w:szCs w:val="20"/>
                <w:color w:val="auto"/>
              </w:rPr>
            </w:pPr>
            <w:r>
              <w:rPr>
                <w:rFonts w:ascii="Courier New" w:cs="Courier New" w:eastAsia="Courier New" w:hAnsi="Courier New"/>
                <w:sz w:val="12"/>
                <w:szCs w:val="12"/>
                <w:color w:val="auto"/>
              </w:rPr>
              <w:t>SHORT-TERM INTEREST-BEARING</w:t>
            </w: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5"/>
        </w:trPr>
        <w:tc>
          <w:tcPr>
            <w:tcW w:w="2980" w:type="dxa"/>
            <w:vAlign w:val="bottom"/>
          </w:tcPr>
          <w:p>
            <w:pPr>
              <w:ind w:left="700"/>
              <w:spacing w:after="0"/>
              <w:rPr>
                <w:sz w:val="20"/>
                <w:szCs w:val="20"/>
                <w:color w:val="auto"/>
              </w:rPr>
            </w:pPr>
            <w:r>
              <w:rPr>
                <w:rFonts w:ascii="Courier New" w:cs="Courier New" w:eastAsia="Courier New" w:hAnsi="Courier New"/>
                <w:sz w:val="12"/>
                <w:szCs w:val="12"/>
                <w:color w:val="auto"/>
              </w:rPr>
              <w:t>DEPOSITS</w:t>
            </w:r>
          </w:p>
        </w:tc>
        <w:tc>
          <w:tcPr>
            <w:tcW w:w="840" w:type="dxa"/>
            <w:vAlign w:val="bottom"/>
          </w:tcPr>
          <w:p>
            <w:pPr>
              <w:spacing w:after="0"/>
              <w:rPr>
                <w:sz w:val="11"/>
                <w:szCs w:val="11"/>
                <w:color w:val="auto"/>
              </w:rPr>
            </w:pPr>
          </w:p>
        </w:tc>
        <w:tc>
          <w:tcPr>
            <w:tcW w:w="10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5,000</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5,000</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1,230</w:t>
            </w:r>
          </w:p>
        </w:tc>
        <w:tc>
          <w:tcPr>
            <w:tcW w:w="900" w:type="dxa"/>
            <w:vAlign w:val="bottom"/>
          </w:tcPr>
          <w:p>
            <w:pPr>
              <w:spacing w:after="0"/>
              <w:rPr>
                <w:sz w:val="11"/>
                <w:szCs w:val="11"/>
                <w:color w:val="auto"/>
              </w:rPr>
            </w:pPr>
          </w:p>
        </w:tc>
        <w:tc>
          <w:tcPr>
            <w:tcW w:w="8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1,230</w:t>
            </w:r>
          </w:p>
        </w:tc>
      </w:tr>
      <w:tr>
        <w:trPr>
          <w:trHeight w:val="135"/>
        </w:trPr>
        <w:tc>
          <w:tcPr>
            <w:tcW w:w="2980" w:type="dxa"/>
            <w:vAlign w:val="bottom"/>
          </w:tcPr>
          <w:p>
            <w:pPr>
              <w:ind w:left="560"/>
              <w:spacing w:after="0"/>
              <w:rPr>
                <w:sz w:val="20"/>
                <w:szCs w:val="20"/>
                <w:color w:val="auto"/>
              </w:rPr>
            </w:pPr>
            <w:r>
              <w:rPr>
                <w:rFonts w:ascii="Courier New" w:cs="Courier New" w:eastAsia="Courier New" w:hAnsi="Courier New"/>
                <w:sz w:val="12"/>
                <w:szCs w:val="12"/>
                <w:color w:val="auto"/>
              </w:rPr>
              <w:t>TRADE ACCOUNTS RECEIVABLE :</w:t>
            </w: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5"/>
        </w:trPr>
        <w:tc>
          <w:tcPr>
            <w:tcW w:w="2980" w:type="dxa"/>
            <w:vAlign w:val="bottom"/>
          </w:tcPr>
          <w:p>
            <w:pPr>
              <w:ind w:left="840"/>
              <w:spacing w:after="0"/>
              <w:rPr>
                <w:sz w:val="20"/>
                <w:szCs w:val="20"/>
                <w:color w:val="auto"/>
              </w:rPr>
            </w:pPr>
            <w:r>
              <w:rPr>
                <w:rFonts w:ascii="Courier New" w:cs="Courier New" w:eastAsia="Courier New" w:hAnsi="Courier New"/>
                <w:sz w:val="12"/>
                <w:szCs w:val="12"/>
                <w:color w:val="auto"/>
              </w:rPr>
              <w:t>RELATED PARTIES</w:t>
            </w:r>
          </w:p>
        </w:tc>
        <w:tc>
          <w:tcPr>
            <w:tcW w:w="840" w:type="dxa"/>
            <w:vAlign w:val="bottom"/>
          </w:tcPr>
          <w:p>
            <w:pPr>
              <w:spacing w:after="0"/>
              <w:rPr>
                <w:sz w:val="11"/>
                <w:szCs w:val="11"/>
                <w:color w:val="auto"/>
              </w:rPr>
            </w:pPr>
          </w:p>
        </w:tc>
        <w:tc>
          <w:tcPr>
            <w:tcW w:w="10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14,941</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14,941</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13,625</w:t>
            </w:r>
          </w:p>
        </w:tc>
        <w:tc>
          <w:tcPr>
            <w:tcW w:w="900" w:type="dxa"/>
            <w:vAlign w:val="bottom"/>
          </w:tcPr>
          <w:p>
            <w:pPr>
              <w:spacing w:after="0"/>
              <w:rPr>
                <w:sz w:val="11"/>
                <w:szCs w:val="11"/>
                <w:color w:val="auto"/>
              </w:rPr>
            </w:pPr>
          </w:p>
        </w:tc>
        <w:tc>
          <w:tcPr>
            <w:tcW w:w="8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13,625</w:t>
            </w:r>
          </w:p>
        </w:tc>
      </w:tr>
      <w:tr>
        <w:trPr>
          <w:trHeight w:val="135"/>
        </w:trPr>
        <w:tc>
          <w:tcPr>
            <w:tcW w:w="2980" w:type="dxa"/>
            <w:vAlign w:val="bottom"/>
          </w:tcPr>
          <w:p>
            <w:pPr>
              <w:ind w:left="840"/>
              <w:spacing w:after="0"/>
              <w:rPr>
                <w:sz w:val="20"/>
                <w:szCs w:val="20"/>
                <w:color w:val="auto"/>
              </w:rPr>
            </w:pPr>
            <w:r>
              <w:rPr>
                <w:rFonts w:ascii="Courier New" w:cs="Courier New" w:eastAsia="Courier New" w:hAnsi="Courier New"/>
                <w:sz w:val="12"/>
                <w:szCs w:val="12"/>
                <w:color w:val="auto"/>
              </w:rPr>
              <w:t>OTHERS</w:t>
            </w:r>
          </w:p>
        </w:tc>
        <w:tc>
          <w:tcPr>
            <w:tcW w:w="840" w:type="dxa"/>
            <w:vAlign w:val="bottom"/>
          </w:tcPr>
          <w:p>
            <w:pPr>
              <w:spacing w:after="0"/>
              <w:rPr>
                <w:sz w:val="11"/>
                <w:szCs w:val="11"/>
                <w:color w:val="auto"/>
              </w:rPr>
            </w:pPr>
          </w:p>
        </w:tc>
        <w:tc>
          <w:tcPr>
            <w:tcW w:w="10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21,186</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21,186</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17,873</w:t>
            </w:r>
          </w:p>
        </w:tc>
        <w:tc>
          <w:tcPr>
            <w:tcW w:w="900" w:type="dxa"/>
            <w:vAlign w:val="bottom"/>
          </w:tcPr>
          <w:p>
            <w:pPr>
              <w:spacing w:after="0"/>
              <w:rPr>
                <w:sz w:val="11"/>
                <w:szCs w:val="11"/>
                <w:color w:val="auto"/>
              </w:rPr>
            </w:pPr>
          </w:p>
        </w:tc>
        <w:tc>
          <w:tcPr>
            <w:tcW w:w="8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17,873</w:t>
            </w:r>
          </w:p>
        </w:tc>
      </w:tr>
      <w:tr>
        <w:trPr>
          <w:trHeight w:val="135"/>
        </w:trPr>
        <w:tc>
          <w:tcPr>
            <w:tcW w:w="2980" w:type="dxa"/>
            <w:vAlign w:val="bottom"/>
          </w:tcPr>
          <w:p>
            <w:pPr>
              <w:ind w:left="560"/>
              <w:spacing w:after="0"/>
              <w:rPr>
                <w:sz w:val="20"/>
                <w:szCs w:val="20"/>
                <w:color w:val="auto"/>
              </w:rPr>
            </w:pPr>
            <w:r>
              <w:rPr>
                <w:rFonts w:ascii="Courier New" w:cs="Courier New" w:eastAsia="Courier New" w:hAnsi="Courier New"/>
                <w:sz w:val="12"/>
                <w:szCs w:val="12"/>
                <w:color w:val="auto"/>
              </w:rPr>
              <w:t>OTHER RECEIVABLES</w:t>
            </w:r>
          </w:p>
        </w:tc>
        <w:tc>
          <w:tcPr>
            <w:tcW w:w="840" w:type="dxa"/>
            <w:vAlign w:val="bottom"/>
          </w:tcPr>
          <w:p>
            <w:pPr>
              <w:spacing w:after="0"/>
              <w:rPr>
                <w:sz w:val="11"/>
                <w:szCs w:val="11"/>
                <w:color w:val="auto"/>
              </w:rPr>
            </w:pPr>
          </w:p>
        </w:tc>
        <w:tc>
          <w:tcPr>
            <w:tcW w:w="10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5,174</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5,174</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5,425</w:t>
            </w:r>
          </w:p>
        </w:tc>
        <w:tc>
          <w:tcPr>
            <w:tcW w:w="900" w:type="dxa"/>
            <w:vAlign w:val="bottom"/>
          </w:tcPr>
          <w:p>
            <w:pPr>
              <w:spacing w:after="0"/>
              <w:rPr>
                <w:sz w:val="11"/>
                <w:szCs w:val="11"/>
                <w:color w:val="auto"/>
              </w:rPr>
            </w:pPr>
          </w:p>
        </w:tc>
        <w:tc>
          <w:tcPr>
            <w:tcW w:w="8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5,425</w:t>
            </w:r>
          </w:p>
        </w:tc>
      </w:tr>
      <w:tr>
        <w:trPr>
          <w:trHeight w:val="135"/>
        </w:trPr>
        <w:tc>
          <w:tcPr>
            <w:tcW w:w="2980" w:type="dxa"/>
            <w:vAlign w:val="bottom"/>
          </w:tcPr>
          <w:p>
            <w:pPr>
              <w:ind w:left="560"/>
              <w:spacing w:after="0"/>
              <w:rPr>
                <w:sz w:val="20"/>
                <w:szCs w:val="20"/>
                <w:color w:val="auto"/>
              </w:rPr>
            </w:pPr>
            <w:r>
              <w:rPr>
                <w:rFonts w:ascii="Courier New" w:cs="Courier New" w:eastAsia="Courier New" w:hAnsi="Courier New"/>
                <w:sz w:val="12"/>
                <w:szCs w:val="12"/>
                <w:color w:val="auto"/>
              </w:rPr>
              <w:t>INVENTORIES</w:t>
            </w:r>
          </w:p>
        </w:tc>
        <w:tc>
          <w:tcPr>
            <w:tcW w:w="840" w:type="dxa"/>
            <w:vAlign w:val="bottom"/>
          </w:tcPr>
          <w:p>
            <w:pPr>
              <w:spacing w:after="0"/>
              <w:rPr>
                <w:sz w:val="11"/>
                <w:szCs w:val="11"/>
                <w:color w:val="auto"/>
              </w:rPr>
            </w:pPr>
          </w:p>
        </w:tc>
        <w:tc>
          <w:tcPr>
            <w:tcW w:w="10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38,245</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38,245</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34,763</w:t>
            </w:r>
          </w:p>
        </w:tc>
        <w:tc>
          <w:tcPr>
            <w:tcW w:w="900" w:type="dxa"/>
            <w:vAlign w:val="bottom"/>
          </w:tcPr>
          <w:p>
            <w:pPr>
              <w:spacing w:after="0"/>
              <w:rPr>
                <w:sz w:val="11"/>
                <w:szCs w:val="11"/>
                <w:color w:val="auto"/>
              </w:rPr>
            </w:pPr>
          </w:p>
        </w:tc>
        <w:tc>
          <w:tcPr>
            <w:tcW w:w="8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34,763</w:t>
            </w:r>
          </w:p>
        </w:tc>
      </w:tr>
      <w:tr>
        <w:trPr>
          <w:trHeight w:val="135"/>
        </w:trPr>
        <w:tc>
          <w:tcPr>
            <w:tcW w:w="2980" w:type="dxa"/>
            <w:vAlign w:val="bottom"/>
          </w:tcPr>
          <w:p>
            <w:pPr>
              <w:ind w:left="560"/>
              <w:spacing w:after="0"/>
              <w:rPr>
                <w:sz w:val="20"/>
                <w:szCs w:val="20"/>
                <w:color w:val="auto"/>
              </w:rPr>
            </w:pPr>
            <w:r>
              <w:rPr>
                <w:rFonts w:ascii="Courier New" w:cs="Courier New" w:eastAsia="Courier New" w:hAnsi="Courier New"/>
                <w:sz w:val="12"/>
                <w:szCs w:val="12"/>
                <w:color w:val="auto"/>
              </w:rPr>
              <w:t>OTHER CURRENT ASSETS</w:t>
            </w:r>
          </w:p>
        </w:tc>
        <w:tc>
          <w:tcPr>
            <w:tcW w:w="840" w:type="dxa"/>
            <w:vAlign w:val="bottom"/>
          </w:tcPr>
          <w:p>
            <w:pPr>
              <w:spacing w:after="0"/>
              <w:rPr>
                <w:sz w:val="11"/>
                <w:szCs w:val="11"/>
                <w:color w:val="auto"/>
              </w:rPr>
            </w:pPr>
          </w:p>
        </w:tc>
        <w:tc>
          <w:tcPr>
            <w:tcW w:w="10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1,676</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1,676</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1,473</w:t>
            </w:r>
          </w:p>
        </w:tc>
        <w:tc>
          <w:tcPr>
            <w:tcW w:w="900" w:type="dxa"/>
            <w:vAlign w:val="bottom"/>
          </w:tcPr>
          <w:p>
            <w:pPr>
              <w:spacing w:after="0"/>
              <w:rPr>
                <w:sz w:val="11"/>
                <w:szCs w:val="11"/>
                <w:color w:val="auto"/>
              </w:rPr>
            </w:pPr>
          </w:p>
        </w:tc>
        <w:tc>
          <w:tcPr>
            <w:tcW w:w="8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1,473</w:t>
            </w:r>
          </w:p>
        </w:tc>
      </w:tr>
      <w:tr>
        <w:trPr>
          <w:trHeight w:val="135"/>
        </w:trPr>
        <w:tc>
          <w:tcPr>
            <w:tcW w:w="2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01"/>
              <w:spacing w:after="0"/>
              <w:rPr>
                <w:sz w:val="20"/>
                <w:szCs w:val="20"/>
                <w:color w:val="auto"/>
              </w:rPr>
            </w:pPr>
            <w:r>
              <w:rPr>
                <w:rFonts w:ascii="Courier New" w:cs="Courier New" w:eastAsia="Courier New" w:hAnsi="Courier New"/>
                <w:sz w:val="12"/>
                <w:szCs w:val="12"/>
                <w:color w:val="auto"/>
                <w:w w:val="95"/>
              </w:rPr>
              <w:t>---------</w:t>
            </w:r>
          </w:p>
        </w:tc>
        <w:tc>
          <w:tcPr>
            <w:tcW w:w="92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2980" w:type="dxa"/>
            <w:vAlign w:val="bottom"/>
          </w:tcPr>
          <w:p>
            <w:pPr>
              <w:ind w:left="1040"/>
              <w:spacing w:after="0"/>
              <w:rPr>
                <w:sz w:val="20"/>
                <w:szCs w:val="20"/>
                <w:color w:val="auto"/>
              </w:rPr>
            </w:pPr>
            <w:r>
              <w:rPr>
                <w:rFonts w:ascii="Courier New" w:cs="Courier New" w:eastAsia="Courier New" w:hAnsi="Courier New"/>
                <w:sz w:val="12"/>
                <w:szCs w:val="12"/>
                <w:color w:val="auto"/>
              </w:rPr>
              <w:t>TOTAL CURRENT ASSETS</w:t>
            </w:r>
          </w:p>
        </w:tc>
        <w:tc>
          <w:tcPr>
            <w:tcW w:w="840" w:type="dxa"/>
            <w:vAlign w:val="bottom"/>
          </w:tcPr>
          <w:p>
            <w:pPr>
              <w:spacing w:after="0"/>
              <w:rPr>
                <w:sz w:val="11"/>
                <w:szCs w:val="11"/>
                <w:color w:val="auto"/>
              </w:rPr>
            </w:pPr>
          </w:p>
        </w:tc>
        <w:tc>
          <w:tcPr>
            <w:tcW w:w="10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124,814</w:t>
            </w:r>
          </w:p>
        </w:tc>
        <w:tc>
          <w:tcPr>
            <w:tcW w:w="8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124,814</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114,099</w:t>
            </w:r>
          </w:p>
        </w:tc>
        <w:tc>
          <w:tcPr>
            <w:tcW w:w="9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114,099</w:t>
            </w:r>
          </w:p>
        </w:tc>
      </w:tr>
      <w:tr>
        <w:trPr>
          <w:trHeight w:val="135"/>
        </w:trPr>
        <w:tc>
          <w:tcPr>
            <w:tcW w:w="2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01"/>
              <w:spacing w:after="0"/>
              <w:rPr>
                <w:sz w:val="20"/>
                <w:szCs w:val="20"/>
                <w:color w:val="auto"/>
              </w:rPr>
            </w:pPr>
            <w:r>
              <w:rPr>
                <w:rFonts w:ascii="Courier New" w:cs="Courier New" w:eastAsia="Courier New" w:hAnsi="Courier New"/>
                <w:sz w:val="12"/>
                <w:szCs w:val="12"/>
                <w:color w:val="auto"/>
                <w:w w:val="95"/>
              </w:rPr>
              <w:t>---------</w:t>
            </w:r>
          </w:p>
        </w:tc>
        <w:tc>
          <w:tcPr>
            <w:tcW w:w="92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270"/>
        </w:trPr>
        <w:tc>
          <w:tcPr>
            <w:tcW w:w="2980" w:type="dxa"/>
            <w:vAlign w:val="bottom"/>
          </w:tcPr>
          <w:p>
            <w:pPr>
              <w:ind w:left="340"/>
              <w:spacing w:after="0"/>
              <w:rPr>
                <w:sz w:val="20"/>
                <w:szCs w:val="20"/>
                <w:color w:val="auto"/>
              </w:rPr>
            </w:pPr>
            <w:r>
              <w:rPr>
                <w:rFonts w:ascii="Courier New" w:cs="Courier New" w:eastAsia="Courier New" w:hAnsi="Courier New"/>
                <w:sz w:val="12"/>
                <w:szCs w:val="12"/>
                <w:color w:val="auto"/>
              </w:rPr>
              <w:t>LONG-TERM INVESTMENTS</w:t>
            </w:r>
          </w:p>
        </w:tc>
        <w:tc>
          <w:tcPr>
            <w:tcW w:w="840" w:type="dxa"/>
            <w:vAlign w:val="bottom"/>
          </w:tcPr>
          <w:p>
            <w:pPr>
              <w:jc w:val="center"/>
              <w:spacing w:after="0"/>
              <w:rPr>
                <w:sz w:val="20"/>
                <w:szCs w:val="20"/>
                <w:color w:val="auto"/>
              </w:rPr>
            </w:pPr>
            <w:r>
              <w:rPr>
                <w:rFonts w:ascii="Courier New" w:cs="Courier New" w:eastAsia="Courier New" w:hAnsi="Courier New"/>
                <w:sz w:val="12"/>
                <w:szCs w:val="12"/>
                <w:color w:val="auto"/>
                <w:w w:val="92"/>
              </w:rPr>
              <w:t>B,C</w:t>
            </w:r>
          </w:p>
        </w:tc>
        <w:tc>
          <w:tcPr>
            <w:tcW w:w="1020" w:type="dxa"/>
            <w:vAlign w:val="bottom"/>
          </w:tcPr>
          <w:p>
            <w:pPr>
              <w:spacing w:after="0"/>
              <w:rPr>
                <w:sz w:val="23"/>
                <w:szCs w:val="23"/>
                <w:color w:val="auto"/>
              </w:rPr>
            </w:pPr>
          </w:p>
        </w:tc>
        <w:tc>
          <w:tcPr>
            <w:tcW w:w="8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14,627</w:t>
            </w:r>
          </w:p>
        </w:tc>
        <w:tc>
          <w:tcPr>
            <w:tcW w:w="260" w:type="dxa"/>
            <w:vAlign w:val="bottom"/>
          </w:tcPr>
          <w:p>
            <w:pPr>
              <w:spacing w:after="0"/>
              <w:rPr>
                <w:sz w:val="23"/>
                <w:szCs w:val="23"/>
                <w:color w:val="auto"/>
              </w:rPr>
            </w:pPr>
          </w:p>
        </w:tc>
        <w:tc>
          <w:tcPr>
            <w:tcW w:w="6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14,627</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15,325</w:t>
            </w:r>
          </w:p>
        </w:tc>
        <w:tc>
          <w:tcPr>
            <w:tcW w:w="8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15,325</w:t>
            </w:r>
          </w:p>
        </w:tc>
      </w:tr>
      <w:tr>
        <w:trPr>
          <w:trHeight w:val="135"/>
        </w:trPr>
        <w:tc>
          <w:tcPr>
            <w:tcW w:w="2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01"/>
              <w:spacing w:after="0"/>
              <w:rPr>
                <w:sz w:val="20"/>
                <w:szCs w:val="20"/>
                <w:color w:val="auto"/>
              </w:rPr>
            </w:pPr>
            <w:r>
              <w:rPr>
                <w:rFonts w:ascii="Courier New" w:cs="Courier New" w:eastAsia="Courier New" w:hAnsi="Courier New"/>
                <w:sz w:val="12"/>
                <w:szCs w:val="12"/>
                <w:color w:val="auto"/>
                <w:w w:val="95"/>
              </w:rPr>
              <w:t>---------</w:t>
            </w:r>
          </w:p>
        </w:tc>
        <w:tc>
          <w:tcPr>
            <w:tcW w:w="92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270"/>
        </w:trPr>
        <w:tc>
          <w:tcPr>
            <w:tcW w:w="2980" w:type="dxa"/>
            <w:vAlign w:val="bottom"/>
          </w:tcPr>
          <w:p>
            <w:pPr>
              <w:ind w:left="340"/>
              <w:spacing w:after="0"/>
              <w:rPr>
                <w:sz w:val="20"/>
                <w:szCs w:val="20"/>
                <w:color w:val="auto"/>
              </w:rPr>
            </w:pPr>
            <w:r>
              <w:rPr>
                <w:rFonts w:ascii="Courier New" w:cs="Courier New" w:eastAsia="Courier New" w:hAnsi="Courier New"/>
                <w:sz w:val="12"/>
                <w:szCs w:val="12"/>
                <w:color w:val="auto"/>
              </w:rPr>
              <w:t>PROPERTY AND EQUIPMENT, NET</w:t>
            </w:r>
          </w:p>
        </w:tc>
        <w:tc>
          <w:tcPr>
            <w:tcW w:w="840" w:type="dxa"/>
            <w:vAlign w:val="bottom"/>
          </w:tcPr>
          <w:p>
            <w:pPr>
              <w:jc w:val="center"/>
              <w:spacing w:after="0"/>
              <w:rPr>
                <w:sz w:val="20"/>
                <w:szCs w:val="20"/>
                <w:color w:val="auto"/>
              </w:rPr>
            </w:pPr>
            <w:r>
              <w:rPr>
                <w:rFonts w:ascii="Courier New" w:cs="Courier New" w:eastAsia="Courier New" w:hAnsi="Courier New"/>
                <w:sz w:val="12"/>
                <w:szCs w:val="12"/>
                <w:color w:val="auto"/>
              </w:rPr>
              <w:t>C</w:t>
            </w:r>
          </w:p>
        </w:tc>
        <w:tc>
          <w:tcPr>
            <w:tcW w:w="10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519,876</w:t>
            </w:r>
          </w:p>
        </w:tc>
        <w:tc>
          <w:tcPr>
            <w:tcW w:w="8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(1,661)</w:t>
            </w:r>
          </w:p>
        </w:tc>
        <w:tc>
          <w:tcPr>
            <w:tcW w:w="92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518,215</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539,292</w:t>
            </w:r>
          </w:p>
        </w:tc>
        <w:tc>
          <w:tcPr>
            <w:tcW w:w="9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(1,745)</w:t>
            </w:r>
          </w:p>
        </w:tc>
        <w:tc>
          <w:tcPr>
            <w:tcW w:w="8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537,547</w:t>
            </w:r>
          </w:p>
        </w:tc>
      </w:tr>
      <w:tr>
        <w:trPr>
          <w:trHeight w:val="135"/>
        </w:trPr>
        <w:tc>
          <w:tcPr>
            <w:tcW w:w="2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01"/>
              <w:spacing w:after="0"/>
              <w:rPr>
                <w:sz w:val="20"/>
                <w:szCs w:val="20"/>
                <w:color w:val="auto"/>
              </w:rPr>
            </w:pPr>
            <w:r>
              <w:rPr>
                <w:rFonts w:ascii="Courier New" w:cs="Courier New" w:eastAsia="Courier New" w:hAnsi="Courier New"/>
                <w:sz w:val="12"/>
                <w:szCs w:val="12"/>
                <w:color w:val="auto"/>
                <w:w w:val="95"/>
              </w:rPr>
              <w:t>---------</w:t>
            </w:r>
          </w:p>
        </w:tc>
        <w:tc>
          <w:tcPr>
            <w:tcW w:w="92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270"/>
        </w:trPr>
        <w:tc>
          <w:tcPr>
            <w:tcW w:w="2980" w:type="dxa"/>
            <w:vAlign w:val="bottom"/>
          </w:tcPr>
          <w:p>
            <w:pPr>
              <w:ind w:left="340"/>
              <w:spacing w:after="0"/>
              <w:rPr>
                <w:sz w:val="20"/>
                <w:szCs w:val="20"/>
                <w:color w:val="auto"/>
              </w:rPr>
            </w:pPr>
            <w:r>
              <w:rPr>
                <w:rFonts w:ascii="Courier New" w:cs="Courier New" w:eastAsia="Courier New" w:hAnsi="Courier New"/>
                <w:sz w:val="12"/>
                <w:szCs w:val="12"/>
                <w:color w:val="auto"/>
              </w:rPr>
              <w:t>INTANGIBLE ASSETS, NET</w:t>
            </w:r>
          </w:p>
        </w:tc>
        <w:tc>
          <w:tcPr>
            <w:tcW w:w="840" w:type="dxa"/>
            <w:vAlign w:val="bottom"/>
          </w:tcPr>
          <w:p>
            <w:pPr>
              <w:spacing w:after="0"/>
              <w:rPr>
                <w:sz w:val="23"/>
                <w:szCs w:val="23"/>
                <w:color w:val="auto"/>
              </w:rPr>
            </w:pPr>
          </w:p>
        </w:tc>
        <w:tc>
          <w:tcPr>
            <w:tcW w:w="10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42,590</w:t>
            </w:r>
          </w:p>
        </w:tc>
        <w:tc>
          <w:tcPr>
            <w:tcW w:w="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42,590</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44,981</w:t>
            </w:r>
          </w:p>
        </w:tc>
        <w:tc>
          <w:tcPr>
            <w:tcW w:w="900" w:type="dxa"/>
            <w:vAlign w:val="bottom"/>
          </w:tcPr>
          <w:p>
            <w:pPr>
              <w:spacing w:after="0"/>
              <w:rPr>
                <w:sz w:val="23"/>
                <w:szCs w:val="23"/>
                <w:color w:val="auto"/>
              </w:rPr>
            </w:pPr>
          </w:p>
        </w:tc>
        <w:tc>
          <w:tcPr>
            <w:tcW w:w="8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44,981</w:t>
            </w:r>
          </w:p>
        </w:tc>
      </w:tr>
      <w:tr>
        <w:trPr>
          <w:trHeight w:val="135"/>
        </w:trPr>
        <w:tc>
          <w:tcPr>
            <w:tcW w:w="2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01"/>
              <w:spacing w:after="0"/>
              <w:rPr>
                <w:sz w:val="20"/>
                <w:szCs w:val="20"/>
                <w:color w:val="auto"/>
              </w:rPr>
            </w:pPr>
            <w:r>
              <w:rPr>
                <w:rFonts w:ascii="Courier New" w:cs="Courier New" w:eastAsia="Courier New" w:hAnsi="Courier New"/>
                <w:sz w:val="12"/>
                <w:szCs w:val="12"/>
                <w:color w:val="auto"/>
                <w:w w:val="95"/>
              </w:rPr>
              <w:t>---------</w:t>
            </w:r>
          </w:p>
        </w:tc>
        <w:tc>
          <w:tcPr>
            <w:tcW w:w="92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270"/>
        </w:trPr>
        <w:tc>
          <w:tcPr>
            <w:tcW w:w="2980" w:type="dxa"/>
            <w:vAlign w:val="bottom"/>
          </w:tcPr>
          <w:p>
            <w:pPr>
              <w:ind w:left="340"/>
              <w:spacing w:after="0"/>
              <w:rPr>
                <w:sz w:val="20"/>
                <w:szCs w:val="20"/>
                <w:color w:val="auto"/>
              </w:rPr>
            </w:pPr>
            <w:r>
              <w:rPr>
                <w:rFonts w:ascii="Courier New" w:cs="Courier New" w:eastAsia="Courier New" w:hAnsi="Courier New"/>
                <w:sz w:val="12"/>
                <w:szCs w:val="12"/>
                <w:color w:val="auto"/>
              </w:rPr>
              <w:t>OTHER ASSETS, NET</w:t>
            </w:r>
          </w:p>
        </w:tc>
        <w:tc>
          <w:tcPr>
            <w:tcW w:w="840" w:type="dxa"/>
            <w:vAlign w:val="bottom"/>
          </w:tcPr>
          <w:p>
            <w:pPr>
              <w:jc w:val="center"/>
              <w:spacing w:after="0"/>
              <w:rPr>
                <w:sz w:val="20"/>
                <w:szCs w:val="20"/>
                <w:color w:val="auto"/>
              </w:rPr>
            </w:pPr>
            <w:r>
              <w:rPr>
                <w:rFonts w:ascii="Courier New" w:cs="Courier New" w:eastAsia="Courier New" w:hAnsi="Courier New"/>
                <w:sz w:val="12"/>
                <w:szCs w:val="12"/>
                <w:color w:val="auto"/>
              </w:rPr>
              <w:t>D</w:t>
            </w:r>
          </w:p>
        </w:tc>
        <w:tc>
          <w:tcPr>
            <w:tcW w:w="10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1,320</w:t>
            </w:r>
          </w:p>
        </w:tc>
        <w:tc>
          <w:tcPr>
            <w:tcW w:w="8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780</w:t>
            </w:r>
          </w:p>
        </w:tc>
        <w:tc>
          <w:tcPr>
            <w:tcW w:w="260" w:type="dxa"/>
            <w:vAlign w:val="bottom"/>
          </w:tcPr>
          <w:p>
            <w:pPr>
              <w:spacing w:after="0"/>
              <w:rPr>
                <w:sz w:val="23"/>
                <w:szCs w:val="23"/>
                <w:color w:val="auto"/>
              </w:rPr>
            </w:pPr>
          </w:p>
        </w:tc>
        <w:tc>
          <w:tcPr>
            <w:tcW w:w="6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2,100</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1,346</w:t>
            </w:r>
          </w:p>
        </w:tc>
        <w:tc>
          <w:tcPr>
            <w:tcW w:w="9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834</w:t>
            </w:r>
          </w:p>
        </w:tc>
        <w:tc>
          <w:tcPr>
            <w:tcW w:w="8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2,180</w:t>
            </w:r>
          </w:p>
        </w:tc>
      </w:tr>
      <w:tr>
        <w:trPr>
          <w:trHeight w:val="135"/>
        </w:trPr>
        <w:tc>
          <w:tcPr>
            <w:tcW w:w="2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01"/>
              <w:spacing w:after="0"/>
              <w:rPr>
                <w:sz w:val="20"/>
                <w:szCs w:val="20"/>
                <w:color w:val="auto"/>
              </w:rPr>
            </w:pPr>
            <w:r>
              <w:rPr>
                <w:rFonts w:ascii="Courier New" w:cs="Courier New" w:eastAsia="Courier New" w:hAnsi="Courier New"/>
                <w:sz w:val="12"/>
                <w:szCs w:val="12"/>
                <w:color w:val="auto"/>
                <w:w w:val="95"/>
              </w:rPr>
              <w:t>=========</w:t>
            </w:r>
          </w:p>
        </w:tc>
        <w:tc>
          <w:tcPr>
            <w:tcW w:w="92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270"/>
        </w:trPr>
        <w:tc>
          <w:tcPr>
            <w:tcW w:w="2980" w:type="dxa"/>
            <w:vAlign w:val="bottom"/>
          </w:tcPr>
          <w:p>
            <w:pPr>
              <w:ind w:left="1040"/>
              <w:spacing w:after="0"/>
              <w:rPr>
                <w:sz w:val="20"/>
                <w:szCs w:val="20"/>
                <w:color w:val="auto"/>
              </w:rPr>
            </w:pPr>
            <w:r>
              <w:rPr>
                <w:rFonts w:ascii="Courier New" w:cs="Courier New" w:eastAsia="Courier New" w:hAnsi="Courier New"/>
                <w:sz w:val="12"/>
                <w:szCs w:val="12"/>
                <w:color w:val="auto"/>
              </w:rPr>
              <w:t>TOTAL ASSETS</w:t>
            </w:r>
          </w:p>
        </w:tc>
        <w:tc>
          <w:tcPr>
            <w:tcW w:w="840" w:type="dxa"/>
            <w:vAlign w:val="bottom"/>
          </w:tcPr>
          <w:p>
            <w:pPr>
              <w:spacing w:after="0"/>
              <w:rPr>
                <w:sz w:val="23"/>
                <w:szCs w:val="23"/>
                <w:color w:val="auto"/>
              </w:rPr>
            </w:pPr>
          </w:p>
        </w:tc>
        <w:tc>
          <w:tcPr>
            <w:tcW w:w="10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$ 688,600</w:t>
            </w:r>
          </w:p>
        </w:tc>
        <w:tc>
          <w:tcPr>
            <w:tcW w:w="800" w:type="dxa"/>
            <w:vAlign w:val="bottom"/>
          </w:tcPr>
          <w:p>
            <w:pPr>
              <w:jc w:val="right"/>
              <w:ind w:right="101"/>
              <w:spacing w:after="0"/>
              <w:rPr>
                <w:sz w:val="20"/>
                <w:szCs w:val="20"/>
                <w:color w:val="auto"/>
              </w:rPr>
            </w:pPr>
            <w:r>
              <w:rPr>
                <w:rFonts w:ascii="Courier New" w:cs="Courier New" w:eastAsia="Courier New" w:hAnsi="Courier New"/>
                <w:sz w:val="12"/>
                <w:szCs w:val="12"/>
                <w:color w:val="auto"/>
                <w:w w:val="95"/>
              </w:rPr>
              <w:t>$  13,746</w:t>
            </w:r>
          </w:p>
        </w:tc>
        <w:tc>
          <w:tcPr>
            <w:tcW w:w="92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$ 702,346</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$ 699,718</w:t>
            </w:r>
          </w:p>
        </w:tc>
        <w:tc>
          <w:tcPr>
            <w:tcW w:w="9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  14,414</w:t>
            </w:r>
          </w:p>
        </w:tc>
        <w:tc>
          <w:tcPr>
            <w:tcW w:w="8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$ 714,132</w:t>
            </w:r>
          </w:p>
        </w:tc>
      </w:tr>
      <w:tr>
        <w:trPr>
          <w:trHeight w:val="135"/>
        </w:trPr>
        <w:tc>
          <w:tcPr>
            <w:tcW w:w="2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01"/>
              <w:spacing w:after="0"/>
              <w:rPr>
                <w:sz w:val="20"/>
                <w:szCs w:val="20"/>
                <w:color w:val="auto"/>
              </w:rPr>
            </w:pPr>
            <w:r>
              <w:rPr>
                <w:rFonts w:ascii="Courier New" w:cs="Courier New" w:eastAsia="Courier New" w:hAnsi="Courier New"/>
                <w:sz w:val="12"/>
                <w:szCs w:val="12"/>
                <w:color w:val="auto"/>
                <w:w w:val="95"/>
              </w:rPr>
              <w:t>=========</w:t>
            </w:r>
          </w:p>
        </w:tc>
        <w:tc>
          <w:tcPr>
            <w:tcW w:w="92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270"/>
        </w:trPr>
        <w:tc>
          <w:tcPr>
            <w:tcW w:w="2980" w:type="dxa"/>
            <w:vAlign w:val="bottom"/>
          </w:tcPr>
          <w:p>
            <w:pPr>
              <w:spacing w:after="0"/>
              <w:rPr>
                <w:sz w:val="20"/>
                <w:szCs w:val="20"/>
                <w:color w:val="auto"/>
              </w:rPr>
            </w:pPr>
            <w:r>
              <w:rPr>
                <w:rFonts w:ascii="Courier New" w:cs="Courier New" w:eastAsia="Courier New" w:hAnsi="Courier New"/>
                <w:sz w:val="12"/>
                <w:szCs w:val="12"/>
                <w:color w:val="auto"/>
              </w:rPr>
              <w:t>LIABILITIES AND</w:t>
            </w:r>
          </w:p>
        </w:tc>
        <w:tc>
          <w:tcPr>
            <w:tcW w:w="8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135"/>
        </w:trPr>
        <w:tc>
          <w:tcPr>
            <w:tcW w:w="2980" w:type="dxa"/>
            <w:vAlign w:val="bottom"/>
          </w:tcPr>
          <w:p>
            <w:pPr>
              <w:spacing w:after="0"/>
              <w:rPr>
                <w:sz w:val="20"/>
                <w:szCs w:val="20"/>
                <w:color w:val="auto"/>
              </w:rPr>
            </w:pPr>
            <w:r>
              <w:rPr>
                <w:rFonts w:ascii="Courier New" w:cs="Courier New" w:eastAsia="Courier New" w:hAnsi="Courier New"/>
                <w:sz w:val="12"/>
                <w:szCs w:val="12"/>
                <w:color w:val="auto"/>
              </w:rPr>
              <w:t>SHAREHOLDERS' EQUITY</w:t>
            </w: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270"/>
        </w:trPr>
        <w:tc>
          <w:tcPr>
            <w:tcW w:w="2980" w:type="dxa"/>
            <w:vAlign w:val="bottom"/>
          </w:tcPr>
          <w:p>
            <w:pPr>
              <w:ind w:left="340"/>
              <w:spacing w:after="0"/>
              <w:rPr>
                <w:sz w:val="20"/>
                <w:szCs w:val="20"/>
                <w:color w:val="auto"/>
              </w:rPr>
            </w:pPr>
            <w:r>
              <w:rPr>
                <w:rFonts w:ascii="Courier New" w:cs="Courier New" w:eastAsia="Courier New" w:hAnsi="Courier New"/>
                <w:sz w:val="12"/>
                <w:szCs w:val="12"/>
                <w:color w:val="auto"/>
              </w:rPr>
              <w:t>CURRENT LIABILITIES</w:t>
            </w:r>
          </w:p>
        </w:tc>
        <w:tc>
          <w:tcPr>
            <w:tcW w:w="8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135"/>
        </w:trPr>
        <w:tc>
          <w:tcPr>
            <w:tcW w:w="2980" w:type="dxa"/>
            <w:vAlign w:val="bottom"/>
          </w:tcPr>
          <w:p>
            <w:pPr>
              <w:ind w:left="560"/>
              <w:spacing w:after="0"/>
              <w:rPr>
                <w:sz w:val="20"/>
                <w:szCs w:val="20"/>
                <w:color w:val="auto"/>
              </w:rPr>
            </w:pPr>
            <w:r>
              <w:rPr>
                <w:rFonts w:ascii="Courier New" w:cs="Courier New" w:eastAsia="Courier New" w:hAnsi="Courier New"/>
                <w:sz w:val="12"/>
                <w:szCs w:val="12"/>
                <w:color w:val="auto"/>
              </w:rPr>
              <w:t>CURRENT MATURITIES OF CONVERTIBLE</w:t>
            </w: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5"/>
        </w:trPr>
        <w:tc>
          <w:tcPr>
            <w:tcW w:w="2980" w:type="dxa"/>
            <w:vAlign w:val="bottom"/>
          </w:tcPr>
          <w:p>
            <w:pPr>
              <w:ind w:left="700"/>
              <w:spacing w:after="0"/>
              <w:rPr>
                <w:sz w:val="20"/>
                <w:szCs w:val="20"/>
                <w:color w:val="auto"/>
              </w:rPr>
            </w:pPr>
            <w:r>
              <w:rPr>
                <w:rFonts w:ascii="Courier New" w:cs="Courier New" w:eastAsia="Courier New" w:hAnsi="Courier New"/>
                <w:sz w:val="12"/>
                <w:szCs w:val="12"/>
                <w:color w:val="auto"/>
              </w:rPr>
              <w:t>DEBENTURES</w:t>
            </w:r>
          </w:p>
        </w:tc>
        <w:tc>
          <w:tcPr>
            <w:tcW w:w="840" w:type="dxa"/>
            <w:vAlign w:val="bottom"/>
          </w:tcPr>
          <w:p>
            <w:pPr>
              <w:jc w:val="center"/>
              <w:spacing w:after="0"/>
              <w:rPr>
                <w:sz w:val="20"/>
                <w:szCs w:val="20"/>
                <w:color w:val="auto"/>
              </w:rPr>
            </w:pPr>
            <w:r>
              <w:rPr>
                <w:rFonts w:ascii="Courier New" w:cs="Courier New" w:eastAsia="Courier New" w:hAnsi="Courier New"/>
                <w:sz w:val="12"/>
                <w:szCs w:val="12"/>
                <w:color w:val="auto"/>
              </w:rPr>
              <w:t>D</w:t>
            </w:r>
          </w:p>
        </w:tc>
        <w:tc>
          <w:tcPr>
            <w:tcW w:w="10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6,597</w:t>
            </w:r>
          </w:p>
        </w:tc>
        <w:tc>
          <w:tcPr>
            <w:tcW w:w="8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326</w:t>
            </w:r>
          </w:p>
        </w:tc>
        <w:tc>
          <w:tcPr>
            <w:tcW w:w="260" w:type="dxa"/>
            <w:vAlign w:val="bottom"/>
          </w:tcPr>
          <w:p>
            <w:pPr>
              <w:spacing w:after="0"/>
              <w:rPr>
                <w:sz w:val="11"/>
                <w:szCs w:val="11"/>
                <w:color w:val="auto"/>
              </w:rPr>
            </w:pPr>
          </w:p>
        </w:tc>
        <w:tc>
          <w:tcPr>
            <w:tcW w:w="6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6,923</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6,632</w:t>
            </w:r>
          </w:p>
        </w:tc>
        <w:tc>
          <w:tcPr>
            <w:tcW w:w="9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270</w:t>
            </w:r>
          </w:p>
        </w:tc>
        <w:tc>
          <w:tcPr>
            <w:tcW w:w="8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6,902</w:t>
            </w:r>
          </w:p>
        </w:tc>
      </w:tr>
      <w:tr>
        <w:trPr>
          <w:trHeight w:val="135"/>
        </w:trPr>
        <w:tc>
          <w:tcPr>
            <w:tcW w:w="2980" w:type="dxa"/>
            <w:vAlign w:val="bottom"/>
          </w:tcPr>
          <w:p>
            <w:pPr>
              <w:ind w:left="560"/>
              <w:spacing w:after="0"/>
              <w:rPr>
                <w:sz w:val="20"/>
                <w:szCs w:val="20"/>
                <w:color w:val="auto"/>
              </w:rPr>
            </w:pPr>
            <w:r>
              <w:rPr>
                <w:rFonts w:ascii="Courier New" w:cs="Courier New" w:eastAsia="Courier New" w:hAnsi="Courier New"/>
                <w:sz w:val="12"/>
                <w:szCs w:val="12"/>
                <w:color w:val="auto"/>
              </w:rPr>
              <w:t>TRADE ACCOUNTS PAYABLE</w:t>
            </w:r>
          </w:p>
        </w:tc>
        <w:tc>
          <w:tcPr>
            <w:tcW w:w="840" w:type="dxa"/>
            <w:vAlign w:val="bottom"/>
          </w:tcPr>
          <w:p>
            <w:pPr>
              <w:spacing w:after="0"/>
              <w:rPr>
                <w:sz w:val="11"/>
                <w:szCs w:val="11"/>
                <w:color w:val="auto"/>
              </w:rPr>
            </w:pPr>
          </w:p>
        </w:tc>
        <w:tc>
          <w:tcPr>
            <w:tcW w:w="10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57,922</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57,922</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55,128</w:t>
            </w:r>
          </w:p>
        </w:tc>
        <w:tc>
          <w:tcPr>
            <w:tcW w:w="900" w:type="dxa"/>
            <w:vAlign w:val="bottom"/>
          </w:tcPr>
          <w:p>
            <w:pPr>
              <w:spacing w:after="0"/>
              <w:rPr>
                <w:sz w:val="11"/>
                <w:szCs w:val="11"/>
                <w:color w:val="auto"/>
              </w:rPr>
            </w:pPr>
          </w:p>
        </w:tc>
        <w:tc>
          <w:tcPr>
            <w:tcW w:w="8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55,128</w:t>
            </w:r>
          </w:p>
        </w:tc>
      </w:tr>
      <w:tr>
        <w:trPr>
          <w:trHeight w:val="135"/>
        </w:trPr>
        <w:tc>
          <w:tcPr>
            <w:tcW w:w="2980" w:type="dxa"/>
            <w:vAlign w:val="bottom"/>
          </w:tcPr>
          <w:p>
            <w:pPr>
              <w:ind w:left="560"/>
              <w:spacing w:after="0"/>
              <w:rPr>
                <w:sz w:val="20"/>
                <w:szCs w:val="20"/>
                <w:color w:val="auto"/>
              </w:rPr>
            </w:pPr>
            <w:r>
              <w:rPr>
                <w:rFonts w:ascii="Courier New" w:cs="Courier New" w:eastAsia="Courier New" w:hAnsi="Courier New"/>
                <w:sz w:val="12"/>
                <w:szCs w:val="12"/>
                <w:color w:val="auto"/>
              </w:rPr>
              <w:t>OTHER CURRENT LIABILITIES</w:t>
            </w:r>
          </w:p>
        </w:tc>
        <w:tc>
          <w:tcPr>
            <w:tcW w:w="840" w:type="dxa"/>
            <w:vAlign w:val="bottom"/>
          </w:tcPr>
          <w:p>
            <w:pPr>
              <w:spacing w:after="0"/>
              <w:rPr>
                <w:sz w:val="11"/>
                <w:szCs w:val="11"/>
                <w:color w:val="auto"/>
              </w:rPr>
            </w:pPr>
          </w:p>
        </w:tc>
        <w:tc>
          <w:tcPr>
            <w:tcW w:w="10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20,188</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20,188</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22,096</w:t>
            </w:r>
          </w:p>
        </w:tc>
        <w:tc>
          <w:tcPr>
            <w:tcW w:w="900" w:type="dxa"/>
            <w:vAlign w:val="bottom"/>
          </w:tcPr>
          <w:p>
            <w:pPr>
              <w:spacing w:after="0"/>
              <w:rPr>
                <w:sz w:val="11"/>
                <w:szCs w:val="11"/>
                <w:color w:val="auto"/>
              </w:rPr>
            </w:pPr>
          </w:p>
        </w:tc>
        <w:tc>
          <w:tcPr>
            <w:tcW w:w="8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22,096</w:t>
            </w:r>
          </w:p>
        </w:tc>
      </w:tr>
      <w:tr>
        <w:trPr>
          <w:trHeight w:val="135"/>
        </w:trPr>
        <w:tc>
          <w:tcPr>
            <w:tcW w:w="2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01"/>
              <w:spacing w:after="0"/>
              <w:rPr>
                <w:sz w:val="20"/>
                <w:szCs w:val="20"/>
                <w:color w:val="auto"/>
              </w:rPr>
            </w:pPr>
            <w:r>
              <w:rPr>
                <w:rFonts w:ascii="Courier New" w:cs="Courier New" w:eastAsia="Courier New" w:hAnsi="Courier New"/>
                <w:sz w:val="12"/>
                <w:szCs w:val="12"/>
                <w:color w:val="auto"/>
                <w:w w:val="95"/>
              </w:rPr>
              <w:t>---------</w:t>
            </w:r>
          </w:p>
        </w:tc>
        <w:tc>
          <w:tcPr>
            <w:tcW w:w="92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2980" w:type="dxa"/>
            <w:vAlign w:val="bottom"/>
          </w:tcPr>
          <w:p>
            <w:pPr>
              <w:ind w:left="1040"/>
              <w:spacing w:after="0"/>
              <w:rPr>
                <w:sz w:val="20"/>
                <w:szCs w:val="20"/>
                <w:color w:val="auto"/>
              </w:rPr>
            </w:pPr>
            <w:r>
              <w:rPr>
                <w:rFonts w:ascii="Courier New" w:cs="Courier New" w:eastAsia="Courier New" w:hAnsi="Courier New"/>
                <w:sz w:val="12"/>
                <w:szCs w:val="12"/>
                <w:color w:val="auto"/>
              </w:rPr>
              <w:t>TOTAL CURRENT LIABILITIES</w:t>
            </w:r>
          </w:p>
        </w:tc>
        <w:tc>
          <w:tcPr>
            <w:tcW w:w="840" w:type="dxa"/>
            <w:vAlign w:val="bottom"/>
          </w:tcPr>
          <w:p>
            <w:pPr>
              <w:spacing w:after="0"/>
              <w:rPr>
                <w:sz w:val="11"/>
                <w:szCs w:val="11"/>
                <w:color w:val="auto"/>
              </w:rPr>
            </w:pPr>
          </w:p>
        </w:tc>
        <w:tc>
          <w:tcPr>
            <w:tcW w:w="10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84,707</w:t>
            </w:r>
          </w:p>
        </w:tc>
        <w:tc>
          <w:tcPr>
            <w:tcW w:w="8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326</w:t>
            </w:r>
          </w:p>
        </w:tc>
        <w:tc>
          <w:tcPr>
            <w:tcW w:w="260" w:type="dxa"/>
            <w:vAlign w:val="bottom"/>
          </w:tcPr>
          <w:p>
            <w:pPr>
              <w:spacing w:after="0"/>
              <w:rPr>
                <w:sz w:val="11"/>
                <w:szCs w:val="11"/>
                <w:color w:val="auto"/>
              </w:rPr>
            </w:pPr>
          </w:p>
        </w:tc>
        <w:tc>
          <w:tcPr>
            <w:tcW w:w="6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85,033</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83,856</w:t>
            </w:r>
          </w:p>
        </w:tc>
        <w:tc>
          <w:tcPr>
            <w:tcW w:w="9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270</w:t>
            </w:r>
          </w:p>
        </w:tc>
        <w:tc>
          <w:tcPr>
            <w:tcW w:w="8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84,126</w:t>
            </w:r>
          </w:p>
        </w:tc>
      </w:tr>
      <w:tr>
        <w:trPr>
          <w:trHeight w:val="270"/>
        </w:trPr>
        <w:tc>
          <w:tcPr>
            <w:tcW w:w="2980" w:type="dxa"/>
            <w:vAlign w:val="bottom"/>
          </w:tcPr>
          <w:p>
            <w:pPr>
              <w:ind w:left="340"/>
              <w:spacing w:after="0"/>
              <w:rPr>
                <w:sz w:val="20"/>
                <w:szCs w:val="20"/>
                <w:color w:val="auto"/>
              </w:rPr>
            </w:pPr>
            <w:r>
              <w:rPr>
                <w:rFonts w:ascii="Courier New" w:cs="Courier New" w:eastAsia="Courier New" w:hAnsi="Courier New"/>
                <w:sz w:val="12"/>
                <w:szCs w:val="12"/>
                <w:color w:val="auto"/>
              </w:rPr>
              <w:t>LONG-TERM DEBT FROM BANKS</w:t>
            </w:r>
          </w:p>
        </w:tc>
        <w:tc>
          <w:tcPr>
            <w:tcW w:w="840" w:type="dxa"/>
            <w:vAlign w:val="bottom"/>
          </w:tcPr>
          <w:p>
            <w:pPr>
              <w:jc w:val="center"/>
              <w:spacing w:after="0"/>
              <w:rPr>
                <w:sz w:val="20"/>
                <w:szCs w:val="20"/>
                <w:color w:val="auto"/>
              </w:rPr>
            </w:pPr>
            <w:r>
              <w:rPr>
                <w:rFonts w:ascii="Courier New" w:cs="Courier New" w:eastAsia="Courier New" w:hAnsi="Courier New"/>
                <w:sz w:val="12"/>
                <w:szCs w:val="12"/>
                <w:color w:val="auto"/>
              </w:rPr>
              <w:t>H</w:t>
            </w:r>
          </w:p>
        </w:tc>
        <w:tc>
          <w:tcPr>
            <w:tcW w:w="10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358,798</w:t>
            </w:r>
          </w:p>
        </w:tc>
        <w:tc>
          <w:tcPr>
            <w:tcW w:w="8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9,704</w:t>
            </w:r>
          </w:p>
        </w:tc>
        <w:tc>
          <w:tcPr>
            <w:tcW w:w="92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368,502</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356,947</w:t>
            </w:r>
          </w:p>
        </w:tc>
        <w:tc>
          <w:tcPr>
            <w:tcW w:w="9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75,483</w:t>
            </w:r>
          </w:p>
        </w:tc>
        <w:tc>
          <w:tcPr>
            <w:tcW w:w="8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432,430</w:t>
            </w:r>
          </w:p>
        </w:tc>
      </w:tr>
      <w:tr>
        <w:trPr>
          <w:trHeight w:val="270"/>
        </w:trPr>
        <w:tc>
          <w:tcPr>
            <w:tcW w:w="2980" w:type="dxa"/>
            <w:vAlign w:val="bottom"/>
          </w:tcPr>
          <w:p>
            <w:pPr>
              <w:ind w:left="340"/>
              <w:spacing w:after="0"/>
              <w:rPr>
                <w:sz w:val="20"/>
                <w:szCs w:val="20"/>
                <w:color w:val="auto"/>
              </w:rPr>
            </w:pPr>
            <w:r>
              <w:rPr>
                <w:rFonts w:ascii="Courier New" w:cs="Courier New" w:eastAsia="Courier New" w:hAnsi="Courier New"/>
                <w:sz w:val="12"/>
                <w:szCs w:val="12"/>
                <w:color w:val="auto"/>
              </w:rPr>
              <w:t>CONVERTIBLE DEBENTURES</w:t>
            </w:r>
          </w:p>
        </w:tc>
        <w:tc>
          <w:tcPr>
            <w:tcW w:w="840" w:type="dxa"/>
            <w:vAlign w:val="bottom"/>
          </w:tcPr>
          <w:p>
            <w:pPr>
              <w:jc w:val="center"/>
              <w:spacing w:after="0"/>
              <w:rPr>
                <w:sz w:val="20"/>
                <w:szCs w:val="20"/>
                <w:color w:val="auto"/>
              </w:rPr>
            </w:pPr>
            <w:r>
              <w:rPr>
                <w:rFonts w:ascii="Courier New" w:cs="Courier New" w:eastAsia="Courier New" w:hAnsi="Courier New"/>
                <w:sz w:val="12"/>
                <w:szCs w:val="12"/>
                <w:color w:val="auto"/>
              </w:rPr>
              <w:t>D</w:t>
            </w:r>
          </w:p>
        </w:tc>
        <w:tc>
          <w:tcPr>
            <w:tcW w:w="10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57,853</w:t>
            </w:r>
          </w:p>
        </w:tc>
        <w:tc>
          <w:tcPr>
            <w:tcW w:w="8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(4,950)</w:t>
            </w:r>
          </w:p>
        </w:tc>
        <w:tc>
          <w:tcPr>
            <w:tcW w:w="260" w:type="dxa"/>
            <w:vAlign w:val="bottom"/>
          </w:tcPr>
          <w:p>
            <w:pPr>
              <w:spacing w:after="0"/>
              <w:rPr>
                <w:sz w:val="23"/>
                <w:szCs w:val="23"/>
                <w:color w:val="auto"/>
              </w:rPr>
            </w:pPr>
          </w:p>
        </w:tc>
        <w:tc>
          <w:tcPr>
            <w:tcW w:w="6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52,903</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62,175</w:t>
            </w:r>
          </w:p>
        </w:tc>
        <w:tc>
          <w:tcPr>
            <w:tcW w:w="9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21,688</w:t>
            </w:r>
          </w:p>
        </w:tc>
        <w:tc>
          <w:tcPr>
            <w:tcW w:w="8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83,863</w:t>
            </w:r>
          </w:p>
        </w:tc>
      </w:tr>
      <w:tr>
        <w:trPr>
          <w:trHeight w:val="270"/>
        </w:trPr>
        <w:tc>
          <w:tcPr>
            <w:tcW w:w="2980" w:type="dxa"/>
            <w:vAlign w:val="bottom"/>
          </w:tcPr>
          <w:p>
            <w:pPr>
              <w:ind w:left="340"/>
              <w:spacing w:after="0"/>
              <w:rPr>
                <w:sz w:val="20"/>
                <w:szCs w:val="20"/>
                <w:color w:val="auto"/>
              </w:rPr>
            </w:pPr>
            <w:r>
              <w:rPr>
                <w:rFonts w:ascii="Courier New" w:cs="Courier New" w:eastAsia="Courier New" w:hAnsi="Courier New"/>
                <w:sz w:val="12"/>
                <w:szCs w:val="12"/>
                <w:color w:val="auto"/>
              </w:rPr>
              <w:t>LONG-TERM CUSTOMERS' ADVANCES</w:t>
            </w:r>
          </w:p>
        </w:tc>
        <w:tc>
          <w:tcPr>
            <w:tcW w:w="840" w:type="dxa"/>
            <w:vAlign w:val="bottom"/>
          </w:tcPr>
          <w:p>
            <w:pPr>
              <w:spacing w:after="0"/>
              <w:rPr>
                <w:sz w:val="23"/>
                <w:szCs w:val="23"/>
                <w:color w:val="auto"/>
              </w:rPr>
            </w:pPr>
          </w:p>
        </w:tc>
        <w:tc>
          <w:tcPr>
            <w:tcW w:w="10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44,050</w:t>
            </w:r>
          </w:p>
        </w:tc>
        <w:tc>
          <w:tcPr>
            <w:tcW w:w="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44,050</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46,042</w:t>
            </w:r>
          </w:p>
        </w:tc>
        <w:tc>
          <w:tcPr>
            <w:tcW w:w="900" w:type="dxa"/>
            <w:vAlign w:val="bottom"/>
          </w:tcPr>
          <w:p>
            <w:pPr>
              <w:spacing w:after="0"/>
              <w:rPr>
                <w:sz w:val="23"/>
                <w:szCs w:val="23"/>
                <w:color w:val="auto"/>
              </w:rPr>
            </w:pPr>
          </w:p>
        </w:tc>
        <w:tc>
          <w:tcPr>
            <w:tcW w:w="8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46,042</w:t>
            </w:r>
          </w:p>
        </w:tc>
      </w:tr>
      <w:tr>
        <w:trPr>
          <w:trHeight w:val="270"/>
        </w:trPr>
        <w:tc>
          <w:tcPr>
            <w:tcW w:w="2980" w:type="dxa"/>
            <w:vAlign w:val="bottom"/>
          </w:tcPr>
          <w:p>
            <w:pPr>
              <w:ind w:left="340"/>
              <w:spacing w:after="0"/>
              <w:rPr>
                <w:sz w:val="20"/>
                <w:szCs w:val="20"/>
                <w:color w:val="auto"/>
              </w:rPr>
            </w:pPr>
            <w:r>
              <w:rPr>
                <w:rFonts w:ascii="Courier New" w:cs="Courier New" w:eastAsia="Courier New" w:hAnsi="Courier New"/>
                <w:sz w:val="12"/>
                <w:szCs w:val="12"/>
                <w:color w:val="auto"/>
              </w:rPr>
              <w:t>OTHER LONG-TERM LIABILITIES</w:t>
            </w:r>
          </w:p>
        </w:tc>
        <w:tc>
          <w:tcPr>
            <w:tcW w:w="840" w:type="dxa"/>
            <w:vAlign w:val="bottom"/>
          </w:tcPr>
          <w:p>
            <w:pPr>
              <w:jc w:val="center"/>
              <w:spacing w:after="0"/>
              <w:rPr>
                <w:sz w:val="20"/>
                <w:szCs w:val="20"/>
                <w:color w:val="auto"/>
              </w:rPr>
            </w:pPr>
            <w:r>
              <w:rPr>
                <w:rFonts w:ascii="Courier New" w:cs="Courier New" w:eastAsia="Courier New" w:hAnsi="Courier New"/>
                <w:sz w:val="12"/>
                <w:szCs w:val="12"/>
                <w:color w:val="auto"/>
                <w:w w:val="99"/>
              </w:rPr>
              <w:t>B,E,F</w:t>
            </w:r>
          </w:p>
        </w:tc>
        <w:tc>
          <w:tcPr>
            <w:tcW w:w="10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21,353</w:t>
            </w:r>
          </w:p>
        </w:tc>
        <w:tc>
          <w:tcPr>
            <w:tcW w:w="8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6,969</w:t>
            </w:r>
          </w:p>
        </w:tc>
        <w:tc>
          <w:tcPr>
            <w:tcW w:w="260" w:type="dxa"/>
            <w:vAlign w:val="bottom"/>
          </w:tcPr>
          <w:p>
            <w:pPr>
              <w:spacing w:after="0"/>
              <w:rPr>
                <w:sz w:val="23"/>
                <w:szCs w:val="23"/>
                <w:color w:val="auto"/>
              </w:rPr>
            </w:pPr>
          </w:p>
        </w:tc>
        <w:tc>
          <w:tcPr>
            <w:tcW w:w="6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28,322</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17,708</w:t>
            </w:r>
          </w:p>
        </w:tc>
        <w:tc>
          <w:tcPr>
            <w:tcW w:w="9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10,447</w:t>
            </w:r>
          </w:p>
        </w:tc>
        <w:tc>
          <w:tcPr>
            <w:tcW w:w="8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28,155</w:t>
            </w:r>
          </w:p>
        </w:tc>
      </w:tr>
      <w:tr>
        <w:trPr>
          <w:trHeight w:val="135"/>
        </w:trPr>
        <w:tc>
          <w:tcPr>
            <w:tcW w:w="2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01"/>
              <w:spacing w:after="0"/>
              <w:rPr>
                <w:sz w:val="20"/>
                <w:szCs w:val="20"/>
                <w:color w:val="auto"/>
              </w:rPr>
            </w:pPr>
            <w:r>
              <w:rPr>
                <w:rFonts w:ascii="Courier New" w:cs="Courier New" w:eastAsia="Courier New" w:hAnsi="Courier New"/>
                <w:sz w:val="12"/>
                <w:szCs w:val="12"/>
                <w:color w:val="auto"/>
                <w:w w:val="95"/>
              </w:rPr>
              <w:t>---------</w:t>
            </w:r>
          </w:p>
        </w:tc>
        <w:tc>
          <w:tcPr>
            <w:tcW w:w="92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2980" w:type="dxa"/>
            <w:vAlign w:val="bottom"/>
          </w:tcPr>
          <w:p>
            <w:pPr>
              <w:ind w:left="1040"/>
              <w:spacing w:after="0"/>
              <w:rPr>
                <w:sz w:val="20"/>
                <w:szCs w:val="20"/>
                <w:color w:val="auto"/>
              </w:rPr>
            </w:pPr>
            <w:r>
              <w:rPr>
                <w:rFonts w:ascii="Courier New" w:cs="Courier New" w:eastAsia="Courier New" w:hAnsi="Courier New"/>
                <w:sz w:val="12"/>
                <w:szCs w:val="12"/>
                <w:color w:val="auto"/>
              </w:rPr>
              <w:t>TOTAL LIABILITIES</w:t>
            </w:r>
          </w:p>
        </w:tc>
        <w:tc>
          <w:tcPr>
            <w:tcW w:w="840" w:type="dxa"/>
            <w:vAlign w:val="bottom"/>
          </w:tcPr>
          <w:p>
            <w:pPr>
              <w:spacing w:after="0"/>
              <w:rPr>
                <w:sz w:val="11"/>
                <w:szCs w:val="11"/>
                <w:color w:val="auto"/>
              </w:rPr>
            </w:pPr>
          </w:p>
        </w:tc>
        <w:tc>
          <w:tcPr>
            <w:tcW w:w="10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566,761</w:t>
            </w:r>
          </w:p>
        </w:tc>
        <w:tc>
          <w:tcPr>
            <w:tcW w:w="8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12,049</w:t>
            </w:r>
          </w:p>
        </w:tc>
        <w:tc>
          <w:tcPr>
            <w:tcW w:w="92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578,810</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566,728</w:t>
            </w:r>
          </w:p>
        </w:tc>
        <w:tc>
          <w:tcPr>
            <w:tcW w:w="9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107,888</w:t>
            </w:r>
          </w:p>
        </w:tc>
        <w:tc>
          <w:tcPr>
            <w:tcW w:w="8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674,616</w:t>
            </w:r>
          </w:p>
        </w:tc>
      </w:tr>
      <w:tr>
        <w:trPr>
          <w:trHeight w:val="135"/>
        </w:trPr>
        <w:tc>
          <w:tcPr>
            <w:tcW w:w="2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01"/>
              <w:spacing w:after="0"/>
              <w:rPr>
                <w:sz w:val="20"/>
                <w:szCs w:val="20"/>
                <w:color w:val="auto"/>
              </w:rPr>
            </w:pPr>
            <w:r>
              <w:rPr>
                <w:rFonts w:ascii="Courier New" w:cs="Courier New" w:eastAsia="Courier New" w:hAnsi="Courier New"/>
                <w:sz w:val="12"/>
                <w:szCs w:val="12"/>
                <w:color w:val="auto"/>
                <w:w w:val="95"/>
              </w:rPr>
              <w:t>---------</w:t>
            </w:r>
          </w:p>
        </w:tc>
        <w:tc>
          <w:tcPr>
            <w:tcW w:w="92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270"/>
        </w:trPr>
        <w:tc>
          <w:tcPr>
            <w:tcW w:w="2980" w:type="dxa"/>
            <w:vAlign w:val="bottom"/>
          </w:tcPr>
          <w:p>
            <w:pPr>
              <w:ind w:left="340"/>
              <w:spacing w:after="0"/>
              <w:rPr>
                <w:sz w:val="20"/>
                <w:szCs w:val="20"/>
                <w:color w:val="auto"/>
              </w:rPr>
            </w:pPr>
            <w:r>
              <w:rPr>
                <w:rFonts w:ascii="Courier New" w:cs="Courier New" w:eastAsia="Courier New" w:hAnsi="Courier New"/>
                <w:sz w:val="12"/>
                <w:szCs w:val="12"/>
                <w:color w:val="auto"/>
              </w:rPr>
              <w:t>SHAREHOLDERS' EQUITY</w:t>
            </w:r>
          </w:p>
        </w:tc>
        <w:tc>
          <w:tcPr>
            <w:tcW w:w="8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135"/>
        </w:trPr>
        <w:tc>
          <w:tcPr>
            <w:tcW w:w="2980" w:type="dxa"/>
            <w:vAlign w:val="bottom"/>
          </w:tcPr>
          <w:p>
            <w:pPr>
              <w:ind w:left="560"/>
              <w:spacing w:after="0"/>
              <w:rPr>
                <w:sz w:val="20"/>
                <w:szCs w:val="20"/>
                <w:color w:val="auto"/>
              </w:rPr>
            </w:pPr>
            <w:r>
              <w:rPr>
                <w:rFonts w:ascii="Courier New" w:cs="Courier New" w:eastAsia="Courier New" w:hAnsi="Courier New"/>
                <w:sz w:val="12"/>
                <w:szCs w:val="12"/>
                <w:color w:val="auto"/>
              </w:rPr>
              <w:t>ORDINARY SHARES, NIS 1 PAR VALUE</w:t>
            </w: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5"/>
        </w:trPr>
        <w:tc>
          <w:tcPr>
            <w:tcW w:w="2980" w:type="dxa"/>
            <w:vAlign w:val="bottom"/>
          </w:tcPr>
          <w:p>
            <w:pPr>
              <w:ind w:left="700"/>
              <w:spacing w:after="0"/>
              <w:rPr>
                <w:sz w:val="20"/>
                <w:szCs w:val="20"/>
                <w:color w:val="auto"/>
              </w:rPr>
            </w:pPr>
            <w:r>
              <w:rPr>
                <w:rFonts w:ascii="Courier New" w:cs="Courier New" w:eastAsia="Courier New" w:hAnsi="Courier New"/>
                <w:sz w:val="12"/>
                <w:szCs w:val="12"/>
                <w:color w:val="auto"/>
              </w:rPr>
              <w:t>- AUTHORIZED 800,000,000 AND</w:t>
            </w: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5"/>
        </w:trPr>
        <w:tc>
          <w:tcPr>
            <w:tcW w:w="2980" w:type="dxa"/>
            <w:vAlign w:val="bottom"/>
          </w:tcPr>
          <w:p>
            <w:pPr>
              <w:ind w:left="840"/>
              <w:spacing w:after="0"/>
              <w:rPr>
                <w:sz w:val="20"/>
                <w:szCs w:val="20"/>
                <w:color w:val="auto"/>
              </w:rPr>
            </w:pPr>
            <w:r>
              <w:rPr>
                <w:rFonts w:ascii="Courier New" w:cs="Courier New" w:eastAsia="Courier New" w:hAnsi="Courier New"/>
                <w:sz w:val="12"/>
                <w:szCs w:val="12"/>
                <w:color w:val="auto"/>
              </w:rPr>
              <w:t>800,000,000 SHARES</w:t>
            </w: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5"/>
        </w:trPr>
        <w:tc>
          <w:tcPr>
            <w:tcW w:w="2980" w:type="dxa"/>
            <w:vAlign w:val="bottom"/>
          </w:tcPr>
          <w:p>
            <w:pPr>
              <w:ind w:left="840"/>
              <w:spacing w:after="0"/>
              <w:rPr>
                <w:sz w:val="20"/>
                <w:szCs w:val="20"/>
                <w:color w:val="auto"/>
              </w:rPr>
            </w:pPr>
            <w:r>
              <w:rPr>
                <w:rFonts w:ascii="Courier New" w:cs="Courier New" w:eastAsia="Courier New" w:hAnsi="Courier New"/>
                <w:sz w:val="12"/>
                <w:szCs w:val="12"/>
                <w:color w:val="auto"/>
              </w:rPr>
              <w:t>RESPECTIVELY; ISSUED</w:t>
            </w: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5"/>
        </w:trPr>
        <w:tc>
          <w:tcPr>
            <w:tcW w:w="2980" w:type="dxa"/>
            <w:vAlign w:val="bottom"/>
          </w:tcPr>
          <w:p>
            <w:pPr>
              <w:ind w:left="840"/>
              <w:spacing w:after="0"/>
              <w:rPr>
                <w:sz w:val="20"/>
                <w:szCs w:val="20"/>
                <w:color w:val="auto"/>
              </w:rPr>
            </w:pPr>
            <w:r>
              <w:rPr>
                <w:rFonts w:ascii="Courier New" w:cs="Courier New" w:eastAsia="Courier New" w:hAnsi="Courier New"/>
                <w:sz w:val="12"/>
                <w:szCs w:val="12"/>
                <w:color w:val="auto"/>
              </w:rPr>
              <w:t>122,182,946 AND 102,052,767</w:t>
            </w: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5"/>
        </w:trPr>
        <w:tc>
          <w:tcPr>
            <w:tcW w:w="2980" w:type="dxa"/>
            <w:vAlign w:val="bottom"/>
          </w:tcPr>
          <w:p>
            <w:pPr>
              <w:ind w:left="840"/>
              <w:spacing w:after="0"/>
              <w:rPr>
                <w:sz w:val="20"/>
                <w:szCs w:val="20"/>
                <w:color w:val="auto"/>
              </w:rPr>
            </w:pPr>
            <w:r>
              <w:rPr>
                <w:rFonts w:ascii="Courier New" w:cs="Courier New" w:eastAsia="Courier New" w:hAnsi="Courier New"/>
                <w:sz w:val="12"/>
                <w:szCs w:val="12"/>
                <w:color w:val="auto"/>
              </w:rPr>
              <w:t>SHARES, RESPECTIVELY</w:t>
            </w:r>
          </w:p>
        </w:tc>
        <w:tc>
          <w:tcPr>
            <w:tcW w:w="840" w:type="dxa"/>
            <w:vAlign w:val="bottom"/>
          </w:tcPr>
          <w:p>
            <w:pPr>
              <w:spacing w:after="0"/>
              <w:rPr>
                <w:sz w:val="11"/>
                <w:szCs w:val="11"/>
                <w:color w:val="auto"/>
              </w:rPr>
            </w:pPr>
          </w:p>
        </w:tc>
        <w:tc>
          <w:tcPr>
            <w:tcW w:w="10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28,965</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28,965</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24,187</w:t>
            </w:r>
          </w:p>
        </w:tc>
        <w:tc>
          <w:tcPr>
            <w:tcW w:w="900" w:type="dxa"/>
            <w:vAlign w:val="bottom"/>
          </w:tcPr>
          <w:p>
            <w:pPr>
              <w:spacing w:after="0"/>
              <w:rPr>
                <w:sz w:val="11"/>
                <w:szCs w:val="11"/>
                <w:color w:val="auto"/>
              </w:rPr>
            </w:pPr>
          </w:p>
        </w:tc>
        <w:tc>
          <w:tcPr>
            <w:tcW w:w="8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24,187</w:t>
            </w:r>
          </w:p>
        </w:tc>
      </w:tr>
      <w:tr>
        <w:trPr>
          <w:trHeight w:val="135"/>
        </w:trPr>
        <w:tc>
          <w:tcPr>
            <w:tcW w:w="2980" w:type="dxa"/>
            <w:vAlign w:val="bottom"/>
          </w:tcPr>
          <w:p>
            <w:pPr>
              <w:ind w:left="560"/>
              <w:spacing w:after="0"/>
              <w:rPr>
                <w:sz w:val="20"/>
                <w:szCs w:val="20"/>
                <w:color w:val="auto"/>
              </w:rPr>
            </w:pPr>
            <w:r>
              <w:rPr>
                <w:rFonts w:ascii="Courier New" w:cs="Courier New" w:eastAsia="Courier New" w:hAnsi="Courier New"/>
                <w:sz w:val="12"/>
                <w:szCs w:val="12"/>
                <w:color w:val="auto"/>
              </w:rPr>
              <w:t>ADDITIONAL PAID-IN CAPITAL</w:t>
            </w:r>
          </w:p>
        </w:tc>
        <w:tc>
          <w:tcPr>
            <w:tcW w:w="840" w:type="dxa"/>
            <w:vAlign w:val="bottom"/>
          </w:tcPr>
          <w:p>
            <w:pPr>
              <w:jc w:val="center"/>
              <w:spacing w:after="0"/>
              <w:rPr>
                <w:sz w:val="20"/>
                <w:szCs w:val="20"/>
                <w:color w:val="auto"/>
              </w:rPr>
            </w:pPr>
            <w:r>
              <w:rPr>
                <w:rFonts w:ascii="Courier New" w:cs="Courier New" w:eastAsia="Courier New" w:hAnsi="Courier New"/>
                <w:sz w:val="12"/>
                <w:szCs w:val="12"/>
                <w:color w:val="auto"/>
                <w:w w:val="99"/>
              </w:rPr>
              <w:t>D,E,F</w:t>
            </w:r>
          </w:p>
        </w:tc>
        <w:tc>
          <w:tcPr>
            <w:tcW w:w="10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584,400</w:t>
            </w:r>
          </w:p>
        </w:tc>
        <w:tc>
          <w:tcPr>
            <w:tcW w:w="8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38,819</w:t>
            </w:r>
          </w:p>
        </w:tc>
        <w:tc>
          <w:tcPr>
            <w:tcW w:w="92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623,219</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564,580</w:t>
            </w:r>
          </w:p>
        </w:tc>
        <w:tc>
          <w:tcPr>
            <w:tcW w:w="9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6,404</w:t>
            </w:r>
          </w:p>
        </w:tc>
        <w:tc>
          <w:tcPr>
            <w:tcW w:w="8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570,984</w:t>
            </w:r>
          </w:p>
        </w:tc>
      </w:tr>
      <w:tr>
        <w:trPr>
          <w:trHeight w:val="135"/>
        </w:trPr>
        <w:tc>
          <w:tcPr>
            <w:tcW w:w="2980" w:type="dxa"/>
            <w:vAlign w:val="bottom"/>
          </w:tcPr>
          <w:p>
            <w:pPr>
              <w:ind w:left="560"/>
              <w:spacing w:after="0"/>
              <w:rPr>
                <w:sz w:val="20"/>
                <w:szCs w:val="20"/>
                <w:color w:val="auto"/>
              </w:rPr>
            </w:pPr>
            <w:r>
              <w:rPr>
                <w:rFonts w:ascii="Courier New" w:cs="Courier New" w:eastAsia="Courier New" w:hAnsi="Courier New"/>
                <w:sz w:val="12"/>
                <w:szCs w:val="12"/>
                <w:color w:val="auto"/>
              </w:rPr>
              <w:t>CAPITAL NOTES</w:t>
            </w:r>
          </w:p>
        </w:tc>
        <w:tc>
          <w:tcPr>
            <w:tcW w:w="840" w:type="dxa"/>
            <w:vAlign w:val="bottom"/>
          </w:tcPr>
          <w:p>
            <w:pPr>
              <w:spacing w:after="0"/>
              <w:rPr>
                <w:sz w:val="11"/>
                <w:szCs w:val="11"/>
                <w:color w:val="auto"/>
              </w:rPr>
            </w:pPr>
          </w:p>
        </w:tc>
        <w:tc>
          <w:tcPr>
            <w:tcW w:w="10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176,401</w:t>
            </w:r>
          </w:p>
        </w:tc>
        <w:tc>
          <w:tcPr>
            <w:tcW w:w="800" w:type="dxa"/>
            <w:vAlign w:val="bottom"/>
          </w:tcPr>
          <w:p>
            <w:pPr>
              <w:spacing w:after="0"/>
              <w:rPr>
                <w:sz w:val="11"/>
                <w:szCs w:val="11"/>
                <w:color w:val="auto"/>
              </w:rPr>
            </w:pPr>
          </w:p>
        </w:tc>
        <w:tc>
          <w:tcPr>
            <w:tcW w:w="92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176,401</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176,401</w:t>
            </w:r>
          </w:p>
        </w:tc>
        <w:tc>
          <w:tcPr>
            <w:tcW w:w="900" w:type="dxa"/>
            <w:vAlign w:val="bottom"/>
          </w:tcPr>
          <w:p>
            <w:pPr>
              <w:spacing w:after="0"/>
              <w:rPr>
                <w:sz w:val="11"/>
                <w:szCs w:val="11"/>
                <w:color w:val="auto"/>
              </w:rPr>
            </w:pPr>
          </w:p>
        </w:tc>
        <w:tc>
          <w:tcPr>
            <w:tcW w:w="8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176,401</w:t>
            </w:r>
          </w:p>
        </w:tc>
      </w:tr>
      <w:tr>
        <w:trPr>
          <w:trHeight w:val="135"/>
        </w:trPr>
        <w:tc>
          <w:tcPr>
            <w:tcW w:w="2980" w:type="dxa"/>
            <w:vAlign w:val="bottom"/>
          </w:tcPr>
          <w:p>
            <w:pPr>
              <w:ind w:left="560"/>
              <w:spacing w:after="0"/>
              <w:rPr>
                <w:sz w:val="20"/>
                <w:szCs w:val="20"/>
                <w:color w:val="auto"/>
              </w:rPr>
            </w:pPr>
            <w:r>
              <w:rPr>
                <w:rFonts w:ascii="Courier New" w:cs="Courier New" w:eastAsia="Courier New" w:hAnsi="Courier New"/>
                <w:sz w:val="12"/>
                <w:szCs w:val="12"/>
                <w:color w:val="auto"/>
              </w:rPr>
              <w:t>EQUITY COMPONENT OF CONVERTIBLE</w:t>
            </w: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5"/>
        </w:trPr>
        <w:tc>
          <w:tcPr>
            <w:tcW w:w="2980" w:type="dxa"/>
            <w:vAlign w:val="bottom"/>
          </w:tcPr>
          <w:p>
            <w:pPr>
              <w:ind w:left="700"/>
              <w:spacing w:after="0"/>
              <w:rPr>
                <w:sz w:val="20"/>
                <w:szCs w:val="20"/>
                <w:color w:val="auto"/>
              </w:rPr>
            </w:pPr>
            <w:r>
              <w:rPr>
                <w:rFonts w:ascii="Courier New" w:cs="Courier New" w:eastAsia="Courier New" w:hAnsi="Courier New"/>
                <w:sz w:val="12"/>
                <w:szCs w:val="12"/>
                <w:color w:val="auto"/>
              </w:rPr>
              <w:t>DEBENTURES AND CUMULATIVE STOCK</w:t>
            </w: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5"/>
        </w:trPr>
        <w:tc>
          <w:tcPr>
            <w:tcW w:w="2980" w:type="dxa"/>
            <w:vAlign w:val="bottom"/>
          </w:tcPr>
          <w:p>
            <w:pPr>
              <w:ind w:left="840"/>
              <w:spacing w:after="0"/>
              <w:rPr>
                <w:sz w:val="20"/>
                <w:szCs w:val="20"/>
                <w:color w:val="auto"/>
              </w:rPr>
            </w:pPr>
            <w:r>
              <w:rPr>
                <w:rFonts w:ascii="Courier New" w:cs="Courier New" w:eastAsia="Courier New" w:hAnsi="Courier New"/>
                <w:sz w:val="12"/>
                <w:szCs w:val="12"/>
                <w:color w:val="auto"/>
              </w:rPr>
              <w:t>BASED COMPENSATION</w:t>
            </w:r>
          </w:p>
        </w:tc>
        <w:tc>
          <w:tcPr>
            <w:tcW w:w="840" w:type="dxa"/>
            <w:vAlign w:val="bottom"/>
          </w:tcPr>
          <w:p>
            <w:pPr>
              <w:jc w:val="center"/>
              <w:spacing w:after="0"/>
              <w:rPr>
                <w:sz w:val="20"/>
                <w:szCs w:val="20"/>
                <w:color w:val="auto"/>
              </w:rPr>
            </w:pPr>
            <w:r>
              <w:rPr>
                <w:rFonts w:ascii="Courier New" w:cs="Courier New" w:eastAsia="Courier New" w:hAnsi="Courier New"/>
                <w:sz w:val="12"/>
                <w:szCs w:val="12"/>
                <w:color w:val="auto"/>
                <w:w w:val="92"/>
              </w:rPr>
              <w:t>D,G</w:t>
            </w:r>
          </w:p>
        </w:tc>
        <w:tc>
          <w:tcPr>
            <w:tcW w:w="10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25,218</w:t>
            </w:r>
          </w:p>
        </w:tc>
        <w:tc>
          <w:tcPr>
            <w:tcW w:w="8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(18,268)</w:t>
            </w:r>
          </w:p>
        </w:tc>
        <w:tc>
          <w:tcPr>
            <w:tcW w:w="260" w:type="dxa"/>
            <w:vAlign w:val="bottom"/>
          </w:tcPr>
          <w:p>
            <w:pPr>
              <w:spacing w:after="0"/>
              <w:rPr>
                <w:sz w:val="11"/>
                <w:szCs w:val="11"/>
                <w:color w:val="auto"/>
              </w:rPr>
            </w:pPr>
          </w:p>
        </w:tc>
        <w:tc>
          <w:tcPr>
            <w:tcW w:w="6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6,950</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23,576</w:t>
            </w:r>
          </w:p>
        </w:tc>
        <w:tc>
          <w:tcPr>
            <w:tcW w:w="9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(18,706)</w:t>
            </w:r>
          </w:p>
        </w:tc>
        <w:tc>
          <w:tcPr>
            <w:tcW w:w="8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4,870</w:t>
            </w:r>
          </w:p>
        </w:tc>
      </w:tr>
      <w:tr>
        <w:trPr>
          <w:trHeight w:val="135"/>
        </w:trPr>
        <w:tc>
          <w:tcPr>
            <w:tcW w:w="2980" w:type="dxa"/>
            <w:vAlign w:val="bottom"/>
          </w:tcPr>
          <w:p>
            <w:pPr>
              <w:ind w:left="560"/>
              <w:spacing w:after="0"/>
              <w:rPr>
                <w:sz w:val="20"/>
                <w:szCs w:val="20"/>
                <w:color w:val="auto"/>
              </w:rPr>
            </w:pPr>
            <w:r>
              <w:rPr>
                <w:rFonts w:ascii="Courier New" w:cs="Courier New" w:eastAsia="Courier New" w:hAnsi="Courier New"/>
                <w:sz w:val="12"/>
                <w:szCs w:val="12"/>
                <w:color w:val="auto"/>
              </w:rPr>
              <w:t>ACCUMULATED OTHER COMPREHENSIVE</w:t>
            </w: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5"/>
        </w:trPr>
        <w:tc>
          <w:tcPr>
            <w:tcW w:w="2980" w:type="dxa"/>
            <w:vAlign w:val="bottom"/>
          </w:tcPr>
          <w:p>
            <w:pPr>
              <w:ind w:left="760"/>
              <w:spacing w:after="0"/>
              <w:rPr>
                <w:sz w:val="20"/>
                <w:szCs w:val="20"/>
                <w:color w:val="auto"/>
              </w:rPr>
            </w:pPr>
            <w:r>
              <w:rPr>
                <w:rFonts w:ascii="Courier New" w:cs="Courier New" w:eastAsia="Courier New" w:hAnsi="Courier New"/>
                <w:sz w:val="12"/>
                <w:szCs w:val="12"/>
                <w:color w:val="auto"/>
              </w:rPr>
              <w:t>LOSS</w:t>
            </w:r>
          </w:p>
        </w:tc>
        <w:tc>
          <w:tcPr>
            <w:tcW w:w="840" w:type="dxa"/>
            <w:vAlign w:val="bottom"/>
          </w:tcPr>
          <w:p>
            <w:pPr>
              <w:jc w:val="center"/>
              <w:spacing w:after="0"/>
              <w:rPr>
                <w:sz w:val="20"/>
                <w:szCs w:val="20"/>
                <w:color w:val="auto"/>
              </w:rPr>
            </w:pPr>
            <w:r>
              <w:rPr>
                <w:rFonts w:ascii="Courier New" w:cs="Courier New" w:eastAsia="Courier New" w:hAnsi="Courier New"/>
                <w:sz w:val="12"/>
                <w:szCs w:val="12"/>
                <w:color w:val="auto"/>
              </w:rPr>
              <w:t>C</w:t>
            </w:r>
          </w:p>
        </w:tc>
        <w:tc>
          <w:tcPr>
            <w:tcW w:w="1020" w:type="dxa"/>
            <w:vAlign w:val="bottom"/>
          </w:tcPr>
          <w:p>
            <w:pPr>
              <w:spacing w:after="0"/>
              <w:rPr>
                <w:sz w:val="11"/>
                <w:szCs w:val="11"/>
                <w:color w:val="auto"/>
              </w:rPr>
            </w:pPr>
          </w:p>
        </w:tc>
        <w:tc>
          <w:tcPr>
            <w:tcW w:w="8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(241)</w:t>
            </w:r>
          </w:p>
        </w:tc>
        <w:tc>
          <w:tcPr>
            <w:tcW w:w="260" w:type="dxa"/>
            <w:vAlign w:val="bottom"/>
          </w:tcPr>
          <w:p>
            <w:pPr>
              <w:spacing w:after="0"/>
              <w:rPr>
                <w:sz w:val="11"/>
                <w:szCs w:val="11"/>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(241)</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(203)</w:t>
            </w:r>
          </w:p>
        </w:tc>
        <w:tc>
          <w:tcPr>
            <w:tcW w:w="820" w:type="dxa"/>
            <w:vAlign w:val="bottom"/>
          </w:tcPr>
          <w:p>
            <w:pPr>
              <w:jc w:val="right"/>
              <w:spacing w:after="0"/>
              <w:rPr>
                <w:sz w:val="20"/>
                <w:szCs w:val="20"/>
                <w:color w:val="auto"/>
              </w:rPr>
            </w:pPr>
            <w:r>
              <w:rPr>
                <w:rFonts w:ascii="Courier New" w:cs="Courier New" w:eastAsia="Courier New" w:hAnsi="Courier New"/>
                <w:sz w:val="12"/>
                <w:szCs w:val="12"/>
                <w:color w:val="auto"/>
              </w:rPr>
              <w:t>(203)</w:t>
            </w:r>
          </w:p>
        </w:tc>
      </w:tr>
      <w:tr>
        <w:trPr>
          <w:trHeight w:val="135"/>
        </w:trPr>
        <w:tc>
          <w:tcPr>
            <w:tcW w:w="2980" w:type="dxa"/>
            <w:vAlign w:val="bottom"/>
          </w:tcPr>
          <w:p>
            <w:pPr>
              <w:ind w:left="560"/>
              <w:spacing w:after="0"/>
              <w:rPr>
                <w:sz w:val="20"/>
                <w:szCs w:val="20"/>
                <w:color w:val="auto"/>
              </w:rPr>
            </w:pPr>
            <w:r>
              <w:rPr>
                <w:rFonts w:ascii="Courier New" w:cs="Courier New" w:eastAsia="Courier New" w:hAnsi="Courier New"/>
                <w:sz w:val="12"/>
                <w:szCs w:val="12"/>
                <w:color w:val="auto"/>
              </w:rPr>
              <w:t>ACCUMULATED DEFICIT</w:t>
            </w:r>
          </w:p>
        </w:tc>
        <w:tc>
          <w:tcPr>
            <w:tcW w:w="840" w:type="dxa"/>
            <w:vAlign w:val="bottom"/>
          </w:tcPr>
          <w:p>
            <w:pPr>
              <w:jc w:val="center"/>
              <w:spacing w:after="0"/>
              <w:rPr>
                <w:sz w:val="20"/>
                <w:szCs w:val="20"/>
                <w:color w:val="auto"/>
              </w:rPr>
            </w:pPr>
            <w:r>
              <w:rPr>
                <w:rFonts w:ascii="Courier New" w:cs="Courier New" w:eastAsia="Courier New" w:hAnsi="Courier New"/>
                <w:sz w:val="12"/>
                <w:szCs w:val="12"/>
                <w:color w:val="auto"/>
                <w:w w:val="98"/>
              </w:rPr>
              <w:t>D,E,F,G,H</w:t>
            </w:r>
          </w:p>
        </w:tc>
        <w:tc>
          <w:tcPr>
            <w:tcW w:w="10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(684,073)</w:t>
            </w:r>
          </w:p>
        </w:tc>
        <w:tc>
          <w:tcPr>
            <w:tcW w:w="8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(18,613)</w:t>
            </w:r>
          </w:p>
        </w:tc>
        <w:tc>
          <w:tcPr>
            <w:tcW w:w="92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(702,686)</w:t>
            </w:r>
          </w:p>
        </w:tc>
        <w:tc>
          <w:tcPr>
            <w:tcW w:w="920" w:type="dxa"/>
            <w:vAlign w:val="bottom"/>
          </w:tcPr>
          <w:p>
            <w:pPr>
              <w:jc w:val="right"/>
              <w:ind w:right="61"/>
              <w:spacing w:after="0"/>
              <w:rPr>
                <w:sz w:val="20"/>
                <w:szCs w:val="20"/>
                <w:color w:val="auto"/>
              </w:rPr>
            </w:pPr>
            <w:r>
              <w:rPr>
                <w:rFonts w:ascii="Courier New" w:cs="Courier New" w:eastAsia="Courier New" w:hAnsi="Courier New"/>
                <w:sz w:val="12"/>
                <w:szCs w:val="12"/>
                <w:color w:val="auto"/>
              </w:rPr>
              <w:t>(646,682)</w:t>
            </w:r>
          </w:p>
        </w:tc>
        <w:tc>
          <w:tcPr>
            <w:tcW w:w="9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(80,969)</w:t>
            </w:r>
          </w:p>
        </w:tc>
        <w:tc>
          <w:tcPr>
            <w:tcW w:w="820" w:type="dxa"/>
            <w:vAlign w:val="bottom"/>
          </w:tcPr>
          <w:p>
            <w:pPr>
              <w:jc w:val="right"/>
              <w:spacing w:after="0"/>
              <w:rPr>
                <w:sz w:val="20"/>
                <w:szCs w:val="20"/>
                <w:color w:val="auto"/>
              </w:rPr>
            </w:pPr>
            <w:r>
              <w:rPr>
                <w:rFonts w:ascii="Courier New" w:cs="Courier New" w:eastAsia="Courier New" w:hAnsi="Courier New"/>
                <w:sz w:val="12"/>
                <w:szCs w:val="12"/>
                <w:color w:val="auto"/>
              </w:rPr>
              <w:t>(727,651)</w:t>
            </w:r>
          </w:p>
        </w:tc>
      </w:tr>
      <w:tr>
        <w:trPr>
          <w:trHeight w:val="135"/>
        </w:trPr>
        <w:tc>
          <w:tcPr>
            <w:tcW w:w="2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01"/>
              <w:spacing w:after="0"/>
              <w:rPr>
                <w:sz w:val="20"/>
                <w:szCs w:val="20"/>
                <w:color w:val="auto"/>
              </w:rPr>
            </w:pPr>
            <w:r>
              <w:rPr>
                <w:rFonts w:ascii="Courier New" w:cs="Courier New" w:eastAsia="Courier New" w:hAnsi="Courier New"/>
                <w:sz w:val="12"/>
                <w:szCs w:val="12"/>
                <w:color w:val="auto"/>
                <w:w w:val="95"/>
              </w:rPr>
              <w:t>---------</w:t>
            </w:r>
          </w:p>
        </w:tc>
        <w:tc>
          <w:tcPr>
            <w:tcW w:w="92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2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130,911</w:t>
            </w:r>
          </w:p>
        </w:tc>
        <w:tc>
          <w:tcPr>
            <w:tcW w:w="8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1,697</w:t>
            </w:r>
          </w:p>
        </w:tc>
        <w:tc>
          <w:tcPr>
            <w:tcW w:w="92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132,608</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142,062</w:t>
            </w:r>
          </w:p>
        </w:tc>
        <w:tc>
          <w:tcPr>
            <w:tcW w:w="9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(93,474)</w:t>
            </w:r>
          </w:p>
        </w:tc>
        <w:tc>
          <w:tcPr>
            <w:tcW w:w="8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48,588</w:t>
            </w:r>
          </w:p>
        </w:tc>
      </w:tr>
      <w:tr>
        <w:trPr>
          <w:trHeight w:val="135"/>
        </w:trPr>
        <w:tc>
          <w:tcPr>
            <w:tcW w:w="2980" w:type="dxa"/>
            <w:vAlign w:val="bottom"/>
          </w:tcPr>
          <w:p>
            <w:pPr>
              <w:ind w:left="560"/>
              <w:spacing w:after="0"/>
              <w:rPr>
                <w:sz w:val="20"/>
                <w:szCs w:val="20"/>
                <w:color w:val="auto"/>
              </w:rPr>
            </w:pPr>
            <w:r>
              <w:rPr>
                <w:rFonts w:ascii="Courier New" w:cs="Courier New" w:eastAsia="Courier New" w:hAnsi="Courier New"/>
                <w:sz w:val="12"/>
                <w:szCs w:val="12"/>
                <w:color w:val="auto"/>
              </w:rPr>
              <w:t>TREASURY STOCK, AT COST</w:t>
            </w: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5"/>
        </w:trPr>
        <w:tc>
          <w:tcPr>
            <w:tcW w:w="2980" w:type="dxa"/>
            <w:vAlign w:val="bottom"/>
          </w:tcPr>
          <w:p>
            <w:pPr>
              <w:ind w:left="760"/>
              <w:spacing w:after="0"/>
              <w:rPr>
                <w:sz w:val="20"/>
                <w:szCs w:val="20"/>
                <w:color w:val="auto"/>
              </w:rPr>
            </w:pPr>
            <w:r>
              <w:rPr>
                <w:rFonts w:ascii="Courier New" w:cs="Courier New" w:eastAsia="Courier New" w:hAnsi="Courier New"/>
                <w:sz w:val="12"/>
                <w:szCs w:val="12"/>
                <w:color w:val="auto"/>
              </w:rPr>
              <w:t>- 1,300,000 SHARES</w:t>
            </w:r>
          </w:p>
        </w:tc>
        <w:tc>
          <w:tcPr>
            <w:tcW w:w="840" w:type="dxa"/>
            <w:vAlign w:val="bottom"/>
          </w:tcPr>
          <w:p>
            <w:pPr>
              <w:spacing w:after="0"/>
              <w:rPr>
                <w:sz w:val="11"/>
                <w:szCs w:val="11"/>
                <w:color w:val="auto"/>
              </w:rPr>
            </w:pPr>
          </w:p>
        </w:tc>
        <w:tc>
          <w:tcPr>
            <w:tcW w:w="10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(9,072)</w:t>
            </w:r>
          </w:p>
        </w:tc>
        <w:tc>
          <w:tcPr>
            <w:tcW w:w="8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260" w:type="dxa"/>
            <w:vAlign w:val="bottom"/>
          </w:tcPr>
          <w:p>
            <w:pPr>
              <w:spacing w:after="0"/>
              <w:rPr>
                <w:sz w:val="11"/>
                <w:szCs w:val="11"/>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(9,072)</w:t>
            </w:r>
          </w:p>
        </w:tc>
        <w:tc>
          <w:tcPr>
            <w:tcW w:w="920" w:type="dxa"/>
            <w:vAlign w:val="bottom"/>
          </w:tcPr>
          <w:p>
            <w:pPr>
              <w:jc w:val="right"/>
              <w:ind w:right="61"/>
              <w:spacing w:after="0"/>
              <w:rPr>
                <w:sz w:val="20"/>
                <w:szCs w:val="20"/>
                <w:color w:val="auto"/>
              </w:rPr>
            </w:pPr>
            <w:r>
              <w:rPr>
                <w:rFonts w:ascii="Courier New" w:cs="Courier New" w:eastAsia="Courier New" w:hAnsi="Courier New"/>
                <w:sz w:val="12"/>
                <w:szCs w:val="12"/>
                <w:color w:val="auto"/>
              </w:rPr>
              <w:t>(9,072)</w:t>
            </w:r>
          </w:p>
        </w:tc>
        <w:tc>
          <w:tcPr>
            <w:tcW w:w="9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2"/>
                <w:szCs w:val="12"/>
                <w:color w:val="auto"/>
              </w:rPr>
              <w:t>(9,072)</w:t>
            </w:r>
          </w:p>
        </w:tc>
      </w:tr>
    </w:tbl>
    <w:p>
      <w:pPr>
        <w:sectPr>
          <w:pgSz w:w="11900" w:h="16838" w:orient="portrait"/>
          <w:cols w:equalWidth="0" w:num="1">
            <w:col w:w="10239"/>
          </w:cols>
          <w:pgMar w:left="220" w:top="137" w:right="1440" w:bottom="0" w:gutter="0" w:footer="0" w:header="0"/>
        </w:sectPr>
      </w:pPr>
    </w:p>
    <w:bookmarkStart w:id="11" w:name="page12"/>
    <w:bookmarkEnd w:id="11"/>
    <w:p>
      <w:pPr>
        <w:spacing w:after="0" w:line="1" w:lineRule="exact"/>
        <w:rPr>
          <w:sz w:val="20"/>
          <w:szCs w:val="20"/>
          <w:color w:val="auto"/>
        </w:rPr>
      </w:pPr>
    </w:p>
    <w:tbl>
      <w:tblPr>
        <w:tblLayout w:type="fixed"/>
        <w:tblInd w:w="1040" w:type="dxa"/>
        <w:tblCellMar>
          <w:top w:w="0" w:type="dxa"/>
          <w:left w:w="0" w:type="dxa"/>
          <w:bottom w:w="0" w:type="dxa"/>
          <w:right w:w="0" w:type="dxa"/>
        </w:tblCellMar>
      </w:tblPr>
      <w:tr>
        <w:trPr>
          <w:trHeight w:val="136"/>
        </w:trPr>
        <w:tc>
          <w:tcPr>
            <w:tcW w:w="1860" w:type="dxa"/>
            <w:vAlign w:val="bottom"/>
          </w:tcPr>
          <w:p>
            <w:pPr>
              <w:spacing w:after="0"/>
              <w:rPr>
                <w:sz w:val="11"/>
                <w:szCs w:val="11"/>
                <w:color w:val="auto"/>
              </w:rPr>
            </w:pPr>
          </w:p>
        </w:tc>
        <w:tc>
          <w:tcPr>
            <w:tcW w:w="18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1860" w:type="dxa"/>
            <w:vAlign w:val="bottom"/>
          </w:tcPr>
          <w:p>
            <w:pPr>
              <w:spacing w:after="0"/>
              <w:rPr>
                <w:sz w:val="20"/>
                <w:szCs w:val="20"/>
                <w:color w:val="auto"/>
              </w:rPr>
            </w:pPr>
            <w:r>
              <w:rPr>
                <w:rFonts w:ascii="Courier New" w:cs="Courier New" w:eastAsia="Courier New" w:hAnsi="Courier New"/>
                <w:sz w:val="12"/>
                <w:szCs w:val="12"/>
                <w:color w:val="auto"/>
                <w:w w:val="98"/>
              </w:rPr>
              <w:t>TOTAL SHAREHOLDERS' EQUITY</w:t>
            </w:r>
          </w:p>
        </w:tc>
        <w:tc>
          <w:tcPr>
            <w:tcW w:w="18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121,839</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1,697</w:t>
            </w:r>
          </w:p>
        </w:tc>
        <w:tc>
          <w:tcPr>
            <w:tcW w:w="9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123,536</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132,990</w:t>
            </w:r>
          </w:p>
        </w:tc>
        <w:tc>
          <w:tcPr>
            <w:tcW w:w="9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(93,474)</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39,516</w:t>
            </w:r>
          </w:p>
        </w:tc>
      </w:tr>
      <w:tr>
        <w:trPr>
          <w:trHeight w:val="135"/>
        </w:trPr>
        <w:tc>
          <w:tcPr>
            <w:tcW w:w="1860" w:type="dxa"/>
            <w:vAlign w:val="bottom"/>
          </w:tcPr>
          <w:p>
            <w:pPr>
              <w:spacing w:after="0"/>
              <w:rPr>
                <w:sz w:val="11"/>
                <w:szCs w:val="11"/>
                <w:color w:val="auto"/>
              </w:rPr>
            </w:pPr>
          </w:p>
        </w:tc>
        <w:tc>
          <w:tcPr>
            <w:tcW w:w="18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1860" w:type="dxa"/>
            <w:vAlign w:val="bottom"/>
          </w:tcPr>
          <w:p>
            <w:pPr>
              <w:spacing w:after="0"/>
              <w:rPr>
                <w:sz w:val="20"/>
                <w:szCs w:val="20"/>
                <w:color w:val="auto"/>
              </w:rPr>
            </w:pPr>
            <w:r>
              <w:rPr>
                <w:rFonts w:ascii="Courier New" w:cs="Courier New" w:eastAsia="Courier New" w:hAnsi="Courier New"/>
                <w:sz w:val="12"/>
                <w:szCs w:val="12"/>
                <w:color w:val="auto"/>
              </w:rPr>
              <w:t>TOTAL LIABILITIES AND</w:t>
            </w:r>
          </w:p>
        </w:tc>
        <w:tc>
          <w:tcPr>
            <w:tcW w:w="1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135"/>
        </w:trPr>
        <w:tc>
          <w:tcPr>
            <w:tcW w:w="1860" w:type="dxa"/>
            <w:vAlign w:val="bottom"/>
          </w:tcPr>
          <w:p>
            <w:pPr>
              <w:ind w:left="140"/>
              <w:spacing w:after="0"/>
              <w:rPr>
                <w:sz w:val="20"/>
                <w:szCs w:val="20"/>
                <w:color w:val="auto"/>
              </w:rPr>
            </w:pPr>
            <w:r>
              <w:rPr>
                <w:rFonts w:ascii="Courier New" w:cs="Courier New" w:eastAsia="Courier New" w:hAnsi="Courier New"/>
                <w:sz w:val="12"/>
                <w:szCs w:val="12"/>
                <w:color w:val="auto"/>
              </w:rPr>
              <w:t>SHAREHOLDERS' EQUITY</w:t>
            </w:r>
          </w:p>
        </w:tc>
        <w:tc>
          <w:tcPr>
            <w:tcW w:w="18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$ 688,600</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  13,746</w:t>
            </w:r>
          </w:p>
        </w:tc>
        <w:tc>
          <w:tcPr>
            <w:tcW w:w="9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$ 702,346</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$ 699,718</w:t>
            </w:r>
          </w:p>
        </w:tc>
        <w:tc>
          <w:tcPr>
            <w:tcW w:w="94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  14,414</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$ 714,132</w:t>
            </w:r>
          </w:p>
        </w:tc>
      </w:tr>
      <w:tr>
        <w:trPr>
          <w:trHeight w:val="135"/>
        </w:trPr>
        <w:tc>
          <w:tcPr>
            <w:tcW w:w="1860" w:type="dxa"/>
            <w:vAlign w:val="bottom"/>
          </w:tcPr>
          <w:p>
            <w:pPr>
              <w:spacing w:after="0"/>
              <w:rPr>
                <w:sz w:val="11"/>
                <w:szCs w:val="11"/>
                <w:color w:val="auto"/>
              </w:rPr>
            </w:pPr>
          </w:p>
        </w:tc>
        <w:tc>
          <w:tcPr>
            <w:tcW w:w="18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405"/>
        </w:trPr>
        <w:tc>
          <w:tcPr>
            <w:tcW w:w="1860" w:type="dxa"/>
            <w:vAlign w:val="bottom"/>
          </w:tcPr>
          <w:p>
            <w:pPr>
              <w:jc w:val="right"/>
              <w:spacing w:after="0"/>
              <w:rPr>
                <w:sz w:val="20"/>
                <w:szCs w:val="20"/>
                <w:color w:val="auto"/>
              </w:rPr>
            </w:pPr>
            <w:r>
              <w:rPr>
                <w:rFonts w:ascii="Courier New" w:cs="Courier New" w:eastAsia="Courier New" w:hAnsi="Courier New"/>
                <w:sz w:val="12"/>
                <w:szCs w:val="12"/>
                <w:color w:val="auto"/>
              </w:rPr>
              <w:t>- 18</w:t>
            </w:r>
          </w:p>
        </w:tc>
        <w:tc>
          <w:tcPr>
            <w:tcW w:w="1800" w:type="dxa"/>
            <w:vAlign w:val="bottom"/>
          </w:tcPr>
          <w:p>
            <w:pPr>
              <w:jc w:val="right"/>
              <w:ind w:right="162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386"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2"/>
          <w:szCs w:val="12"/>
          <w:color w:val="auto"/>
        </w:rPr>
        <w:t>TOWER SEMICONDUCTOR LTD. AND SUBSIDIARY</w:t>
      </w:r>
    </w:p>
    <w:p>
      <w:pPr>
        <w:jc w:val="center"/>
        <w:ind w:right="4559"/>
        <w:spacing w:after="0"/>
        <w:rPr>
          <w:sz w:val="20"/>
          <w:szCs w:val="20"/>
          <w:color w:val="auto"/>
        </w:rPr>
      </w:pPr>
      <w:r>
        <w:rPr>
          <w:rFonts w:ascii="Courier New" w:cs="Courier New" w:eastAsia="Courier New" w:hAnsi="Courier New"/>
          <w:sz w:val="12"/>
          <w:szCs w:val="12"/>
          <w:color w:val="auto"/>
        </w:rPr>
        <w:t>NOTES TO UNAUDITED CONDENSED INTERIM CONSOLIDATED</w:t>
      </w:r>
    </w:p>
    <w:p>
      <w:pPr>
        <w:ind w:left="1400"/>
        <w:spacing w:after="0" w:line="237" w:lineRule="auto"/>
        <w:rPr>
          <w:sz w:val="20"/>
          <w:szCs w:val="20"/>
          <w:color w:val="auto"/>
        </w:rPr>
      </w:pPr>
      <w:r>
        <w:rPr>
          <w:rFonts w:ascii="Courier New" w:cs="Courier New" w:eastAsia="Courier New" w:hAnsi="Courier New"/>
          <w:sz w:val="12"/>
          <w:szCs w:val="12"/>
          <w:color w:val="auto"/>
        </w:rPr>
        <w:t>FINANCIAL STATEMENTS AS OF MARCH 31, 2007</w:t>
      </w: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5 - MATERIAL DIFFERENCES BETWEEN ISRAELI AND U.S. GAAP (CONT.)</w:t>
      </w:r>
    </w:p>
    <w:p>
      <w:pPr>
        <w:spacing w:after="0" w:line="134" w:lineRule="exact"/>
        <w:rPr>
          <w:sz w:val="20"/>
          <w:szCs w:val="20"/>
          <w:color w:val="auto"/>
        </w:rPr>
      </w:pPr>
    </w:p>
    <w:p>
      <w:pPr>
        <w:ind w:left="700" w:hanging="357"/>
        <w:spacing w:after="0"/>
        <w:tabs>
          <w:tab w:leader="none" w:pos="700" w:val="left"/>
        </w:tabs>
        <w:numPr>
          <w:ilvl w:val="0"/>
          <w:numId w:val="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STATEMENTS OF OPERATIONS IN ACCORDANCE WITH U.S. GAAP</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Complying with FASB No. 159 (H above), SFAS 133 (C above), APB 14 (D above) and SFAS 123R (G above) would have resulted in an increase in the loss for the three months periods ended March 31, 2007 in the amount of $2,851 and a decrease in the loss for the three months periods ended March 31, 2006 in the amount of $4,861. Giving effect to all the above, the loss for the three-month periods ended March 31, 2007 and 2006 would be $ 40,242 and $40,195, respectively.</w:t>
      </w:r>
    </w:p>
    <w:p>
      <w:pPr>
        <w:spacing w:after="0" w:line="141" w:lineRule="exact"/>
        <w:rPr>
          <w:rFonts w:ascii="Courier New" w:cs="Courier New" w:eastAsia="Courier New" w:hAnsi="Courier New"/>
          <w:sz w:val="12"/>
          <w:szCs w:val="12"/>
          <w:color w:val="auto"/>
        </w:rPr>
      </w:pPr>
    </w:p>
    <w:p>
      <w:pPr>
        <w:ind w:left="700" w:right="497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For the cumulative effect adjustment to retained earnings in the amount of $65,207 following the early adoption of SFAS 159, See H above.</w:t>
      </w:r>
    </w:p>
    <w:p>
      <w:pPr>
        <w:spacing w:after="0" w:line="135"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COMPREHENSIVE INCOME (LOSS) IN ACCORDANCE WITH U.S. GAAP (SFAS 130)</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Comprehensive income (loss) represents the change in shareholder's equity during a reporting period from transactions and other events and circumstances from non-owner sources. It includes all changes in equity during a reporting period except those resulting from investments by owners and distributions to owners. Other comprehensive income (loss) represents gains and losses that under U.S. GAAP are included in comprehensive income but excluded from net income. Following are statements of comprehensive loss in accordance with U.S. GAAP:</w:t>
      </w:r>
    </w:p>
    <w:p>
      <w:pPr>
        <w:spacing w:after="0" w:line="139" w:lineRule="exact"/>
        <w:rPr>
          <w:sz w:val="20"/>
          <w:szCs w:val="20"/>
          <w:color w:val="auto"/>
        </w:rPr>
      </w:pPr>
    </w:p>
    <w:p>
      <w:pPr>
        <w:ind w:left="4200"/>
        <w:spacing w:after="0"/>
        <w:rPr>
          <w:sz w:val="20"/>
          <w:szCs w:val="20"/>
          <w:color w:val="auto"/>
        </w:rPr>
      </w:pPr>
      <w:r>
        <w:rPr>
          <w:rFonts w:ascii="Courier New" w:cs="Courier New" w:eastAsia="Courier New" w:hAnsi="Courier New"/>
          <w:sz w:val="12"/>
          <w:szCs w:val="12"/>
          <w:color w:val="auto"/>
        </w:rPr>
        <w:t>Three months ended</w:t>
      </w:r>
    </w:p>
    <w:p>
      <w:pPr>
        <w:ind w:left="4140"/>
        <w:spacing w:after="0"/>
        <w:rPr>
          <w:sz w:val="20"/>
          <w:szCs w:val="20"/>
          <w:color w:val="auto"/>
        </w:rPr>
      </w:pPr>
      <w:r>
        <w:rPr>
          <w:rFonts w:ascii="Courier New" w:cs="Courier New" w:eastAsia="Courier New" w:hAnsi="Courier New"/>
          <w:sz w:val="12"/>
          <w:szCs w:val="12"/>
          <w:color w:val="auto"/>
        </w:rPr>
        <w:t>--------------------</w:t>
      </w:r>
    </w:p>
    <w:p>
      <w:pPr>
        <w:ind w:left="4560"/>
        <w:spacing w:after="0" w:line="237" w:lineRule="auto"/>
        <w:rPr>
          <w:sz w:val="20"/>
          <w:szCs w:val="20"/>
          <w:color w:val="auto"/>
        </w:rPr>
      </w:pPr>
      <w:r>
        <w:rPr>
          <w:rFonts w:ascii="Courier New" w:cs="Courier New" w:eastAsia="Courier New" w:hAnsi="Courier New"/>
          <w:sz w:val="12"/>
          <w:szCs w:val="12"/>
          <w:color w:val="auto"/>
        </w:rPr>
        <w:t>March 31,</w:t>
      </w:r>
    </w:p>
    <w:p>
      <w:pPr>
        <w:ind w:left="4140"/>
        <w:spacing w:after="0"/>
        <w:rPr>
          <w:sz w:val="20"/>
          <w:szCs w:val="20"/>
          <w:color w:val="auto"/>
        </w:rPr>
      </w:pPr>
      <w:r>
        <w:rPr>
          <w:rFonts w:ascii="Courier New" w:cs="Courier New" w:eastAsia="Courier New" w:hAnsi="Courier New"/>
          <w:sz w:val="12"/>
          <w:szCs w:val="12"/>
          <w:color w:val="auto"/>
        </w:rPr>
        <w:t>--------------------</w:t>
      </w:r>
    </w:p>
    <w:p>
      <w:pPr>
        <w:ind w:left="4280"/>
        <w:spacing w:after="0" w:line="237" w:lineRule="auto"/>
        <w:tabs>
          <w:tab w:leader="none" w:pos="5100" w:val="left"/>
        </w:tabs>
        <w:rPr>
          <w:sz w:val="20"/>
          <w:szCs w:val="20"/>
          <w:color w:val="auto"/>
        </w:rPr>
      </w:pPr>
      <w:r>
        <w:rPr>
          <w:rFonts w:ascii="Courier New" w:cs="Courier New" w:eastAsia="Courier New" w:hAnsi="Courier New"/>
          <w:sz w:val="12"/>
          <w:szCs w:val="12"/>
          <w:color w:val="auto"/>
        </w:rPr>
        <w:t>2007</w:t>
      </w:r>
      <w:r>
        <w:rPr>
          <w:sz w:val="20"/>
          <w:szCs w:val="20"/>
          <w:color w:val="auto"/>
        </w:rPr>
        <w:tab/>
      </w:r>
      <w:r>
        <w:rPr>
          <w:rFonts w:ascii="Courier New" w:cs="Courier New" w:eastAsia="Courier New" w:hAnsi="Courier New"/>
          <w:sz w:val="12"/>
          <w:szCs w:val="12"/>
          <w:color w:val="auto"/>
        </w:rPr>
        <w:t>2006</w:t>
      </w:r>
    </w:p>
    <w:p>
      <w:pPr>
        <w:ind w:left="4140"/>
        <w:spacing w:after="0"/>
        <w:tabs>
          <w:tab w:leader="none" w:pos="4960" w:val="left"/>
        </w:tabs>
        <w:rPr>
          <w:sz w:val="20"/>
          <w:szCs w:val="20"/>
          <w:color w:val="auto"/>
        </w:rPr>
      </w:pP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2"/>
          <w:szCs w:val="12"/>
          <w:color w:val="auto"/>
        </w:rPr>
        <w:t>--------</w:t>
      </w:r>
    </w:p>
    <w:p>
      <w:pPr>
        <w:ind w:left="4480"/>
        <w:spacing w:after="0" w:line="237" w:lineRule="auto"/>
        <w:rPr>
          <w:sz w:val="20"/>
          <w:szCs w:val="20"/>
          <w:color w:val="auto"/>
        </w:rPr>
      </w:pPr>
      <w:r>
        <w:rPr>
          <w:rFonts w:ascii="Courier New" w:cs="Courier New" w:eastAsia="Courier New" w:hAnsi="Courier New"/>
          <w:sz w:val="12"/>
          <w:szCs w:val="12"/>
          <w:color w:val="auto"/>
        </w:rPr>
        <w:t>(unaudited)</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Loss for the period, according to</w:t>
      </w:r>
    </w:p>
    <w:p>
      <w:pPr>
        <w:sectPr>
          <w:pgSz w:w="11900" w:h="16838" w:orient="portrait"/>
          <w:cols w:equalWidth="0" w:num="1">
            <w:col w:w="10239"/>
          </w:cols>
          <w:pgMar w:left="220" w:top="137" w:right="1440" w:bottom="1440" w:gutter="0" w:footer="0" w:header="0"/>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U.S. GAAP (see J above)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$(40,242)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$(40,195)</w:t>
      </w:r>
    </w:p>
    <w:p>
      <w:pPr>
        <w:spacing w:after="0" w:line="146" w:lineRule="exact"/>
        <w:rPr>
          <w:sz w:val="20"/>
          <w:szCs w:val="20"/>
          <w:color w:val="auto"/>
        </w:rPr>
      </w:pPr>
    </w:p>
    <w:p>
      <w:pPr>
        <w:sectPr>
          <w:pgSz w:w="11900" w:h="16838" w:orient="portrait"/>
          <w:cols w:equalWidth="0" w:num="3">
            <w:col w:w="3420" w:space="720"/>
            <w:col w:w="620" w:space="220"/>
            <w:col w:w="5259"/>
          </w:cols>
          <w:pgMar w:left="220" w:top="137" w:right="1440" w:bottom="1440" w:gutter="0" w:footer="0" w:header="0"/>
          <w:type w:val="continuous"/>
        </w:sectPr>
      </w:pPr>
    </w:p>
    <w:p>
      <w:pPr>
        <w:spacing w:after="0"/>
        <w:rPr>
          <w:sz w:val="20"/>
          <w:szCs w:val="20"/>
          <w:color w:val="auto"/>
        </w:rPr>
      </w:pPr>
      <w:r>
        <w:rPr>
          <w:rFonts w:ascii="Courier New" w:cs="Courier New" w:eastAsia="Courier New" w:hAnsi="Courier New"/>
          <w:sz w:val="11"/>
          <w:szCs w:val="11"/>
          <w:color w:val="auto"/>
        </w:rPr>
        <w:t>Other comprehensive loss:</w:t>
      </w:r>
    </w:p>
    <w:p>
      <w:pPr>
        <w:sectPr>
          <w:pgSz w:w="11900" w:h="16838" w:orient="portrait"/>
          <w:cols w:equalWidth="0" w:num="1">
            <w:col w:w="10239"/>
          </w:cols>
          <w:pgMar w:left="220" w:top="137" w:right="1440" w:bottom="1440" w:gutter="0" w:footer="0" w:header="0"/>
          <w:type w:val="continuous"/>
        </w:sectPr>
      </w:pPr>
    </w:p>
    <w:p>
      <w:pPr>
        <w:spacing w:after="0" w:line="146" w:lineRule="exact"/>
        <w:rPr>
          <w:sz w:val="20"/>
          <w:szCs w:val="20"/>
          <w:color w:val="auto"/>
        </w:rPr>
      </w:pPr>
    </w:p>
    <w:p>
      <w:pPr>
        <w:spacing w:after="0" w:line="273" w:lineRule="auto"/>
        <w:rPr>
          <w:sz w:val="20"/>
          <w:szCs w:val="20"/>
          <w:color w:val="auto"/>
        </w:rPr>
      </w:pPr>
      <w:r>
        <w:rPr>
          <w:rFonts w:ascii="Courier New" w:cs="Courier New" w:eastAsia="Courier New" w:hAnsi="Courier New"/>
          <w:sz w:val="11"/>
          <w:szCs w:val="11"/>
          <w:color w:val="auto"/>
        </w:rPr>
        <w:t>Reclassification of unrealized losses on derivatives Unrealized gains (losses) on Derivatives</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332</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1"/>
          <w:szCs w:val="11"/>
          <w:color w:val="auto"/>
        </w:rPr>
        <w:t>(370)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jc w:val="right"/>
        <w:ind w:right="4699"/>
        <w:spacing w:after="0"/>
        <w:rPr>
          <w:sz w:val="20"/>
          <w:szCs w:val="20"/>
          <w:color w:val="auto"/>
        </w:rPr>
      </w:pPr>
      <w:r>
        <w:rPr>
          <w:rFonts w:ascii="Courier New" w:cs="Courier New" w:eastAsia="Courier New" w:hAnsi="Courier New"/>
          <w:sz w:val="12"/>
          <w:szCs w:val="12"/>
          <w:color w:val="auto"/>
        </w:rPr>
        <w:t>332</w:t>
      </w:r>
    </w:p>
    <w:p>
      <w:pPr>
        <w:jc w:val="right"/>
        <w:ind w:right="4699"/>
        <w:spacing w:after="0"/>
        <w:rPr>
          <w:sz w:val="20"/>
          <w:szCs w:val="20"/>
          <w:color w:val="auto"/>
        </w:rPr>
      </w:pPr>
      <w:r>
        <w:rPr>
          <w:rFonts w:ascii="Courier New" w:cs="Courier New" w:eastAsia="Courier New" w:hAnsi="Courier New"/>
          <w:sz w:val="12"/>
          <w:szCs w:val="12"/>
          <w:color w:val="auto"/>
        </w:rPr>
        <w:t>726</w:t>
      </w:r>
    </w:p>
    <w:p>
      <w:pPr>
        <w:spacing w:after="0" w:line="3" w:lineRule="exact"/>
        <w:rPr>
          <w:sz w:val="20"/>
          <w:szCs w:val="20"/>
          <w:color w:val="auto"/>
        </w:rPr>
      </w:pPr>
    </w:p>
    <w:p>
      <w:pPr>
        <w:jc w:val="right"/>
        <w:ind w:right="4699"/>
        <w:spacing w:after="0"/>
        <w:rPr>
          <w:sz w:val="20"/>
          <w:szCs w:val="20"/>
          <w:color w:val="auto"/>
        </w:rPr>
      </w:pPr>
      <w:r>
        <w:rPr>
          <w:rFonts w:ascii="Courier New" w:cs="Courier New" w:eastAsia="Courier New" w:hAnsi="Courier New"/>
          <w:sz w:val="11"/>
          <w:szCs w:val="11"/>
          <w:color w:val="auto"/>
        </w:rPr>
        <w:t>--------</w:t>
      </w:r>
    </w:p>
    <w:p>
      <w:pPr>
        <w:spacing w:after="0" w:line="145" w:lineRule="exact"/>
        <w:rPr>
          <w:sz w:val="20"/>
          <w:szCs w:val="20"/>
          <w:color w:val="auto"/>
        </w:rPr>
      </w:pPr>
    </w:p>
    <w:p>
      <w:pPr>
        <w:sectPr>
          <w:pgSz w:w="11900" w:h="16838" w:orient="portrait"/>
          <w:cols w:equalWidth="0" w:num="3">
            <w:col w:w="3640" w:space="500"/>
            <w:col w:w="620" w:space="220"/>
            <w:col w:w="5259"/>
          </w:cols>
          <w:pgMar w:left="220" w:top="137" w:right="1440" w:bottom="1440" w:gutter="0" w:footer="0" w:header="0"/>
          <w:type w:val="continuous"/>
        </w:sectPr>
      </w:pPr>
    </w:p>
    <w:p>
      <w:pPr>
        <w:spacing w:after="0"/>
        <w:rPr>
          <w:sz w:val="20"/>
          <w:szCs w:val="20"/>
          <w:color w:val="auto"/>
        </w:rPr>
      </w:pPr>
      <w:r>
        <w:rPr>
          <w:rFonts w:ascii="Courier New" w:cs="Courier New" w:eastAsia="Courier New" w:hAnsi="Courier New"/>
          <w:sz w:val="11"/>
          <w:szCs w:val="11"/>
          <w:color w:val="auto"/>
        </w:rPr>
        <w:t>Net comprehensive loss for the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$(40,280)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$(39,137)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200" w:lineRule="exact"/>
        <w:rPr>
          <w:sz w:val="20"/>
          <w:szCs w:val="20"/>
          <w:color w:val="auto"/>
        </w:rPr>
      </w:pPr>
    </w:p>
    <w:p>
      <w:pPr>
        <w:sectPr>
          <w:pgSz w:w="11900" w:h="16838" w:orient="portrait"/>
          <w:cols w:equalWidth="0" w:num="3">
            <w:col w:w="3420" w:space="720"/>
            <w:col w:w="620" w:space="220"/>
            <w:col w:w="5259"/>
          </w:cols>
          <w:pgMar w:left="220" w:top="137" w:right="1440" w:bottom="1440" w:gutter="0" w:footer="0" w:header="0"/>
          <w:type w:val="continuous"/>
        </w:sectPr>
      </w:pPr>
    </w:p>
    <w:p>
      <w:pPr>
        <w:spacing w:after="0" w:line="74" w:lineRule="exact"/>
        <w:rPr>
          <w:sz w:val="20"/>
          <w:szCs w:val="20"/>
          <w:color w:val="auto"/>
        </w:rPr>
      </w:pPr>
    </w:p>
    <w:p>
      <w:pPr>
        <w:ind w:left="2600"/>
        <w:spacing w:after="0"/>
        <w:rPr>
          <w:sz w:val="20"/>
          <w:szCs w:val="20"/>
          <w:color w:val="auto"/>
        </w:rPr>
      </w:pPr>
      <w:r>
        <w:rPr>
          <w:rFonts w:ascii="Courier New" w:cs="Courier New" w:eastAsia="Courier New" w:hAnsi="Courier New"/>
          <w:sz w:val="11"/>
          <w:szCs w:val="11"/>
          <w:color w:val="auto"/>
        </w:rPr>
        <w:t>- 19 -</w:t>
      </w:r>
    </w:p>
    <w:p>
      <w:pPr>
        <w:sectPr>
          <w:pgSz w:w="11900" w:h="16838" w:orient="portrait"/>
          <w:cols w:equalWidth="0" w:num="1">
            <w:col w:w="10239"/>
          </w:cols>
          <w:pgMar w:left="220" w:top="137" w:right="1440" w:bottom="1440" w:gutter="0" w:footer="0" w:header="0"/>
          <w:type w:val="continuous"/>
        </w:sectPr>
      </w:pPr>
    </w:p>
    <w:p>
      <w:pPr>
        <w:spacing w:after="0" w:line="393"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2"/>
          <w:szCs w:val="12"/>
          <w:color w:val="auto"/>
        </w:rPr>
        <w:t>TOWER SEMICONDUCTOR LTD. AND SUBSIDIARY</w:t>
      </w:r>
    </w:p>
    <w:p>
      <w:pPr>
        <w:jc w:val="center"/>
        <w:ind w:right="4559"/>
        <w:spacing w:after="0"/>
        <w:rPr>
          <w:sz w:val="20"/>
          <w:szCs w:val="20"/>
          <w:color w:val="auto"/>
        </w:rPr>
      </w:pPr>
      <w:r>
        <w:rPr>
          <w:rFonts w:ascii="Courier New" w:cs="Courier New" w:eastAsia="Courier New" w:hAnsi="Courier New"/>
          <w:sz w:val="12"/>
          <w:szCs w:val="12"/>
          <w:color w:val="auto"/>
        </w:rPr>
        <w:t>NOTES TO UNAUDITED CONDENSED INTERIM CONSOLIDATED</w:t>
      </w:r>
    </w:p>
    <w:p>
      <w:pPr>
        <w:ind w:left="1400"/>
        <w:spacing w:after="0" w:line="237" w:lineRule="auto"/>
        <w:rPr>
          <w:sz w:val="20"/>
          <w:szCs w:val="20"/>
          <w:color w:val="auto"/>
        </w:rPr>
      </w:pPr>
      <w:r>
        <w:rPr>
          <w:rFonts w:ascii="Courier New" w:cs="Courier New" w:eastAsia="Courier New" w:hAnsi="Courier New"/>
          <w:sz w:val="12"/>
          <w:szCs w:val="12"/>
          <w:color w:val="auto"/>
        </w:rPr>
        <w:t>FINANCIAL STATEMENTS AS OF MARCH 31, 2007</w:t>
      </w: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5 - MATERIAL DIFFERENCES BETWEEN ISRAELI AND U.S. GAAP (CONT.)</w:t>
      </w:r>
    </w:p>
    <w:p>
      <w:pPr>
        <w:spacing w:after="0" w:line="134" w:lineRule="exact"/>
        <w:rPr>
          <w:sz w:val="20"/>
          <w:szCs w:val="20"/>
          <w:color w:val="auto"/>
        </w:rPr>
      </w:pPr>
    </w:p>
    <w:p>
      <w:pPr>
        <w:ind w:left="700" w:hanging="357"/>
        <w:spacing w:after="0"/>
        <w:tabs>
          <w:tab w:leader="none" w:pos="700" w:val="left"/>
        </w:tabs>
        <w:numPr>
          <w:ilvl w:val="0"/>
          <w:numId w:val="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LOSS PER SHARE IN ACCORDANCE WITH U.S. GAAP (SFAS 128)</w:t>
      </w:r>
    </w:p>
    <w:p>
      <w:pPr>
        <w:spacing w:after="0" w:line="138" w:lineRule="exact"/>
        <w:rPr>
          <w:rFonts w:ascii="Courier New" w:cs="Courier New" w:eastAsia="Courier New" w:hAnsi="Courier New"/>
          <w:sz w:val="12"/>
          <w:szCs w:val="12"/>
          <w:color w:val="auto"/>
        </w:rPr>
      </w:pPr>
    </w:p>
    <w:p>
      <w:pPr>
        <w:ind w:left="700" w:right="469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accordance with SFAS 128, the basic and diluted loss per share for the three-months ended March 31, 2007 and 2006 would be $0.38 and $0.56, respectively.</w:t>
      </w:r>
    </w:p>
    <w:p>
      <w:pPr>
        <w:spacing w:after="0" w:line="135"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STATEMENTS OF CASH FLOWS IN ACCORDANCE WITH U.S. GAAP (SFAS 95)</w:t>
      </w:r>
    </w:p>
    <w:p>
      <w:pPr>
        <w:spacing w:after="0" w:line="138" w:lineRule="exact"/>
        <w:rPr>
          <w:rFonts w:ascii="Courier New" w:cs="Courier New" w:eastAsia="Courier New" w:hAnsi="Courier New"/>
          <w:sz w:val="12"/>
          <w:szCs w:val="12"/>
          <w:color w:val="auto"/>
        </w:rPr>
      </w:pPr>
    </w:p>
    <w:p>
      <w:pPr>
        <w:ind w:left="700" w:right="469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Complying with SFAS 95 would not have materially affected the cash flows of the Company for the three-month periods ended March 31, 2007 and 2006.</w:t>
      </w:r>
    </w:p>
    <w:p>
      <w:pPr>
        <w:spacing w:after="0" w:line="270" w:lineRule="exact"/>
        <w:rPr>
          <w:rFonts w:ascii="Courier New" w:cs="Courier New" w:eastAsia="Courier New" w:hAnsi="Courier New"/>
          <w:sz w:val="12"/>
          <w:szCs w:val="12"/>
          <w:color w:val="auto"/>
        </w:rPr>
      </w:pPr>
    </w:p>
    <w:p>
      <w:pPr>
        <w:ind w:left="2740" w:hanging="149"/>
        <w:spacing w:after="0"/>
        <w:tabs>
          <w:tab w:leader="none" w:pos="2740" w:val="left"/>
        </w:tabs>
        <w:numPr>
          <w:ilvl w:val="1"/>
          <w:numId w:val="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20 -</w:t>
      </w:r>
    </w:p>
    <w:p>
      <w:pPr>
        <w:sectPr>
          <w:pgSz w:w="11900" w:h="16838" w:orient="portrait"/>
          <w:cols w:equalWidth="0" w:num="1">
            <w:col w:w="10239"/>
          </w:cols>
          <w:pgMar w:left="220" w:top="137" w:right="1440" w:bottom="1440" w:gutter="0" w:footer="0" w:header="0"/>
          <w:type w:val="continuous"/>
        </w:sectPr>
      </w:pPr>
    </w:p>
    <w:bookmarkStart w:id="12" w:name="page13"/>
    <w:bookmarkEnd w:id="12"/>
    <w:p>
      <w:pPr>
        <w:jc w:val="center"/>
        <w:ind w:right="-140"/>
        <w:spacing w:after="0"/>
        <w:rPr>
          <w:sz w:val="20"/>
          <w:szCs w:val="20"/>
          <w:color w:val="auto"/>
        </w:rPr>
      </w:pPr>
      <w:r>
        <w:rPr>
          <w:rFonts w:ascii="Courier New" w:cs="Courier New" w:eastAsia="Courier New" w:hAnsi="Courier New"/>
          <w:sz w:val="11"/>
          <w:szCs w:val="11"/>
          <w:color w:val="auto"/>
        </w:rPr>
        <w:t>EXHIBIT 99.2</w:t>
      </w:r>
    </w:p>
    <w:p>
      <w:pPr>
        <w:spacing w:after="0" w:line="141"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2"/>
          <w:szCs w:val="12"/>
          <w:color w:val="auto"/>
        </w:rPr>
        <w:t>MANAGEMENT'S DISCUSSION AND ANALYSIS OF FINANCIAL</w:t>
      </w:r>
    </w:p>
    <w:p>
      <w:pPr>
        <w:spacing w:after="0" w:line="134"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2"/>
          <w:szCs w:val="12"/>
          <w:color w:val="auto"/>
        </w:rPr>
        <w:t>CONDITION AND RESULTS OF OPERATIONS</w:t>
      </w:r>
    </w:p>
    <w:p>
      <w:pPr>
        <w:spacing w:after="0" w:line="139"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2"/>
          <w:szCs w:val="12"/>
          <w:color w:val="auto"/>
        </w:rPr>
        <w:t>THE INFORMATION CONTAINED IN THIS SECTION SHOULD BE READ IN CONJUNCTION WITH (1) OUR UNAUDITED CONDENSED INTERIM CONSOLIDATED FINANCIAL STATEMENTS AS OF MARCH 31, 2007 AND FOR THE THREE MONTHS THEN ENDED AND RELATED NOTES INCLUDED IN THIS REPORT AND (2) OUR CONSOLIDATED FINANCIAL STATEMENTS AS OF DECEMBER 31, 2006 AND RELATED NOTES FOR THE YEAR THEN ENDED AND (3) OUR REPORT OF FORM 6-K, FILED FEBRUARY 8, 2007. OUR FINANCIAL STATEMENTS HAVE BEEN PREPARED IN ACCORDANCE WITH GENERALLY ACCEPTED ACCOUNTING PRINCIPLES ("GAAP") IN ISRAEL. DIFFERENCES BETWEEN ISRAELI GAAP AND US GAAP AS THEY RELATE TO OUR FINANCIAL STATEMENTS ARE DESCRIBED IN NOTE 5 TO OUR UNAUDITED CONDENSED INTERIM CONSOLIDATED FINANCIAL STATEMENTS AS OF MARCH 31, 2007 AND IN NOTE 19 TO OUR CONSOLIDATED FINANCIAL STATEMENTS AS OF DECEMBER 31, 2006.</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RESULTS OF OPERATIONS</w:t>
      </w:r>
    </w:p>
    <w:p>
      <w:pPr>
        <w:spacing w:after="0" w:line="139" w:lineRule="exact"/>
        <w:rPr>
          <w:sz w:val="20"/>
          <w:szCs w:val="20"/>
          <w:color w:val="auto"/>
        </w:rPr>
      </w:pPr>
    </w:p>
    <w:p>
      <w:pPr>
        <w:ind w:right="4839" w:firstLine="351"/>
        <w:spacing w:after="0" w:line="235" w:lineRule="auto"/>
        <w:rPr>
          <w:sz w:val="20"/>
          <w:szCs w:val="20"/>
          <w:color w:val="auto"/>
        </w:rPr>
      </w:pPr>
      <w:r>
        <w:rPr>
          <w:rFonts w:ascii="Courier New" w:cs="Courier New" w:eastAsia="Courier New" w:hAnsi="Courier New"/>
          <w:sz w:val="12"/>
          <w:szCs w:val="12"/>
          <w:color w:val="auto"/>
        </w:rPr>
        <w:t>The following table sets forth certain statement of operations data as a percentage of total revenues for the periods indicated.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360" w:type="dxa"/>
            <w:vAlign w:val="bottom"/>
          </w:tcPr>
          <w:p>
            <w:pPr>
              <w:spacing w:after="0"/>
              <w:rPr>
                <w:sz w:val="11"/>
                <w:szCs w:val="11"/>
                <w:color w:val="auto"/>
              </w:rPr>
            </w:pPr>
          </w:p>
        </w:tc>
        <w:tc>
          <w:tcPr>
            <w:tcW w:w="184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THREE MONTHS ENDED</w:t>
            </w:r>
          </w:p>
        </w:tc>
      </w:tr>
      <w:tr>
        <w:trPr>
          <w:trHeight w:val="135"/>
        </w:trPr>
        <w:tc>
          <w:tcPr>
            <w:tcW w:w="3360" w:type="dxa"/>
            <w:vAlign w:val="bottom"/>
          </w:tcPr>
          <w:p>
            <w:pPr>
              <w:spacing w:after="0"/>
              <w:rPr>
                <w:sz w:val="11"/>
                <w:szCs w:val="11"/>
                <w:color w:val="auto"/>
              </w:rPr>
            </w:pPr>
          </w:p>
        </w:tc>
        <w:tc>
          <w:tcPr>
            <w:tcW w:w="1840" w:type="dxa"/>
            <w:vAlign w:val="bottom"/>
            <w:gridSpan w:val="2"/>
          </w:tcPr>
          <w:p>
            <w:pPr>
              <w:jc w:val="right"/>
              <w:ind w:right="521"/>
              <w:spacing w:after="0"/>
              <w:rPr>
                <w:sz w:val="20"/>
                <w:szCs w:val="20"/>
                <w:color w:val="auto"/>
              </w:rPr>
            </w:pPr>
            <w:r>
              <w:rPr>
                <w:rFonts w:ascii="Courier New" w:cs="Courier New" w:eastAsia="Courier New" w:hAnsi="Courier New"/>
                <w:sz w:val="12"/>
                <w:szCs w:val="12"/>
                <w:color w:val="auto"/>
              </w:rPr>
              <w:t>MARCH 31,</w:t>
            </w:r>
          </w:p>
        </w:tc>
      </w:tr>
      <w:tr>
        <w:trPr>
          <w:trHeight w:val="135"/>
        </w:trPr>
        <w:tc>
          <w:tcPr>
            <w:tcW w:w="3360" w:type="dxa"/>
            <w:vAlign w:val="bottom"/>
          </w:tcPr>
          <w:p>
            <w:pPr>
              <w:spacing w:after="0"/>
              <w:rPr>
                <w:sz w:val="11"/>
                <w:szCs w:val="11"/>
                <w:color w:val="auto"/>
              </w:rPr>
            </w:pPr>
          </w:p>
        </w:tc>
        <w:tc>
          <w:tcPr>
            <w:tcW w:w="184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135"/>
        </w:trPr>
        <w:tc>
          <w:tcPr>
            <w:tcW w:w="3360" w:type="dxa"/>
            <w:vAlign w:val="bottom"/>
          </w:tcPr>
          <w:p>
            <w:pPr>
              <w:spacing w:after="0"/>
              <w:rPr>
                <w:sz w:val="11"/>
                <w:szCs w:val="11"/>
                <w:color w:val="auto"/>
              </w:rPr>
            </w:pPr>
          </w:p>
        </w:tc>
        <w:tc>
          <w:tcPr>
            <w:tcW w:w="98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2007</w:t>
            </w:r>
          </w:p>
        </w:tc>
        <w:tc>
          <w:tcPr>
            <w:tcW w:w="8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2006</w:t>
            </w:r>
          </w:p>
        </w:tc>
      </w:tr>
      <w:tr>
        <w:trPr>
          <w:trHeight w:val="135"/>
        </w:trPr>
        <w:tc>
          <w:tcPr>
            <w:tcW w:w="3360" w:type="dxa"/>
            <w:vAlign w:val="bottom"/>
          </w:tcPr>
          <w:p>
            <w:pPr>
              <w:spacing w:after="0"/>
              <w:rPr>
                <w:sz w:val="11"/>
                <w:szCs w:val="11"/>
                <w:color w:val="auto"/>
              </w:rPr>
            </w:pPr>
          </w:p>
        </w:tc>
        <w:tc>
          <w:tcPr>
            <w:tcW w:w="9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135"/>
        </w:trPr>
        <w:tc>
          <w:tcPr>
            <w:tcW w:w="3360" w:type="dxa"/>
            <w:vAlign w:val="bottom"/>
          </w:tcPr>
          <w:p>
            <w:pPr>
              <w:spacing w:after="0"/>
              <w:rPr>
                <w:sz w:val="11"/>
                <w:szCs w:val="11"/>
                <w:color w:val="auto"/>
              </w:rPr>
            </w:pPr>
          </w:p>
        </w:tc>
        <w:tc>
          <w:tcPr>
            <w:tcW w:w="1840" w:type="dxa"/>
            <w:vAlign w:val="bottom"/>
            <w:gridSpan w:val="2"/>
          </w:tcPr>
          <w:p>
            <w:pPr>
              <w:jc w:val="right"/>
              <w:ind w:right="441"/>
              <w:spacing w:after="0"/>
              <w:rPr>
                <w:sz w:val="20"/>
                <w:szCs w:val="20"/>
                <w:color w:val="auto"/>
              </w:rPr>
            </w:pPr>
            <w:r>
              <w:rPr>
                <w:rFonts w:ascii="Courier New" w:cs="Courier New" w:eastAsia="Courier New" w:hAnsi="Courier New"/>
                <w:sz w:val="12"/>
                <w:szCs w:val="12"/>
                <w:color w:val="auto"/>
              </w:rPr>
              <w:t>(UNAUDITED)</w:t>
            </w:r>
          </w:p>
        </w:tc>
      </w:tr>
      <w:tr>
        <w:trPr>
          <w:trHeight w:val="135"/>
        </w:trPr>
        <w:tc>
          <w:tcPr>
            <w:tcW w:w="3360" w:type="dxa"/>
            <w:vAlign w:val="bottom"/>
          </w:tcPr>
          <w:p>
            <w:pPr>
              <w:spacing w:after="0"/>
              <w:rPr>
                <w:sz w:val="11"/>
                <w:szCs w:val="11"/>
                <w:color w:val="auto"/>
              </w:rPr>
            </w:pPr>
          </w:p>
        </w:tc>
        <w:tc>
          <w:tcPr>
            <w:tcW w:w="184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270"/>
        </w:trPr>
        <w:tc>
          <w:tcPr>
            <w:tcW w:w="3360" w:type="dxa"/>
            <w:vAlign w:val="bottom"/>
          </w:tcPr>
          <w:p>
            <w:pPr>
              <w:spacing w:after="0"/>
              <w:rPr>
                <w:sz w:val="20"/>
                <w:szCs w:val="20"/>
                <w:color w:val="auto"/>
              </w:rPr>
            </w:pPr>
            <w:r>
              <w:rPr>
                <w:rFonts w:ascii="Courier New" w:cs="Courier New" w:eastAsia="Courier New" w:hAnsi="Courier New"/>
                <w:sz w:val="12"/>
                <w:szCs w:val="12"/>
                <w:color w:val="auto"/>
              </w:rPr>
              <w:t>STATEMENT OF OPERATIONS DATA:</w:t>
            </w:r>
          </w:p>
        </w:tc>
        <w:tc>
          <w:tcPr>
            <w:tcW w:w="98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135"/>
        </w:trPr>
        <w:tc>
          <w:tcPr>
            <w:tcW w:w="3360" w:type="dxa"/>
            <w:vAlign w:val="bottom"/>
          </w:tcPr>
          <w:p>
            <w:pPr>
              <w:spacing w:after="0"/>
              <w:rPr>
                <w:sz w:val="20"/>
                <w:szCs w:val="20"/>
                <w:color w:val="auto"/>
              </w:rPr>
            </w:pPr>
            <w:r>
              <w:rPr>
                <w:rFonts w:ascii="Courier New" w:cs="Courier New" w:eastAsia="Courier New" w:hAnsi="Courier New"/>
                <w:sz w:val="12"/>
                <w:szCs w:val="12"/>
                <w:color w:val="auto"/>
              </w:rPr>
              <w:t>Total revenues</w:t>
            </w:r>
          </w:p>
        </w:tc>
        <w:tc>
          <w:tcPr>
            <w:tcW w:w="9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100.0%</w:t>
            </w:r>
          </w:p>
        </w:tc>
        <w:tc>
          <w:tcPr>
            <w:tcW w:w="8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100.0%</w:t>
            </w:r>
          </w:p>
        </w:tc>
      </w:tr>
      <w:tr>
        <w:trPr>
          <w:trHeight w:val="135"/>
        </w:trPr>
        <w:tc>
          <w:tcPr>
            <w:tcW w:w="3360" w:type="dxa"/>
            <w:vAlign w:val="bottom"/>
          </w:tcPr>
          <w:p>
            <w:pPr>
              <w:spacing w:after="0"/>
              <w:rPr>
                <w:sz w:val="20"/>
                <w:szCs w:val="20"/>
                <w:color w:val="auto"/>
              </w:rPr>
            </w:pPr>
            <w:r>
              <w:rPr>
                <w:rFonts w:ascii="Courier New" w:cs="Courier New" w:eastAsia="Courier New" w:hAnsi="Courier New"/>
                <w:sz w:val="12"/>
                <w:szCs w:val="12"/>
                <w:color w:val="auto"/>
              </w:rPr>
              <w:t>Cost of total revenues</w:t>
            </w:r>
          </w:p>
        </w:tc>
        <w:tc>
          <w:tcPr>
            <w:tcW w:w="9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128.6</w:t>
            </w:r>
          </w:p>
        </w:tc>
        <w:tc>
          <w:tcPr>
            <w:tcW w:w="8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170.8</w:t>
            </w:r>
          </w:p>
        </w:tc>
      </w:tr>
      <w:tr>
        <w:trPr>
          <w:trHeight w:val="135"/>
        </w:trPr>
        <w:tc>
          <w:tcPr>
            <w:tcW w:w="3360" w:type="dxa"/>
            <w:vAlign w:val="bottom"/>
          </w:tcPr>
          <w:p>
            <w:pPr>
              <w:spacing w:after="0"/>
              <w:rPr>
                <w:sz w:val="11"/>
                <w:szCs w:val="11"/>
                <w:color w:val="auto"/>
              </w:rPr>
            </w:pPr>
          </w:p>
        </w:tc>
        <w:tc>
          <w:tcPr>
            <w:tcW w:w="9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135"/>
        </w:trPr>
        <w:tc>
          <w:tcPr>
            <w:tcW w:w="3360" w:type="dxa"/>
            <w:vAlign w:val="bottom"/>
          </w:tcPr>
          <w:p>
            <w:pPr>
              <w:spacing w:after="0"/>
              <w:rPr>
                <w:sz w:val="20"/>
                <w:szCs w:val="20"/>
                <w:color w:val="auto"/>
              </w:rPr>
            </w:pPr>
            <w:r>
              <w:rPr>
                <w:rFonts w:ascii="Courier New" w:cs="Courier New" w:eastAsia="Courier New" w:hAnsi="Courier New"/>
                <w:sz w:val="12"/>
                <w:szCs w:val="12"/>
                <w:color w:val="auto"/>
              </w:rPr>
              <w:t>Gross loss</w:t>
            </w:r>
          </w:p>
        </w:tc>
        <w:tc>
          <w:tcPr>
            <w:tcW w:w="9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(28.6)</w:t>
            </w:r>
          </w:p>
        </w:tc>
        <w:tc>
          <w:tcPr>
            <w:tcW w:w="8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(70.8)</w:t>
            </w:r>
          </w:p>
        </w:tc>
      </w:tr>
      <w:tr>
        <w:trPr>
          <w:trHeight w:val="135"/>
        </w:trPr>
        <w:tc>
          <w:tcPr>
            <w:tcW w:w="3360" w:type="dxa"/>
            <w:vAlign w:val="bottom"/>
          </w:tcPr>
          <w:p>
            <w:pPr>
              <w:spacing w:after="0"/>
              <w:rPr>
                <w:sz w:val="20"/>
                <w:szCs w:val="20"/>
                <w:color w:val="auto"/>
              </w:rPr>
            </w:pPr>
            <w:r>
              <w:rPr>
                <w:rFonts w:ascii="Courier New" w:cs="Courier New" w:eastAsia="Courier New" w:hAnsi="Courier New"/>
                <w:sz w:val="12"/>
                <w:szCs w:val="12"/>
                <w:color w:val="auto"/>
              </w:rPr>
              <w:t>Research and development expenses, net</w:t>
            </w:r>
          </w:p>
        </w:tc>
        <w:tc>
          <w:tcPr>
            <w:tcW w:w="9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6.5</w:t>
            </w:r>
          </w:p>
        </w:tc>
        <w:tc>
          <w:tcPr>
            <w:tcW w:w="8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9.3</w:t>
            </w:r>
          </w:p>
        </w:tc>
      </w:tr>
      <w:tr>
        <w:trPr>
          <w:trHeight w:val="135"/>
        </w:trPr>
        <w:tc>
          <w:tcPr>
            <w:tcW w:w="3360" w:type="dxa"/>
            <w:vAlign w:val="bottom"/>
          </w:tcPr>
          <w:p>
            <w:pPr>
              <w:spacing w:after="0"/>
              <w:rPr>
                <w:sz w:val="20"/>
                <w:szCs w:val="20"/>
                <w:color w:val="auto"/>
              </w:rPr>
            </w:pPr>
            <w:r>
              <w:rPr>
                <w:rFonts w:ascii="Courier New" w:cs="Courier New" w:eastAsia="Courier New" w:hAnsi="Courier New"/>
                <w:sz w:val="12"/>
                <w:szCs w:val="12"/>
                <w:color w:val="auto"/>
              </w:rPr>
              <w:t>Marketing, general and administrative expenses</w:t>
            </w:r>
          </w:p>
        </w:tc>
        <w:tc>
          <w:tcPr>
            <w:tcW w:w="9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14.1</w:t>
            </w:r>
          </w:p>
        </w:tc>
        <w:tc>
          <w:tcPr>
            <w:tcW w:w="8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14.8</w:t>
            </w:r>
          </w:p>
        </w:tc>
      </w:tr>
      <w:tr>
        <w:trPr>
          <w:trHeight w:val="135"/>
        </w:trPr>
        <w:tc>
          <w:tcPr>
            <w:tcW w:w="3360" w:type="dxa"/>
            <w:vAlign w:val="bottom"/>
          </w:tcPr>
          <w:p>
            <w:pPr>
              <w:spacing w:after="0"/>
              <w:rPr>
                <w:sz w:val="11"/>
                <w:szCs w:val="11"/>
                <w:color w:val="auto"/>
              </w:rPr>
            </w:pPr>
          </w:p>
        </w:tc>
        <w:tc>
          <w:tcPr>
            <w:tcW w:w="9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135"/>
        </w:trPr>
        <w:tc>
          <w:tcPr>
            <w:tcW w:w="3360" w:type="dxa"/>
            <w:vAlign w:val="bottom"/>
          </w:tcPr>
          <w:p>
            <w:pPr>
              <w:spacing w:after="0"/>
              <w:rPr>
                <w:sz w:val="20"/>
                <w:szCs w:val="20"/>
                <w:color w:val="auto"/>
              </w:rPr>
            </w:pPr>
            <w:r>
              <w:rPr>
                <w:rFonts w:ascii="Courier New" w:cs="Courier New" w:eastAsia="Courier New" w:hAnsi="Courier New"/>
                <w:sz w:val="12"/>
                <w:szCs w:val="12"/>
                <w:color w:val="auto"/>
              </w:rPr>
              <w:t>Operating loss</w:t>
            </w:r>
          </w:p>
        </w:tc>
        <w:tc>
          <w:tcPr>
            <w:tcW w:w="9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(49.1)</w:t>
            </w:r>
          </w:p>
        </w:tc>
        <w:tc>
          <w:tcPr>
            <w:tcW w:w="8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(95.0)</w:t>
            </w:r>
          </w:p>
        </w:tc>
      </w:tr>
      <w:tr>
        <w:trPr>
          <w:trHeight w:val="135"/>
        </w:trPr>
        <w:tc>
          <w:tcPr>
            <w:tcW w:w="3360" w:type="dxa"/>
            <w:vAlign w:val="bottom"/>
          </w:tcPr>
          <w:p>
            <w:pPr>
              <w:spacing w:after="0"/>
              <w:rPr>
                <w:sz w:val="20"/>
                <w:szCs w:val="20"/>
                <w:color w:val="auto"/>
              </w:rPr>
            </w:pPr>
            <w:r>
              <w:rPr>
                <w:rFonts w:ascii="Courier New" w:cs="Courier New" w:eastAsia="Courier New" w:hAnsi="Courier New"/>
                <w:sz w:val="12"/>
                <w:szCs w:val="12"/>
                <w:color w:val="auto"/>
              </w:rPr>
              <w:t>Financing expense, net</w:t>
            </w:r>
          </w:p>
        </w:tc>
        <w:tc>
          <w:tcPr>
            <w:tcW w:w="9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(18.2)</w:t>
            </w:r>
          </w:p>
        </w:tc>
        <w:tc>
          <w:tcPr>
            <w:tcW w:w="8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(32.1)</w:t>
            </w:r>
          </w:p>
        </w:tc>
      </w:tr>
      <w:tr>
        <w:trPr>
          <w:trHeight w:val="135"/>
        </w:trPr>
        <w:tc>
          <w:tcPr>
            <w:tcW w:w="3360" w:type="dxa"/>
            <w:vAlign w:val="bottom"/>
          </w:tcPr>
          <w:p>
            <w:pPr>
              <w:spacing w:after="0"/>
              <w:rPr>
                <w:sz w:val="20"/>
                <w:szCs w:val="20"/>
                <w:color w:val="auto"/>
              </w:rPr>
            </w:pPr>
            <w:r>
              <w:rPr>
                <w:rFonts w:ascii="Courier New" w:cs="Courier New" w:eastAsia="Courier New" w:hAnsi="Courier New"/>
                <w:sz w:val="12"/>
                <w:szCs w:val="12"/>
                <w:color w:val="auto"/>
              </w:rPr>
              <w:t>Other income, net</w:t>
            </w:r>
          </w:p>
        </w:tc>
        <w:tc>
          <w:tcPr>
            <w:tcW w:w="9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0.1</w:t>
            </w:r>
          </w:p>
        </w:tc>
        <w:tc>
          <w:tcPr>
            <w:tcW w:w="8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1.5</w:t>
            </w:r>
          </w:p>
        </w:tc>
      </w:tr>
      <w:tr>
        <w:trPr>
          <w:trHeight w:val="135"/>
        </w:trPr>
        <w:tc>
          <w:tcPr>
            <w:tcW w:w="3360" w:type="dxa"/>
            <w:vAlign w:val="bottom"/>
          </w:tcPr>
          <w:p>
            <w:pPr>
              <w:spacing w:after="0"/>
              <w:rPr>
                <w:sz w:val="11"/>
                <w:szCs w:val="11"/>
                <w:color w:val="auto"/>
              </w:rPr>
            </w:pPr>
          </w:p>
        </w:tc>
        <w:tc>
          <w:tcPr>
            <w:tcW w:w="9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135"/>
        </w:trPr>
        <w:tc>
          <w:tcPr>
            <w:tcW w:w="3360" w:type="dxa"/>
            <w:vAlign w:val="bottom"/>
          </w:tcPr>
          <w:p>
            <w:pPr>
              <w:spacing w:after="0"/>
              <w:rPr>
                <w:sz w:val="20"/>
                <w:szCs w:val="20"/>
                <w:color w:val="auto"/>
              </w:rPr>
            </w:pPr>
            <w:r>
              <w:rPr>
                <w:rFonts w:ascii="Courier New" w:cs="Courier New" w:eastAsia="Courier New" w:hAnsi="Courier New"/>
                <w:sz w:val="12"/>
                <w:szCs w:val="12"/>
                <w:color w:val="auto"/>
              </w:rPr>
              <w:t>Loss</w:t>
            </w:r>
          </w:p>
        </w:tc>
        <w:tc>
          <w:tcPr>
            <w:tcW w:w="9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(67.2)%</w:t>
            </w: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(125.6)%</w:t>
            </w:r>
          </w:p>
        </w:tc>
      </w:tr>
      <w:tr>
        <w:trPr>
          <w:trHeight w:val="135"/>
        </w:trPr>
        <w:tc>
          <w:tcPr>
            <w:tcW w:w="3360" w:type="dxa"/>
            <w:vAlign w:val="bottom"/>
          </w:tcPr>
          <w:p>
            <w:pPr>
              <w:spacing w:after="0"/>
              <w:rPr>
                <w:sz w:val="11"/>
                <w:szCs w:val="11"/>
                <w:color w:val="auto"/>
              </w:rPr>
            </w:pPr>
          </w:p>
        </w:tc>
        <w:tc>
          <w:tcPr>
            <w:tcW w:w="9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bl>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THREE MONTHS ENDED MARCH 31, 2007 COMPARED TO THREE MONTHS ENDED MARCH 31, 2006</w:t>
      </w:r>
    </w:p>
    <w:p>
      <w:pPr>
        <w:spacing w:after="0" w:line="146" w:lineRule="exact"/>
        <w:rPr>
          <w:sz w:val="20"/>
          <w:szCs w:val="20"/>
          <w:color w:val="auto"/>
        </w:rPr>
      </w:pPr>
    </w:p>
    <w:p>
      <w:pPr>
        <w:ind w:right="4759" w:firstLine="351"/>
        <w:spacing w:after="0" w:line="236" w:lineRule="auto"/>
        <w:rPr>
          <w:sz w:val="20"/>
          <w:szCs w:val="20"/>
          <w:color w:val="auto"/>
        </w:rPr>
      </w:pPr>
      <w:r>
        <w:rPr>
          <w:rFonts w:ascii="Courier New" w:cs="Courier New" w:eastAsia="Courier New" w:hAnsi="Courier New"/>
          <w:sz w:val="12"/>
          <w:szCs w:val="12"/>
          <w:color w:val="auto"/>
        </w:rPr>
        <w:t>REVENUES. Revenues for the three months ended March 31, 2007 increased by 55% to $55.6 million from $35.9 million for the three months ended March 31, 2006. This $19.7 million increase was mainly attributable to higher volume of wafer shipments.</w:t>
      </w:r>
    </w:p>
    <w:p>
      <w:pPr>
        <w:spacing w:after="0" w:line="141"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COST OF TOTAL REVENUES. Cost of total revenues for the three months ended March 31, 2007 amounted to $71.5 million, compared with $61.3 million for the three months ended March 31, 2006. This modest increase of 16.7% in cost of revenues, despite the 55% increase in sales, was achieved mainly due to the Company's cost structure, according to which, the Company has reasonable margins for each incremental dollar of revenue.</w:t>
      </w:r>
    </w:p>
    <w:p>
      <w:pPr>
        <w:spacing w:after="0" w:line="140" w:lineRule="exact"/>
        <w:rPr>
          <w:sz w:val="20"/>
          <w:szCs w:val="20"/>
          <w:color w:val="auto"/>
        </w:rPr>
      </w:pPr>
    </w:p>
    <w:p>
      <w:pPr>
        <w:ind w:right="4699" w:firstLine="351"/>
        <w:spacing w:after="0" w:line="236" w:lineRule="auto"/>
        <w:rPr>
          <w:sz w:val="20"/>
          <w:szCs w:val="20"/>
          <w:color w:val="auto"/>
        </w:rPr>
      </w:pPr>
      <w:r>
        <w:rPr>
          <w:rFonts w:ascii="Courier New" w:cs="Courier New" w:eastAsia="Courier New" w:hAnsi="Courier New"/>
          <w:sz w:val="12"/>
          <w:szCs w:val="12"/>
          <w:color w:val="auto"/>
        </w:rPr>
        <w:t>GROSS LOSS. Gross loss for the three months ended March 31, 2007 was $15.9 million compared to a gross loss of $25.4 million for the three months ended March 31, 2006. The decrease in gross loss was mainly attributable to the improved margins described above.</w:t>
      </w:r>
    </w:p>
    <w:p>
      <w:pPr>
        <w:spacing w:after="0" w:line="141" w:lineRule="exact"/>
        <w:rPr>
          <w:sz w:val="20"/>
          <w:szCs w:val="20"/>
          <w:color w:val="auto"/>
        </w:rPr>
      </w:pPr>
    </w:p>
    <w:p>
      <w:pPr>
        <w:jc w:val="both"/>
        <w:ind w:right="4839" w:firstLine="351"/>
        <w:spacing w:after="0" w:line="236" w:lineRule="auto"/>
        <w:rPr>
          <w:sz w:val="20"/>
          <w:szCs w:val="20"/>
          <w:color w:val="auto"/>
        </w:rPr>
      </w:pPr>
      <w:r>
        <w:rPr>
          <w:rFonts w:ascii="Courier New" w:cs="Courier New" w:eastAsia="Courier New" w:hAnsi="Courier New"/>
          <w:sz w:val="12"/>
          <w:szCs w:val="12"/>
          <w:color w:val="auto"/>
        </w:rPr>
        <w:t>RESEARCH AND DEVELOPMENT EXPENSES. Research and development expenses for the three months ended March 31, 2007 amounted to $3.6 million compared to a similar amount for the three months ended March 31, 2006.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MARKETING, GENERAL AND ADMINISTRATIVE EXPENSES. Marketing, general and</w:t>
      </w:r>
    </w:p>
    <w:p>
      <w:pPr>
        <w:spacing w:after="0"/>
        <w:rPr>
          <w:sz w:val="20"/>
          <w:szCs w:val="20"/>
          <w:color w:val="auto"/>
        </w:rPr>
      </w:pPr>
      <w:r>
        <w:rPr>
          <w:rFonts w:ascii="Courier New" w:cs="Courier New" w:eastAsia="Courier New" w:hAnsi="Courier New"/>
          <w:sz w:val="12"/>
          <w:szCs w:val="12"/>
          <w:color w:val="auto"/>
        </w:rPr>
        <w:t>administrative expenses for the three months ended March 31, 2007 amounted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$7.8 million compared to $5.3 million for the three months ended March 31, 2006.</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The increase is primarily due to stock based compensation expenses and increased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expenses resulted directly from the higher revenues mentioned above.</w:t>
      </w:r>
    </w:p>
    <w:p>
      <w:pPr>
        <w:spacing w:after="0" w:line="139" w:lineRule="exact"/>
        <w:rPr>
          <w:sz w:val="20"/>
          <w:szCs w:val="20"/>
          <w:color w:val="auto"/>
        </w:rPr>
      </w:pPr>
    </w:p>
    <w:p>
      <w:pPr>
        <w:ind w:right="4839" w:firstLine="351"/>
        <w:spacing w:after="0" w:line="236" w:lineRule="auto"/>
        <w:rPr>
          <w:sz w:val="20"/>
          <w:szCs w:val="20"/>
          <w:color w:val="auto"/>
        </w:rPr>
      </w:pPr>
      <w:r>
        <w:rPr>
          <w:rFonts w:ascii="Courier New" w:cs="Courier New" w:eastAsia="Courier New" w:hAnsi="Courier New"/>
          <w:sz w:val="12"/>
          <w:szCs w:val="12"/>
          <w:color w:val="auto"/>
        </w:rPr>
        <w:t>OPERATING LOSS. Operating loss for the three months ended March 31, 2007 was $27.3 million, compared to $34.1 million for the three months ended March 31, 2006. The decrease in the operating loss is attributable mainly to the decrease in the gross loss described above.</w:t>
      </w:r>
    </w:p>
    <w:p>
      <w:pPr>
        <w:spacing w:after="0" w:line="141" w:lineRule="exact"/>
        <w:rPr>
          <w:sz w:val="20"/>
          <w:szCs w:val="20"/>
          <w:color w:val="auto"/>
        </w:rPr>
      </w:pPr>
    </w:p>
    <w:p>
      <w:pPr>
        <w:ind w:right="4619" w:firstLine="351"/>
        <w:spacing w:after="0" w:line="261" w:lineRule="auto"/>
        <w:rPr>
          <w:sz w:val="20"/>
          <w:szCs w:val="20"/>
          <w:color w:val="auto"/>
        </w:rPr>
      </w:pPr>
      <w:r>
        <w:rPr>
          <w:rFonts w:ascii="Courier New" w:cs="Courier New" w:eastAsia="Courier New" w:hAnsi="Courier New"/>
          <w:sz w:val="11"/>
          <w:szCs w:val="11"/>
          <w:color w:val="auto"/>
        </w:rPr>
        <w:t>FINANCING EXPENSES, NET. Financing expenses, net, for the three months ended March 31, 2007 were $10.1 million compared to financing expenses, net, of $11.5 million for the three months ended March 31, 2006. This decrease is mainly due to a decrease of $3.3 million in connection with the successful consummation of our debt restructuring with our banks in September 2006, pursuant to which approximately 30% of the outstanding loans were converted into capital notes and the interest rate applicable to the interest payments was decreased to LIBOR + 1.1% compared to LIBOR + 2.5%. This decrease was offset by an increase of $2.6 million in costs related to our convertible debentures attributable mainly to an increase in the discount amortization which resulted mainly from the issuance of a new series of convertible debentures (in June 2006) and the decrease in the exchange rate of the dollar in relation to the NIS which caused an increase in the dollar amount of the NIS denominated outstanding convertible debt (see below for more details on currency fluctuations).</w:t>
      </w:r>
    </w:p>
    <w:p>
      <w:pPr>
        <w:spacing w:after="0" w:line="129" w:lineRule="exact"/>
        <w:rPr>
          <w:sz w:val="20"/>
          <w:szCs w:val="20"/>
          <w:color w:val="auto"/>
        </w:rPr>
      </w:pPr>
    </w:p>
    <w:p>
      <w:pPr>
        <w:ind w:left="340"/>
        <w:spacing w:after="0"/>
        <w:rPr>
          <w:sz w:val="20"/>
          <w:szCs w:val="20"/>
          <w:color w:val="auto"/>
        </w:rPr>
      </w:pPr>
      <w:r>
        <w:rPr>
          <w:rFonts w:ascii="Courier New" w:cs="Courier New" w:eastAsia="Courier New" w:hAnsi="Courier New"/>
          <w:sz w:val="11"/>
          <w:szCs w:val="11"/>
          <w:color w:val="auto"/>
        </w:rPr>
        <w:t>OTHER INCOME, NET. Other income, net, for the three months ended March 31,</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2007 was $0.01 million compared to $0.6 million for the three months ended March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31, 2006.</w:t>
      </w:r>
    </w:p>
    <w:p>
      <w:pPr>
        <w:spacing w:after="0" w:line="139" w:lineRule="exact"/>
        <w:rPr>
          <w:sz w:val="20"/>
          <w:szCs w:val="20"/>
          <w:color w:val="auto"/>
        </w:rPr>
      </w:pPr>
    </w:p>
    <w:p>
      <w:pPr>
        <w:ind w:right="4619" w:firstLine="351"/>
        <w:spacing w:after="0" w:line="236" w:lineRule="auto"/>
        <w:rPr>
          <w:sz w:val="20"/>
          <w:szCs w:val="20"/>
          <w:color w:val="auto"/>
        </w:rPr>
      </w:pPr>
      <w:r>
        <w:rPr>
          <w:rFonts w:ascii="Courier New" w:cs="Courier New" w:eastAsia="Courier New" w:hAnsi="Courier New"/>
          <w:sz w:val="12"/>
          <w:szCs w:val="12"/>
          <w:color w:val="auto"/>
        </w:rPr>
        <w:t>LOSS. Our loss for the three months ended March 31, 2007 was $37.4 million, compared to $45.1 million for the three months ended March 31, 2006. This decrease is primarily attributable to the decrease in the operating loss of $6.8 million and a $1.4 million decrease in finance expenses.</w:t>
      </w:r>
    </w:p>
    <w:p>
      <w:pPr>
        <w:spacing w:after="0" w:line="13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IMPACT OF INFLATION AND CURRENCY FLUCTUATIONS</w:t>
      </w:r>
    </w:p>
    <w:p>
      <w:pPr>
        <w:spacing w:after="0" w:line="139" w:lineRule="exact"/>
        <w:rPr>
          <w:sz w:val="20"/>
          <w:szCs w:val="20"/>
          <w:color w:val="auto"/>
        </w:rPr>
      </w:pPr>
    </w:p>
    <w:p>
      <w:pPr>
        <w:ind w:right="4699" w:firstLine="351"/>
        <w:spacing w:after="0" w:line="237" w:lineRule="auto"/>
        <w:rPr>
          <w:sz w:val="20"/>
          <w:szCs w:val="20"/>
          <w:color w:val="auto"/>
        </w:rPr>
      </w:pPr>
      <w:r>
        <w:rPr>
          <w:rFonts w:ascii="Courier New" w:cs="Courier New" w:eastAsia="Courier New" w:hAnsi="Courier New"/>
          <w:sz w:val="12"/>
          <w:szCs w:val="12"/>
          <w:color w:val="auto"/>
        </w:rPr>
        <w:t>The dollar cost of our operations in Israel is influenced by the timing of any change in the rate of inflation in Israel and the extent to which such change is not offset by a change in valuation of the NIS in relation to the dollar. During the three months ended March 31, 2007, the exchange rate of the dollar in relation to the NIS decreased by 1.7%, and the Israeli Consumer Price Index, or CPI, decreased by 0.2% (during the three months ended March 31, 2006 there was an increase of 1.4% in the exchange rate of the dollar in relation to the NIS and an increase of 0.6% in the CPI).</w:t>
      </w:r>
    </w:p>
    <w:p>
      <w:pPr>
        <w:spacing w:after="0" w:line="138"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We believe that the rate of inflation in Israel has not had a material</w:t>
      </w:r>
    </w:p>
    <w:p>
      <w:pPr>
        <w:sectPr>
          <w:pgSz w:w="11900" w:h="16838" w:orient="portrait"/>
          <w:cols w:equalWidth="0" w:num="1">
            <w:col w:w="10239"/>
          </w:cols>
          <w:pgMar w:left="220" w:top="411" w:right="1440" w:bottom="0" w:gutter="0" w:footer="0" w:header="0"/>
        </w:sectPr>
      </w:pPr>
    </w:p>
    <w:bookmarkStart w:id="13" w:name="page14"/>
    <w:bookmarkEnd w:id="13"/>
    <w:p>
      <w:pPr>
        <w:ind w:left="8" w:right="4619"/>
        <w:spacing w:after="0" w:line="236" w:lineRule="auto"/>
        <w:rPr>
          <w:sz w:val="20"/>
          <w:szCs w:val="20"/>
          <w:color w:val="auto"/>
        </w:rPr>
      </w:pPr>
      <w:r>
        <w:rPr>
          <w:rFonts w:ascii="Courier New" w:cs="Courier New" w:eastAsia="Courier New" w:hAnsi="Courier New"/>
          <w:sz w:val="12"/>
          <w:szCs w:val="12"/>
          <w:color w:val="auto"/>
        </w:rPr>
        <w:t>effect on our business to date. However, our dollar costs will increase if inflation in Israel exceeds the devaluation of the NIS against the dollar, or if the timing of such devaluation lags behind inflation in Israel.</w:t>
      </w:r>
    </w:p>
    <w:p>
      <w:pPr>
        <w:spacing w:after="0" w:line="139" w:lineRule="exact"/>
        <w:rPr>
          <w:sz w:val="20"/>
          <w:szCs w:val="20"/>
          <w:color w:val="auto"/>
        </w:rPr>
      </w:pPr>
    </w:p>
    <w:p>
      <w:pPr>
        <w:ind w:left="8" w:right="4619" w:firstLine="351"/>
        <w:spacing w:after="0" w:line="264" w:lineRule="auto"/>
        <w:rPr>
          <w:sz w:val="20"/>
          <w:szCs w:val="20"/>
          <w:color w:val="auto"/>
        </w:rPr>
      </w:pPr>
      <w:r>
        <w:rPr>
          <w:rFonts w:ascii="Courier New" w:cs="Courier New" w:eastAsia="Courier New" w:hAnsi="Courier New"/>
          <w:sz w:val="11"/>
          <w:szCs w:val="11"/>
          <w:color w:val="auto"/>
        </w:rPr>
        <w:t>Almost all of the cash generated from our operations and from our financing and investing activities is denominated in U.S. dollars and NIS. Our expenses and costs are denominated in NIS, U.S. dollars, Japanese Yen and Euros. We are, therefore, exposed to the risk of currency exchange rate fluctuations.</w:t>
      </w:r>
    </w:p>
    <w:p>
      <w:pPr>
        <w:spacing w:after="0" w:line="123"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LIQUIDITY AND CAPITAL RESOURCES</w:t>
      </w:r>
    </w:p>
    <w:p>
      <w:pPr>
        <w:spacing w:after="0" w:line="139" w:lineRule="exact"/>
        <w:rPr>
          <w:sz w:val="20"/>
          <w:szCs w:val="20"/>
          <w:color w:val="auto"/>
        </w:rPr>
      </w:pPr>
    </w:p>
    <w:p>
      <w:pPr>
        <w:jc w:val="both"/>
        <w:ind w:left="8" w:right="4759" w:firstLine="351"/>
        <w:spacing w:after="0" w:line="237" w:lineRule="auto"/>
        <w:rPr>
          <w:sz w:val="20"/>
          <w:szCs w:val="20"/>
          <w:color w:val="auto"/>
        </w:rPr>
      </w:pPr>
      <w:r>
        <w:rPr>
          <w:rFonts w:ascii="Courier New" w:cs="Courier New" w:eastAsia="Courier New" w:hAnsi="Courier New"/>
          <w:sz w:val="12"/>
          <w:szCs w:val="12"/>
          <w:color w:val="auto"/>
        </w:rPr>
        <w:t>As of March 31, 2007, we had an aggregate of $43.6 million in cash, cash equivalents, and short-term interest-bearing deposits. This compares to $32.7 million we had as of March 31, 2006 in cash, cash equivalents, and short-term interest-bearing deposits, of which $15.1 million was contractually restricted for Fab 2 use only.</w:t>
      </w:r>
    </w:p>
    <w:p>
      <w:pPr>
        <w:spacing w:after="0" w:line="139" w:lineRule="exact"/>
        <w:rPr>
          <w:sz w:val="20"/>
          <w:szCs w:val="20"/>
          <w:color w:val="auto"/>
        </w:rPr>
      </w:pPr>
    </w:p>
    <w:p>
      <w:pPr>
        <w:ind w:left="8" w:right="4619" w:firstLine="351"/>
        <w:spacing w:after="0" w:line="262" w:lineRule="auto"/>
        <w:rPr>
          <w:sz w:val="20"/>
          <w:szCs w:val="20"/>
          <w:color w:val="auto"/>
        </w:rPr>
      </w:pPr>
      <w:r>
        <w:rPr>
          <w:rFonts w:ascii="Courier New" w:cs="Courier New" w:eastAsia="Courier New" w:hAnsi="Courier New"/>
          <w:sz w:val="11"/>
          <w:szCs w:val="11"/>
          <w:color w:val="auto"/>
        </w:rPr>
        <w:t>During the three months ended March 31, 2007, we received $28.9 million in gross proceeds from the issuance of ordinary shares and warrants, and generated a net amount of $5.5 million from our operating activities. These liquidity resources financed the investments we made during the three months ended March 31, 2007, which aggregated $24.7 million, mainly in connection with the purchase and installation of equipment and other assets for the ramp up of Fab 2 and repayment of convertible debentures in the amount of $7.1 million.</w:t>
      </w:r>
    </w:p>
    <w:p>
      <w:pPr>
        <w:spacing w:after="0" w:line="129" w:lineRule="exact"/>
        <w:rPr>
          <w:sz w:val="20"/>
          <w:szCs w:val="20"/>
          <w:color w:val="auto"/>
        </w:rPr>
      </w:pPr>
    </w:p>
    <w:p>
      <w:pPr>
        <w:ind w:left="8" w:right="4619" w:firstLine="351"/>
        <w:spacing w:after="0" w:line="260" w:lineRule="auto"/>
        <w:rPr>
          <w:sz w:val="20"/>
          <w:szCs w:val="20"/>
          <w:color w:val="auto"/>
        </w:rPr>
      </w:pPr>
      <w:r>
        <w:rPr>
          <w:rFonts w:ascii="Courier New" w:cs="Courier New" w:eastAsia="Courier New" w:hAnsi="Courier New"/>
          <w:sz w:val="11"/>
          <w:szCs w:val="11"/>
          <w:color w:val="auto"/>
        </w:rPr>
        <w:t>As of March 31, 2007, we had long-term bank loans, at present value, in the amount of $358.8 million we obtained in connection with the establishment of Fab</w:t>
      </w:r>
    </w:p>
    <w:p>
      <w:pPr>
        <w:ind w:left="8" w:right="4619" w:hanging="8"/>
        <w:spacing w:after="0" w:line="236" w:lineRule="auto"/>
        <w:tabs>
          <w:tab w:leader="none" w:pos="219" w:val="left"/>
        </w:tabs>
        <w:numPr>
          <w:ilvl w:val="0"/>
          <w:numId w:val="19"/>
        </w:numPr>
        <w:rPr>
          <w:rFonts w:ascii="Courier New" w:cs="Courier New" w:eastAsia="Courier New" w:hAnsi="Courier New"/>
          <w:sz w:val="12"/>
          <w:szCs w:val="12"/>
          <w:color w:val="auto"/>
        </w:rPr>
      </w:pPr>
      <w:r>
        <w:rPr>
          <w:rFonts w:ascii="Courier New" w:cs="Courier New" w:eastAsia="Courier New" w:hAnsi="Courier New"/>
          <w:sz w:val="12"/>
          <w:szCs w:val="12"/>
          <w:color w:val="auto"/>
        </w:rPr>
        <w:t>As of such date, we also had convertible debentures in the aggregate of $92.6 million, of which $6.6 million are presented as current maturities and $20.1 million are presented as equity component of the convertible debentures as part of shareholders' equity.</w:t>
      </w:r>
    </w:p>
    <w:sectPr>
      <w:pgSz w:w="11900" w:h="16838" w:orient="portrait"/>
      <w:cols w:equalWidth="0" w:num="1">
        <w:col w:w="10247"/>
      </w:cols>
      <w:pgMar w:left="212"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1"/>
    </w:lvl>
    <w:lvl w:ilvl="1">
      <w:lvlJc w:val="left"/>
      <w:lvlText w:val="(%2)"/>
      <w:numFmt w:val="decimal"/>
      <w:start w:val="1"/>
    </w:lvl>
  </w:abstractNum>
  <w:abstractNum w:abstractNumId="1">
    <w:nsid w:val="216231B"/>
    <w:multiLevelType w:val="hybridMultilevel"/>
    <w:lvl w:ilvl="0">
      <w:lvlJc w:val="left"/>
      <w:lvlText w:val="(%1)"/>
      <w:numFmt w:val="decimal"/>
      <w:start w:val="2"/>
    </w:lvl>
    <w:lvl w:ilvl="1">
      <w:lvlJc w:val="left"/>
      <w:lvlText w:val="%2."/>
      <w:numFmt w:val="upperLetter"/>
      <w:start w:val="1"/>
    </w:lvl>
    <w:lvl w:ilvl="2">
      <w:lvlJc w:val="left"/>
      <w:lvlText w:val="-"/>
      <w:numFmt w:val="bullet"/>
      <w:start w:val="1"/>
    </w:lvl>
  </w:abstractNum>
  <w:abstractNum w:abstractNumId="2">
    <w:nsid w:val="1F16E9E8"/>
    <w:multiLevelType w:val="hybridMultilevel"/>
    <w:lvl w:ilvl="0">
      <w:lvlJc w:val="left"/>
      <w:lvlText w:val="%1."/>
      <w:numFmt w:val="upperLetter"/>
      <w:start w:val="1"/>
    </w:lvl>
    <w:lvl w:ilvl="1">
      <w:lvlJc w:val="left"/>
      <w:lvlText w:val="(%2)"/>
      <w:numFmt w:val="decimal"/>
      <w:start w:val="3"/>
    </w:lvl>
    <w:lvl w:ilvl="2">
      <w:lvlJc w:val="left"/>
      <w:lvlText w:val="%3."/>
      <w:numFmt w:val="upperLetter"/>
      <w:start w:val="1"/>
    </w:lvl>
    <w:lvl w:ilvl="3">
      <w:lvlJc w:val="left"/>
      <w:lvlText w:val="-"/>
      <w:numFmt w:val="bullet"/>
      <w:start w:val="1"/>
    </w:lvl>
  </w:abstractNum>
  <w:abstractNum w:abstractNumId="3">
    <w:nsid w:val="1190CDE7"/>
    <w:multiLevelType w:val="hybridMultilevel"/>
    <w:lvl w:ilvl="0">
      <w:lvlJc w:val="left"/>
      <w:lvlText w:val="%1."/>
      <w:numFmt w:val="upperLetter"/>
      <w:start w:val="1"/>
    </w:lvl>
    <w:lvl w:ilvl="1">
      <w:lvlJc w:val="left"/>
      <w:lvlText w:val="(%2)"/>
      <w:numFmt w:val="decimal"/>
      <w:start w:val="3"/>
    </w:lvl>
    <w:lvl w:ilvl="2">
      <w:lvlJc w:val="left"/>
      <w:lvlText w:val="%3."/>
      <w:numFmt w:val="upperLetter"/>
      <w:start w:val="3"/>
    </w:lvl>
  </w:abstractNum>
  <w:abstractNum w:abstractNumId="4">
    <w:nsid w:val="66EF438D"/>
    <w:multiLevelType w:val="hybridMultilevel"/>
    <w:lvl w:ilvl="0">
      <w:lvlJc w:val="left"/>
      <w:lvlText w:val="%1."/>
      <w:numFmt w:val="upperLetter"/>
      <w:start w:val="1"/>
    </w:lvl>
    <w:lvl w:ilvl="1">
      <w:lvlJc w:val="left"/>
      <w:lvlText w:val="(%2)"/>
      <w:numFmt w:val="decimal"/>
      <w:start w:val="3"/>
    </w:lvl>
    <w:lvl w:ilvl="2">
      <w:lvlJc w:val="left"/>
      <w:lvlText w:val="%3."/>
      <w:numFmt w:val="upperLetter"/>
      <w:start w:val="4"/>
    </w:lvl>
    <w:lvl w:ilvl="3">
      <w:lvlJc w:val="left"/>
      <w:lvlText w:val="-"/>
      <w:numFmt w:val="bullet"/>
      <w:start w:val="1"/>
    </w:lvl>
  </w:abstractNum>
  <w:abstractNum w:abstractNumId="5">
    <w:nsid w:val="140E0F76"/>
    <w:multiLevelType w:val="hybridMultilevel"/>
    <w:lvl w:ilvl="0">
      <w:lvlJc w:val="left"/>
      <w:lvlText w:val="%1."/>
      <w:numFmt w:val="upperLetter"/>
      <w:start w:val="1"/>
    </w:lvl>
    <w:lvl w:ilvl="1">
      <w:lvlJc w:val="left"/>
      <w:lvlText w:val="(%2)"/>
      <w:numFmt w:val="decimal"/>
      <w:start w:val="3"/>
    </w:lvl>
    <w:lvl w:ilvl="2">
      <w:lvlJc w:val="left"/>
      <w:lvlText w:val="%3."/>
      <w:numFmt w:val="upperLetter"/>
      <w:start w:val="5"/>
    </w:lvl>
  </w:abstractNum>
  <w:abstractNum w:abstractNumId="6">
    <w:nsid w:val="3352255A"/>
    <w:multiLevelType w:val="hybridMultilevel"/>
    <w:lvl w:ilvl="0">
      <w:lvlJc w:val="left"/>
      <w:lvlText w:val="(%1)"/>
      <w:numFmt w:val="decimal"/>
      <w:start w:val="4"/>
    </w:lvl>
    <w:lvl w:ilvl="1">
      <w:lvlJc w:val="left"/>
      <w:lvlText w:val="-"/>
      <w:numFmt w:val="bullet"/>
      <w:start w:val="1"/>
    </w:lvl>
  </w:abstractNum>
  <w:abstractNum w:abstractNumId="7">
    <w:nsid w:val="109CF92E"/>
    <w:multiLevelType w:val="hybridMultilevel"/>
    <w:lvl w:ilvl="0">
      <w:lvlJc w:val="left"/>
      <w:lvlText w:val="%1."/>
      <w:numFmt w:val="upperLetter"/>
      <w:start w:val="2"/>
    </w:lvl>
    <w:lvl w:ilvl="1">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upperLetter"/>
      <w:start w:val="1"/>
    </w:lvl>
    <w:lvl w:ilvl="1">
      <w:lvlJc w:val="left"/>
      <w:lvlText w:val="-"/>
      <w:numFmt w:val="bullet"/>
      <w:start w:val="1"/>
    </w:lvl>
  </w:abstractNum>
  <w:abstractNum w:abstractNumId="10">
    <w:nsid w:val="1BEFD79F"/>
    <w:multiLevelType w:val="hybridMultilevel"/>
    <w:lvl w:ilvl="0">
      <w:lvlJc w:val="left"/>
      <w:lvlText w:val="%1."/>
      <w:numFmt w:val="upperLetter"/>
      <w:start w:val="1"/>
    </w:lvl>
  </w:abstractNum>
  <w:abstractNum w:abstractNumId="11">
    <w:nsid w:val="41A7C4C9"/>
    <w:multiLevelType w:val="hybridMultilevel"/>
    <w:lvl w:ilvl="0">
      <w:lvlJc w:val="left"/>
      <w:lvlText w:val="%1."/>
      <w:numFmt w:val="upperLetter"/>
      <w:start w:val="2"/>
    </w:lvl>
    <w:lvl w:ilvl="1">
      <w:lvlJc w:val="left"/>
      <w:lvlText w:val="-"/>
      <w:numFmt w:val="bullet"/>
      <w:start w:val="1"/>
    </w:lvl>
  </w:abstractNum>
  <w:abstractNum w:abstractNumId="12">
    <w:nsid w:val="6B68079A"/>
    <w:multiLevelType w:val="hybridMultilevel"/>
    <w:lvl w:ilvl="0">
      <w:lvlJc w:val="left"/>
      <w:lvlText w:val="%1."/>
      <w:numFmt w:val="upperLetter"/>
      <w:start w:val="4"/>
    </w:lvl>
  </w:abstractNum>
  <w:abstractNum w:abstractNumId="13">
    <w:nsid w:val="4E6AFB66"/>
    <w:multiLevelType w:val="hybridMultilevel"/>
    <w:lvl w:ilvl="0">
      <w:lvlJc w:val="left"/>
      <w:lvlText w:val="%1."/>
      <w:numFmt w:val="upperLetter"/>
      <w:start w:val="5"/>
    </w:lvl>
    <w:lvl w:ilvl="1">
      <w:lvlJc w:val="left"/>
      <w:lvlText w:val="-"/>
      <w:numFmt w:val="bullet"/>
      <w:start w:val="1"/>
    </w:lvl>
  </w:abstractNum>
  <w:abstractNum w:abstractNumId="14">
    <w:nsid w:val="25E45D32"/>
    <w:multiLevelType w:val="hybridMultilevel"/>
    <w:lvl w:ilvl="0">
      <w:lvlJc w:val="left"/>
      <w:lvlText w:val="%1."/>
      <w:numFmt w:val="upperLetter"/>
      <w:start w:val="8"/>
    </w:lvl>
  </w:abstractNum>
  <w:abstractNum w:abstractNumId="15">
    <w:nsid w:val="519B500D"/>
    <w:multiLevelType w:val="hybridMultilevel"/>
    <w:lvl w:ilvl="0">
      <w:lvlJc w:val="left"/>
      <w:lvlText w:val="%1."/>
      <w:numFmt w:val="upperLetter"/>
      <w:start w:val="9"/>
    </w:lvl>
  </w:abstractNum>
  <w:abstractNum w:abstractNumId="16">
    <w:nsid w:val="431BD7B7"/>
    <w:multiLevelType w:val="hybridMultilevel"/>
    <w:lvl w:ilvl="0">
      <w:lvlJc w:val="left"/>
      <w:lvlText w:val="%1."/>
      <w:numFmt w:val="upperLetter"/>
      <w:start w:val="10"/>
    </w:lvl>
  </w:abstractNum>
  <w:abstractNum w:abstractNumId="17">
    <w:nsid w:val="3F2DBA31"/>
    <w:multiLevelType w:val="hybridMultilevel"/>
    <w:lvl w:ilvl="0">
      <w:lvlJc w:val="left"/>
      <w:lvlText w:val="%1."/>
      <w:numFmt w:val="upperLetter"/>
      <w:start w:val="12"/>
    </w:lvl>
    <w:lvl w:ilvl="1">
      <w:lvlJc w:val="left"/>
      <w:lvlText w:val="-"/>
      <w:numFmt w:val="bullet"/>
      <w:start w:val="1"/>
    </w:lvl>
  </w:abstractNum>
  <w:abstractNum w:abstractNumId="18">
    <w:nsid w:val="7C83E45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2019-12-14T04:06:26Z</dcterms:created>
  <dcterms:modified xsi:type="dcterms:W3CDTF">2019-12-14T04:06:26Z</dcterms:modified>
</cp:coreProperties>
</file>