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FORM 6-K</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Washington, D.C. 20549</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the month of February 2006</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TOWER SEMICONDUCTOR LTD.</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(Translation of registrant's name into English)</w:t>
      </w:r>
    </w:p>
    <w:p>
      <w:pPr>
        <w:spacing w:after="0" w:line="37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RAMAT GAVRIEL INDUSTRIAL PARK</w:t>
      </w:r>
    </w:p>
    <w:p>
      <w:pPr>
        <w:spacing w:after="0" w:line="5"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P.O. BOX 619, MIGDAL HAEMEK, ISRAEL 23105</w:t>
      </w:r>
    </w:p>
    <w:p>
      <w:pPr>
        <w:spacing w:after="0" w:line="5"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78" w:lineRule="exact"/>
        <w:rPr>
          <w:sz w:val="24"/>
          <w:szCs w:val="24"/>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4" w:lineRule="exact"/>
        <w:rPr>
          <w:sz w:val="24"/>
          <w:szCs w:val="24"/>
          <w:color w:val="auto"/>
        </w:rPr>
      </w:pPr>
    </w:p>
    <w:p>
      <w:pPr>
        <w:ind w:left="2420"/>
        <w:spacing w:after="0"/>
        <w:tabs>
          <w:tab w:leader="none" w:pos="414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378" w:lineRule="exact"/>
        <w:rPr>
          <w:sz w:val="24"/>
          <w:szCs w:val="24"/>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2" w:lineRule="exact"/>
        <w:rPr>
          <w:sz w:val="24"/>
          <w:szCs w:val="24"/>
          <w:color w:val="auto"/>
        </w:rPr>
      </w:pPr>
    </w:p>
    <w:p>
      <w:pPr>
        <w:ind w:left="3000"/>
        <w:spacing w:after="0"/>
        <w:tabs>
          <w:tab w:leader="none" w:pos="4140" w:val="left"/>
        </w:tabs>
        <w:rPr>
          <w:sz w:val="20"/>
          <w:szCs w:val="20"/>
          <w:color w:val="auto"/>
        </w:rPr>
      </w:pPr>
      <w:r>
        <w:rPr>
          <w:rFonts w:ascii="Courier New" w:cs="Courier New" w:eastAsia="Courier New" w:hAnsi="Courier New"/>
          <w:sz w:val="16"/>
          <w:szCs w:val="16"/>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 February 1, 2006, the Registrant announced its financial results for the fourth quarter and fiscal year ended December 31, 2005. Attached hereto are the following exhibits:</w:t>
      </w:r>
    </w:p>
    <w:p>
      <w:pPr>
        <w:spacing w:after="0" w:line="186" w:lineRule="exact"/>
        <w:rPr>
          <w:sz w:val="24"/>
          <w:szCs w:val="24"/>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Exhibit 99.1</w:t>
      </w:r>
      <w:r>
        <w:rPr>
          <w:sz w:val="20"/>
          <w:szCs w:val="20"/>
          <w:color w:val="auto"/>
        </w:rPr>
        <w:tab/>
      </w:r>
      <w:r>
        <w:rPr>
          <w:rFonts w:ascii="Courier New" w:cs="Courier New" w:eastAsia="Courier New" w:hAnsi="Courier New"/>
          <w:sz w:val="16"/>
          <w:szCs w:val="16"/>
          <w:color w:val="auto"/>
        </w:rPr>
        <w:t>Press release dated February 1, 2006</w:t>
      </w:r>
    </w:p>
    <w:p>
      <w:pPr>
        <w:spacing w:after="0" w:line="191" w:lineRule="exact"/>
        <w:rPr>
          <w:sz w:val="24"/>
          <w:szCs w:val="24"/>
          <w:color w:val="auto"/>
        </w:rPr>
      </w:pPr>
    </w:p>
    <w:p>
      <w:pPr>
        <w:ind w:left="1940" w:right="2559" w:hanging="1453"/>
        <w:spacing w:after="0" w:line="247" w:lineRule="auto"/>
        <w:tabs>
          <w:tab w:leader="none" w:pos="1920" w:val="left"/>
        </w:tabs>
        <w:rPr>
          <w:sz w:val="20"/>
          <w:szCs w:val="20"/>
          <w:color w:val="auto"/>
        </w:rPr>
      </w:pPr>
      <w:r>
        <w:rPr>
          <w:rFonts w:ascii="Courier New" w:cs="Courier New" w:eastAsia="Courier New" w:hAnsi="Courier New"/>
          <w:sz w:val="16"/>
          <w:szCs w:val="16"/>
          <w:color w:val="auto"/>
        </w:rPr>
        <w:t>Exhibit 99.2</w:t>
      </w:r>
      <w:r>
        <w:rPr>
          <w:sz w:val="20"/>
          <w:szCs w:val="20"/>
          <w:color w:val="auto"/>
        </w:rPr>
        <w:tab/>
      </w:r>
      <w:r>
        <w:rPr>
          <w:rFonts w:ascii="Courier New" w:cs="Courier New" w:eastAsia="Courier New" w:hAnsi="Courier New"/>
          <w:sz w:val="16"/>
          <w:szCs w:val="16"/>
          <w:color w:val="auto"/>
        </w:rPr>
        <w:t>Registrant's consolidated financial statements as of December 31, 2005 and 2004 and for the years ended December 31, 2005, 2004 and 2003, and the report thereon dated February 1, 2006 of Brightman Almagor &amp; Co.</w:t>
      </w:r>
    </w:p>
    <w:p>
      <w:pPr>
        <w:spacing w:after="0" w:line="186" w:lineRule="exact"/>
        <w:rPr>
          <w:sz w:val="24"/>
          <w:szCs w:val="24"/>
          <w:color w:val="auto"/>
        </w:rPr>
      </w:pPr>
    </w:p>
    <w:p>
      <w:pPr>
        <w:ind w:left="1940" w:right="2559" w:hanging="1453"/>
        <w:spacing w:after="0" w:line="248" w:lineRule="auto"/>
        <w:tabs>
          <w:tab w:leader="none" w:pos="1920" w:val="left"/>
        </w:tabs>
        <w:rPr>
          <w:sz w:val="20"/>
          <w:szCs w:val="20"/>
          <w:color w:val="auto"/>
        </w:rPr>
      </w:pPr>
      <w:r>
        <w:rPr>
          <w:rFonts w:ascii="Courier New" w:cs="Courier New" w:eastAsia="Courier New" w:hAnsi="Courier New"/>
          <w:sz w:val="16"/>
          <w:szCs w:val="16"/>
          <w:color w:val="auto"/>
        </w:rPr>
        <w:t>Exhibit 99.3</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4" w:lineRule="exact"/>
        <w:rPr>
          <w:sz w:val="24"/>
          <w:szCs w:val="24"/>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Exhibit 99.4</w:t>
      </w:r>
      <w:r>
        <w:rPr>
          <w:sz w:val="20"/>
          <w:szCs w:val="20"/>
          <w:color w:val="auto"/>
        </w:rPr>
        <w:tab/>
      </w:r>
      <w:r>
        <w:rPr>
          <w:rFonts w:ascii="Courier New" w:cs="Courier New" w:eastAsia="Courier New" w:hAnsi="Courier New"/>
          <w:sz w:val="16"/>
          <w:szCs w:val="16"/>
          <w:color w:val="auto"/>
        </w:rPr>
        <w:t>Consent of Independent Registered Public Accounting Firm</w:t>
      </w:r>
    </w:p>
    <w:p>
      <w:pPr>
        <w:spacing w:after="0" w:line="191" w:lineRule="exact"/>
        <w:rPr>
          <w:sz w:val="24"/>
          <w:szCs w:val="24"/>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This Form 6-K, including all exhibits hereto, is hereby incorporated by reference into (1) all effective registration statements filed by us under the Securities Act of 1933 and (2) Registration Statement No. 333-131315 on Form F-3, except that the information herein relating to EBITDA and related non-GAAP financial measure disclosures is expressly excluded from such incorporation.</w:t>
      </w:r>
    </w:p>
    <w:p>
      <w:pPr>
        <w:sectPr>
          <w:pgSz w:w="11900" w:h="16838" w:orient="portrait"/>
          <w:cols w:equalWidth="0" w:num="1">
            <w:col w:w="10219"/>
          </w:cols>
          <w:pgMar w:left="240" w:top="427" w:right="1440" w:bottom="1440" w:gutter="0" w:footer="0" w:header="0"/>
        </w:sectPr>
      </w:pPr>
    </w:p>
    <w:bookmarkStart w:id="1" w:name="page2"/>
    <w:bookmarkEnd w:id="1"/>
    <w:p>
      <w:pPr>
        <w:jc w:val="center"/>
        <w:ind w:right="24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862"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 2006</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 Somekh Gilboa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4420" w:space="720"/>
            <w:col w:w="5079"/>
          </w:cols>
          <w:pgMar w:left="240" w:top="862" w:right="1440" w:bottom="1440" w:gutter="0" w:footer="0" w:header="0"/>
          <w:type w:val="continuous"/>
        </w:sectPr>
      </w:pPr>
    </w:p>
    <w:bookmarkStart w:id="2" w:name="page3"/>
    <w:bookmarkEnd w:id="2"/>
    <w:p>
      <w:pPr>
        <w:jc w:val="right"/>
        <w:ind w:right="2459"/>
        <w:spacing w:after="0"/>
        <w:rPr>
          <w:sz w:val="20"/>
          <w:szCs w:val="20"/>
          <w:color w:val="auto"/>
        </w:rPr>
      </w:pPr>
      <w:r>
        <w:rPr>
          <w:rFonts w:ascii="Courier New" w:cs="Courier New" w:eastAsia="Courier New" w:hAnsi="Courier New"/>
          <w:sz w:val="16"/>
          <w:szCs w:val="16"/>
          <w:color w:val="auto"/>
        </w:rPr>
        <w:t>Exhibit 99.1</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TOWER SEMICONDUCTOR REPORTS POSITIVE EBITDA AND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51% QUARTER OVER QUARTER REVENUE GROWTH</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 Q4 2005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MIGDAL HAEMEK, Israel -- February 1, 2006 -- Tower Semiconductor Ltd. (NASDAQ: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TSEM; TASE: TSEM), a pure-play independent specialty foundry, today announced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fourth quarter and fiscal year 2005 results. Revenues for the fourth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$31.1 million, an increase of 51% compared to revenues of $20.6 million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third quarter of 2005, and an increase of $1 million compared to 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fourth quarter of 2004. The 2005 fourth quarter loss was $45.2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$0.55 per share, which included depreciation and amortization expenses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$36.8 million. The 2005 third quarter loss was $55.4 million, or $0.70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2004 fourth quarter loss was $55.7 million, or $0.71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a net capital gain of $32.4 million from the previously announced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 of Saifun Semiconductor. Depreciation and amortization expenses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third quarter of 2005 and for the fourth quarter of 2004 were $36.9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$34.9 million, respectively.</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Revenues were $102 million for the 12 months ended December 31, 2005, including $8 million from a previously announced technology-related agreement, as compared with $126.1 million in 2004, which included $1.9 million from this same agreement. Loss for fiscal 2005 was $203.1 million, or $2.55 per share, including $144.9 million depreciation and amortization expenses, as compared with a loss of $170.1 million, or $2.21 per share in 2004, including $121.1 million depreciation and amortization expenses and excluding a net capital gain of $32.4 million from the previously announced sale of shares of Saifun Semiconductor.</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company, for the first time since the Fab 2 project was initiated, achieved positive EBITDA, as well as record quarter over quarter sales growth. Positive EBITDA was an important milestone achievement as we continue to execute our growth plan. We have stronger targets in front of us in 2006 and the rate of new product qualifications from both new and existing customers, as well as the general market indicators, provide confidence that we will achieve them", said Russell Ellwanger, chief executive officer, Tower Semiconductor. "A 50% quarter over quarter growth is no small thing in any business, and can only be achieved through performance and customer trust. We will continue to build upon this throughout 2006."</w:t>
      </w:r>
    </w:p>
    <w:p>
      <w:pPr>
        <w:spacing w:after="0" w:line="192"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Tower expects further growth in revenues for the first quarter of 2006 over the fourth quarter of 2005, and guides revenues of $33 to $35 million.</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During the quarter, Tower shipped its first 0.18-micron RF-CMOS products to a new, high profile customer. In addition, the first production lot of 0.13-micron technology was shipped with good yields, demonstrating Fab 2's readiness for the 0.13-micron ramp, expected in the second quarter of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As used in this release, the term EBITDA consists of loss, according to GAAP (Generally Accepted Accounting Principles), excluding interest and financing expenses (net), tax and depreciation and amortization expenses, as well as capital gain (net) from the sale of Saifun Semiconductor shares recorded in 2004.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91" w:lineRule="exact"/>
        <w:rPr>
          <w:sz w:val="20"/>
          <w:szCs w:val="20"/>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Tower will host a conference call to discuss these results today, February 1, 2006, at 11 a.m. Eastern time /6 p.m. Israel time. To participate, call</w:t>
      </w:r>
    </w:p>
    <w:p>
      <w:pPr>
        <w:spacing w:after="0" w:line="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1-866-229-7198 (U.S. toll-free number) or 972-3-918-0609 (international) and mention ID code: TOWER. Callers in Israel are invited to call locally 03-918-0609. The conference call will also be web cast live at www.companyboardroom.com and at www.towersemi.com and will be available thereafter on both websites for replay for 90 days, starting at 2 p.m. Eastern time on the day of the call.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 Tower's website is located at www.towersemi.com.</w:t>
      </w:r>
    </w:p>
    <w:p>
      <w:pPr>
        <w:sectPr>
          <w:pgSz w:w="11900" w:h="16838" w:orient="portrait"/>
          <w:cols w:equalWidth="0" w:num="1">
            <w:col w:w="10219"/>
          </w:cols>
          <w:pgMar w:left="240" w:top="328" w:right="1440" w:bottom="0" w:gutter="0" w:footer="0" w:header="0"/>
        </w:sectPr>
      </w:pPr>
    </w:p>
    <w:bookmarkStart w:id="3" w:name="page4"/>
    <w:bookmarkEnd w:id="3"/>
    <w:p>
      <w:pPr>
        <w:ind w:left="1"/>
        <w:spacing w:after="0"/>
        <w:rPr>
          <w:sz w:val="20"/>
          <w:szCs w:val="20"/>
          <w:color w:val="auto"/>
        </w:rPr>
      </w:pPr>
      <w:r>
        <w:rPr>
          <w:rFonts w:ascii="Courier New" w:cs="Courier New" w:eastAsia="Courier New" w:hAnsi="Courier New"/>
          <w:sz w:val="16"/>
          <w:szCs w:val="16"/>
          <w:color w:val="auto"/>
        </w:rPr>
        <w:t>SAFE HARBOR</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Fab 2,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meet certain of the 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to expand the five-year investment period under our Fab 2 approved enterprise program, (viii) attracting additional customers, (ix) not receiving orders from our wafer partners, customers and technology providers,</w:t>
      </w:r>
    </w:p>
    <w:p>
      <w:pPr>
        <w:spacing w:after="0" w:line="10" w:lineRule="exact"/>
        <w:rPr>
          <w:sz w:val="20"/>
          <w:szCs w:val="20"/>
          <w:color w:val="auto"/>
        </w:rPr>
      </w:pPr>
    </w:p>
    <w:p>
      <w:pPr>
        <w:ind w:left="1" w:right="2559" w:hanging="1"/>
        <w:spacing w:after="0" w:line="247" w:lineRule="auto"/>
        <w:tabs>
          <w:tab w:leader="none" w:pos="3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failing to maintain and develop our technology processes and services, (xi) competing effectively, (xii) our large amount of debt, (xiii) achieving acceptable device yields, product performance and delivery times, (xiv) the timely development, internal qualification and customer acceptance of new processes and products, and (xv) business interruption due to terror attacks, earthquakes, and other acts of God.</w:t>
      </w:r>
    </w:p>
    <w:p>
      <w:pPr>
        <w:sectPr>
          <w:pgSz w:w="11900" w:h="16838" w:orient="portrait"/>
          <w:cols w:equalWidth="0" w:num="1">
            <w:col w:w="10220"/>
          </w:cols>
          <w:pgMar w:left="239" w:top="142" w:right="1440" w:bottom="1440" w:gutter="0" w:footer="0" w:header="0"/>
        </w:sectPr>
      </w:pPr>
    </w:p>
    <w:bookmarkStart w:id="4" w:name="page5"/>
    <w:bookmarkEnd w:id="4"/>
    <w:p>
      <w:pPr>
        <w:ind w:right="2659"/>
        <w:spacing w:after="0" w:line="247"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the information contained in this release.</w:t>
      </w:r>
    </w:p>
    <w:p>
      <w:pPr>
        <w:spacing w:after="0" w:line="3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Tower Semiconductor</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Ilanit Vudinsky, +972 4 650 6434</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ilanitvu@towersemi.com</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Pacifico Inc.</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 Agency Contact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Mary Curtis, +1 408 293 8600</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mcurtis@pacifico.com</w:t>
      </w:r>
    </w:p>
    <w:p>
      <w:pPr>
        <w:sectPr>
          <w:pgSz w:w="11900" w:h="16838" w:orient="portrait"/>
          <w:cols w:equalWidth="0" w:num="1">
            <w:col w:w="10219"/>
          </w:cols>
          <w:pgMar w:left="240" w:top="862" w:right="1440" w:bottom="1440" w:gutter="0" w:footer="0" w:header="0"/>
        </w:sectPr>
      </w:pPr>
    </w:p>
    <w:bookmarkStart w:id="5" w:name="page6"/>
    <w:bookmarkEnd w:id="5"/>
    <w:p>
      <w:pPr>
        <w:jc w:val="center"/>
        <w:ind w:right="237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ind w:left="2800"/>
              <w:spacing w:after="0"/>
              <w:rPr>
                <w:sz w:val="20"/>
                <w:szCs w:val="20"/>
                <w:color w:val="auto"/>
              </w:rPr>
            </w:pPr>
            <w:r>
              <w:rPr>
                <w:rFonts w:ascii="Courier New" w:cs="Courier New" w:eastAsia="Courier New" w:hAnsi="Courier New"/>
                <w:sz w:val="16"/>
                <w:szCs w:val="16"/>
                <w:color w:val="auto"/>
              </w:rPr>
              <w:t>(DOLLARS 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45"/>
        </w:trPr>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634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2005</w:t>
            </w:r>
          </w:p>
        </w:tc>
        <w:tc>
          <w:tcPr>
            <w:tcW w:w="30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7,337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27,664</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31,661</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53,793</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TRADE ACCOUNTS RECEIVABLE</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16,776</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19,286</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OTHER RECEIVABLES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9,043</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11,365</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INVENTORIES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24,376</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25,669</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1,048</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1,818</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360"/>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90,241</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139,595</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LONG-TERM INVESTMENTS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6340" w:type="dxa"/>
            <w:vAlign w:val="bottom"/>
          </w:tcPr>
          <w:p>
            <w:pPr>
              <w:ind w:left="880"/>
              <w:spacing w:after="0"/>
              <w:rPr>
                <w:sz w:val="20"/>
                <w:szCs w:val="20"/>
                <w:color w:val="auto"/>
              </w:rPr>
            </w:pPr>
            <w:r>
              <w:rPr>
                <w:rFonts w:ascii="Courier New" w:cs="Courier New" w:eastAsia="Courier New" w:hAnsi="Courier New"/>
                <w:sz w:val="16"/>
                <w:szCs w:val="16"/>
                <w:color w:val="auto"/>
              </w:rPr>
              <w:t>LONG-TERM INTEREST-BEARING DEPOSITS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6340" w:type="dxa"/>
            <w:vAlign w:val="bottom"/>
          </w:tcPr>
          <w:p>
            <w:pPr>
              <w:ind w:left="1060"/>
              <w:spacing w:after="0"/>
              <w:rPr>
                <w:sz w:val="20"/>
                <w:szCs w:val="20"/>
                <w:color w:val="auto"/>
              </w:rPr>
            </w:pPr>
            <w:r>
              <w:rPr>
                <w:rFonts w:ascii="Courier New" w:cs="Courier New" w:eastAsia="Courier New" w:hAnsi="Courier New"/>
                <w:sz w:val="16"/>
                <w:szCs w:val="16"/>
                <w:color w:val="auto"/>
              </w:rPr>
              <w:t>DESIGNATED FOR FAB 2 OPERATIONS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5,134</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PROPERTY AND EQUIPMENT, NET</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510,645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609,296</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OTHER ASSETS, NET</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77,800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93,483</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136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$ 678,686</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$ 847,508</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63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CURRENT MATURITIES OF LONG-TERM DEBT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21,103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CURRENT MATURITIES OF CONVERTIBLE DEBENTURES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6,453</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TRADE ACCOUNTS PAYABLE</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59,741</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65,326</w:t>
            </w: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OTHER CURRENT LIABILITIES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8,972</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10,678</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360"/>
              <w:spacing w:after="0"/>
              <w:rPr>
                <w:sz w:val="20"/>
                <w:szCs w:val="20"/>
                <w:color w:val="auto"/>
              </w:rPr>
            </w:pPr>
            <w:r>
              <w:rPr>
                <w:rFonts w:ascii="Courier New" w:cs="Courier New" w:eastAsia="Courier New" w:hAnsi="Courier New"/>
                <w:sz w:val="16"/>
                <w:szCs w:val="16"/>
                <w:color w:val="auto"/>
              </w:rPr>
              <w:t>TOTAL CURRENT LIABILITIES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96,269</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76,004</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497,000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497,000</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CONVERTIBLE DEBENTURES</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19,358</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26,651</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LONG-TERM LIABILITY IN RESPECT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6340" w:type="dxa"/>
            <w:vAlign w:val="bottom"/>
          </w:tcPr>
          <w:p>
            <w:pPr>
              <w:ind w:left="880"/>
              <w:spacing w:after="0"/>
              <w:rPr>
                <w:sz w:val="20"/>
                <w:szCs w:val="20"/>
                <w:color w:val="auto"/>
              </w:rPr>
            </w:pPr>
            <w:r>
              <w:rPr>
                <w:rFonts w:ascii="Courier New" w:cs="Courier New" w:eastAsia="Courier New" w:hAnsi="Courier New"/>
                <w:sz w:val="16"/>
                <w:szCs w:val="16"/>
                <w:color w:val="auto"/>
              </w:rPr>
              <w:t>OF CUSTOMERS' ADVANCES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59,621</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64,428</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OTHER LONG-TERM LIABILITIES</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11,012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15,445</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360"/>
              <w:spacing w:after="0"/>
              <w:rPr>
                <w:sz w:val="20"/>
                <w:szCs w:val="20"/>
                <w:color w:val="auto"/>
              </w:rPr>
            </w:pPr>
            <w:r>
              <w:rPr>
                <w:rFonts w:ascii="Courier New" w:cs="Courier New" w:eastAsia="Courier New" w:hAnsi="Courier New"/>
                <w:sz w:val="16"/>
                <w:szCs w:val="16"/>
                <w:color w:val="auto"/>
              </w:rPr>
              <w:t>TOTAL LIABILITIES</w:t>
            </w:r>
          </w:p>
        </w:tc>
        <w:tc>
          <w:tcPr>
            <w:tcW w:w="3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683,260</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679,528</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CONVERTIBLE DEBENTURES</w:t>
            </w:r>
          </w:p>
        </w:tc>
        <w:tc>
          <w:tcPr>
            <w:tcW w:w="3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25,493</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SHAREHOLDERS' EQUITY (DEFICIT)</w:t>
            </w:r>
          </w:p>
        </w:tc>
        <w:tc>
          <w:tcPr>
            <w:tcW w:w="30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(30,067)</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167,980</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13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$ 678,686</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$ 847,508</w:t>
            </w:r>
          </w:p>
        </w:tc>
      </w:tr>
      <w:tr>
        <w:trPr>
          <w:trHeight w:val="186"/>
        </w:trPr>
        <w:tc>
          <w:tcPr>
            <w:tcW w:w="634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76" w:right="1440" w:bottom="1440" w:gutter="0" w:footer="0" w:header="0"/>
        </w:sectPr>
      </w:pPr>
    </w:p>
    <w:bookmarkStart w:id="6" w:name="page7"/>
    <w:bookmarkEnd w:id="6"/>
    <w:p>
      <w:pPr>
        <w:jc w:val="center"/>
        <w:ind w:right="237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320" w:type="dxa"/>
            <w:vAlign w:val="bottom"/>
            <w:gridSpan w:val="4"/>
          </w:tcPr>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45"/>
        </w:trPr>
        <w:tc>
          <w:tcPr>
            <w:tcW w:w="4800" w:type="dxa"/>
            <w:vAlign w:val="bottom"/>
          </w:tcPr>
          <w:p>
            <w:pPr>
              <w:spacing w:after="0"/>
              <w:rPr>
                <w:sz w:val="24"/>
                <w:szCs w:val="24"/>
                <w:color w:val="auto"/>
              </w:rPr>
            </w:pPr>
          </w:p>
        </w:tc>
        <w:tc>
          <w:tcPr>
            <w:tcW w:w="2520" w:type="dxa"/>
            <w:vAlign w:val="bottom"/>
            <w:gridSpan w:val="3"/>
          </w:tcPr>
          <w:p>
            <w:pPr>
              <w:jc w:val="right"/>
              <w:ind w:right="739"/>
              <w:spacing w:after="0"/>
              <w:rPr>
                <w:sz w:val="20"/>
                <w:szCs w:val="20"/>
                <w:color w:val="auto"/>
              </w:rPr>
            </w:pPr>
            <w:r>
              <w:rPr>
                <w:rFonts w:ascii="Courier New" w:cs="Courier New" w:eastAsia="Courier New" w:hAnsi="Courier New"/>
                <w:sz w:val="16"/>
                <w:szCs w:val="16"/>
                <w:color w:val="auto"/>
              </w:rPr>
              <w:t>YEAR ENDED</w:t>
            </w:r>
          </w:p>
        </w:tc>
        <w:tc>
          <w:tcPr>
            <w:tcW w:w="2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4800" w:type="dxa"/>
            <w:vAlign w:val="bottom"/>
          </w:tcPr>
          <w:p>
            <w:pPr>
              <w:spacing w:after="0"/>
              <w:rPr>
                <w:sz w:val="16"/>
                <w:szCs w:val="16"/>
                <w:color w:val="auto"/>
              </w:rPr>
            </w:pPr>
          </w:p>
        </w:tc>
        <w:tc>
          <w:tcPr>
            <w:tcW w:w="2520" w:type="dxa"/>
            <w:vAlign w:val="bottom"/>
            <w:gridSpan w:val="3"/>
          </w:tcPr>
          <w:p>
            <w:pPr>
              <w:jc w:val="right"/>
              <w:ind w:right="559"/>
              <w:spacing w:after="0"/>
              <w:rPr>
                <w:sz w:val="20"/>
                <w:szCs w:val="20"/>
                <w:color w:val="auto"/>
              </w:rPr>
            </w:pPr>
            <w:r>
              <w:rPr>
                <w:rFonts w:ascii="Courier New" w:cs="Courier New" w:eastAsia="Courier New" w:hAnsi="Courier New"/>
                <w:sz w:val="16"/>
                <w:szCs w:val="16"/>
                <w:color w:val="auto"/>
              </w:rPr>
              <w:t>DECEMBER 31,</w:t>
            </w:r>
          </w:p>
        </w:tc>
        <w:tc>
          <w:tcPr>
            <w:tcW w:w="23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2004</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2005</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101,991</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126,055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31,063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30,065</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238,358</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228,410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58,760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66,168</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ind w:left="960"/>
              <w:spacing w:after="0"/>
              <w:rPr>
                <w:sz w:val="20"/>
                <w:szCs w:val="20"/>
                <w:color w:val="auto"/>
              </w:rPr>
            </w:pPr>
            <w:r>
              <w:rPr>
                <w:rFonts w:ascii="Courier New" w:cs="Courier New" w:eastAsia="Courier New" w:hAnsi="Courier New"/>
                <w:sz w:val="16"/>
                <w:szCs w:val="16"/>
                <w:color w:val="auto"/>
              </w:rPr>
              <w:t>GROSS LOSS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(136,367)</w:t>
            </w:r>
          </w:p>
        </w:tc>
        <w:tc>
          <w:tcPr>
            <w:tcW w:w="24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(102,355)</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(27,697)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(36,103)</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3"/>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16,029</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17,053</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3,180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5,845</w:t>
            </w:r>
          </w:p>
        </w:tc>
      </w:tr>
      <w:tr>
        <w:trPr>
          <w:trHeight w:val="186"/>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MARKETING, GENERAL AND ADMINISTRATIVE</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17,418</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21,297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3,937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5,121</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4"/>
                <w:szCs w:val="24"/>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33,447</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38,350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7,117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10,966</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ind w:left="960"/>
              <w:spacing w:after="0"/>
              <w:rPr>
                <w:sz w:val="20"/>
                <w:szCs w:val="20"/>
                <w:color w:val="auto"/>
              </w:rPr>
            </w:pPr>
            <w:r>
              <w:rPr>
                <w:rFonts w:ascii="Courier New" w:cs="Courier New" w:eastAsia="Courier New" w:hAnsi="Courier New"/>
                <w:sz w:val="16"/>
                <w:szCs w:val="16"/>
                <w:color w:val="auto"/>
              </w:rPr>
              <w:t>OPERATING LOSS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(169,814)</w:t>
            </w:r>
          </w:p>
        </w:tc>
        <w:tc>
          <w:tcPr>
            <w:tcW w:w="24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(140,705)</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(34,814)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(47,069)</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(35,651)</w:t>
            </w:r>
          </w:p>
        </w:tc>
        <w:tc>
          <w:tcPr>
            <w:tcW w:w="24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(29,745)</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(10,223)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(8,838)</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2,383</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32,682</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32,574</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ind w:left="1540"/>
              <w:spacing w:after="0"/>
              <w:rPr>
                <w:sz w:val="20"/>
                <w:szCs w:val="20"/>
                <w:color w:val="auto"/>
              </w:rPr>
            </w:pPr>
            <w:r>
              <w:rPr>
                <w:rFonts w:ascii="Courier New" w:cs="Courier New" w:eastAsia="Courier New" w:hAnsi="Courier New"/>
                <w:sz w:val="16"/>
                <w:szCs w:val="16"/>
                <w:color w:val="auto"/>
              </w:rPr>
              <w:t>LOSS FOR THE YEAR</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$(203,082)</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$(137,768)</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(45,172)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(23,333)</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32"/>
        </w:trPr>
        <w:tc>
          <w:tcPr>
            <w:tcW w:w="4800" w:type="dxa"/>
            <w:vAlign w:val="bottom"/>
          </w:tcPr>
          <w:p>
            <w:pPr>
              <w:spacing w:after="0"/>
              <w:rPr>
                <w:sz w:val="20"/>
                <w:szCs w:val="20"/>
                <w:color w:val="auto"/>
              </w:rPr>
            </w:pPr>
            <w:r>
              <w:rPr>
                <w:rFonts w:ascii="Courier New" w:cs="Courier New" w:eastAsia="Courier New" w:hAnsi="Courier New"/>
                <w:sz w:val="16"/>
                <w:szCs w:val="16"/>
                <w:color w:val="auto"/>
              </w:rPr>
              <w:t>BASIC LOSS PER ORDINARY SHARE</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3"/>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Loss per share (*) (**)</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(1.79)</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(0.55)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(0.30)</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LOSS USED TO COMPUTE</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4800" w:type="dxa"/>
            <w:vAlign w:val="bottom"/>
          </w:tcPr>
          <w:p>
            <w:pPr>
              <w:ind w:left="1060"/>
              <w:spacing w:after="0"/>
              <w:rPr>
                <w:sz w:val="20"/>
                <w:szCs w:val="20"/>
                <w:color w:val="auto"/>
              </w:rPr>
            </w:pPr>
            <w:r>
              <w:rPr>
                <w:rFonts w:ascii="Courier New" w:cs="Courier New" w:eastAsia="Courier New" w:hAnsi="Courier New"/>
                <w:sz w:val="16"/>
                <w:szCs w:val="16"/>
                <w:color w:val="auto"/>
              </w:rPr>
              <w:t>BASIC LOSS PER SHARE</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$(203,082)</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$(137,768)</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(45,172)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(23,333)</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4800" w:type="dxa"/>
            <w:vAlign w:val="bottom"/>
          </w:tcPr>
          <w:p>
            <w:pPr>
              <w:ind w:left="580"/>
              <w:spacing w:after="0"/>
              <w:rPr>
                <w:sz w:val="20"/>
                <w:szCs w:val="20"/>
                <w:color w:val="auto"/>
              </w:rPr>
            </w:pPr>
            <w:r>
              <w:rPr>
                <w:rFonts w:ascii="Courier New" w:cs="Courier New" w:eastAsia="Courier New" w:hAnsi="Courier New"/>
                <w:sz w:val="16"/>
                <w:szCs w:val="16"/>
                <w:color w:val="auto"/>
              </w:rPr>
              <w:t>WEIGHTED AVERAGE NUMBER OF ORDINARY</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4800" w:type="dxa"/>
            <w:vAlign w:val="bottom"/>
          </w:tcPr>
          <w:p>
            <w:pPr>
              <w:ind w:left="960"/>
              <w:spacing w:after="0"/>
              <w:rPr>
                <w:sz w:val="20"/>
                <w:szCs w:val="20"/>
                <w:color w:val="auto"/>
              </w:rPr>
            </w:pPr>
            <w:r>
              <w:rPr>
                <w:rFonts w:ascii="Courier New" w:cs="Courier New" w:eastAsia="Courier New" w:hAnsi="Courier New"/>
                <w:sz w:val="16"/>
                <w:szCs w:val="16"/>
                <w:color w:val="auto"/>
              </w:rPr>
              <w:t>SHARES OUTSTANDING - IN THOUSANDS (**)</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79,675</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77,071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82,196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78,223</w:t>
            </w:r>
          </w:p>
        </w:tc>
      </w:tr>
      <w:tr>
        <w:trPr>
          <w:trHeight w:val="186"/>
        </w:trPr>
        <w:tc>
          <w:tcPr>
            <w:tcW w:w="48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81" w:right="2559" w:hanging="481"/>
        <w:spacing w:after="0" w:line="246" w:lineRule="auto"/>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LOSS PER SHARE IN ACCORDANCE WITH U.S. GAAP FOR THE YEAR AND THREE MONTHS PERIODS ENDED DECEMBER 31, 2005 ARE $3.06 AND $0.68,</w:t>
      </w:r>
    </w:p>
    <w:p>
      <w:pPr>
        <w:spacing w:after="0" w:line="1" w:lineRule="exact"/>
        <w:rPr>
          <w:rFonts w:ascii="Courier New" w:cs="Courier New" w:eastAsia="Courier New" w:hAnsi="Courier New"/>
          <w:sz w:val="16"/>
          <w:szCs w:val="16"/>
          <w:color w:val="auto"/>
        </w:rPr>
      </w:pPr>
    </w:p>
    <w:p>
      <w:pPr>
        <w:ind w:left="48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RESPECTIVELY, FOR THE YEAR AND THREE MONTHS PERIODS ENDED DECEMBER 31, 2004 ARE $2.13 AND $0.36, RESPECTIVELY.</w:t>
      </w:r>
    </w:p>
    <w:p>
      <w:pPr>
        <w:spacing w:after="0" w:line="184" w:lineRule="exact"/>
        <w:rPr>
          <w:sz w:val="20"/>
          <w:szCs w:val="20"/>
          <w:color w:val="auto"/>
        </w:rPr>
      </w:pPr>
    </w:p>
    <w:p>
      <w:pPr>
        <w:jc w:val="both"/>
        <w:ind w:left="481" w:right="2859" w:hanging="481"/>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NUMBER OF ORDINARY SHARES USED TO COMPUTE THE LOSS PER SHARE FOR THE PERIODS PRESENTED WERE ADJUSTED TO INCLUDE THE BENEFICIAL FEATURE OF THE CONVERTIBLE DEBENTURES IN ACCORDANCE WITH ISRAELI GAAP.</w:t>
      </w:r>
    </w:p>
    <w:p>
      <w:pPr>
        <w:sectPr>
          <w:pgSz w:w="11900" w:h="16838" w:orient="portrait"/>
          <w:cols w:equalWidth="0" w:num="1">
            <w:col w:w="10220"/>
          </w:cols>
          <w:pgMar w:left="239" w:top="862" w:right="1440" w:bottom="1440" w:gutter="0" w:footer="0" w:header="0"/>
        </w:sectPr>
      </w:pPr>
    </w:p>
    <w:bookmarkStart w:id="7" w:name="page8"/>
    <w:bookmarkEnd w:id="7"/>
    <w:p>
      <w:pPr>
        <w:jc w:val="right"/>
        <w:ind w:right="2459"/>
        <w:spacing w:after="0"/>
        <w:rPr>
          <w:sz w:val="20"/>
          <w:szCs w:val="20"/>
          <w:color w:val="auto"/>
        </w:rPr>
      </w:pPr>
      <w:r>
        <w:rPr>
          <w:rFonts w:ascii="Courier New" w:cs="Courier New" w:eastAsia="Courier New" w:hAnsi="Courier New"/>
          <w:sz w:val="16"/>
          <w:szCs w:val="16"/>
          <w:color w:val="auto"/>
        </w:rPr>
        <w:t>Exhibit 99.2</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TOWER SEMICONDUCTOR LTD.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AND SUBSIDIARY</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AS OF DECEMBER 31, 2005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6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REPORT OF INDEPENDENT REGISTERED PUBLIC ACCOUNTING FIRM</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STATEMENTS OF OPERATIONS</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STATEMENTS OF CHANGES IN SHAREHOLDERS' EQUITY</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STATEMENTS OF CASH FLOWS</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w:t>
            </w:r>
          </w:p>
        </w:tc>
      </w:tr>
      <w:tr>
        <w:trPr>
          <w:trHeight w:val="373"/>
        </w:trPr>
        <w:tc>
          <w:tcPr>
            <w:tcW w:w="630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6-58</w:t>
            </w:r>
          </w:p>
        </w:tc>
      </w:tr>
    </w:tbl>
    <w:p>
      <w:pPr>
        <w:sectPr>
          <w:pgSz w:w="11900" w:h="16838" w:orient="portrait"/>
          <w:cols w:equalWidth="0" w:num="1">
            <w:col w:w="10219"/>
          </w:cols>
          <w:pgMar w:left="240" w:top="328"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[DELOITTE LOGO]</w:t>
            </w:r>
          </w:p>
        </w:tc>
        <w:tc>
          <w:tcPr>
            <w:tcW w:w="4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Brightman Almagor</w:t>
            </w:r>
          </w:p>
        </w:tc>
      </w:tr>
      <w:tr>
        <w:trPr>
          <w:trHeight w:val="186"/>
        </w:trPr>
        <w:tc>
          <w:tcPr>
            <w:tcW w:w="3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Azrieli Center</w:t>
            </w:r>
          </w:p>
        </w:tc>
      </w:tr>
      <w:tr>
        <w:trPr>
          <w:trHeight w:val="186"/>
        </w:trPr>
        <w:tc>
          <w:tcPr>
            <w:tcW w:w="3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Tel</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Aviv</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67021</w:t>
            </w:r>
          </w:p>
        </w:tc>
      </w:tr>
      <w:tr>
        <w:trPr>
          <w:trHeight w:val="186"/>
        </w:trPr>
        <w:tc>
          <w:tcPr>
            <w:tcW w:w="3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P.O.B. 16593,</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Tel</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Aviv</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61164</w:t>
            </w:r>
          </w:p>
        </w:tc>
      </w:tr>
      <w:tr>
        <w:trPr>
          <w:trHeight w:val="186"/>
        </w:trPr>
        <w:tc>
          <w:tcPr>
            <w:tcW w:w="3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Israel</w:t>
            </w:r>
          </w:p>
        </w:tc>
      </w:tr>
    </w:tbl>
    <w:p>
      <w:pPr>
        <w:spacing w:after="0" w:line="190"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Tel: +972 (3) 608 5555</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Fax: +972 (3) 609 4022</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info@deloitte.co.il</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www.deloitte.com</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THE SHAREHOLDERS OF</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TOWER SEMICONDUCTOR LTD.</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We have audited the accompanying consolidated balance sheets of Tower Semiconductor Ltd. and subsidiary ("the Company") as of December 31, 2005 and 2004, and the related consolidated statements of operations, changes in shareholders' equity and cash flows for each of the three years in the period ended December 31, 2005. These financial statements are the responsibility of the Company's Board of Directors and management. Our responsibility is to express an opinion on these financial statements based on our audits.</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consolidated financial position of the Company and subsidiary as of December 31, 2005 and 2004, and the consolidated results of their operations and their cash flows for each of the three years in the period ended December 31, 2005, in accordance with accounting principles generally accepted in Israel.</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Accounting principles generally accepted in Israel vary in certain significant respects from accounting principles generally accepted in the United States of America. The effect of the application of the latter on the financial position, results of operations and cash flows as of the dates and for the years presented is summarized in Note 20.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BRIGHTMAN ALMAGOR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CERTIFIED PUBLIC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MEMBER FIRM OF DELOITTE TOUCHE TOHMATSU</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Aviv, Israel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2006</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219"/>
          </w:cols>
          <w:pgMar w:left="240" w:top="676" w:right="1440" w:bottom="1440" w:gutter="0" w:footer="0" w:header="0"/>
        </w:sectPr>
      </w:pPr>
    </w:p>
    <w:bookmarkStart w:id="9" w:name="page10"/>
    <w:bookmarkEnd w:id="9"/>
    <w:p>
      <w:pPr>
        <w:spacing w:after="0" w:line="6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32"/>
        </w:trPr>
        <w:tc>
          <w:tcPr>
            <w:tcW w:w="6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4"/>
                <w:szCs w:val="24"/>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Note</w:t>
            </w:r>
          </w:p>
        </w:tc>
        <w:tc>
          <w:tcPr>
            <w:tcW w:w="240" w:type="dxa"/>
            <w:vAlign w:val="bottom"/>
          </w:tcPr>
          <w:p>
            <w:pPr>
              <w:spacing w:after="0"/>
              <w:rPr>
                <w:sz w:val="24"/>
                <w:szCs w:val="24"/>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24"/>
                <w:szCs w:val="24"/>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63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CURRENT ASSETS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CASH AND CASH EQUIVALENTS</w:t>
            </w:r>
          </w:p>
        </w:tc>
        <w:tc>
          <w:tcPr>
            <w:tcW w:w="9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27,664</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31,661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53,793</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TRADE ACCOUNTS RECEIVABLE:</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340" w:type="dxa"/>
            <w:vAlign w:val="bottom"/>
          </w:tcPr>
          <w:p>
            <w:pPr>
              <w:ind w:left="960"/>
              <w:spacing w:after="0"/>
              <w:rPr>
                <w:sz w:val="20"/>
                <w:szCs w:val="20"/>
                <w:color w:val="auto"/>
              </w:rPr>
            </w:pPr>
            <w:r>
              <w:rPr>
                <w:rFonts w:ascii="Courier New" w:cs="Courier New" w:eastAsia="Courier New" w:hAnsi="Courier New"/>
                <w:sz w:val="16"/>
                <w:szCs w:val="16"/>
                <w:color w:val="auto"/>
              </w:rPr>
              <w:t>RELATED PARTIES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5,309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9,054</w:t>
            </w:r>
          </w:p>
        </w:tc>
      </w:tr>
      <w:tr>
        <w:trPr>
          <w:trHeight w:val="186"/>
        </w:trPr>
        <w:tc>
          <w:tcPr>
            <w:tcW w:w="6340" w:type="dxa"/>
            <w:vAlign w:val="bottom"/>
          </w:tcPr>
          <w:p>
            <w:pPr>
              <w:ind w:left="960"/>
              <w:spacing w:after="0"/>
              <w:rPr>
                <w:sz w:val="20"/>
                <w:szCs w:val="20"/>
                <w:color w:val="auto"/>
              </w:rPr>
            </w:pPr>
            <w:r>
              <w:rPr>
                <w:rFonts w:ascii="Courier New" w:cs="Courier New" w:eastAsia="Courier New" w:hAnsi="Courier New"/>
                <w:sz w:val="16"/>
                <w:szCs w:val="16"/>
                <w:color w:val="auto"/>
              </w:rPr>
              <w:t>OTHERS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11,467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10,232</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OTHER RECEIVABLES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9,043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11,365</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INVENTORIES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24,376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25,669</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OTHER CURRENT ASSETS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1,818</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160"/>
              <w:spacing w:after="0"/>
              <w:rPr>
                <w:sz w:val="20"/>
                <w:szCs w:val="20"/>
                <w:color w:val="auto"/>
              </w:rPr>
            </w:pPr>
            <w:r>
              <w:rPr>
                <w:rFonts w:ascii="Courier New" w:cs="Courier New" w:eastAsia="Courier New" w:hAnsi="Courier New"/>
                <w:sz w:val="16"/>
                <w:szCs w:val="16"/>
                <w:color w:val="auto"/>
              </w:rPr>
              <w:t>TOTAL CURRENT ASSETS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90,241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139,595</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LONG-TERM INVESTMENTS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LONG-TERM INTEREST-BEARING DEPOSITS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340" w:type="dxa"/>
            <w:vAlign w:val="bottom"/>
          </w:tcPr>
          <w:p>
            <w:pPr>
              <w:ind w:left="960"/>
              <w:spacing w:after="0"/>
              <w:rPr>
                <w:sz w:val="20"/>
                <w:szCs w:val="20"/>
                <w:color w:val="auto"/>
              </w:rPr>
            </w:pPr>
            <w:r>
              <w:rPr>
                <w:rFonts w:ascii="Courier New" w:cs="Courier New" w:eastAsia="Courier New" w:hAnsi="Courier New"/>
                <w:sz w:val="16"/>
                <w:szCs w:val="16"/>
                <w:color w:val="auto"/>
              </w:rPr>
              <w:t>DESIGNATED FOR FAB 2 OPERATIONS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5,134</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PROPERTY AND EQUIPMENT, NET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510,645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609,296</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OTHER ASSETS, NET: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TECHNOLOGY</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61,441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76,950</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OTHER</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16,359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16,533</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77,800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93,483</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1160"/>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spacing w:after="0"/>
              <w:rPr>
                <w:sz w:val="24"/>
                <w:szCs w:val="24"/>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$ 678,686</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$ 847,508</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63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CURRENT MATURITIES OF LONG-TERM DEBT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CURRENT MATURITIES OF CONVERTIBLE DEBENTURES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9</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6,453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TRADE ACCOUNTS PAYABLE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59,741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65,326</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OTHER CURRENT LIABILITIES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8,972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10,678</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160"/>
              <w:spacing w:after="0"/>
              <w:rPr>
                <w:sz w:val="20"/>
                <w:szCs w:val="20"/>
                <w:color w:val="auto"/>
              </w:rPr>
            </w:pPr>
            <w:r>
              <w:rPr>
                <w:rFonts w:ascii="Courier New" w:cs="Courier New" w:eastAsia="Courier New" w:hAnsi="Courier New"/>
                <w:sz w:val="16"/>
                <w:szCs w:val="16"/>
                <w:color w:val="auto"/>
              </w:rPr>
              <w:t>TOTAL CURRENT LIABILITIES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96,269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76,004</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LONG-TERM DEBT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8</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497,000</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497,000</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CONVERTIBLE DEBENTURES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9</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19,358</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26,651</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LONG-TERM LIABILITY IN RESPECT</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780"/>
              <w:spacing w:after="0"/>
              <w:rPr>
                <w:sz w:val="20"/>
                <w:szCs w:val="20"/>
                <w:color w:val="auto"/>
              </w:rPr>
            </w:pPr>
            <w:r>
              <w:rPr>
                <w:rFonts w:ascii="Courier New" w:cs="Courier New" w:eastAsia="Courier New" w:hAnsi="Courier New"/>
                <w:sz w:val="16"/>
                <w:szCs w:val="16"/>
                <w:color w:val="auto"/>
              </w:rPr>
              <w:t>OF CUSTOMERS' ADVANCES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11A</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59,621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64,428</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OTHER LONG-TERM LIABILITIES</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11,012</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15,445</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COMMITMENTS AND CONTINGENCIES</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ind w:left="1160"/>
              <w:spacing w:after="0"/>
              <w:rPr>
                <w:sz w:val="20"/>
                <w:szCs w:val="20"/>
                <w:color w:val="auto"/>
              </w:rPr>
            </w:pPr>
            <w:r>
              <w:rPr>
                <w:rFonts w:ascii="Courier New" w:cs="Courier New" w:eastAsia="Courier New" w:hAnsi="Courier New"/>
                <w:sz w:val="16"/>
                <w:szCs w:val="16"/>
                <w:color w:val="auto"/>
              </w:rPr>
              <w:t>TOTAL LIABILITIES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683,260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679,528</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CONVERTIBLE DEBENTURES</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25,493</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SHAREHOLDERS' EQUITY (DEFICIT)</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340" w:type="dxa"/>
            <w:vAlign w:val="bottom"/>
          </w:tcPr>
          <w:p>
            <w:pPr>
              <w:ind w:left="960"/>
              <w:spacing w:after="0"/>
              <w:rPr>
                <w:sz w:val="20"/>
                <w:szCs w:val="20"/>
                <w:color w:val="auto"/>
              </w:rPr>
            </w:pPr>
            <w:r>
              <w:rPr>
                <w:rFonts w:ascii="Courier New" w:cs="Courier New" w:eastAsia="Courier New" w:hAnsi="Courier New"/>
                <w:sz w:val="16"/>
                <w:szCs w:val="16"/>
                <w:color w:val="auto"/>
              </w:rPr>
              <w:t>500,000,000 AND 250,000,000 SHARES, RESPECTIVELY;</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340" w:type="dxa"/>
            <w:vAlign w:val="bottom"/>
          </w:tcPr>
          <w:p>
            <w:pPr>
              <w:ind w:left="1060"/>
              <w:spacing w:after="0"/>
              <w:rPr>
                <w:sz w:val="20"/>
                <w:szCs w:val="20"/>
                <w:color w:val="auto"/>
              </w:rPr>
            </w:pPr>
            <w:r>
              <w:rPr>
                <w:rFonts w:ascii="Courier New" w:cs="Courier New" w:eastAsia="Courier New" w:hAnsi="Courier New"/>
                <w:sz w:val="16"/>
                <w:szCs w:val="16"/>
                <w:color w:val="auto"/>
              </w:rPr>
              <w:t>ISSUED 68,232,056 AND 66,999,796 SHARES, RESPECTIVELY</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11A, 13</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16,548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16,274</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ADDITIONAL PAID-IN CAPITAL</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11A</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522,237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517,476</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SHAREHOLDER RECEIVABLES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ACCUMULATED DEFICIT</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(559,754)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(356,672)</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(20,995)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177,052</w:t>
            </w:r>
          </w:p>
        </w:tc>
      </w:tr>
      <w:tr>
        <w:trPr>
          <w:trHeight w:val="186"/>
        </w:trPr>
        <w:tc>
          <w:tcPr>
            <w:tcW w:w="6340" w:type="dxa"/>
            <w:vAlign w:val="bottom"/>
          </w:tcPr>
          <w:p>
            <w:pPr>
              <w:ind w:left="680"/>
              <w:spacing w:after="0"/>
              <w:rPr>
                <w:sz w:val="20"/>
                <w:szCs w:val="20"/>
                <w:color w:val="auto"/>
              </w:rPr>
            </w:pPr>
            <w:r>
              <w:rPr>
                <w:rFonts w:ascii="Courier New" w:cs="Courier New" w:eastAsia="Courier New" w:hAnsi="Courier New"/>
                <w:sz w:val="16"/>
                <w:szCs w:val="16"/>
                <w:color w:val="auto"/>
              </w:rPr>
              <w:t>TREASURY STOCK, AT COST - 1,300,000 SHARES</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13C</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(9,072)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6"/>
        </w:trPr>
        <w:tc>
          <w:tcPr>
            <w:tcW w:w="6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98" w:orient="portrait"/>
          <w:cols w:equalWidth="0" w:num="1">
            <w:col w:w="10219"/>
          </w:cols>
          <w:pgMar w:left="240" w:top="676" w:right="1440" w:bottom="0" w:gutter="0" w:footer="0" w:header="0"/>
        </w:sectPr>
      </w:pPr>
    </w:p>
    <w:bookmarkStart w:id="10" w:name="page11"/>
    <w:bookmarkEnd w:id="10"/>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83"/>
        </w:trPr>
        <w:tc>
          <w:tcPr>
            <w:tcW w:w="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640" w:type="dxa"/>
            <w:vAlign w:val="bottom"/>
          </w:tcPr>
          <w:p>
            <w:pPr>
              <w:ind w:left="40"/>
              <w:spacing w:after="0"/>
              <w:rPr>
                <w:sz w:val="20"/>
                <w:szCs w:val="20"/>
                <w:color w:val="auto"/>
              </w:rPr>
            </w:pPr>
            <w:r>
              <w:rPr>
                <w:rFonts w:ascii="Courier New" w:cs="Courier New" w:eastAsia="Courier New" w:hAnsi="Courier New"/>
                <w:sz w:val="16"/>
                <w:szCs w:val="16"/>
                <w:color w:val="auto"/>
              </w:rPr>
              <w:t>SHAREHOLDERS' EQUITY (DEFICIT)</w:t>
            </w:r>
          </w:p>
        </w:tc>
        <w:tc>
          <w:tcPr>
            <w:tcW w:w="2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(30,067)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167,980</w:t>
            </w:r>
          </w:p>
        </w:tc>
      </w:tr>
      <w:tr>
        <w:trPr>
          <w:trHeight w:val="186"/>
        </w:trPr>
        <w:tc>
          <w:tcPr>
            <w:tcW w:w="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640" w:type="dxa"/>
            <w:vAlign w:val="bottom"/>
          </w:tcPr>
          <w:p>
            <w:pPr>
              <w:ind w:left="40"/>
              <w:spacing w:after="0"/>
              <w:rPr>
                <w:sz w:val="20"/>
                <w:szCs w:val="20"/>
                <w:color w:val="auto"/>
              </w:rPr>
            </w:pPr>
            <w:r>
              <w:rPr>
                <w:rFonts w:ascii="Courier New" w:cs="Courier New" w:eastAsia="Courier New" w:hAnsi="Courier New"/>
                <w:sz w:val="16"/>
                <w:szCs w:val="16"/>
                <w:color w:val="auto"/>
              </w:rPr>
              <w:t>LIABILITIES AND SHAREHOLDERS' EQUITY</w:t>
            </w:r>
          </w:p>
        </w:tc>
        <w:tc>
          <w:tcPr>
            <w:tcW w:w="2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$ 678,686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$ 847,508</w:t>
            </w:r>
          </w:p>
        </w:tc>
      </w:tr>
      <w:tr>
        <w:trPr>
          <w:trHeight w:val="186"/>
        </w:trPr>
        <w:tc>
          <w:tcPr>
            <w:tcW w:w="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142" w:right="1440" w:bottom="1440" w:gutter="0" w:footer="0" w:header="0"/>
        </w:sectPr>
      </w:pPr>
    </w:p>
    <w:bookmarkStart w:id="11" w:name="page12"/>
    <w:bookmarkEnd w:id="11"/>
    <w:p>
      <w:pPr>
        <w:jc w:val="center"/>
        <w:ind w:right="237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gridSpan w:val="4"/>
          </w:tcPr>
          <w:p>
            <w:pPr>
              <w:jc w:val="right"/>
              <w:ind w:right="639"/>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45"/>
        </w:trPr>
        <w:tc>
          <w:tcPr>
            <w:tcW w:w="5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4"/>
          </w:tcPr>
          <w:p>
            <w:pPr>
              <w:jc w:val="right"/>
              <w:ind w:right="6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4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NOTE</w:t>
            </w:r>
          </w:p>
        </w:tc>
        <w:tc>
          <w:tcPr>
            <w:tcW w:w="26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2005</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2004</w:t>
            </w:r>
          </w:p>
        </w:tc>
        <w:tc>
          <w:tcPr>
            <w:tcW w:w="26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5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14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SALES</w:t>
            </w:r>
          </w:p>
        </w:tc>
        <w:tc>
          <w:tcPr>
            <w:tcW w:w="8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93,991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$ 124,111</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61,368</w:t>
            </w: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REVENUES RELATED TO A JOINT DEVELOPMENT AGREEMENT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11B(3)</w:t>
            </w:r>
          </w:p>
        </w:tc>
        <w:tc>
          <w:tcPr>
            <w:tcW w:w="2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8,000</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1,944</w:t>
            </w: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101,991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126,055</w:t>
            </w: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61,368</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11A(1)</w:t>
            </w:r>
          </w:p>
        </w:tc>
        <w:tc>
          <w:tcPr>
            <w:tcW w:w="26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238,358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228,410</w:t>
            </w: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122,395</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ind w:left="780"/>
              <w:spacing w:after="0"/>
              <w:rPr>
                <w:sz w:val="20"/>
                <w:szCs w:val="20"/>
                <w:color w:val="auto"/>
              </w:rPr>
            </w:pPr>
            <w:r>
              <w:rPr>
                <w:rFonts w:ascii="Courier New" w:cs="Courier New" w:eastAsia="Courier New" w:hAnsi="Courier New"/>
                <w:sz w:val="16"/>
                <w:szCs w:val="16"/>
                <w:color w:val="auto"/>
              </w:rPr>
              <w:t>GROSS LOSS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(136,367)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(102,355)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(61,027)</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16,029</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17,053</w:t>
            </w: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20,709</w:t>
            </w: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MARKETING, GENERAL AND ADMINISTRATIVE</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17,418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21,297</w:t>
            </w: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22,615</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33,447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38,350</w:t>
            </w: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43,324</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ind w:left="780"/>
              <w:spacing w:after="0"/>
              <w:rPr>
                <w:sz w:val="20"/>
                <w:szCs w:val="20"/>
                <w:color w:val="auto"/>
              </w:rPr>
            </w:pPr>
            <w:r>
              <w:rPr>
                <w:rFonts w:ascii="Courier New" w:cs="Courier New" w:eastAsia="Courier New" w:hAnsi="Courier New"/>
                <w:sz w:val="16"/>
                <w:szCs w:val="16"/>
                <w:color w:val="auto"/>
              </w:rPr>
              <w:t>OPERATING LOSS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(169,814)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(140,705)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(104,351)</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15</w:t>
            </w:r>
          </w:p>
        </w:tc>
        <w:tc>
          <w:tcPr>
            <w:tcW w:w="2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(35,651)</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(29,745)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(9,826)</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c>
          <w:tcPr>
            <w:tcW w:w="26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2,383</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32,682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ind w:left="1360"/>
              <w:spacing w:after="0"/>
              <w:rPr>
                <w:sz w:val="20"/>
                <w:szCs w:val="20"/>
                <w:color w:val="auto"/>
              </w:rPr>
            </w:pPr>
            <w:r>
              <w:rPr>
                <w:rFonts w:ascii="Courier New" w:cs="Courier New" w:eastAsia="Courier New" w:hAnsi="Courier New"/>
                <w:sz w:val="16"/>
                <w:szCs w:val="16"/>
                <w:color w:val="auto"/>
              </w:rPr>
              <w:t>LOSS FOR THE YEAR</w:t>
            </w:r>
          </w:p>
        </w:tc>
        <w:tc>
          <w:tcPr>
            <w:tcW w:w="860" w:type="dxa"/>
            <w:vAlign w:val="bottom"/>
          </w:tcPr>
          <w:p>
            <w:pPr>
              <w:spacing w:after="0"/>
              <w:rPr>
                <w:sz w:val="24"/>
                <w:szCs w:val="24"/>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$(203,082)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$(137,768)</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$(114,261)</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5380" w:type="dxa"/>
            <w:vAlign w:val="bottom"/>
          </w:tcPr>
          <w:p>
            <w:pPr>
              <w:spacing w:after="0"/>
              <w:rPr>
                <w:sz w:val="20"/>
                <w:szCs w:val="20"/>
                <w:color w:val="auto"/>
              </w:rPr>
            </w:pPr>
            <w:r>
              <w:rPr>
                <w:rFonts w:ascii="Courier New" w:cs="Courier New" w:eastAsia="Courier New" w:hAnsi="Courier New"/>
                <w:sz w:val="16"/>
                <w:szCs w:val="16"/>
                <w:color w:val="auto"/>
              </w:rPr>
              <w:t>BASIC LOSS PER ORDINARY SHARE</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LOSS PER SHARE</w:t>
            </w:r>
          </w:p>
        </w:tc>
        <w:tc>
          <w:tcPr>
            <w:tcW w:w="8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(2.55)</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(1.79)</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(2.01)</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LOSS USED TO COMPUTE</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5380" w:type="dxa"/>
            <w:vAlign w:val="bottom"/>
          </w:tcPr>
          <w:p>
            <w:pPr>
              <w:ind w:left="880"/>
              <w:spacing w:after="0"/>
              <w:rPr>
                <w:sz w:val="20"/>
                <w:szCs w:val="20"/>
                <w:color w:val="auto"/>
              </w:rPr>
            </w:pPr>
            <w:r>
              <w:rPr>
                <w:rFonts w:ascii="Courier New" w:cs="Courier New" w:eastAsia="Courier New" w:hAnsi="Courier New"/>
                <w:sz w:val="16"/>
                <w:szCs w:val="16"/>
                <w:color w:val="auto"/>
              </w:rPr>
              <w:t>BASIC LOSS PER SHARE</w:t>
            </w:r>
          </w:p>
        </w:tc>
        <w:tc>
          <w:tcPr>
            <w:tcW w:w="86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$(203,082)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$(137,768)</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$(114,114)</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WEIGHTED AVERAGE NUMBER OF ORDINARY</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5380" w:type="dxa"/>
            <w:vAlign w:val="bottom"/>
          </w:tcPr>
          <w:p>
            <w:pPr>
              <w:ind w:left="780"/>
              <w:spacing w:after="0"/>
              <w:rPr>
                <w:sz w:val="20"/>
                <w:szCs w:val="20"/>
                <w:color w:val="auto"/>
              </w:rPr>
            </w:pPr>
            <w:r>
              <w:rPr>
                <w:rFonts w:ascii="Courier New" w:cs="Courier New" w:eastAsia="Courier New" w:hAnsi="Courier New"/>
                <w:sz w:val="16"/>
                <w:szCs w:val="16"/>
                <w:color w:val="auto"/>
              </w:rPr>
              <w:t>SHARES OUTSTANDING - IN THOUSANDS</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79,675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77,071</w:t>
            </w: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56,696</w:t>
            </w:r>
          </w:p>
        </w:tc>
      </w:tr>
      <w:tr>
        <w:trPr>
          <w:trHeight w:val="186"/>
        </w:trPr>
        <w:tc>
          <w:tcPr>
            <w:tcW w:w="5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676" w:right="1440" w:bottom="1440" w:gutter="0" w:footer="0" w:header="0"/>
        </w:sectPr>
      </w:pPr>
    </w:p>
    <w:bookmarkStart w:id="12" w:name="page13"/>
    <w:bookmarkEnd w:id="12"/>
    <w:p>
      <w:pPr>
        <w:jc w:val="center"/>
        <w:ind w:right="2459"/>
        <w:spacing w:after="0"/>
        <w:rPr>
          <w:sz w:val="20"/>
          <w:szCs w:val="20"/>
          <w:color w:val="auto"/>
        </w:rPr>
      </w:pPr>
      <w:r>
        <w:rPr>
          <w:rFonts w:ascii="Courier New" w:cs="Courier New" w:eastAsia="Courier New" w:hAnsi="Courier New"/>
          <w:sz w:val="16"/>
          <w:szCs w:val="16"/>
          <w:color w:val="auto"/>
        </w:rPr>
        <w:t>TOWER SEMICONDUCTOR LTD.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STATEMENTS OF CHANGES IN SHAREHOLDERS' EQUITY (DEFICIT)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gridSpan w:val="4"/>
          </w:tcPr>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45"/>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PROCEEDS</w:t>
            </w: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ORDINARY SHARES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3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ON</w:t>
            </w: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PAID-IN</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ACCOUNT OF</w:t>
            </w: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AMOUNT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SHARE CAPITAl</w:t>
            </w: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4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JANUARY 1, 2003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44,735,532</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$ 11,294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$ 400,808</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49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THE FAB 2 CONSTRUCTOR</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 THE</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FACILITY</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AGREEMENT WITH THE BANKS, NOTE 13B(5)</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4,205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SHARES, NET OF RELATED COSTS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8,260,565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1,856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22,723</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PROCEEDS ON</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ACCOUNT OF SHARE CAPITAL</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16,428</w:t>
            </w: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52,996,097</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$ 13,150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$ 427,881</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$ 16,428</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2,463,949</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16,414</w:t>
            </w:r>
          </w:p>
        </w:tc>
        <w:tc>
          <w:tcPr>
            <w:tcW w:w="30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(16,428)</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SHARES, NET OF RELATED COSTS -</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9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PUBLIC OFFERING</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11,444,500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2,550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72,536</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EXERCISE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SHARE OPTIONS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95,250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645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66,999,796</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$ 16,274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$ 517,476</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1,232,260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1,520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 THE</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FACILITY</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AGREEMENT WITH THE BANKS, NOTE 13B(5)</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2,793</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 RIGHTS OFFERED</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9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TO EMPLOYEES, NOTE 13H</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448</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2005</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68,232,056</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$ 16,548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$ 522,237</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1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SHAREHOLDER</w:t>
            </w: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RECEIVABLES</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w w:val="97"/>
              </w:rPr>
              <w:t>AND</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UNEARNED</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ACCUMULATED</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TREASURY</w:t>
            </w:r>
          </w:p>
        </w:tc>
        <w:tc>
          <w:tcPr>
            <w:tcW w:w="1160" w:type="dxa"/>
            <w:vAlign w:val="bottom"/>
          </w:tcPr>
          <w:p>
            <w:pPr>
              <w:spacing w:after="0"/>
              <w:rPr>
                <w:sz w:val="16"/>
                <w:szCs w:val="16"/>
                <w:color w:val="auto"/>
              </w:rPr>
            </w:pPr>
          </w:p>
        </w:tc>
      </w:tr>
      <w:tr>
        <w:trPr>
          <w:trHeight w:val="186"/>
        </w:trPr>
        <w:tc>
          <w:tcPr>
            <w:tcW w:w="1120" w:type="dxa"/>
            <w:vAlign w:val="bottom"/>
          </w:tcPr>
          <w:p>
            <w:pPr>
              <w:spacing w:after="0"/>
              <w:rPr>
                <w:sz w:val="16"/>
                <w:szCs w:val="16"/>
                <w:color w:val="auto"/>
              </w:rPr>
            </w:pPr>
          </w:p>
        </w:tc>
        <w:tc>
          <w:tcPr>
            <w:tcW w:w="4740" w:type="dxa"/>
            <w:vAlign w:val="bottom"/>
            <w:gridSpan w:val="2"/>
          </w:tcPr>
          <w:p>
            <w:pPr>
              <w:ind w:left="3540"/>
              <w:spacing w:after="0"/>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DEFICIT</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STOCK</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59"/>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JANUARY 1, 2003</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(104,643)</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 (9,072)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$ 298,334</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THE FAB 2 CONSTRUCTOR</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 THE</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FACILITY</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AGREEMENT WITH THE BANKS, NOTE 13B(5)</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4,205</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SHARES, NET OF RELATED COSTS</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24,579</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PROCEEDS ON</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ACCOUNT OF SHARE CAPITAL</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16,428</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(114,261)</w:t>
            </w:r>
          </w:p>
        </w:tc>
        <w:tc>
          <w:tcPr>
            <w:tcW w:w="1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(114,261)</w:t>
            </w: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2003</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(218,904)</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 (9,072)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$ 229,457</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539</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SHARES, NET OF RELATED COSTS -</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4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PUBLIC OFFERING</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75,086</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EXERCISE OF</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SHARE OPTIONS</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666</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(137,768)</w:t>
            </w:r>
          </w:p>
        </w:tc>
        <w:tc>
          <w:tcPr>
            <w:tcW w:w="1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(137,768)</w:t>
            </w: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2004</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(356,672)</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 (9,072)</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$ 167,980</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1,794</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COMPENSATION RELATED TO THE</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FACILITY</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AGREEMENT WITH THE BANKS, NOTE 13B(5)</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2,793</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STOCK-BASED</w:t>
            </w:r>
          </w:p>
        </w:tc>
        <w:tc>
          <w:tcPr>
            <w:tcW w:w="4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COMPENSATION RELATED TO RIGHTS OFFERED</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4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TO EMPLOYEES, NOTE 13H</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448</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LOSS FOR THE YEAR</w:t>
            </w:r>
          </w:p>
        </w:tc>
        <w:tc>
          <w:tcPr>
            <w:tcW w:w="1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(203,082)</w:t>
            </w:r>
          </w:p>
        </w:tc>
        <w:tc>
          <w:tcPr>
            <w:tcW w:w="1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(203,082)</w:t>
            </w: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BALANCE - DECEMBER 31, 2005</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(559,754)</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 (9,072)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(30,067)</w:t>
            </w:r>
          </w:p>
        </w:tc>
      </w:tr>
      <w:tr>
        <w:trPr>
          <w:trHeight w:val="186"/>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76"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219"/>
          </w:cols>
          <w:pgMar w:left="240" w:top="328" w:right="1440" w:bottom="1440" w:gutter="0" w:footer="0" w:header="0"/>
        </w:sectPr>
      </w:pP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328" w:right="1440" w:bottom="1440" w:gutter="0" w:footer="0" w:header="0"/>
          <w:type w:val="continuous"/>
        </w:sectPr>
      </w:pPr>
    </w:p>
    <w:bookmarkStart w:id="14" w:name="page15"/>
    <w:bookmarkEnd w:id="14"/>
    <w:p>
      <w:pPr>
        <w:spacing w:after="0" w:line="60"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4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7320" w:type="dxa"/>
            <w:vAlign w:val="bottom"/>
          </w:tcPr>
          <w:p>
            <w:pPr>
              <w:spacing w:after="0"/>
              <w:rPr>
                <w:sz w:val="16"/>
                <w:szCs w:val="16"/>
                <w:color w:val="auto"/>
              </w:rPr>
            </w:pPr>
          </w:p>
        </w:tc>
        <w:tc>
          <w:tcPr>
            <w:tcW w:w="36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2004</w:t>
            </w:r>
          </w:p>
        </w:tc>
        <w:tc>
          <w:tcPr>
            <w:tcW w:w="2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CASH FLOWS - OPERATING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LOSS FOR THE YEAR</w:t>
            </w:r>
          </w:p>
        </w:tc>
        <w:tc>
          <w:tcPr>
            <w:tcW w:w="12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$(203,082)</w:t>
            </w:r>
          </w:p>
        </w:tc>
        <w:tc>
          <w:tcPr>
            <w:tcW w:w="12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$(137,768)</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$(114,261)</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ADJUSTMENTS TO RECONCILE LOSS FOR THE YEAR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480"/>
              <w:spacing w:after="0"/>
              <w:rPr>
                <w:sz w:val="20"/>
                <w:szCs w:val="20"/>
                <w:color w:val="auto"/>
              </w:rPr>
            </w:pPr>
            <w:r>
              <w:rPr>
                <w:rFonts w:ascii="Courier New" w:cs="Courier New" w:eastAsia="Courier New" w:hAnsi="Courier New"/>
                <w:sz w:val="16"/>
                <w:szCs w:val="16"/>
                <w:color w:val="auto"/>
              </w:rPr>
              <w:t>TO NET CASH USED IN OPERATING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INCOME AND EXPENSE ITEMS NOT INVOLVING CASH FLOWS: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144,852</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121,067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54,611</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EFFECT OF INDEXATION AND TRANSLATION ON</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jc w:val="right"/>
              <w:ind w:right="3759"/>
              <w:spacing w:after="0"/>
              <w:rPr>
                <w:sz w:val="20"/>
                <w:szCs w:val="20"/>
                <w:color w:val="auto"/>
              </w:rPr>
            </w:pPr>
            <w:r>
              <w:rPr>
                <w:rFonts w:ascii="Courier New" w:cs="Courier New" w:eastAsia="Courier New" w:hAnsi="Courier New"/>
                <w:sz w:val="16"/>
                <w:szCs w:val="16"/>
                <w:color w:val="auto"/>
              </w:rPr>
              <w:t>CONVERTIBLE DEBENTURES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(1,031)</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(878)</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OTHER EXPENSE (INCOME), NET</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(2,383)</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(32,682)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CHANGES IN ASSETS AND LIABILITIES: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DECREASE (INCREASE) IN TRADE ACCOUNTS RECEIVABLE</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2,510</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(7,655)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(4,175)</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DECREASE (INCREASE) IN OTHER RECEIVABLES AND OTHER CURRENT ASSETS</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1,988</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1,264</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DECREASE (INCREASE) IN INVENTORIES</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1,293</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(6,287)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(6,221)</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INCREASE IN TRADE ACCOUNTS PAYABLE</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3,082</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INCREASE (DECREASE) IN OTHER CURRENT LIABILITIES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(1,839)</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(970)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1,467</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INCREASE (DECREASE) IN OTHER LONG-TERM LIABILITIES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(5,368)</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9,344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529</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(59,978)</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(54,284)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(66,779)</w:t>
            </w:r>
          </w:p>
        </w:tc>
      </w:tr>
      <w:tr>
        <w:trPr>
          <w:trHeight w:val="186"/>
        </w:trPr>
        <w:tc>
          <w:tcPr>
            <w:tcW w:w="7320" w:type="dxa"/>
            <w:vAlign w:val="bottom"/>
          </w:tcPr>
          <w:p>
            <w:pPr>
              <w:ind w:left="880"/>
              <w:spacing w:after="0"/>
              <w:rPr>
                <w:sz w:val="20"/>
                <w:szCs w:val="20"/>
                <w:color w:val="auto"/>
              </w:rPr>
            </w:pPr>
            <w:r>
              <w:rPr>
                <w:rFonts w:ascii="Courier New" w:cs="Courier New" w:eastAsia="Courier New" w:hAnsi="Courier New"/>
                <w:sz w:val="16"/>
                <w:szCs w:val="16"/>
                <w:color w:val="auto"/>
              </w:rPr>
              <w:t>INCREASE (DECREASE) IN LONG-TERM LIABILITY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1060"/>
              <w:spacing w:after="0"/>
              <w:rPr>
                <w:sz w:val="20"/>
                <w:szCs w:val="20"/>
                <w:color w:val="auto"/>
              </w:rPr>
            </w:pPr>
            <w:r>
              <w:rPr>
                <w:rFonts w:ascii="Courier New" w:cs="Courier New" w:eastAsia="Courier New" w:hAnsi="Courier New"/>
                <w:sz w:val="16"/>
                <w:szCs w:val="16"/>
                <w:color w:val="auto"/>
              </w:rPr>
              <w:t>IN RESPECT OF CUSTOMERS' ADVANCES, NET</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(760)</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19,384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(899)</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1060"/>
              <w:spacing w:after="0"/>
              <w:rPr>
                <w:sz w:val="20"/>
                <w:szCs w:val="20"/>
                <w:color w:val="auto"/>
              </w:rPr>
            </w:pPr>
            <w:r>
              <w:rPr>
                <w:rFonts w:ascii="Courier New" w:cs="Courier New" w:eastAsia="Courier New" w:hAnsi="Courier New"/>
                <w:sz w:val="16"/>
                <w:szCs w:val="16"/>
                <w:color w:val="auto"/>
              </w:rPr>
              <w:t>NET CASH USED IN OPERATING ACTIVITIES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(60,738)</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(34,900)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(67,678)</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CASH FLOWS - INVESTING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DECREASE (INCREASE) IN DESIGNATED CASH, SHORT-TERM AND LONG-TERM</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7320" w:type="dxa"/>
            <w:vAlign w:val="bottom"/>
          </w:tcPr>
          <w:p>
            <w:pPr>
              <w:jc w:val="right"/>
              <w:ind w:right="3759"/>
              <w:spacing w:after="0"/>
              <w:rPr>
                <w:sz w:val="20"/>
                <w:szCs w:val="20"/>
                <w:color w:val="auto"/>
              </w:rPr>
            </w:pPr>
            <w:r>
              <w:rPr>
                <w:rFonts w:ascii="Courier New" w:cs="Courier New" w:eastAsia="Courier New" w:hAnsi="Courier New"/>
                <w:sz w:val="16"/>
                <w:szCs w:val="16"/>
                <w:color w:val="auto"/>
              </w:rPr>
              <w:t>INTEREST-BEARING DEPOSITS, NET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27,266</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(10,037)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14,341</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PROPERTY AND EQUIPMENT</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(38,878)</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(154,975)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(179,310)</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INVESTMENT GRANTS RECEIVED</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7,496</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32,636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33,811</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RELATED TO SALE AND DISPOSAL OF PROPERTY AND EQUIPMENT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2,179</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2,626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222</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OTHER ASSETS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(3,841)</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(22,098)</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DECREASE IN DEPOSITS, NET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10,500</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SALE OF LONG-TERM INVESTMENT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38,677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1060"/>
              <w:spacing w:after="0"/>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(5,778)</w:t>
            </w:r>
          </w:p>
        </w:tc>
        <w:tc>
          <w:tcPr>
            <w:tcW w:w="2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(91,775)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(142,534)</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CASH FLOWS - FINANCING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ISSUANCE OF CONVERTIBLE DEBENTURES, NET</w:t>
            </w:r>
          </w:p>
        </w:tc>
        <w:tc>
          <w:tcPr>
            <w:tcW w:w="280" w:type="dxa"/>
            <w:vAlign w:val="bottom"/>
          </w:tcPr>
          <w:p>
            <w:pPr>
              <w:spacing w:after="0"/>
              <w:rPr>
                <w:sz w:val="24"/>
                <w:szCs w:val="24"/>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25,086</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LONG-TERM DEBT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21,103</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66,000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ISSUANCE OF SHARES, NET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75,225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24,375</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EXERCISE OF SHARE OPTIONS</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ON ACCOUNT OF SHARE CAPITAL</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16,428</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REPAYMENT OF LONG-TERM DEBT</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(13,000)</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PROCEEDS FROM LONG-TERM DEBT, NET IN CONNECTION WITH</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480"/>
              <w:spacing w:after="0"/>
              <w:rPr>
                <w:sz w:val="20"/>
                <w:szCs w:val="20"/>
                <w:color w:val="auto"/>
              </w:rPr>
            </w:pPr>
            <w:r>
              <w:rPr>
                <w:rFonts w:ascii="Courier New" w:cs="Courier New" w:eastAsia="Courier New" w:hAnsi="Courier New"/>
                <w:sz w:val="16"/>
                <w:szCs w:val="16"/>
                <w:color w:val="auto"/>
              </w:rPr>
              <w:t>RE-BORROWING, NOTE 11A(6)</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187,000</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106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46,189</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141,891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214,803</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(20,327)</w:t>
            </w:r>
          </w:p>
        </w:tc>
        <w:tc>
          <w:tcPr>
            <w:tcW w:w="24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15,216</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4,591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CASH AND CASH EQUIVALENTS - BEGINNING OF YEAR</w:t>
            </w:r>
          </w:p>
        </w:tc>
        <w:tc>
          <w:tcPr>
            <w:tcW w:w="28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27,664</w:t>
            </w:r>
          </w:p>
        </w:tc>
        <w:tc>
          <w:tcPr>
            <w:tcW w:w="2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12,448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7,857</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CASH AND CASH EQUIVALENTS - END OF YEAR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27,664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12,448</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NON-CASH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PROPERTY AND EQUIPMENT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12,999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47,675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17,160</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STOCK-BASED COMPENSATION RELATED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480"/>
              <w:spacing w:after="0"/>
              <w:rPr>
                <w:sz w:val="20"/>
                <w:szCs w:val="20"/>
                <w:color w:val="auto"/>
              </w:rPr>
            </w:pPr>
            <w:r>
              <w:rPr>
                <w:rFonts w:ascii="Courier New" w:cs="Courier New" w:eastAsia="Courier New" w:hAnsi="Courier New"/>
                <w:sz w:val="16"/>
                <w:szCs w:val="16"/>
                <w:color w:val="auto"/>
              </w:rPr>
              <w:t>THE FACILITY AGREEMENT WITH THE BANKS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2,793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4,205</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STOCK-BASED COMPENSATION RELATED TO RIGHTS OFFERED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480"/>
              <w:spacing w:after="0"/>
              <w:rPr>
                <w:sz w:val="20"/>
                <w:szCs w:val="20"/>
                <w:color w:val="auto"/>
              </w:rPr>
            </w:pPr>
            <w:r>
              <w:rPr>
                <w:rFonts w:ascii="Courier New" w:cs="Courier New" w:eastAsia="Courier New" w:hAnsi="Courier New"/>
                <w:sz w:val="16"/>
                <w:szCs w:val="16"/>
                <w:color w:val="auto"/>
              </w:rPr>
              <w:t>TO EMPLOYEES, NOTE 13H</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INVESTMENTS IN OTHER ASSETS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3,153</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ind w:left="300"/>
              <w:spacing w:after="0"/>
              <w:rPr>
                <w:sz w:val="20"/>
                <w:szCs w:val="20"/>
                <w:color w:val="auto"/>
              </w:rPr>
            </w:pPr>
            <w:r>
              <w:rPr>
                <w:rFonts w:ascii="Courier New" w:cs="Courier New" w:eastAsia="Courier New" w:hAnsi="Courier New"/>
                <w:sz w:val="16"/>
                <w:szCs w:val="16"/>
                <w:color w:val="auto"/>
              </w:rPr>
              <w:t>CONVERSION OF LONG-TERM LIABILITY IN RESPECT OF CUSTOMERS' ADVANCES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7320" w:type="dxa"/>
            <w:vAlign w:val="bottom"/>
          </w:tcPr>
          <w:p>
            <w:pPr>
              <w:ind w:left="480"/>
              <w:spacing w:after="0"/>
              <w:rPr>
                <w:sz w:val="20"/>
                <w:szCs w:val="20"/>
                <w:color w:val="auto"/>
              </w:rPr>
            </w:pPr>
            <w:r>
              <w:rPr>
                <w:rFonts w:ascii="Courier New" w:cs="Courier New" w:eastAsia="Courier New" w:hAnsi="Courier New"/>
                <w:sz w:val="16"/>
                <w:szCs w:val="16"/>
                <w:color w:val="auto"/>
              </w:rPr>
              <w:t>TO SHARE CAPITAL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98" w:orient="portrait"/>
          <w:cols w:equalWidth="0" w:num="1">
            <w:col w:w="10940"/>
          </w:cols>
          <w:pgMar w:left="240" w:top="676" w:right="71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DISCLOSURE</w:t>
            </w:r>
          </w:p>
        </w:tc>
        <w:tc>
          <w:tcPr>
            <w:tcW w:w="4640" w:type="dxa"/>
            <w:vAlign w:val="bottom"/>
          </w:tcPr>
          <w:p>
            <w:pPr>
              <w:ind w:left="40"/>
              <w:spacing w:after="0"/>
              <w:rPr>
                <w:sz w:val="20"/>
                <w:szCs w:val="20"/>
                <w:color w:val="auto"/>
              </w:rPr>
            </w:pPr>
            <w:r>
              <w:rPr>
                <w:rFonts w:ascii="Courier New" w:cs="Courier New" w:eastAsia="Courier New" w:hAnsi="Courier New"/>
                <w:sz w:val="16"/>
                <w:szCs w:val="16"/>
                <w:color w:val="auto"/>
              </w:rPr>
              <w:t>OF CASH FLOW INFORMATION</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3"/>
        </w:trPr>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PAID DURING</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640" w:type="dxa"/>
            <w:vAlign w:val="bottom"/>
          </w:tcPr>
          <w:p>
            <w:pPr>
              <w:ind w:left="40"/>
              <w:spacing w:after="0"/>
              <w:rPr>
                <w:sz w:val="20"/>
                <w:szCs w:val="20"/>
                <w:color w:val="auto"/>
              </w:rPr>
            </w:pPr>
            <w:r>
              <w:rPr>
                <w:rFonts w:ascii="Courier New" w:cs="Courier New" w:eastAsia="Courier New" w:hAnsi="Courier New"/>
                <w:sz w:val="16"/>
                <w:szCs w:val="16"/>
                <w:color w:val="auto"/>
              </w:rPr>
              <w:t>YEAR FOR CAPITALIZED AND EXPENSED INTEREST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32,805</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25,205</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15,674</w:t>
            </w:r>
          </w:p>
        </w:tc>
      </w:tr>
      <w:tr>
        <w:trPr>
          <w:trHeight w:val="186"/>
        </w:trPr>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PAID DURING</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640" w:type="dxa"/>
            <w:vAlign w:val="bottom"/>
          </w:tcPr>
          <w:p>
            <w:pPr>
              <w:ind w:left="40"/>
              <w:spacing w:after="0"/>
              <w:rPr>
                <w:sz w:val="20"/>
                <w:szCs w:val="20"/>
                <w:color w:val="auto"/>
              </w:rPr>
            </w:pPr>
            <w:r>
              <w:rPr>
                <w:rFonts w:ascii="Courier New" w:cs="Courier New" w:eastAsia="Courier New" w:hAnsi="Courier New"/>
                <w:sz w:val="16"/>
                <w:szCs w:val="16"/>
                <w:color w:val="auto"/>
              </w:rPr>
              <w:t>YEAR FOR INCOME TAXES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r>
      <w:tr>
        <w:trPr>
          <w:trHeight w:val="186"/>
        </w:trPr>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- 5 -</w:t>
      </w:r>
    </w:p>
    <w:p>
      <w:pPr>
        <w:sectPr>
          <w:pgSz w:w="11900" w:h="16838" w:orient="portrait"/>
          <w:cols w:equalWidth="0" w:num="1">
            <w:col w:w="10860"/>
          </w:cols>
          <w:pgMar w:left="240" w:top="328" w:right="799" w:bottom="1440" w:gutter="0" w:footer="0" w:header="0"/>
        </w:sectPr>
      </w:pPr>
    </w:p>
    <w:bookmarkStart w:id="16" w:name="page17"/>
    <w:bookmarkEnd w:id="16"/>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BUSINESS AND GENERAL</w:t>
      </w:r>
    </w:p>
    <w:p>
      <w:pPr>
        <w:spacing w:after="0" w:line="191" w:lineRule="exact"/>
        <w:rPr>
          <w:sz w:val="20"/>
          <w:szCs w:val="20"/>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BUSINESS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in 0.18 microns and below at its 200-millimeter fabrication facility ("Fab 2"). As a foundry, the Company manufactures wafers using its advanced technological capabilities and the proprietary integrated circuit designs of its customers.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85" w:lineRule="exact"/>
        <w:rPr>
          <w:rFonts w:ascii="Courier New" w:cs="Courier New" w:eastAsia="Courier New" w:hAnsi="Courier New"/>
          <w:sz w:val="16"/>
          <w:szCs w:val="16"/>
          <w:color w:val="auto"/>
        </w:rPr>
      </w:pPr>
    </w:p>
    <w:p>
      <w:pPr>
        <w:ind w:left="96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Ordinary Shares are traded on the Nasdaq National Market and on the Tel-Aviv Stock Exchange.</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OPERATIONS OF NEW FABRICATION FACILITY (FAB 2)</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has completed public and private financing deals, which, as of the approval date of the financial statements, have provided an aggregate of approximately $1,260,000 of financing for Fab 2.</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Fab 2 project is a complex undertaking, which entails substantial risks and uncertainties. For further details concerning the Fab 2 project and related agreements, some of which were amended several times, see Note 11A.</w:t>
      </w:r>
    </w:p>
    <w:p>
      <w:pPr>
        <w:spacing w:after="0" w:line="185"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Company began to depreciate and amortize Fab 2 assets, and to expense most of the ongoing direct costs related to the construction and equipping of Fab 2 and to the transfer of the Fab 2 technology that had been previously capitalized. For further details concerning the depreciation and amortization of Fab 2 assets, see Note 11A.</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w:t>
      </w:r>
    </w:p>
    <w:p>
      <w:pPr>
        <w:sectPr>
          <w:pgSz w:w="11900" w:h="16838" w:orient="portrait"/>
          <w:cols w:equalWidth="0" w:num="1">
            <w:col w:w="10219"/>
          </w:cols>
          <w:pgMar w:left="240" w:top="676"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BUSINESS AND GENERAL (cont.)</w:t>
      </w:r>
    </w:p>
    <w:p>
      <w:pPr>
        <w:spacing w:after="0" w:line="191" w:lineRule="exact"/>
        <w:rPr>
          <w:sz w:val="20"/>
          <w:szCs w:val="20"/>
          <w:color w:val="auto"/>
        </w:rPr>
      </w:pPr>
    </w:p>
    <w:p>
      <w:pPr>
        <w:ind w:left="960" w:hanging="476"/>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OF THE COMPANY'S ONGOING OPERATIONS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year ended December 31, 2005 and in recent years, the Company has experienced significant recurring losses from operations, recurring negative cash flows from operating activities, an increasing accumulated deficit and a deficit in shareholders equity. According to the Company's approved short-term working plan, based on the current prevailing semiconductor market conditions, the Company needs to raise funds in order to finance its short-term activities and liabilities in 2006, including repayment of long-term loans to the extent to be required (see the following paragraph). In addition, according to the Facility Agreement with the Banks, in the fourth quarter of 2006 and in 2007, the Company is to repay on account of long-term loans $21,103 and $160,257, respectively. For details concerning an amendment to the Company's financial ratios and covenants through the third quarter of 2006 under the amended Facility Agreement with the Banks, which was obtained subsequent to a waiver letter agreement signed between the Company and the Banks in January 2005 following non-compliance of the Company with certain of the financial ratios and covenants that were applicable as of December 31, 2004, see Note 11A(6).</w:t>
      </w:r>
    </w:p>
    <w:p>
      <w:pPr>
        <w:spacing w:after="0" w:line="196"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light of the described above, the Company has been taking comprehensive measures to obtain the needed funds for its near-term ongoing operations, as well as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has held discussions with its Equity Investors, Wafer Partners and its Banks to provide additional funding for the Company of an aggregate amount of approximately $60,000. Following an amendment to the Facility Agreement signed between the Company and its Banks in July 2005, and the completion of a rights offering in which in December 2005 and January 2006 the Company raised $48,169 (of which $27,811 was received from certain of the Company's Equity Investors and Wafer Partners), the Company was provided with additional $29,693 from the Banks.</w:t>
      </w:r>
    </w:p>
    <w:p>
      <w:pPr>
        <w:spacing w:after="0" w:line="195"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Further, the Company is currently examining alternatives for additional funding sources, including raising funds in the capital markets, private placements and other sources. In addition, as provided in the July 2005 amendment, subsequent to the balance sheet date the Company and the Banks commenced and are holding discussions for rescheduling of the repayment dates of the $29,693 provided by the Banks under this amendment, currently to be repaid through March 31, 2007 ($21,103 of which in the fourth quarter of 2006 and the reminder in March 31, 2007). Management also intends to discuss with the Banks the rescheduling of the repayment dates of all the remaining loans obtained from the Banks.</w:t>
      </w:r>
    </w:p>
    <w:p>
      <w:pPr>
        <w:spacing w:after="0" w:line="192"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management estimates that it is probable that additional funds the Company will need in 2006 from the additional funding sources the Company is currently examining, as described above, will be achieved. Management also estimates, based on the discussions held with the Banks subsequent to the balance sheet date, that reaching satisfactory agreement with the Banks regarding the rescheduling of the repayment dates of the $29,693 obtained under the July 2005 amendment is probable. Management further estimates that obtaining satisfactory agreement with the Banks regarding the rescheduling of all the remaining loans obtained from them is achievable, subject that the discussions management intends to hold with the Banks are concluded.</w:t>
      </w:r>
    </w:p>
    <w:p>
      <w:pPr>
        <w:spacing w:after="0" w:line="379"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w:t>
      </w:r>
    </w:p>
    <w:p>
      <w:pPr>
        <w:sectPr>
          <w:pgSz w:w="11900" w:h="16838" w:orient="portrait"/>
          <w:cols w:equalWidth="0" w:num="1">
            <w:col w:w="10219"/>
          </w:cols>
          <w:pgMar w:left="240" w:top="676" w:right="1440" w:bottom="1440" w:gutter="0" w:footer="0" w:header="0"/>
        </w:sectPr>
      </w:pPr>
    </w:p>
    <w:bookmarkStart w:id="18" w:name="page19"/>
    <w:bookmarkEnd w:id="1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BUSINESS AND GENERAL (cont.)</w:t>
      </w:r>
    </w:p>
    <w:p>
      <w:pPr>
        <w:spacing w:after="0" w:line="191" w:lineRule="exact"/>
        <w:rPr>
          <w:sz w:val="20"/>
          <w:szCs w:val="20"/>
          <w:color w:val="auto"/>
        </w:rPr>
      </w:pPr>
    </w:p>
    <w:p>
      <w:pPr>
        <w:ind w:left="960" w:hanging="476"/>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 IN PREPARATION OF FINANCIAL STATEMENTS</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91"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The Company's consolidated financial statements are presented in accordance with generally accepted accounting principles ("GAAP") in Israel. See Note 20 for the reconciliation of material differences between GAAP in Israel and in the United States of America.</w:t>
      </w:r>
    </w:p>
    <w:p>
      <w:pPr>
        <w:spacing w:after="0" w:line="186" w:lineRule="exact"/>
        <w:rPr>
          <w:sz w:val="20"/>
          <w:szCs w:val="20"/>
          <w:color w:val="auto"/>
        </w:rPr>
      </w:pPr>
    </w:p>
    <w:p>
      <w:pPr>
        <w:ind w:left="960" w:hanging="476"/>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OF CONSOLIDATION</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consist of deposits in banks and short-term investments (primarily time deposits and certificates of deposit) with original maturities of three months or less.</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FOR DOUBTFUL ACCOUNTS</w:t>
      </w:r>
    </w:p>
    <w:p>
      <w:pPr>
        <w:spacing w:after="0" w:line="191" w:lineRule="exact"/>
        <w:rPr>
          <w:rFonts w:ascii="Courier New" w:cs="Courier New" w:eastAsia="Courier New" w:hAnsi="Courier New"/>
          <w:sz w:val="16"/>
          <w:szCs w:val="16"/>
          <w:color w:val="auto"/>
        </w:rPr>
      </w:pPr>
    </w:p>
    <w:p>
      <w:pPr>
        <w:ind w:left="960" w:right="31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allowance for doubtful accounts is computed on the specific identification basis for accounts whose collectibility, in management's estimation, is uncertain.</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stated at the lower of cost or market. Cost is determined for raw materials, spare parts and supplies on the basis of the weighted moving average cost per unit. Cost is determined for work in process and finished goods on the basis of actual production costs.</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191"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property and equipment. Allocation, when appropriate, of capitalizable incremental direct costs is based on management's estimates and methodologies including time sheet inputs.</w:t>
      </w:r>
    </w:p>
    <w:p>
      <w:pPr>
        <w:spacing w:after="0" w:line="38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8 -</w:t>
      </w:r>
    </w:p>
    <w:p>
      <w:pPr>
        <w:sectPr>
          <w:pgSz w:w="11900" w:h="16838" w:orient="portrait"/>
          <w:cols w:equalWidth="0" w:num="1">
            <w:col w:w="10219"/>
          </w:cols>
          <w:pgMar w:left="240" w:top="676" w:right="1440" w:bottom="1440" w:gutter="0" w:footer="0" w:header="0"/>
        </w:sectPr>
      </w:pPr>
    </w:p>
    <w:bookmarkStart w:id="19" w:name="page20"/>
    <w:bookmarkEnd w:id="1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hanging="476"/>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w:t>
      </w:r>
    </w:p>
    <w:p>
      <w:pPr>
        <w:spacing w:after="0" w:line="191" w:lineRule="exact"/>
        <w:rPr>
          <w:rFonts w:ascii="Courier New" w:cs="Courier New" w:eastAsia="Courier New" w:hAnsi="Courier New"/>
          <w:sz w:val="16"/>
          <w:szCs w:val="16"/>
          <w:color w:val="auto"/>
        </w:rPr>
      </w:pPr>
    </w:p>
    <w:p>
      <w:pPr>
        <w:ind w:left="14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85" w:lineRule="exact"/>
        <w:rPr>
          <w:sz w:val="20"/>
          <w:szCs w:val="20"/>
          <w:color w:val="auto"/>
        </w:rPr>
      </w:pPr>
    </w:p>
    <w:p>
      <w:pPr>
        <w:ind w:left="1460" w:right="2459"/>
        <w:spacing w:after="0" w:line="247" w:lineRule="auto"/>
        <w:rPr>
          <w:sz w:val="20"/>
          <w:szCs w:val="20"/>
          <w:color w:val="auto"/>
        </w:rPr>
      </w:pPr>
      <w:r>
        <w:rPr>
          <w:rFonts w:ascii="Courier New" w:cs="Courier New" w:eastAsia="Courier New" w:hAnsi="Courier New"/>
          <w:sz w:val="16"/>
          <w:szCs w:val="16"/>
          <w:color w:val="auto"/>
        </w:rPr>
        <w:t>Depreciation is calculated based on the straight-line method over the estimated economic lives of the assets or terms of the related leases, as follows:</w:t>
      </w:r>
    </w:p>
    <w:p>
      <w:pPr>
        <w:spacing w:after="0" w:line="186" w:lineRule="exact"/>
        <w:rPr>
          <w:sz w:val="20"/>
          <w:szCs w:val="20"/>
          <w:color w:val="auto"/>
        </w:rPr>
      </w:pPr>
    </w:p>
    <w:tbl>
      <w:tblPr>
        <w:tblLayout w:type="fixed"/>
        <w:tblInd w:w="19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Prepaid long-term land lease and buildings</w:t>
            </w: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(including facility infrastructure)</w:t>
            </w: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14-25 years</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5</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Transportation vehicles</w:t>
            </w: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7</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bl>
    <w:p>
      <w:pPr>
        <w:spacing w:after="0" w:line="190" w:lineRule="exact"/>
        <w:rPr>
          <w:sz w:val="20"/>
          <w:szCs w:val="20"/>
          <w:color w:val="auto"/>
        </w:rPr>
      </w:pPr>
    </w:p>
    <w:p>
      <w:pPr>
        <w:ind w:left="1460" w:right="2759" w:hanging="492"/>
        <w:spacing w:after="0" w:line="248" w:lineRule="auto"/>
        <w:tabs>
          <w:tab w:leader="none" w:pos="14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examinations and recognition are performed and determined based on the accounting policy outlined in O below.</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Fab 2 technologies includes the technology process cost, internal incremental direct costs, mainly payroll-related costs of employees designated for integrating the technologies in the Company's facilities, and incremental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its intended use, and is based on the straight-line method over a four-year period.</w:t>
      </w:r>
    </w:p>
    <w:p>
      <w:pPr>
        <w:spacing w:after="0" w:line="192" w:lineRule="exact"/>
        <w:rPr>
          <w:rFonts w:ascii="Courier New" w:cs="Courier New" w:eastAsia="Courier New" w:hAnsi="Courier New"/>
          <w:sz w:val="16"/>
          <w:szCs w:val="16"/>
          <w:color w:val="auto"/>
        </w:rPr>
      </w:pPr>
    </w:p>
    <w:p>
      <w:pPr>
        <w:ind w:left="1460"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examinations and recognition are performed and determined based on the accounting policy outlined in O below.</w:t>
      </w:r>
    </w:p>
    <w:p>
      <w:pPr>
        <w:spacing w:after="0" w:line="184"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FINANCING CHARGES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financing charges included in other assets in relation to funding the establishment of Fab 2 are being amortized over the lives of the borrowings based on the repayment schedule of such funding (in general, 6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financing expenses, net.</w:t>
      </w:r>
    </w:p>
    <w:p>
      <w:pPr>
        <w:spacing w:after="0" w:line="378"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9 -</w:t>
      </w:r>
    </w:p>
    <w:p>
      <w:pPr>
        <w:sectPr>
          <w:pgSz w:w="11900" w:h="16838" w:orient="portrait"/>
          <w:cols w:equalWidth="0" w:num="1">
            <w:col w:w="10219"/>
          </w:cols>
          <w:pgMar w:left="240" w:top="676" w:right="1440" w:bottom="1440" w:gutter="0" w:footer="0" w:header="0"/>
        </w:sectPr>
      </w:pPr>
    </w:p>
    <w:bookmarkStart w:id="20" w:name="page21"/>
    <w:bookmarkEnd w:id="2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hanging="476"/>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DEBENTURES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debentures the future conversion of which is not probable as of the balance-sheet date are presented as long-term liabilities and current liabilities (with respect to the current maturities) based on their terms as of such date, net of discount.</w:t>
      </w:r>
    </w:p>
    <w:p>
      <w:pPr>
        <w:spacing w:after="0" w:line="185"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debentures denominated in dollar the future conversion of which is probable as of the balance-sheet date, are presented as a separate line-item between total liabilities and shareholders equity.</w:t>
      </w:r>
    </w:p>
    <w:p>
      <w:pPr>
        <w:spacing w:after="0" w:line="18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P(1) below for the effect of the initial adoption of Standard No.</w:t>
      </w:r>
    </w:p>
    <w:p>
      <w:pPr>
        <w:spacing w:after="0" w:line="5" w:lineRule="exact"/>
        <w:rPr>
          <w:rFonts w:ascii="Courier New" w:cs="Courier New" w:eastAsia="Courier New" w:hAnsi="Courier New"/>
          <w:sz w:val="16"/>
          <w:szCs w:val="16"/>
          <w:color w:val="auto"/>
        </w:rPr>
      </w:pPr>
    </w:p>
    <w:p>
      <w:pPr>
        <w:jc w:val="both"/>
        <w:ind w:left="9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 of the Israeli Accounting Standards Board "FINANCIAL INSTRUMENTS: DISCLOSURE AND Presentation". See Notes 20F and 20G for presentation of convertible debentures in accordance with U.S. GAAP.</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records deferred income taxes in accordance with Standard No. 19 "INCOME TAXES" of the Israeli Accounting Standards Board, to reflect the net tax effects of temporary differences between the carrying amounts of assets and liabilities for financial reporting purposes and for tax purposes. Deferred taxes are computed based on the tax rates anticipated (under applicable law as of the balance sheet date) to be in effect when the deferred taxes are expected to be paid or realized.</w:t>
      </w:r>
    </w:p>
    <w:p>
      <w:pPr>
        <w:spacing w:after="0" w:line="190"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2005 and uncertainties with regard to its utilization in the future, no deferred taxes were recorded in the Company's results of operations.</w:t>
      </w:r>
    </w:p>
    <w:p>
      <w:pPr>
        <w:spacing w:after="0" w:line="19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378"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w:t>
      </w:r>
    </w:p>
    <w:p>
      <w:pPr>
        <w:sectPr>
          <w:pgSz w:w="11900" w:h="16838" w:orient="portrait"/>
          <w:cols w:equalWidth="0" w:num="1">
            <w:col w:w="10219"/>
          </w:cols>
          <w:pgMar w:left="240" w:top="676" w:right="1440" w:bottom="1440" w:gutter="0" w:footer="0" w:header="0"/>
        </w:sectPr>
      </w:pPr>
    </w:p>
    <w:bookmarkStart w:id="21" w:name="page22"/>
    <w:bookmarkEnd w:id="21"/>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hanging="476"/>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ORDINARY SHARE</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loss per ordinary share is calculated based on the weighted average number of ordinary shares outstanding during each year presented, adjusted retroactively to include the beneficial feature contemplated in a rights offering. The calculation includes retroactive effect from the beginning of each year (or the issuance date, which is the earlier) of shares issued upon exercise of options and warrants and upon conversion of convertible debentures outstanding at the beginning of each year (or that were issued during the year). The calculation further includes shares issuable from probable exercise and from probable conversion. Basic loss per ordinary share is calculated based on loss for the period with the inclusion of imputed interest income on the exercise price of options and warrants exercised or whose exercise is probable, and of financing expenses in relation to conversion of convertible debentures or probable conversion, as required under Israeli GAAP. See Note 20K for disclosure of loss per share data in accordance with U.S. GAAP.</w:t>
      </w:r>
    </w:p>
    <w:p>
      <w:pPr>
        <w:spacing w:after="0" w:line="19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FINANCIAL INSTRUMENTS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foreign exchange agreements (primarily forward contracts and options) to hedge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expiration of the foreign exchange agreement, are included in financing expense, net.</w:t>
      </w:r>
    </w:p>
    <w:p>
      <w:pPr>
        <w:spacing w:after="0" w:line="190"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85" w:lineRule="exact"/>
        <w:rPr>
          <w:rFonts w:ascii="Courier New" w:cs="Courier New" w:eastAsia="Courier New" w:hAnsi="Courier New"/>
          <w:sz w:val="16"/>
          <w:szCs w:val="16"/>
          <w:color w:val="auto"/>
        </w:rPr>
      </w:pPr>
    </w:p>
    <w:p>
      <w:pPr>
        <w:ind w:left="96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20D for disclosure of the derivative financial instruments in accordance with U.S. GAAP.</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FUNCTIONAL CURRENCY AND TRANSACTION GAINS AND LOSSES</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currency of the primary economic environment in which the Company conducts its operations is the U.S. dollar ("dollar"). Accordingly, the Company uses the dollar as its functional and reporting currency. Financing expenses, net in 2005 include net foreign currency transaction gains of $1,398. Financing expenses, net in 2004 and 2003 include net foreign currency transaction losses of $760 and $232, respectively.</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w:t>
      </w:r>
    </w:p>
    <w:p>
      <w:pPr>
        <w:sectPr>
          <w:pgSz w:w="11900" w:h="16838" w:orient="portrait"/>
          <w:cols w:equalWidth="0" w:num="1">
            <w:col w:w="10219"/>
          </w:cols>
          <w:pgMar w:left="240" w:top="676" w:right="1440" w:bottom="1440" w:gutter="0" w:footer="0" w:header="0"/>
        </w:sectPr>
      </w:pPr>
    </w:p>
    <w:bookmarkStart w:id="22" w:name="page23"/>
    <w:bookmarkEnd w:id="22"/>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hanging="476"/>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P(2) below for the effect of the initial adoption of Standard No. 24 of the Israeli Accounting Standards Board "SHARE-BASED PAYMENTS". See Note 13B(6) for pro forma disclosures required by SFAS 123 and SFAS 148.</w:t>
      </w:r>
    </w:p>
    <w:p>
      <w:pPr>
        <w:spacing w:after="0" w:line="195"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F(2) above. The award cost of warrants granted in connection with the construction of Fab 2, is recorded as depreciation expense over the life of the prepaid perpetual land lease and buildings. The award cost of warrants granted to consultants and a related party in connection with equity transactions is offset against paid-in-capital.</w:t>
      </w:r>
    </w:p>
    <w:p>
      <w:pPr>
        <w:spacing w:after="0" w:line="19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LONG-LIVED ASSETS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w:t>
      </w:r>
    </w:p>
    <w:p>
      <w:pPr>
        <w:spacing w:after="0" w:line="379"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w:t>
      </w:r>
    </w:p>
    <w:p>
      <w:pPr>
        <w:sectPr>
          <w:pgSz w:w="11900" w:h="16838" w:orient="portrait"/>
          <w:cols w:equalWidth="0" w:num="1">
            <w:col w:w="10219"/>
          </w:cols>
          <w:pgMar w:left="240" w:top="676" w:right="1440" w:bottom="1440" w:gutter="0" w:footer="0" w:header="0"/>
        </w:sectPr>
      </w:pPr>
    </w:p>
    <w:bookmarkStart w:id="23" w:name="page24"/>
    <w:bookmarkEnd w:id="23"/>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right="2659" w:hanging="476"/>
        <w:spacing w:after="0" w:line="24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ISRAELI ACCOUNTING STANDARDS BOARD</w:t>
      </w:r>
    </w:p>
    <w:p>
      <w:pPr>
        <w:spacing w:after="0" w:line="184"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STANDARD NO. 22 "FINANCIAL INSTRUMENTS: DISCLOSURE AND PRESENTATION" - In July 2005, the Israeli Accounting Standards Board approved for publication Accounting Standard No. 22 "FINANCIAL INSTRUMENTS: DISCLOSURE AND PRESENTATION" (the "Standard"). A FINANCIAL INSTRUMENT under this Standard is defined, in general, as any contract that establishes a financial asset of an entity, or a financial liability or equity instrument of another entity. This Standard establishes the requirements for presentation of financial instruments in the financial statements and indicates the information that should be disclosed in relation thereto, and, in certain cases, the method to measure their impact on the entity's financial statements. The presentation requirements relate to the classification of financial instruments as financial assets, financial liabilities or equity instruments. It also deals with the classification of related interest, dividends, losses and gains and to the circumstances under which financial assets and financial liabilities derived from financial instruments are to be offset. The Standard establishes requirements for disclosure of information relating to factors affecting the amount, timing and certainty of the entity's future cash flows relating to financial instruments and accounting policy implemented in respect of these instruments. The Standard also establishes requirements for disclosure of information about the nature and the extent of an entity's use of financial instruments, the business purposes they serve, the risks associated with them and management's policies for the oversight of those risks.</w:t>
      </w:r>
    </w:p>
    <w:p>
      <w:pPr>
        <w:spacing w:after="0" w:line="20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Standard is effective for financial statements for periods commencing January 1, 2006 or thereafter. The initial adoption of the Standard will be accounted for by the "prospective method", i.e. financial instruments issued before the effective date of the Standard will be classified and presented in accordance with its provisions commencing from the effective date. Comparative financial statements for prior periods are not to be adjusted. The new Standard supersedes Opinion No.53 "ACCOUNTING FOR CONVERTIBLE LIABILITIES" and Opinion No.48 "ACCOUNTING FOR OPTIONS".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adoption of the Standard is expected to affect primarily the presentation of the Company's convertible debentures (the bifurcation of the convertible debentures into debt component and equity component, as these terms are defined by the Standard). Consequently, on January 1, 2006, the Company's shareholders equity will be recorded with a one-time increase of approximately $17,000, while its total convertible debentures will be decreased by same amount. Commencing from that date, said amount will be amortized as financing expenses through 2011.</w:t>
      </w:r>
    </w:p>
    <w:p>
      <w:pPr>
        <w:spacing w:after="0" w:line="191"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STANDARD NO. 24 "SHARE-BASED PAYMENTS" - In September 2005, the Israeli Accounting Standards Board published Accounting Standard No. 24 "SHARE-BASED COMPENSATION" (the "Standard"), which calls for the recognition in the financial statements of share-based payments, including transactions with employees, which are to be settled by the payment of cash, by other assets, or by equity instruments. Under Standard No. 24, amongst other matters, costs associated with grants of shares and options to employees will be expensed over the vesting period of each grant. Said costs will be determined based on the fair value of the grants at each grant date. The Standard establishes guidelines for measuring the fair value of each grant based on the settlement terms (either by cash or equity instrument), and disclosure provisions.</w:t>
      </w:r>
    </w:p>
    <w:p>
      <w:pPr>
        <w:spacing w:after="0" w:line="380"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w:t>
      </w:r>
    </w:p>
    <w:p>
      <w:pPr>
        <w:sectPr>
          <w:pgSz w:w="11900" w:h="16838" w:orient="portrait"/>
          <w:cols w:equalWidth="0" w:num="1">
            <w:col w:w="10219"/>
          </w:cols>
          <w:pgMar w:left="240" w:top="676" w:right="1440" w:bottom="1440" w:gutter="0" w:footer="0" w:header="0"/>
        </w:sectPr>
      </w:pPr>
    </w:p>
    <w:bookmarkStart w:id="24" w:name="page25"/>
    <w:bookmarkEnd w:id="24"/>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91" w:lineRule="exact"/>
        <w:rPr>
          <w:sz w:val="20"/>
          <w:szCs w:val="20"/>
          <w:color w:val="auto"/>
        </w:rPr>
      </w:pPr>
    </w:p>
    <w:p>
      <w:pPr>
        <w:ind w:left="960" w:right="2659" w:hanging="476"/>
        <w:spacing w:after="0" w:line="248"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ISRAELI ACCOUNTING STANDARDS BOARD (cont.)</w:t>
      </w:r>
    </w:p>
    <w:p>
      <w:pPr>
        <w:spacing w:after="0" w:line="184"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STANDARD NO. 24 "SHARE-BASED PAYMENTS"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Standard is effective for financial statements for periods commencing January 1, 2006 or thereafter. The Standard provides that with respect to Share-based payments to be settled by equity instruments, its provisions should be applied to all grants made after March 15, 2005, that are unvested as of December 31, 2005. The Standard further provides that its provisions should be applied to modifications that were made after March 15, 2005, even if the underlying grants are not in the scope of the Standard.</w:t>
      </w:r>
    </w:p>
    <w:p>
      <w:pPr>
        <w:spacing w:after="0" w:line="191" w:lineRule="exact"/>
        <w:rPr>
          <w:rFonts w:ascii="Courier New" w:cs="Courier New" w:eastAsia="Courier New" w:hAnsi="Courier New"/>
          <w:sz w:val="16"/>
          <w:szCs w:val="16"/>
          <w:color w:val="auto"/>
        </w:rPr>
      </w:pPr>
    </w:p>
    <w:p>
      <w:pPr>
        <w:ind w:left="14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the award cost with respect to outstanding employee and director options on which the Standard will be applied amounts to approximately $2,000, to be amortized over 2006-2009.</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w:t>
      </w:r>
    </w:p>
    <w:p>
      <w:pPr>
        <w:spacing w:after="0" w:line="191" w:lineRule="exact"/>
        <w:rPr>
          <w:rFonts w:ascii="Courier New" w:cs="Courier New" w:eastAsia="Courier New" w:hAnsi="Courier New"/>
          <w:sz w:val="16"/>
          <w:szCs w:val="16"/>
          <w:color w:val="auto"/>
        </w:rPr>
      </w:pPr>
    </w:p>
    <w:p>
      <w:pPr>
        <w:ind w:left="960" w:right="33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amounts in prior years financial statements have been reclassified in order to conform to the 2005 presentation.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OTHER RECEIVABLES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receivables consist of the following:</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of Israel - investment grants receivable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government agencies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6"/>
          <w:szCs w:val="16"/>
          <w:color w:val="auto"/>
        </w:rPr>
        <w:t>2005</w:t>
      </w:r>
      <w:r>
        <w:rPr>
          <w:sz w:val="20"/>
          <w:szCs w:val="20"/>
          <w:color w:val="auto"/>
        </w:rPr>
        <w:tab/>
      </w:r>
      <w:r>
        <w:rPr>
          <w:rFonts w:ascii="Courier New" w:cs="Courier New" w:eastAsia="Courier New" w:hAnsi="Courier New"/>
          <w:sz w:val="16"/>
          <w:szCs w:val="16"/>
          <w:color w:val="auto"/>
        </w:rPr>
        <w:t>2004</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$ 7,276</w:t>
        <w:tab/>
        <w:t>$ 8,400</w:t>
      </w:r>
    </w:p>
    <w:p>
      <w:pPr>
        <w:spacing w:after="0" w:line="5"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6"/>
          <w:szCs w:val="16"/>
          <w:color w:val="auto"/>
        </w:rPr>
        <w:t>1,706</w:t>
      </w:r>
      <w:r>
        <w:rPr>
          <w:sz w:val="20"/>
          <w:szCs w:val="20"/>
          <w:color w:val="auto"/>
        </w:rPr>
        <w:tab/>
      </w:r>
      <w:r>
        <w:rPr>
          <w:rFonts w:ascii="Courier New" w:cs="Courier New" w:eastAsia="Courier New" w:hAnsi="Courier New"/>
          <w:sz w:val="16"/>
          <w:szCs w:val="16"/>
          <w:color w:val="auto"/>
        </w:rPr>
        <w:t>2,382</w:t>
      </w:r>
    </w:p>
    <w:p>
      <w:pPr>
        <w:spacing w:after="0" w:line="5" w:lineRule="exact"/>
        <w:rPr>
          <w:sz w:val="20"/>
          <w:szCs w:val="20"/>
          <w:color w:val="auto"/>
        </w:rPr>
      </w:pPr>
    </w:p>
    <w:p>
      <w:pPr>
        <w:ind w:left="480"/>
        <w:spacing w:after="0"/>
        <w:tabs>
          <w:tab w:leader="none" w:pos="13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583</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$ 9,043</w:t>
        <w:tab/>
        <w:t>$11,365</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191" w:lineRule="exact"/>
        <w:rPr>
          <w:sz w:val="20"/>
          <w:szCs w:val="20"/>
          <w:color w:val="auto"/>
        </w:rPr>
      </w:pPr>
    </w:p>
    <w:p>
      <w:pPr>
        <w:sectPr>
          <w:pgSz w:w="11900" w:h="16838" w:orient="portrait"/>
          <w:cols w:equalWidth="0" w:num="2">
            <w:col w:w="4940" w:space="300"/>
            <w:col w:w="49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NOTE 4 - INVENTORIES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Inventories consist of the following (*):</w:t>
      </w:r>
    </w:p>
    <w:p>
      <w:pPr>
        <w:sectPr>
          <w:pgSz w:w="11900" w:h="16838" w:orient="portrait"/>
          <w:cols w:equalWidth="0" w:num="1">
            <w:col w:w="10219"/>
          </w:cols>
          <w:pgMar w:left="240" w:top="6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Spare parts and supplies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 in process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Finished goods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6"/>
          <w:szCs w:val="16"/>
          <w:color w:val="auto"/>
        </w:rPr>
        <w:t>2005</w:t>
      </w:r>
      <w:r>
        <w:rPr>
          <w:sz w:val="20"/>
          <w:szCs w:val="20"/>
          <w:color w:val="auto"/>
        </w:rPr>
        <w:tab/>
      </w:r>
      <w:r>
        <w:rPr>
          <w:rFonts w:ascii="Courier New" w:cs="Courier New" w:eastAsia="Courier New" w:hAnsi="Courier New"/>
          <w:sz w:val="16"/>
          <w:szCs w:val="16"/>
          <w:color w:val="auto"/>
        </w:rPr>
        <w:t>2004</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$ 6,777</w:t>
        <w:tab/>
        <w:t>$ 9,260</w:t>
      </w:r>
    </w:p>
    <w:p>
      <w:pPr>
        <w:spacing w:after="0" w:line="5"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6"/>
          <w:szCs w:val="16"/>
          <w:color w:val="auto"/>
        </w:rPr>
        <w:t>3,738</w:t>
      </w:r>
      <w:r>
        <w:rPr>
          <w:sz w:val="20"/>
          <w:szCs w:val="20"/>
          <w:color w:val="auto"/>
        </w:rPr>
        <w:tab/>
      </w:r>
      <w:r>
        <w:rPr>
          <w:rFonts w:ascii="Courier New" w:cs="Courier New" w:eastAsia="Courier New" w:hAnsi="Courier New"/>
          <w:sz w:val="16"/>
          <w:szCs w:val="16"/>
          <w:color w:val="auto"/>
        </w:rPr>
        <w:t>3,950</w:t>
      </w:r>
    </w:p>
    <w:p>
      <w:pPr>
        <w:spacing w:after="0" w:line="5"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6"/>
          <w:szCs w:val="16"/>
          <w:color w:val="auto"/>
        </w:rPr>
        <w:t>11,502</w:t>
      </w:r>
      <w:r>
        <w:rPr>
          <w:sz w:val="20"/>
          <w:szCs w:val="20"/>
          <w:color w:val="auto"/>
        </w:rPr>
        <w:tab/>
      </w:r>
      <w:r>
        <w:rPr>
          <w:rFonts w:ascii="Courier New" w:cs="Courier New" w:eastAsia="Courier New" w:hAnsi="Courier New"/>
          <w:sz w:val="16"/>
          <w:szCs w:val="16"/>
          <w:color w:val="auto"/>
        </w:rPr>
        <w:t>10,085</w:t>
      </w:r>
    </w:p>
    <w:p>
      <w:pPr>
        <w:spacing w:after="0" w:line="5" w:lineRule="exact"/>
        <w:rPr>
          <w:sz w:val="20"/>
          <w:szCs w:val="20"/>
          <w:color w:val="auto"/>
        </w:rPr>
      </w:pPr>
    </w:p>
    <w:p>
      <w:pPr>
        <w:ind w:left="180"/>
        <w:spacing w:after="0"/>
        <w:tabs>
          <w:tab w:leader="none" w:pos="1140" w:val="left"/>
        </w:tabs>
        <w:rPr>
          <w:sz w:val="20"/>
          <w:szCs w:val="20"/>
          <w:color w:val="auto"/>
        </w:rPr>
      </w:pPr>
      <w:r>
        <w:rPr>
          <w:rFonts w:ascii="Courier New" w:cs="Courier New" w:eastAsia="Courier New" w:hAnsi="Courier New"/>
          <w:sz w:val="16"/>
          <w:szCs w:val="16"/>
          <w:color w:val="auto"/>
        </w:rPr>
        <w:t>2,359</w:t>
      </w:r>
      <w:r>
        <w:rPr>
          <w:sz w:val="20"/>
          <w:szCs w:val="20"/>
          <w:color w:val="auto"/>
        </w:rPr>
        <w:tab/>
      </w:r>
      <w:r>
        <w:rPr>
          <w:rFonts w:ascii="Courier New" w:cs="Courier New" w:eastAsia="Courier New" w:hAnsi="Courier New"/>
          <w:sz w:val="16"/>
          <w:szCs w:val="16"/>
          <w:color w:val="auto"/>
        </w:rPr>
        <w:t>2,374</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$24,376</w:t>
        <w:tab/>
        <w:t>$25,669</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191" w:lineRule="exact"/>
        <w:rPr>
          <w:sz w:val="20"/>
          <w:szCs w:val="20"/>
          <w:color w:val="auto"/>
        </w:rPr>
      </w:pPr>
    </w:p>
    <w:p>
      <w:pPr>
        <w:sectPr>
          <w:pgSz w:w="11900" w:h="16838" w:orient="portrait"/>
          <w:cols w:equalWidth="0" w:num="2">
            <w:col w:w="2320" w:space="300"/>
            <w:col w:w="7599"/>
          </w:cols>
          <w:pgMar w:left="240" w:top="676" w:right="1440" w:bottom="1440" w:gutter="0" w:footer="0" w:header="0"/>
          <w:type w:val="continuous"/>
        </w:sectPr>
      </w:pPr>
    </w:p>
    <w:p>
      <w:pPr>
        <w:ind w:left="960" w:right="2859"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aggregate write-downs to net realizable value of $3,259 and $2,665 as of December 31, 2005 and 2004, respectively.</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w:t>
      </w:r>
    </w:p>
    <w:p>
      <w:pPr>
        <w:sectPr>
          <w:pgSz w:w="11900" w:h="16838" w:orient="portrait"/>
          <w:cols w:equalWidth="0" w:num="1">
            <w:col w:w="10219"/>
          </w:cols>
          <w:pgMar w:left="240" w:top="676" w:right="1440" w:bottom="1440" w:gutter="0" w:footer="0" w:header="0"/>
          <w:type w:val="continuous"/>
        </w:sectPr>
      </w:pPr>
    </w:p>
    <w:bookmarkStart w:id="25" w:name="page26"/>
    <w:bookmarkEnd w:id="25"/>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NOTE 5 - PROPERTY AND EQUIPMENT, NET</w:t>
            </w: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73"/>
        </w:trPr>
        <w:tc>
          <w:tcPr>
            <w:tcW w:w="820" w:type="dxa"/>
            <w:vAlign w:val="bottom"/>
          </w:tcPr>
          <w:p>
            <w:pPr>
              <w:ind w:left="480"/>
              <w:spacing w:after="0"/>
              <w:rPr>
                <w:sz w:val="20"/>
                <w:szCs w:val="20"/>
                <w:color w:val="auto"/>
              </w:rPr>
            </w:pPr>
            <w:r>
              <w:rPr>
                <w:rFonts w:ascii="Courier New" w:cs="Courier New" w:eastAsia="Courier New" w:hAnsi="Courier New"/>
                <w:sz w:val="16"/>
                <w:szCs w:val="16"/>
                <w:color w:val="auto"/>
              </w:rPr>
              <w:t>A.</w:t>
            </w:r>
          </w:p>
        </w:tc>
        <w:tc>
          <w:tcPr>
            <w:tcW w:w="3580" w:type="dxa"/>
            <w:vAlign w:val="bottom"/>
          </w:tcPr>
          <w:p>
            <w:pPr>
              <w:ind w:left="140"/>
              <w:spacing w:after="0"/>
              <w:rPr>
                <w:sz w:val="20"/>
                <w:szCs w:val="20"/>
                <w:color w:val="auto"/>
              </w:rPr>
            </w:pPr>
            <w:r>
              <w:rPr>
                <w:rFonts w:ascii="Courier New" w:cs="Courier New" w:eastAsia="Courier New" w:hAnsi="Courier New"/>
                <w:sz w:val="16"/>
                <w:szCs w:val="16"/>
                <w:color w:val="auto"/>
              </w:rPr>
              <w:t>COMPOSITION</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9"/>
        </w:trPr>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2005</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Prepaid perpetual land lease and buildings</w:t>
            </w:r>
          </w:p>
        </w:tc>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(including facility infrastructure)</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$237,401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$235,632</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Machinery and equipment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709,862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688,691</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Transportation vehicles</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2,989</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947,688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927,312</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ACCUMULATED DEPRECIATION AND AMORTIZATION:</w:t>
            </w:r>
          </w:p>
        </w:tc>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Prepaid perpetual land lease and buildings</w:t>
            </w:r>
          </w:p>
        </w:tc>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(including facility infrastructure)</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47,841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33,960</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Machinery and equipment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388,867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282,092</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Transportation vehicles</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1,964</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437,043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318,016</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$510,645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$609,296</w:t>
            </w:r>
          </w:p>
        </w:tc>
      </w:tr>
      <w:tr>
        <w:trPr>
          <w:trHeight w:val="186"/>
        </w:trPr>
        <w:tc>
          <w:tcPr>
            <w:tcW w:w="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SUPPLEMENTAL DISCLOSURE RELATING TO COST OF PROPERTY AND EQUIPMENT:</w:t>
      </w:r>
    </w:p>
    <w:p>
      <w:pPr>
        <w:spacing w:after="0" w:line="191" w:lineRule="exact"/>
        <w:rPr>
          <w:sz w:val="20"/>
          <w:szCs w:val="20"/>
          <w:color w:val="auto"/>
        </w:rPr>
      </w:pPr>
    </w:p>
    <w:p>
      <w:pPr>
        <w:ind w:left="1460" w:right="2959" w:hanging="492"/>
        <w:spacing w:after="0" w:line="247" w:lineRule="auto"/>
        <w:tabs>
          <w:tab w:leader="none" w:pos="1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and 2004, the cost of property and equipment included costs relating to Fab 2 in the amount of $713,837 and $701,982, respectively. Said amounts are net of investment grants of $165,222 and $158,830, respectively.</w:t>
      </w:r>
    </w:p>
    <w:p>
      <w:pPr>
        <w:spacing w:after="0" w:line="185"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the cost of buildings, machinery and equipment was reflected net of investment grants in the aggregate of $268,688 (as of December 31, 2004 - $262,320).</w:t>
      </w:r>
    </w:p>
    <w:p>
      <w:pPr>
        <w:spacing w:after="0" w:line="185" w:lineRule="exact"/>
        <w:rPr>
          <w:rFonts w:ascii="Courier New" w:cs="Courier New" w:eastAsia="Courier New" w:hAnsi="Courier New"/>
          <w:sz w:val="16"/>
          <w:szCs w:val="16"/>
          <w:color w:val="auto"/>
        </w:rPr>
      </w:pPr>
    </w:p>
    <w:p>
      <w:pPr>
        <w:ind w:left="1460" w:right="2559" w:hanging="492"/>
        <w:spacing w:after="0" w:line="248" w:lineRule="auto"/>
        <w:tabs>
          <w:tab w:leader="none" w:pos="1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property and equipment as of December 31, 2005 and 2004 includes capitalized interest costs in the aggregate of $18,480.</w:t>
      </w:r>
    </w:p>
    <w:p>
      <w:pPr>
        <w:spacing w:after="0" w:line="184"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commencement of Fab 2 operations in the third quarter of 2003, in which the building and infrastructures of Fab 2 were substantially completed and became ready for their intended use, the Company began to depreciate Fab 2 property and equipment, resulting in depreciation expenses of $109,283, $93,457 and $35,582 in 2005, 2004 and 2003, respectively.</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w:t>
      </w:r>
    </w:p>
    <w:p>
      <w:pPr>
        <w:sectPr>
          <w:pgSz w:w="11900" w:h="16838" w:orient="portrait"/>
          <w:cols w:equalWidth="0" w:num="1">
            <w:col w:w="10219"/>
          </w:cols>
          <w:pgMar w:left="240" w:top="676" w:right="1440" w:bottom="1440" w:gutter="0" w:footer="0" w:header="0"/>
        </w:sectPr>
      </w:pPr>
    </w:p>
    <w:bookmarkStart w:id="26" w:name="page27"/>
    <w:bookmarkEnd w:id="26"/>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PROPERTY AND EQUIPMENT, NET (cont.)</w:t>
      </w:r>
    </w:p>
    <w:p>
      <w:pPr>
        <w:spacing w:after="0" w:line="191" w:lineRule="exact"/>
        <w:rPr>
          <w:sz w:val="20"/>
          <w:szCs w:val="20"/>
          <w:color w:val="auto"/>
        </w:rPr>
      </w:pPr>
    </w:p>
    <w:p>
      <w:pPr>
        <w:ind w:left="960" w:hanging="476"/>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GRANTS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90"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1996, an investment program ("1996 program") for expansion of Fab 1 in the aggregate amount (as amended in December 1999 and</w:t>
      </w:r>
    </w:p>
    <w:p>
      <w:pPr>
        <w:spacing w:after="0" w:line="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2005, the report has not yet received final approval from the Investment Center.</w:t>
      </w:r>
    </w:p>
    <w:p>
      <w:pPr>
        <w:spacing w:after="0" w:line="185" w:lineRule="exact"/>
        <w:rPr>
          <w:rFonts w:ascii="Courier New" w:cs="Courier New" w:eastAsia="Courier New" w:hAnsi="Courier New"/>
          <w:sz w:val="16"/>
          <w:szCs w:val="16"/>
          <w:color w:val="auto"/>
        </w:rPr>
      </w:pPr>
    </w:p>
    <w:p>
      <w:pPr>
        <w:ind w:left="960" w:right="29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11A(8) with respect to the Fab 2 program approved by the Investment Center in December 2000.</w:t>
      </w:r>
    </w:p>
    <w:p>
      <w:pPr>
        <w:spacing w:after="0" w:line="184"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also Note 17A.</w:t>
      </w:r>
    </w:p>
    <w:p>
      <w:pPr>
        <w:spacing w:after="0" w:line="192"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liens see Note 11A(6).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OTHER ASSETS, NET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ind w:left="480"/>
              <w:spacing w:after="0"/>
              <w:rPr>
                <w:sz w:val="20"/>
                <w:szCs w:val="20"/>
                <w:color w:val="auto"/>
              </w:rPr>
            </w:pPr>
            <w:r>
              <w:rPr>
                <w:rFonts w:ascii="Courier New" w:cs="Courier New" w:eastAsia="Courier New" w:hAnsi="Courier New"/>
                <w:sz w:val="16"/>
                <w:szCs w:val="16"/>
                <w:color w:val="auto"/>
              </w:rPr>
              <w:t>Other assets, net consist of the following:</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5080" w:type="dxa"/>
            <w:vAlign w:val="bottom"/>
          </w:tcPr>
          <w:p>
            <w:pPr>
              <w:spacing w:after="0"/>
              <w:rPr>
                <w:sz w:val="24"/>
                <w:szCs w:val="24"/>
                <w:color w:val="auto"/>
              </w:rPr>
            </w:pPr>
          </w:p>
        </w:tc>
        <w:tc>
          <w:tcPr>
            <w:tcW w:w="2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508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20"/>
                <w:szCs w:val="20"/>
                <w:color w:val="auto"/>
              </w:rPr>
            </w:pPr>
            <w:r>
              <w:rPr>
                <w:rFonts w:ascii="Courier New" w:cs="Courier New" w:eastAsia="Courier New" w:hAnsi="Courier New"/>
                <w:sz w:val="16"/>
                <w:szCs w:val="16"/>
                <w:color w:val="auto"/>
              </w:rPr>
              <w:t>TECHNOLOGIES (in relation to Fab 2) - Note 11A(2)</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080" w:type="dxa"/>
            <w:vAlign w:val="bottom"/>
          </w:tcPr>
          <w:p>
            <w:pPr>
              <w:ind w:left="380"/>
              <w:spacing w:after="0"/>
              <w:rPr>
                <w:sz w:val="20"/>
                <w:szCs w:val="20"/>
                <w:color w:val="auto"/>
              </w:rPr>
            </w:pPr>
            <w:r>
              <w:rPr>
                <w:rFonts w:ascii="Courier New" w:cs="Courier New" w:eastAsia="Courier New" w:hAnsi="Courier New"/>
                <w:sz w:val="16"/>
                <w:szCs w:val="16"/>
                <w:color w:val="auto"/>
              </w:rPr>
              <w:t>Cost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$94,247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$90,747</w:t>
            </w:r>
          </w:p>
        </w:tc>
      </w:tr>
      <w:tr>
        <w:trPr>
          <w:trHeight w:val="186"/>
        </w:trPr>
        <w:tc>
          <w:tcPr>
            <w:tcW w:w="5080" w:type="dxa"/>
            <w:vAlign w:val="bottom"/>
          </w:tcPr>
          <w:p>
            <w:pPr>
              <w:ind w:left="380"/>
              <w:spacing w:after="0"/>
              <w:rPr>
                <w:sz w:val="20"/>
                <w:szCs w:val="20"/>
                <w:color w:val="auto"/>
              </w:rPr>
            </w:pPr>
            <w:r>
              <w:rPr>
                <w:rFonts w:ascii="Courier New" w:cs="Courier New" w:eastAsia="Courier New" w:hAnsi="Courier New"/>
                <w:sz w:val="16"/>
                <w:szCs w:val="16"/>
                <w:color w:val="auto"/>
              </w:rPr>
              <w:t>Accumulated amortization (*)</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32,806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13,797</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$61,441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$76,950</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20"/>
                <w:szCs w:val="20"/>
                <w:color w:val="auto"/>
              </w:rPr>
            </w:pPr>
            <w:r>
              <w:rPr>
                <w:rFonts w:ascii="Courier New" w:cs="Courier New" w:eastAsia="Courier New" w:hAnsi="Courier New"/>
                <w:sz w:val="16"/>
                <w:szCs w:val="16"/>
                <w:color w:val="auto"/>
              </w:rPr>
              <w:t>OTHER ASSETS (in relation to Fab 2)</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080" w:type="dxa"/>
            <w:vAlign w:val="bottom"/>
          </w:tcPr>
          <w:p>
            <w:pPr>
              <w:ind w:left="380"/>
              <w:spacing w:after="0"/>
              <w:rPr>
                <w:sz w:val="20"/>
                <w:szCs w:val="20"/>
                <w:color w:val="auto"/>
              </w:rPr>
            </w:pPr>
            <w:r>
              <w:rPr>
                <w:rFonts w:ascii="Courier New" w:cs="Courier New" w:eastAsia="Courier New" w:hAnsi="Courier New"/>
                <w:sz w:val="16"/>
                <w:szCs w:val="16"/>
                <w:color w:val="auto"/>
              </w:rPr>
              <w:t>COST - Deferred financing charges</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$24,049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$20,915</w:t>
            </w:r>
          </w:p>
        </w:tc>
      </w:tr>
      <w:tr>
        <w:trPr>
          <w:trHeight w:val="186"/>
        </w:trPr>
        <w:tc>
          <w:tcPr>
            <w:tcW w:w="5080" w:type="dxa"/>
            <w:vAlign w:val="bottom"/>
          </w:tcPr>
          <w:p>
            <w:pPr>
              <w:ind w:left="1060"/>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4,448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3,217</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28,497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24,132</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ind w:left="380"/>
              <w:spacing w:after="0"/>
              <w:rPr>
                <w:sz w:val="20"/>
                <w:szCs w:val="20"/>
                <w:color w:val="auto"/>
              </w:rPr>
            </w:pPr>
            <w:r>
              <w:rPr>
                <w:rFonts w:ascii="Courier New" w:cs="Courier New" w:eastAsia="Courier New" w:hAnsi="Courier New"/>
                <w:sz w:val="16"/>
                <w:szCs w:val="16"/>
                <w:color w:val="auto"/>
              </w:rPr>
              <w:t>ACCUMULATED AMORTIZATION (**):</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080" w:type="dxa"/>
            <w:vAlign w:val="bottom"/>
          </w:tcPr>
          <w:p>
            <w:pPr>
              <w:ind w:left="1060"/>
              <w:spacing w:after="0"/>
              <w:rPr>
                <w:sz w:val="20"/>
                <w:szCs w:val="20"/>
                <w:color w:val="auto"/>
              </w:rPr>
            </w:pPr>
            <w:r>
              <w:rPr>
                <w:rFonts w:ascii="Courier New" w:cs="Courier New" w:eastAsia="Courier New" w:hAnsi="Courier New"/>
                <w:sz w:val="16"/>
                <w:szCs w:val="16"/>
                <w:color w:val="auto"/>
              </w:rPr>
              <w:t>Deferred financing charges</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10,812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6,606</w:t>
            </w:r>
          </w:p>
        </w:tc>
      </w:tr>
      <w:tr>
        <w:trPr>
          <w:trHeight w:val="186"/>
        </w:trPr>
        <w:tc>
          <w:tcPr>
            <w:tcW w:w="5080" w:type="dxa"/>
            <w:vAlign w:val="bottom"/>
          </w:tcPr>
          <w:p>
            <w:pPr>
              <w:ind w:left="1060"/>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1,326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12,138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7,599</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$16,359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$16,533</w:t>
            </w:r>
          </w:p>
        </w:tc>
      </w:tr>
      <w:tr>
        <w:trPr>
          <w:trHeight w:val="186"/>
        </w:trPr>
        <w:tc>
          <w:tcPr>
            <w:tcW w:w="50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jc w:val="both"/>
        <w:ind w:left="480" w:right="5379" w:firstLine="4"/>
        <w:spacing w:after="0" w:line="248" w:lineRule="auto"/>
        <w:tabs>
          <w:tab w:leader="none" w:pos="9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amortization policy, see Note 2F(1). (**) For amortization policy, see Note 2F(2).</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16 -</w:t>
      </w:r>
    </w:p>
    <w:p>
      <w:pPr>
        <w:sectPr>
          <w:pgSz w:w="11900" w:h="16838" w:orient="portrait"/>
          <w:cols w:equalWidth="0" w:num="1">
            <w:col w:w="10219"/>
          </w:cols>
          <w:pgMar w:left="240" w:top="676" w:right="1440" w:bottom="695" w:gutter="0" w:footer="0" w:header="0"/>
        </w:sectPr>
      </w:pPr>
    </w:p>
    <w:bookmarkStart w:id="27" w:name="page28"/>
    <w:bookmarkEnd w:id="2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OTHER CURRENT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Other current liabilities consist of the following:</w:t>
            </w:r>
          </w:p>
        </w:tc>
        <w:tc>
          <w:tcPr>
            <w:tcW w:w="1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45"/>
        </w:trPr>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Accrued salaries</w:t>
            </w: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$ 3,162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$ 3,902</w:t>
            </w:r>
          </w:p>
        </w:tc>
      </w:tr>
      <w:tr>
        <w:trPr>
          <w:trHeight w:val="186"/>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Vacation accrual</w:t>
            </w: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2,322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3,509</w:t>
            </w:r>
          </w:p>
        </w:tc>
      </w:tr>
      <w:tr>
        <w:trPr>
          <w:trHeight w:val="186"/>
        </w:trPr>
        <w:tc>
          <w:tcPr>
            <w:tcW w:w="7080" w:type="dxa"/>
            <w:vAlign w:val="bottom"/>
            <w:gridSpan w:val="4"/>
          </w:tcPr>
          <w:p>
            <w:pPr>
              <w:spacing w:after="0"/>
              <w:rPr>
                <w:sz w:val="20"/>
                <w:szCs w:val="20"/>
                <w:color w:val="auto"/>
              </w:rPr>
            </w:pPr>
            <w:r>
              <w:rPr>
                <w:rFonts w:ascii="Courier New" w:cs="Courier New" w:eastAsia="Courier New" w:hAnsi="Courier New"/>
                <w:sz w:val="16"/>
                <w:szCs w:val="16"/>
                <w:color w:val="auto"/>
              </w:rPr>
              <w:t>Interest payable (primarily in relation to convertible debentures)</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1,263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1,208</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2,225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2,059</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$ 8,972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$10,678</w:t>
            </w: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NOTE 8 - LONG-TERM DEBT</w:t>
            </w: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3"/>
        </w:trPr>
        <w:tc>
          <w:tcPr>
            <w:tcW w:w="820" w:type="dxa"/>
            <w:vAlign w:val="bottom"/>
          </w:tcPr>
          <w:p>
            <w:pPr>
              <w:ind w:left="480"/>
              <w:spacing w:after="0"/>
              <w:rPr>
                <w:sz w:val="20"/>
                <w:szCs w:val="20"/>
                <w:color w:val="auto"/>
              </w:rPr>
            </w:pPr>
            <w:r>
              <w:rPr>
                <w:rFonts w:ascii="Courier New" w:cs="Courier New" w:eastAsia="Courier New" w:hAnsi="Courier New"/>
                <w:sz w:val="16"/>
                <w:szCs w:val="16"/>
                <w:color w:val="auto"/>
              </w:rPr>
              <w:t>A.</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COMPOSITION:</w:t>
            </w: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45"/>
        </w:trPr>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As of December 31,</w:t>
            </w:r>
          </w:p>
        </w:tc>
        <w:tc>
          <w:tcPr>
            <w:tcW w:w="960" w:type="dxa"/>
            <w:vAlign w:val="bottom"/>
          </w:tcPr>
          <w:p>
            <w:pPr>
              <w:spacing w:after="0"/>
              <w:rPr>
                <w:sz w:val="24"/>
                <w:szCs w:val="24"/>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Effective interest rate as of</w:t>
            </w:r>
          </w:p>
        </w:tc>
        <w:tc>
          <w:tcPr>
            <w:tcW w:w="26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December 31, 2005</w:t>
            </w:r>
          </w:p>
        </w:tc>
        <w:tc>
          <w:tcPr>
            <w:tcW w:w="15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2005</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2004</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373"/>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In U.S. Dollar</w:t>
            </w:r>
          </w:p>
        </w:tc>
        <w:tc>
          <w:tcPr>
            <w:tcW w:w="30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7.06%</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$438,103</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$417,000</w:t>
            </w:r>
          </w:p>
        </w:tc>
        <w:tc>
          <w:tcPr>
            <w:tcW w:w="960" w:type="dxa"/>
            <w:vAlign w:val="bottom"/>
          </w:tcPr>
          <w:p>
            <w:pPr>
              <w:spacing w:after="0"/>
              <w:rPr>
                <w:sz w:val="24"/>
                <w:szCs w:val="24"/>
                <w:color w:val="auto"/>
              </w:rPr>
            </w:pPr>
          </w:p>
        </w:tc>
      </w:tr>
      <w:tr>
        <w:trPr>
          <w:trHeight w:val="186"/>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In U.S. Dollar</w:t>
            </w:r>
          </w:p>
        </w:tc>
        <w:tc>
          <w:tcPr>
            <w:tcW w:w="30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6.5%</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80,000</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80,000</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Total long-term debt</w:t>
            </w:r>
          </w:p>
        </w:tc>
        <w:tc>
          <w:tcPr>
            <w:tcW w:w="304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518,103</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497,000</w:t>
            </w:r>
          </w:p>
        </w:tc>
        <w:tc>
          <w:tcPr>
            <w:tcW w:w="960" w:type="dxa"/>
            <w:vAlign w:val="bottom"/>
          </w:tcPr>
          <w:p>
            <w:pPr>
              <w:spacing w:after="0"/>
              <w:rPr>
                <w:sz w:val="16"/>
                <w:szCs w:val="16"/>
                <w:color w:val="auto"/>
              </w:rPr>
            </w:pPr>
          </w:p>
        </w:tc>
      </w:tr>
      <w:tr>
        <w:trPr>
          <w:trHeight w:val="186"/>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Less - current maturities</w:t>
            </w:r>
          </w:p>
        </w:tc>
        <w:tc>
          <w:tcPr>
            <w:tcW w:w="304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7.06%</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21,103</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$497,000</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$497,000</w:t>
            </w:r>
          </w:p>
        </w:tc>
        <w:tc>
          <w:tcPr>
            <w:tcW w:w="96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bl>
    <w:p>
      <w:pPr>
        <w:spacing w:after="0" w:line="377" w:lineRule="exact"/>
        <w:rPr>
          <w:sz w:val="20"/>
          <w:szCs w:val="20"/>
          <w:color w:val="auto"/>
        </w:rPr>
      </w:pPr>
    </w:p>
    <w:p>
      <w:pPr>
        <w:ind w:left="960" w:right="2459" w:hanging="476"/>
        <w:spacing w:after="0" w:line="246" w:lineRule="auto"/>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loans received under the Facility Agreement bear interest based on the three-month USD Libor rate plus 2.5%, as revised under the amendment to the Facility Agreement described in detail in Note 11A(6). Prior to the closing of this amendment in December 2003, the loans bore interest based on the three-month USD Libor rate plus</w:t>
      </w:r>
    </w:p>
    <w:p>
      <w:pPr>
        <w:spacing w:after="0" w:line="2"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1.55%. The effective interest rate as of December 31, 2005 of loans, the amount of which as of such date was $292,000, includes the terms of collar agreements with knock-out and knock-in features described in Note 18A. Interest is payable at the end of each quarter.</w:t>
      </w:r>
    </w:p>
    <w:p>
      <w:pPr>
        <w:spacing w:after="0" w:line="185" w:lineRule="exact"/>
        <w:rPr>
          <w:rFonts w:ascii="Courier New" w:cs="Courier New" w:eastAsia="Courier New" w:hAnsi="Courier New"/>
          <w:sz w:val="16"/>
          <w:szCs w:val="16"/>
          <w:color w:val="auto"/>
        </w:rPr>
      </w:pPr>
    </w:p>
    <w:p>
      <w:pPr>
        <w:ind w:left="960" w:right="2559" w:hanging="476"/>
        <w:spacing w:after="0" w:line="247" w:lineRule="auto"/>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additional information regarding the Facility Agreement, as amended, between the Company and the Banks for financing the construction and equipping of Fab 2, including re-borrowing terms and including loans withdrawn under the July 2005 amendment to the Facility Agreement, see Note 11A(6).</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SCHEDULE</w:t>
      </w:r>
    </w:p>
    <w:p>
      <w:pPr>
        <w:spacing w:after="0" w:line="191" w:lineRule="exact"/>
        <w:rPr>
          <w:sz w:val="20"/>
          <w:szCs w:val="20"/>
          <w:color w:val="auto"/>
        </w:rPr>
      </w:pPr>
    </w:p>
    <w:p>
      <w:pPr>
        <w:ind w:left="960" w:right="2459"/>
        <w:spacing w:after="0" w:line="248" w:lineRule="auto"/>
        <w:rPr>
          <w:sz w:val="20"/>
          <w:szCs w:val="20"/>
          <w:color w:val="auto"/>
        </w:rPr>
      </w:pPr>
      <w:r>
        <w:rPr>
          <w:rFonts w:ascii="Courier New" w:cs="Courier New" w:eastAsia="Courier New" w:hAnsi="Courier New"/>
          <w:sz w:val="16"/>
          <w:szCs w:val="16"/>
          <w:color w:val="auto"/>
        </w:rPr>
        <w:t>The balance of the long-term debt as of December 31, 2005 is repayable as follows:</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83"/>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2006</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rPr>
              <w:t>- current maturities</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$ 21,103</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2007</w:t>
            </w: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151,667</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2008</w:t>
            </w: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165,667</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2009</w:t>
            </w: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165,666</w:t>
            </w:r>
          </w:p>
        </w:tc>
      </w:tr>
      <w:tr>
        <w:trPr>
          <w:trHeight w:val="18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2010</w:t>
            </w: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r>
      <w:tr>
        <w:trPr>
          <w:trHeight w:val="186"/>
        </w:trPr>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$518,103</w:t>
            </w:r>
          </w:p>
        </w:tc>
      </w:tr>
      <w:tr>
        <w:trPr>
          <w:trHeight w:val="186"/>
        </w:trPr>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500" w:type="dxa"/>
            <w:vAlign w:val="bottom"/>
          </w:tcPr>
          <w:p>
            <w:pPr>
              <w:jc w:val="right"/>
              <w:ind w:right="2739"/>
              <w:spacing w:after="0"/>
              <w:rPr>
                <w:sz w:val="20"/>
                <w:szCs w:val="20"/>
                <w:color w:val="auto"/>
              </w:rPr>
            </w:pPr>
            <w:r>
              <w:rPr>
                <w:rFonts w:ascii="Courier New" w:cs="Courier New" w:eastAsia="Courier New" w:hAnsi="Courier New"/>
                <w:sz w:val="16"/>
                <w:szCs w:val="16"/>
                <w:color w:val="auto"/>
              </w:rPr>
              <w:t>- 17 -</w:t>
            </w:r>
          </w:p>
        </w:tc>
      </w:tr>
    </w:tbl>
    <w:p>
      <w:pPr>
        <w:sectPr>
          <w:pgSz w:w="11900" w:h="16838" w:orient="portrait"/>
          <w:cols w:equalWidth="0" w:num="1">
            <w:col w:w="10219"/>
          </w:cols>
          <w:pgMar w:left="240" w:top="676" w:right="1440" w:bottom="1440" w:gutter="0" w:footer="0" w:header="0"/>
        </w:sectPr>
      </w:pPr>
    </w:p>
    <w:bookmarkStart w:id="28" w:name="page29"/>
    <w:bookmarkEnd w:id="2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LONG-TERM DEBT (cont.)</w:t>
      </w:r>
    </w:p>
    <w:p>
      <w:pPr>
        <w:spacing w:after="0" w:line="191" w:lineRule="exact"/>
        <w:rPr>
          <w:sz w:val="20"/>
          <w:szCs w:val="20"/>
          <w:color w:val="auto"/>
        </w:rPr>
      </w:pPr>
    </w:p>
    <w:p>
      <w:pPr>
        <w:ind w:left="960" w:right="2459" w:hanging="476"/>
        <w:spacing w:after="0" w:line="246" w:lineRule="auto"/>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with the Company's Banks restricts the Company's ability to place liens on its assets (other than to the State of Israel in respect of investment grants - see Note 11A(8), and to Siliconix - see Note 11E(3)) without the prior consent of the Banks. Furthermore, the agreements contain certain restrictive financial covenants (see also Note 11A(6)). For further details concerning amendments to the Facility Agreement for revised financial ratios and covenants for 2005 and 2006, see Note 11A(6).</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CONVERTIBLE DEBENTURES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Pr>
          <w:p>
            <w:pPr>
              <w:ind w:left="480"/>
              <w:spacing w:after="0"/>
              <w:rPr>
                <w:sz w:val="20"/>
                <w:szCs w:val="20"/>
                <w:color w:val="auto"/>
              </w:rPr>
            </w:pPr>
            <w:r>
              <w:rPr>
                <w:rFonts w:ascii="Courier New" w:cs="Courier New" w:eastAsia="Courier New" w:hAnsi="Courier New"/>
                <w:sz w:val="16"/>
                <w:szCs w:val="16"/>
                <w:color w:val="auto"/>
              </w:rPr>
              <w:t>A.</w:t>
            </w:r>
          </w:p>
        </w:tc>
        <w:tc>
          <w:tcPr>
            <w:tcW w:w="1600" w:type="dxa"/>
            <w:vAlign w:val="bottom"/>
          </w:tcPr>
          <w:p>
            <w:pPr>
              <w:ind w:left="140"/>
              <w:spacing w:after="0"/>
              <w:rPr>
                <w:sz w:val="20"/>
                <w:szCs w:val="20"/>
                <w:color w:val="auto"/>
              </w:rPr>
            </w:pPr>
            <w:r>
              <w:rPr>
                <w:rFonts w:ascii="Courier New" w:cs="Courier New" w:eastAsia="Courier New" w:hAnsi="Courier New"/>
                <w:sz w:val="16"/>
                <w:szCs w:val="16"/>
                <w:color w:val="auto"/>
              </w:rPr>
              <w:t>COMPOSITION:</w:t>
            </w:r>
          </w:p>
        </w:tc>
        <w:tc>
          <w:tcPr>
            <w:tcW w:w="2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3"/>
        </w:trPr>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Interest rate as of</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December 31, 2005</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2005</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Convertible debentures</w:t>
            </w:r>
          </w:p>
        </w:tc>
        <w:tc>
          <w:tcPr>
            <w:tcW w:w="21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4.7%</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$25,811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$26,651</w:t>
            </w: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w w:val="99"/>
              </w:rPr>
              <w:t>Less - current maturities</w:t>
            </w:r>
          </w:p>
        </w:tc>
        <w:tc>
          <w:tcPr>
            <w:tcW w:w="218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6,453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$19,358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$26,651</w:t>
            </w:r>
          </w:p>
        </w:tc>
      </w:tr>
      <w:tr>
        <w:trPr>
          <w:trHeight w:val="186"/>
        </w:trPr>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190" w:lineRule="exact"/>
        <w:rPr>
          <w:sz w:val="20"/>
          <w:szCs w:val="20"/>
          <w:color w:val="auto"/>
        </w:rPr>
      </w:pPr>
    </w:p>
    <w:p>
      <w:pPr>
        <w:ind w:left="960" w:right="2459" w:hanging="476"/>
        <w:spacing w:after="0" w:line="246" w:lineRule="auto"/>
        <w:tabs>
          <w:tab w:leader="none" w:pos="9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2002, the Company issued on the Tel-Aviv Stock Exchange, NIS 110,579,800 principal amount of convertible debentures, linked to the Israeli Consumer Price Index ("CPI") (adjusted to the CPI as of December 31, 2005 - NIS 119,960,426, $26,061). The debentures were issued at 96% of their par value, and bear annual interest at the rate of 4.7%, payable in January of each year commencing in January 2003. The principal amount is payable in four equal installments in January of each year between 2006 and 2009. The debentures may be converted until December 31, 2008 into Ordinary Shares, at a conversion rate of one Ordinary Share per each NIS 41.00 principal amount of the debentures, linked to the CPI (subject to customary adjustments) (adjusted to the CPI as of December 31, 2005 - NIS 44.48, $9.66).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13E, the effective rate of interest on the convertible debentures is 9.88%.</w:t>
      </w:r>
    </w:p>
    <w:p>
      <w:pPr>
        <w:spacing w:after="0" w:line="197"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conditions and the Company's Facility Agreement, the Company may announce the early redemption of the debentures or part thereof, provided that the sum of the last payment on account of the principal shall be no less than approximately $700.</w:t>
      </w:r>
    </w:p>
    <w:p>
      <w:pPr>
        <w:spacing w:after="0" w:line="185"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85"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85" w:lineRule="exact"/>
        <w:rPr>
          <w:rFonts w:ascii="Courier New" w:cs="Courier New" w:eastAsia="Courier New" w:hAnsi="Courier New"/>
          <w:sz w:val="16"/>
          <w:szCs w:val="16"/>
          <w:color w:val="auto"/>
        </w:rPr>
      </w:pPr>
    </w:p>
    <w:p>
      <w:pPr>
        <w:ind w:left="960" w:right="3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20F for disclosure of the accounting treatment of the convertible debentures in accordance with U.S. GAAP.</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w:t>
      </w:r>
    </w:p>
    <w:p>
      <w:pPr>
        <w:sectPr>
          <w:pgSz w:w="11900" w:h="16838" w:orient="portrait"/>
          <w:cols w:equalWidth="0" w:num="1">
            <w:col w:w="10219"/>
          </w:cols>
          <w:pgMar w:left="240" w:top="676" w:right="1440" w:bottom="1440" w:gutter="0" w:footer="0" w:header="0"/>
        </w:sectPr>
      </w:pPr>
    </w:p>
    <w:bookmarkStart w:id="29" w:name="page30"/>
    <w:bookmarkEnd w:id="2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CONVERTIBLE DEBENTURES (cont.)</w:t>
      </w:r>
    </w:p>
    <w:p>
      <w:pPr>
        <w:spacing w:after="0" w:line="191" w:lineRule="exact"/>
        <w:rPr>
          <w:sz w:val="20"/>
          <w:szCs w:val="20"/>
          <w:color w:val="auto"/>
        </w:rPr>
      </w:pPr>
    </w:p>
    <w:p>
      <w:pPr>
        <w:ind w:left="960" w:right="2659" w:hanging="476"/>
        <w:spacing w:after="0" w:line="246" w:lineRule="auto"/>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initial adoption of Accounting Standard No. 22 "FINANCIAL INSTRUMENTS: DISCLOSURE AND PRESENTATION" of the Israeli Accounting Standards Board (see Note 2P(1)) in the first quarter of 2006, the Company's convertible debentures would be bifurcated in a manner by which the Company's shareholders' equity would increase by approximately $500 and the convertible debentures will be reduced by the same amount. Said amount will be expensed as financing expenses through 2009.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NOTE 10 - OTHER LONG-TERM LIABILITIES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73"/>
        </w:trPr>
        <w:tc>
          <w:tcPr>
            <w:tcW w:w="780" w:type="dxa"/>
            <w:vAlign w:val="bottom"/>
          </w:tcPr>
          <w:p>
            <w:pPr>
              <w:ind w:left="480"/>
              <w:spacing w:after="0"/>
              <w:rPr>
                <w:sz w:val="20"/>
                <w:szCs w:val="20"/>
                <w:color w:val="auto"/>
              </w:rPr>
            </w:pPr>
            <w:r>
              <w:rPr>
                <w:rFonts w:ascii="Courier New" w:cs="Courier New" w:eastAsia="Courier New" w:hAnsi="Courier New"/>
                <w:sz w:val="16"/>
                <w:szCs w:val="16"/>
                <w:color w:val="auto"/>
              </w:rPr>
              <w:t>A.</w:t>
            </w:r>
          </w:p>
        </w:tc>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COMPOSITION</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45"/>
        </w:trPr>
        <w:tc>
          <w:tcPr>
            <w:tcW w:w="7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2005</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Net liability for employee</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5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termination benefits (see B below):</w:t>
            </w:r>
          </w:p>
        </w:tc>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56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Gross obligation</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$ 18,445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$ 20,938</w:t>
            </w:r>
          </w:p>
        </w:tc>
      </w:tr>
      <w:tr>
        <w:trPr>
          <w:trHeight w:val="186"/>
        </w:trPr>
        <w:tc>
          <w:tcPr>
            <w:tcW w:w="56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Amounts funded through deposits to severance</w:t>
            </w:r>
          </w:p>
        </w:tc>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pay funds and purchase of insurance policies</w:t>
            </w:r>
          </w:p>
        </w:tc>
        <w:tc>
          <w:tcPr>
            <w:tcW w:w="15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(13,658)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(16,350)</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4,787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4,588</w:t>
            </w:r>
          </w:p>
        </w:tc>
      </w:tr>
      <w:tr>
        <w:trPr>
          <w:trHeight w:val="186"/>
        </w:trPr>
        <w:tc>
          <w:tcPr>
            <w:tcW w:w="5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Long-term advances (see Note 11B(3))</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r>
      <w:tr>
        <w:trPr>
          <w:trHeight w:val="186"/>
        </w:trPr>
        <w:tc>
          <w:tcPr>
            <w:tcW w:w="5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Long-term liabilities in respect of license agreements</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5,123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5,191</w:t>
            </w:r>
          </w:p>
        </w:tc>
      </w:tr>
      <w:tr>
        <w:trPr>
          <w:trHeight w:val="186"/>
        </w:trPr>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$ 11,012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$ 15,445</w:t>
            </w:r>
          </w:p>
        </w:tc>
      </w:tr>
      <w:tr>
        <w:trPr>
          <w:trHeight w:val="186"/>
        </w:trPr>
        <w:tc>
          <w:tcPr>
            <w:tcW w:w="7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960" w:hanging="476"/>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TERMINATION BENEFITS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generally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20C.</w:t>
      </w:r>
    </w:p>
    <w:p>
      <w:pPr>
        <w:spacing w:after="0" w:line="194" w:lineRule="exact"/>
        <w:rPr>
          <w:rFonts w:ascii="Courier New" w:cs="Courier New" w:eastAsia="Courier New" w:hAnsi="Courier New"/>
          <w:sz w:val="16"/>
          <w:szCs w:val="16"/>
          <w:color w:val="auto"/>
        </w:rPr>
      </w:pPr>
    </w:p>
    <w:p>
      <w:pPr>
        <w:ind w:left="960" w:right="28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Costs relating to employee termination benefits were approximately $2,631, $3,836 and $2,828 for 2005, 2004 and 2003, respectively.</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w:t>
      </w:r>
    </w:p>
    <w:p>
      <w:pPr>
        <w:sectPr>
          <w:pgSz w:w="11900" w:h="16838" w:orient="portrait"/>
          <w:cols w:equalWidth="0" w:num="1">
            <w:col w:w="10219"/>
          </w:cols>
          <w:pgMar w:left="240" w:top="676" w:right="1440" w:bottom="1440" w:gutter="0" w:footer="0" w:header="0"/>
        </w:sectPr>
      </w:pPr>
    </w:p>
    <w:bookmarkStart w:id="30" w:name="page31"/>
    <w:bookmarkEnd w:id="3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w:t>
      </w:r>
    </w:p>
    <w:p>
      <w:pPr>
        <w:spacing w:after="0" w:line="191" w:lineRule="exact"/>
        <w:rPr>
          <w:sz w:val="20"/>
          <w:szCs w:val="20"/>
          <w:color w:val="auto"/>
        </w:rPr>
      </w:pPr>
    </w:p>
    <w:p>
      <w:pPr>
        <w:ind w:left="960" w:hanging="476"/>
        <w:spacing w:after="0"/>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OVERVIEW</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2"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200-millimeter wafers. The Company has entered into several related agreements and other arrangements, and has completed public and private financing transactions, to provide an aggregate, as of the approval date of the financial statements, of approximately $1,260,000 of financing for Fab 2. The agreements and arrangements include those with technology partners, Wafer Partners, Equity Investors, the Company's Banks, the Government of Israel through the Investment Center and others.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process technologies to produce wafers in Fab 2.</w:t>
      </w:r>
    </w:p>
    <w:p>
      <w:pPr>
        <w:spacing w:after="0" w:line="194"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the Company had incurred costs associated with the establishment of Fab 2 project of an aggregate of approximately $1,000,000. As of the approval date of the financial statements, the major shareholders of the Company have invested an aggregate of $323,730; the Banks have made long-term loans in the aggregate of $526,693; the Investment Center grants at an aggregate of $165,419; the Company has raised $243,370 from other financial sources.</w:t>
      </w:r>
    </w:p>
    <w:p>
      <w:pPr>
        <w:spacing w:after="0" w:line="190"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majority of the ongoing direct costs related to the construction and equipping of Fab 2 and to the transfer of the Fab 2 technologies that previously had been capitalized, are no longer capitalizable. Depreciation and amortization of Fab 2 assets in 2005, 2004 and 2003 amounted to $133,021, $108,542 and $39,625, respectively (see also Note 5A), the majority of which is included in cost of goods sold.</w:t>
      </w:r>
    </w:p>
    <w:p>
      <w:pPr>
        <w:spacing w:after="0" w:line="192"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and equipping of Fab 2 is a substantial project, which requires extensive management involvement as well as timely coordination of the activities of many participants. In addition, this project is a complex undertaking which entails substantial risks and uncertainties, including but not limited to those associated with the following: obtaining additional commitments to finance the construction and equipping of Fab 2 and its ongoing operations (see also Note 1C); achieving certain operational milestones and complying with various significant conditions and financial ratios and covenants provided by the Facility Agreement with the Banks; compliance with the conditions under the Approval Certificate for Fab 2 provided by the Investment Center; and completing the complex processes of transferring from Freescale the manufacturing technologies to be used at Fab 2 and development of new technologies.</w:t>
      </w:r>
    </w:p>
    <w:p>
      <w:pPr>
        <w:spacing w:after="0" w:line="38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w:t>
      </w:r>
    </w:p>
    <w:p>
      <w:pPr>
        <w:sectPr>
          <w:pgSz w:w="11900" w:h="16838" w:orient="portrait"/>
          <w:cols w:equalWidth="0" w:num="1">
            <w:col w:w="10219"/>
          </w:cols>
          <w:pgMar w:left="240" w:top="676" w:right="1440" w:bottom="1440" w:gutter="0" w:footer="0" w:header="0"/>
        </w:sectPr>
      </w:pPr>
    </w:p>
    <w:bookmarkStart w:id="31" w:name="page32"/>
    <w:bookmarkEnd w:id="31"/>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OVERVIEW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Facility Agreement with the Banks, raising certain required additional funding by the dates specified, achieving the milestones as scheduled, as well as complying with all the conditions and financial ratios and covenants stipulated in that agreement and in the Approval Certificate from the Investment Center, are material provisions for financing provided and to be further obtained. For details concerning revising certain of the financial ratios and covenants under the Facility Agreement for 2005 and 2006, as were amended in the July 2005 amendment to the Facility Agreement, see paragraph A(6) below.</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TRANSFER AGREEMENTS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TOSHIBA - In April 2000, the Company entered into a technology transfer agreement with Toshiba Corporation ("Toshiba"), a Japanese corporation. This agreement provided for the transfer by Toshiba to the Company of advanced semiconductor manufacturing process technologies installed in Fab 2 including related technology transfer assistance in exchange for certain fees for patent licenses, technology transfer and technical assistance. The transfer of the technology was substantially completed during the first half of 2003. The Company's commitment under the Toshiba agreement to reserve for Toshiba a certain portion of Fab 2 wafer manufacturing capacity expired in December 2005.</w:t>
      </w:r>
    </w:p>
    <w:p>
      <w:pPr>
        <w:spacing w:after="0" w:line="192"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FREESCALE - In September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Freescale, the licenses under the agreement are perpetual.</w:t>
      </w:r>
    </w:p>
    <w:p>
      <w:pPr>
        <w:spacing w:after="0" w:line="193"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WAFER PARTNER AGREEMENTS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380"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w:t>
      </w:r>
    </w:p>
    <w:p>
      <w:pPr>
        <w:sectPr>
          <w:pgSz w:w="11900" w:h="16838" w:orient="portrait"/>
          <w:cols w:equalWidth="0" w:num="1">
            <w:col w:w="10219"/>
          </w:cols>
          <w:pgMar w:left="240" w:top="676" w:right="1440" w:bottom="1440" w:gutter="0" w:footer="0" w:header="0"/>
        </w:sectPr>
      </w:pPr>
    </w:p>
    <w:bookmarkStart w:id="32" w:name="page33"/>
    <w:bookmarkEnd w:id="32"/>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WAFER PARTNER AGREEMENTS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2005, the Wafer Partners invested in the Company, based on the Wafer Partner Agreements, an aggregate of $246,823, of which as of such date $201,909, was credited as paid in capital and $44,914, was established as long-term customers' advances which may be, subject to the terms and conditions stipulated in the Wafer Partner Agreements utilized as credit against purchases to be made by the Wafer Partners, or converted into paid-in-capital. Through December 31, 2005, the Wafer Partners were issued an aggregate of 27,475,135 Ordinary Shares at an average price per share of $7.35, which was determined based on the average closing sale price of the Company's Ordinary Shares for the 15-30 trading days prior to making any investment.</w:t>
      </w:r>
    </w:p>
    <w:p>
      <w:pPr>
        <w:spacing w:after="0" w:line="193" w:lineRule="exact"/>
        <w:rPr>
          <w:rFonts w:ascii="Courier New" w:cs="Courier New" w:eastAsia="Courier New" w:hAnsi="Courier New"/>
          <w:sz w:val="16"/>
          <w:szCs w:val="16"/>
          <w:color w:val="auto"/>
        </w:rPr>
      </w:pPr>
    </w:p>
    <w:p>
      <w:pPr>
        <w:ind w:left="14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additional investments made by the primary Wafer Partners in the aggregate amount of $19,089 in connection with the 2002 and 2005 rights offerings, see Notes 13F and 13H, respectively, and paragraph (6) below.</w:t>
      </w:r>
    </w:p>
    <w:p>
      <w:pPr>
        <w:spacing w:after="0" w:line="185"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INVESTOR AGREEMENTS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2005, The Israel Corporation ("TIC"), the principal shareholder of the Company, and Challenge Fund-Edgar II LP, a Delaware limited partnership ("Challenge") (together, "Equity Investors") invested in the Company, an aggregate of $55,000 for the purchase of an aggregate of 7,419,835 Ordinary Shares of the Company at an average price per share of $7.41, which was determined based on the average closing sale price of the Company's Ordinary Shares for the 15-30 trading days prior to making any investment. The investments of TIC and Challenge were made in accordance with share purchase agreements the Company entered into with them in December 2000 and February 2001, respectively.</w:t>
      </w:r>
    </w:p>
    <w:p>
      <w:pPr>
        <w:spacing w:after="0" w:line="193"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additional investments made by TIC in the aggregate amount of $29,152 in connection with the 2002 and 2005 rights offerings, see Notes 13F and 13H, respectively, and paragraph (6) below.</w:t>
      </w:r>
    </w:p>
    <w:p>
      <w:pPr>
        <w:spacing w:after="0" w:line="185"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2002, a Canadian pension fund invested in the Company's equity $15,000 in consideration for 3,000,000 Ordinary Shares of the Company for $5.00 per share, and a warrant to purchase an additional 1,350,000 Ordinary Shares of the Company. The warrant is exercisable for a four-year period ending in October 2006, at an exercise price of $7.50 per share (subject to customary adjustments).</w:t>
      </w:r>
    </w:p>
    <w:p>
      <w:pPr>
        <w:spacing w:after="0" w:line="185" w:lineRule="exact"/>
        <w:rPr>
          <w:rFonts w:ascii="Courier New" w:cs="Courier New" w:eastAsia="Courier New" w:hAnsi="Courier New"/>
          <w:sz w:val="16"/>
          <w:szCs w:val="16"/>
          <w:color w:val="auto"/>
        </w:rPr>
      </w:pPr>
    </w:p>
    <w:p>
      <w:pPr>
        <w:ind w:left="1460" w:right="3039" w:hanging="492"/>
        <w:spacing w:after="0" w:line="248" w:lineRule="auto"/>
        <w:tabs>
          <w:tab w:leader="none" w:pos="14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PRIMARY WAFER PARTNER AND EQUITY INVESTOR AGREEMENTS</w:t>
      </w:r>
    </w:p>
    <w:p>
      <w:pPr>
        <w:spacing w:after="0" w:line="184"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primary Wafer Partner Agreements, as amended, the primary Wafer Partners were entitled to convert an aggregate of up to $7,507 of the unutilized long-term customers' advances, which they had as of December 31, 2005, into fully-paid Ordinary Shares of the Company. In January 2006, one of the primary Wafer Partners notified the Company of its election to convert $3,880 of its advances into paid-in equity entitling it for 2,455,905 Ordinary Shares of the Company, constituting approximately 3.67% of the Company's outstanding Ordinary Shares as of December 31, 2005. The number of shares was determined based on $1.58 per share, which was the average closing sale price of the Company's Ordinary Shares for the 15 trading days prior to December 31, 2005.</w:t>
      </w:r>
    </w:p>
    <w:p>
      <w:pPr>
        <w:spacing w:after="0" w:line="380"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w:t>
      </w:r>
    </w:p>
    <w:p>
      <w:pPr>
        <w:sectPr>
          <w:pgSz w:w="11900" w:h="16838" w:orient="portrait"/>
          <w:cols w:equalWidth="0" w:num="1">
            <w:col w:w="10219"/>
          </w:cols>
          <w:pgMar w:left="240" w:top="676" w:right="1440" w:bottom="1440" w:gutter="0" w:footer="0" w:header="0"/>
        </w:sectPr>
      </w:pPr>
    </w:p>
    <w:bookmarkStart w:id="33" w:name="page34"/>
    <w:bookmarkEnd w:id="33"/>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right="3039" w:hanging="492"/>
        <w:spacing w:after="0" w:line="248" w:lineRule="auto"/>
        <w:tabs>
          <w:tab w:leader="none" w:pos="146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PRIMARY WAFER PARTNER AND EQUITY INVESTOR AGREEMENTS (cont.)</w:t>
      </w:r>
    </w:p>
    <w:p>
      <w:pPr>
        <w:spacing w:after="0" w:line="184"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primary Wafer Partner Agreements, as amended, each of the primary Wafer Partners has an option to convert, at the end of each calendar quarter in 2004-2006, that portion of the long-term customers' advances which it is entitled to utilize, based upon payments made by such primary Wafer Partner during that quarter, into fully-paid Ordinary Shares of the Company. The number of shares is to be determined based on the average closing sale price of the Company's Ordinary Shares for the 15 trading days preceding the end of each quarter. Accordingly, through December 31, 2005, two of the primary Wafer Partners had converted an aggregate of $2,332 of long-term customer advances into 1,349,423 fully paid Ordinary Shares of the Company, at an average share price of $1.73 per share.</w:t>
      </w:r>
    </w:p>
    <w:p>
      <w:pPr>
        <w:spacing w:after="0" w:line="193" w:lineRule="exact"/>
        <w:rPr>
          <w:rFonts w:ascii="Courier New" w:cs="Courier New" w:eastAsia="Courier New" w:hAnsi="Courier New"/>
          <w:sz w:val="16"/>
          <w:szCs w:val="16"/>
          <w:color w:val="auto"/>
        </w:rPr>
      </w:pPr>
    </w:p>
    <w:p>
      <w:pPr>
        <w:ind w:left="1460"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quarterly amount, which the primary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long-term customers' advances, which could have been utilized against purchases and which the primary Wafer Partners elected not to convert into fully-paid Ordinary Shares of the Company (as of December 31,</w:t>
      </w:r>
    </w:p>
    <w:p>
      <w:pPr>
        <w:spacing w:after="0" w:line="5"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2005 - $1,102), shall be fully repaid on December 31, 2007. Other than as described above in this paragraph and the preceding paragraph, each of the primary Wafer Partners agreed that long-term customer's advances could not be utilized before December 31, 2006. Following December 31, 2006, the remaining long-term customer advances may be utilized as credits against purchases to be made.</w:t>
      </w:r>
    </w:p>
    <w:p>
      <w:pPr>
        <w:spacing w:after="0" w:line="185"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OVERVIEW - In January 2001, the Company entered into a credit facility agreement with two leading Israeli banks ("Banks") entitling the Company to borrow an aggregate, as amended in January 2002, of $500,000 to finance the construction and equipping of Fab 2 ("Facility Agreement"). Of that amount, as of December 31, 2005, the Company withdrew an aggregate of $497,000. These loans bear interest at a rate of Libor plus 2.5% per annum payable at the end of each quarter (prior to the November 2003 amendment, described below, the loans bore interest at a rate of Libor plus 1.55% per annum). The loans are subject to certain prepayment provisions. Unused amounts under the Facility Agreement were subject to a quarterly commitment fee of 0.25% per annum.</w:t>
      </w:r>
    </w:p>
    <w:p>
      <w:pPr>
        <w:spacing w:after="0" w:line="193"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2005, the Company and its Banks entered into a definitive amendment to the Facility Agreement. The amendment provides, among other things, for Bank financing of up to approximately $30,000, subject to the Company raising a similar amount by March 31, 2006. Through the approval date of the financial statements, the Banks provided the Company with the entire amount it was entitled to borrow under the July 2005 amendment following the consummation of a rights offering in January 2006 by the Company (for additional details, see below).</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23 -</w:t>
      </w:r>
    </w:p>
    <w:p>
      <w:pPr>
        <w:sectPr>
          <w:pgSz w:w="11900" w:h="16838" w:orient="portrait"/>
          <w:cols w:equalWidth="0" w:num="1">
            <w:col w:w="10219"/>
          </w:cols>
          <w:pgMar w:left="240" w:top="676" w:right="1440" w:bottom="1440" w:gutter="0" w:footer="0" w:header="0"/>
        </w:sectPr>
      </w:pPr>
    </w:p>
    <w:bookmarkStart w:id="34" w:name="page35"/>
    <w:bookmarkEnd w:id="34"/>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91"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SCHEDULE - Loans in the amount of $431,000 received by the Company through December 31, 2003, were repaid on December 31, 2003 and, concurrently, an equivalent amount was drawn down on such date to be repaid in 12 equal consecutive quarterly installments commencing March 31, 2007 (the net amount of long-term loans the Company received in 2003 in connection with the abovementioned re-borrowing was $187,000). Loans in the amount of $66,000 drawn down during 2004 are repayable in 12 equal consecutive quarterly installments, commencing three years from the draw down date of each loan, which in no case shall be after the maturity date of the Facility Agreement. Loans drawn down under the July 2005 amendment are repayable in a period between twelve to fifteen months from each date any amount is received by the Company.</w:t>
      </w:r>
    </w:p>
    <w:p>
      <w:pPr>
        <w:spacing w:after="0" w:line="194"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July 2005 amendment further provides that a rescheduling of the repayment dates of the loans drawn down under it shall be discussed following the closing date of the amendment. Subsequent to the balance sheet date, the Company and the Banks commenced and are holding discussions for rescheduling of the repayment dates of the $29,693 provided by the Banks under this amendment. For further details regarding loans drawn down under the Facility Agreement see Note 8.</w:t>
      </w:r>
    </w:p>
    <w:p>
      <w:pPr>
        <w:spacing w:after="0" w:line="190"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NOVEMBER 2003 AMENDMENT - 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 further revised and updated the covenants under the Facility Agreement according to which the Company is obligated to comply with certain operational and financial ratios, primarily total shareholders' equity to total assets, quarterly and annual EBITDA, sales and production capacity milestones.</w:t>
      </w:r>
    </w:p>
    <w:p>
      <w:pPr>
        <w:spacing w:after="0" w:line="193" w:lineRule="exact"/>
        <w:rPr>
          <w:rFonts w:ascii="Courier New" w:cs="Courier New" w:eastAsia="Courier New" w:hAnsi="Courier New"/>
          <w:sz w:val="16"/>
          <w:szCs w:val="16"/>
          <w:color w:val="auto"/>
        </w:rPr>
      </w:pPr>
    </w:p>
    <w:p>
      <w:pPr>
        <w:ind w:left="146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2005, the Company and the Banks entered into the following amendments to the Facility Agreement:</w:t>
      </w:r>
    </w:p>
    <w:p>
      <w:pPr>
        <w:spacing w:after="0" w:line="184" w:lineRule="exact"/>
        <w:rPr>
          <w:rFonts w:ascii="Courier New" w:cs="Courier New" w:eastAsia="Courier New" w:hAnsi="Courier New"/>
          <w:sz w:val="16"/>
          <w:szCs w:val="16"/>
          <w:color w:val="auto"/>
        </w:rPr>
      </w:pPr>
    </w:p>
    <w:p>
      <w:pPr>
        <w:ind w:left="1940" w:right="2459" w:hanging="485"/>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oJANUARY 2005 AMENDMENT - In January 2005, the Company and its Banks signed a waiver letter agreement according to which the Banks waived the Company's non-compliance with certain financial ratios and covenants for the fourth quarter of 2004. The agreement also amended certain of the financial ratios and covenants with which the Company was to comply with during 2005, and which were further revised in the framework of the July 2005 amendment to the Facility Agreement described below.</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w:t>
      </w:r>
    </w:p>
    <w:p>
      <w:pPr>
        <w:sectPr>
          <w:pgSz w:w="11900" w:h="16838" w:orient="portrait"/>
          <w:cols w:equalWidth="0" w:num="1">
            <w:col w:w="10219"/>
          </w:cols>
          <w:pgMar w:left="240" w:top="676" w:right="1440" w:bottom="1440" w:gutter="0" w:footer="0" w:header="0"/>
        </w:sectPr>
      </w:pPr>
    </w:p>
    <w:bookmarkStart w:id="35" w:name="page36"/>
    <w:bookmarkEnd w:id="35"/>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91" w:lineRule="exact"/>
        <w:rPr>
          <w:rFonts w:ascii="Courier New" w:cs="Courier New" w:eastAsia="Courier New" w:hAnsi="Courier New"/>
          <w:sz w:val="16"/>
          <w:szCs w:val="16"/>
          <w:color w:val="auto"/>
        </w:rPr>
      </w:pPr>
    </w:p>
    <w:p>
      <w:pPr>
        <w:ind w:left="1940" w:right="2459" w:hanging="485"/>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oJULY 2005 AMENDMENT - In July 2005, the Company and its Banks entered into a definitive amendment to the Facility Agreement, which closed in August 2005. The amendment provides, among other things, for the Banks to provide additional financing of up to approximately $30,000, subject to the Company raising through the issuance of shares or convertible debentures $23,500 by October 31, 2005 (which was subsequently extended to December 31, 2005) and an additional $6,500 by March 31, 2006. In connection with the amendment, certain of the Company's Equity Investors, Wafer Partners and other investors committed to invest an aggregate of $23,500 towards such funding in the context of a rights offering. Following the closing of the amendment to the Facility Agreement described above and complying with the above commitments, the Banks provided the Company with the full amount of loans to which it was entitled to borrow under the July 2005 amendment.</w:t>
      </w:r>
    </w:p>
    <w:p>
      <w:pPr>
        <w:spacing w:after="0" w:line="196" w:lineRule="exact"/>
        <w:rPr>
          <w:sz w:val="20"/>
          <w:szCs w:val="20"/>
          <w:color w:val="auto"/>
        </w:rPr>
      </w:pPr>
    </w:p>
    <w:p>
      <w:pPr>
        <w:ind w:left="1940" w:right="2459"/>
        <w:spacing w:after="0" w:line="246" w:lineRule="auto"/>
        <w:rPr>
          <w:sz w:val="20"/>
          <w:szCs w:val="20"/>
          <w:color w:val="auto"/>
        </w:rPr>
      </w:pPr>
      <w:r>
        <w:rPr>
          <w:rFonts w:ascii="Courier New" w:cs="Courier New" w:eastAsia="Courier New" w:hAnsi="Courier New"/>
          <w:sz w:val="16"/>
          <w:szCs w:val="16"/>
          <w:color w:val="auto"/>
        </w:rPr>
        <w:t>Under the July 2005 amendment, the $29,693 provided by the Banks through January 2006 bear annual interest based on the three-month LIBOR plus 2.5% and are repayable in a period between twelve to fifteen months from each date any amount was received by the Company. The amendment further provides that a rescheduling of said repayment dates shall be discussed following the closing date of the amendment. Such discussions have been commenced subsequent to the balance sheet date.</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July 2005 amendment further provides that: (i) The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Israel Corp. ("TIC") undertaking, as detailed below, shall</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be extended from June 30, 2006 to December 31, 2006; (ii)</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such undertaking will be deemed to have been fulfilled if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TIC invests at least $14,000 in the context of a rights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offering; (iii) any amounts raised in equity or in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convertible debentures through March 31, 2006, up to</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$30,000, shall not constitute financing from other sources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towards the $152,000 fundraising milestone, as detailed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below; and (iv) the last date in which the Company is to</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comply with the $152,000 fundraising milestone is postponed</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from December 31, 2005 to June 30, 2006.</w:t>
      </w:r>
    </w:p>
    <w:p>
      <w:pPr>
        <w:spacing w:after="0" w:line="191" w:lineRule="exact"/>
        <w:rPr>
          <w:sz w:val="20"/>
          <w:szCs w:val="20"/>
          <w:color w:val="auto"/>
        </w:rPr>
      </w:pPr>
    </w:p>
    <w:p>
      <w:pPr>
        <w:jc w:val="both"/>
        <w:ind w:left="1940" w:right="2659"/>
        <w:spacing w:after="0" w:line="247" w:lineRule="auto"/>
        <w:rPr>
          <w:sz w:val="20"/>
          <w:szCs w:val="20"/>
          <w:color w:val="auto"/>
        </w:rPr>
      </w:pPr>
      <w:r>
        <w:rPr>
          <w:rFonts w:ascii="Courier New" w:cs="Courier New" w:eastAsia="Courier New" w:hAnsi="Courier New"/>
          <w:sz w:val="16"/>
          <w:szCs w:val="16"/>
          <w:color w:val="auto"/>
        </w:rPr>
        <w:t>The amendment also revised certain of the financial ratios and covenants through the third quarter of 2006 (primarily quarterly EBITDA and sales).</w:t>
      </w:r>
    </w:p>
    <w:p>
      <w:pPr>
        <w:spacing w:after="0" w:line="186" w:lineRule="exact"/>
        <w:rPr>
          <w:sz w:val="20"/>
          <w:szCs w:val="20"/>
          <w:color w:val="auto"/>
        </w:rPr>
      </w:pPr>
    </w:p>
    <w:p>
      <w:pPr>
        <w:ind w:left="1940" w:right="2459"/>
        <w:spacing w:after="0" w:line="246" w:lineRule="auto"/>
        <w:rPr>
          <w:sz w:val="20"/>
          <w:szCs w:val="20"/>
          <w:color w:val="auto"/>
        </w:rPr>
      </w:pPr>
      <w:r>
        <w:rPr>
          <w:rFonts w:ascii="Courier New" w:cs="Courier New" w:eastAsia="Courier New" w:hAnsi="Courier New"/>
          <w:sz w:val="16"/>
          <w:szCs w:val="16"/>
          <w:color w:val="auto"/>
        </w:rPr>
        <w:t>As described in Note 13H, the Company raised $48,169 in the form of a rights offering, thereby satisfying its obligations to raise $23,500 and $6,500 by December 31, 2005 and March 31, 2006, respectively. In the context of such rights offering, TIC invested $20,000, thereby terminating its undertaking detailed below. In addition, the commitment by one of the Company's Wafer Partners to invest an aggregate of $3,500 in the rights offering was fulfilled.</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Following the satisfaction of all the Company's commitments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under the July 2005 amendment, as of December 31, 2005,</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$21,103 was drawn down in two installments and in January</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2006, an additional $8,590 was drawn down.</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- 25 -</w:t>
      </w:r>
    </w:p>
    <w:p>
      <w:pPr>
        <w:sectPr>
          <w:pgSz w:w="11900" w:h="16838" w:orient="portrait"/>
          <w:cols w:equalWidth="0" w:num="1">
            <w:col w:w="10219"/>
          </w:cols>
          <w:pgMar w:left="240" w:top="676" w:right="1440" w:bottom="1440" w:gutter="0" w:footer="0" w:header="0"/>
        </w:sectPr>
      </w:pPr>
    </w:p>
    <w:bookmarkStart w:id="36" w:name="page37"/>
    <w:bookmarkEnd w:id="36"/>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91"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FUNDRAISING MILESTONE - According to the amended Facility Agreement with the Banks, the Company is to raise from specified financial sources an aggregate of $152,000 by June 30, 2006. As of the approval date of the financial statements, the Company had raised $144,124 towards said amount. Accordingly, the Company's remaining obligation to raise financings from specified financial sources is $7,876 to be raised by June 30, 2006.</w:t>
      </w:r>
    </w:p>
    <w:p>
      <w:pPr>
        <w:spacing w:after="0" w:line="185"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Facility Agreement provided that should the Company fail to meet its fundraising obligation towards the aggregate of $152,000 by June 30, 2006,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Facility Agreement.</w:t>
      </w:r>
    </w:p>
    <w:p>
      <w:pPr>
        <w:spacing w:after="0" w:line="190"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TIC'S UNDERTAKING - In connection with the November 2003 amendment to the Facility Agreement, TIC undertook to the Banks to exercise all of the rights it received in the above mentioned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less any amounts actually invested in the rights offering by TIC in connection with the exercise of its own rights. Following TIC's investment in the Company of $20,000 in the context of the 2005 rights offering (see Note 13H), according to the July 2005 amendment, TIC's undertaking has been fulfilled.</w:t>
      </w:r>
    </w:p>
    <w:p>
      <w:pPr>
        <w:spacing w:after="0" w:line="194" w:lineRule="exact"/>
        <w:rPr>
          <w:rFonts w:ascii="Courier New" w:cs="Courier New" w:eastAsia="Courier New" w:hAnsi="Courier New"/>
          <w:sz w:val="16"/>
          <w:szCs w:val="16"/>
          <w:color w:val="auto"/>
        </w:rPr>
      </w:pPr>
    </w:p>
    <w:p>
      <w:pPr>
        <w:ind w:left="146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further details regarding 58,906 warrants issued to TIC in connection with its undertaking described above, see Note 13B(5)(b).</w:t>
      </w:r>
    </w:p>
    <w:p>
      <w:pPr>
        <w:spacing w:after="0" w:line="185" w:lineRule="exact"/>
        <w:rPr>
          <w:rFonts w:ascii="Courier New" w:cs="Courier New" w:eastAsia="Courier New" w:hAnsi="Courier New"/>
          <w:sz w:val="16"/>
          <w:szCs w:val="16"/>
          <w:color w:val="auto"/>
        </w:rPr>
      </w:pPr>
    </w:p>
    <w:p>
      <w:pPr>
        <w:ind w:left="1460"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agreed to indemnify TIC for any liabilities it incurs with respect to these arrangements, up to a maximum of $100,000 as follows: up to $25,000 in cash and any amount exceeding such $25,000 limit will earn interest at LIBOR plus</w:t>
      </w:r>
    </w:p>
    <w:p>
      <w:pPr>
        <w:spacing w:after="0" w:line="2" w:lineRule="exact"/>
        <w:rPr>
          <w:rFonts w:ascii="Courier New" w:cs="Courier New" w:eastAsia="Courier New" w:hAnsi="Courier New"/>
          <w:sz w:val="16"/>
          <w:szCs w:val="16"/>
          <w:color w:val="auto"/>
        </w:rPr>
      </w:pPr>
    </w:p>
    <w:p>
      <w:pPr>
        <w:ind w:left="1460"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 and will be paid on the same terms that the Company repays its loans to the Banks.</w:t>
      </w:r>
    </w:p>
    <w:p>
      <w:pPr>
        <w:spacing w:after="0" w:line="184" w:lineRule="exact"/>
        <w:rPr>
          <w:rFonts w:ascii="Courier New" w:cs="Courier New" w:eastAsia="Courier New" w:hAnsi="Courier New"/>
          <w:sz w:val="16"/>
          <w:szCs w:val="16"/>
          <w:color w:val="auto"/>
        </w:rPr>
      </w:pPr>
    </w:p>
    <w:p>
      <w:pPr>
        <w:ind w:left="1460"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TO THE BANKS - For further details regarding 9,561,060 warrants issued to the Banks in connection with the Facility Agreement, see Note 13B(5)(a).</w:t>
      </w:r>
    </w:p>
    <w:p>
      <w:pPr>
        <w:spacing w:after="0" w:line="185"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FINANCIAL RATIOS AND COVENANTS - As of the balance sheet date, the Company was in full compliance with all of the financial ratios and covenants under the amended Facility Agreement. As of the approval date of the financial statements, the Company anticipates that it will not be in compliance with all of the financial ratios and covenants under the amended Facility Agreement applicable for the fourth quarter of 2006. According to the Facility Agreement, satisfying the financial ratios and covenants is a material provision.</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26 -</w:t>
      </w:r>
    </w:p>
    <w:p>
      <w:pPr>
        <w:sectPr>
          <w:pgSz w:w="11900" w:h="16838" w:orient="portrait"/>
          <w:cols w:equalWidth="0" w:num="1">
            <w:col w:w="10219"/>
          </w:cols>
          <w:pgMar w:left="240" w:top="676" w:right="1440" w:bottom="1440" w:gutter="0" w:footer="0" w:header="0"/>
        </w:sectPr>
      </w:pPr>
    </w:p>
    <w:bookmarkStart w:id="37" w:name="page38"/>
    <w:bookmarkEnd w:id="3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91"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LIENS - 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$526,693), plus penalties, and the Banks would be entitled to exercise the remedies available to them under the Facility Agreement, including enforcement of the liens against the Company's assets.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OFFEROR BY THE BANKS - 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offers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193"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FAB 2 CONSTRUCTION AGREEMENT</w:t>
      </w:r>
    </w:p>
    <w:p>
      <w:pPr>
        <w:spacing w:after="0" w:line="191" w:lineRule="exact"/>
        <w:rPr>
          <w:rFonts w:ascii="Courier New" w:cs="Courier New" w:eastAsia="Courier New" w:hAnsi="Courier New"/>
          <w:sz w:val="16"/>
          <w:szCs w:val="16"/>
          <w:color w:val="auto"/>
        </w:rPr>
      </w:pPr>
    </w:p>
    <w:p>
      <w:pPr>
        <w:ind w:left="14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2000, the Company entered into a fixed price turn-key agreement with a contractor for the design and construction of Fab 2 in consideration of approximately $200,000 to be paid according to certain performance milestones stipulated in the agreement. As of December 31, 2005, approximately $192,000 of that amount had already been paid by the Company.</w:t>
      </w:r>
    </w:p>
    <w:p>
      <w:pPr>
        <w:spacing w:after="0" w:line="185"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$158,143 has been received from the Investment Center. Since the Company's eligibility to receive grants is with respect to investments in Fab 2 plant and equipment made by December 31, 2005, five years from the date the approval certificate was obtained, the Company is not to receive grants under this program for investments made after that date.</w:t>
      </w:r>
    </w:p>
    <w:p>
      <w:pPr>
        <w:spacing w:after="0" w:line="193"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Due to the later than planned commencement of construction of Fab 2, prevailing market conditions and slower than planned ramp-up, as of December 31, 2005, the Company did not complete the program and made investments constituting approximately 72% of the eligible investments under the approved enterprise program.</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27 -</w:t>
      </w:r>
    </w:p>
    <w:p>
      <w:pPr>
        <w:sectPr>
          <w:pgSz w:w="11900" w:h="16838" w:orient="portrait"/>
          <w:cols w:equalWidth="0" w:num="1">
            <w:col w:w="10219"/>
          </w:cols>
          <w:pgMar w:left="240" w:top="676" w:right="1440" w:bottom="1440" w:gutter="0" w:footer="0" w:header="0"/>
        </w:sectPr>
      </w:pPr>
    </w:p>
    <w:bookmarkStart w:id="38" w:name="page39"/>
    <w:bookmarkEnd w:id="3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Company's actual investments lagging behind the original terms of the program, the Company notified the Investment Center of its revised investment schedule contemplated in an updated plan for the construction and equipping Fab 2. Such plan includes, among other matters, a reduced rate of annual investments and lower than projected expectations for Fab 2 sales. In July 2004, the Company received from the Investment Center an approval to the revised investment schedule.</w:t>
      </w:r>
    </w:p>
    <w:p>
      <w:pPr>
        <w:spacing w:after="0" w:line="190"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approved investment period of five years ended on December 31, 2005, the Company has been holding discussions with the Investment Center to achieve satisfactory arrangements to approve a new expansion program to commence on January 1, 2006. During the first half of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the approval date of the financial statements, although the Investment Center has concluded its review of the revised business plan, the Company has not received, and the Company's management cannot estimate when the Company will receive, a formal response to its request for a new expansion program to commence on January 1, 2006, or if the Investment Center will approve the Company's request.</w:t>
      </w:r>
    </w:p>
    <w:p>
      <w:pPr>
        <w:spacing w:after="0" w:line="195"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meet the conditions of the 2000 approval certificate may result in the cancellation of all or a portion of the grants to be received and tax benefits and in the Investment Center requiring the Company to repay all or a portion of grants already received. Under Israeli law, the Company's non-completion of investments in an amount of $1,250,000 by December 31, 2005 may permit the Investment Center to require the Company to repay all or a portion of grants already received. Management believes that it is improbable that the Investment Center would demand the Company to repay all or a portion of grants already received, or deny investment grants receivable as of December 31, 2005, due to its non-completion of investments in the amount of $1,250,000 by December 31, 2005 - see also Note 17A.</w:t>
      </w:r>
    </w:p>
    <w:p>
      <w:pPr>
        <w:spacing w:after="0" w:line="380"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WITH THE ILA</w:t>
      </w:r>
    </w:p>
    <w:p>
      <w:pPr>
        <w:spacing w:after="0" w:line="191" w:lineRule="exact"/>
        <w:rPr>
          <w:rFonts w:ascii="Courier New" w:cs="Courier New" w:eastAsia="Courier New" w:hAnsi="Courier New"/>
          <w:sz w:val="16"/>
          <w:szCs w:val="16"/>
          <w:color w:val="auto"/>
        </w:rPr>
      </w:pPr>
    </w:p>
    <w:p>
      <w:pPr>
        <w:ind w:left="1460"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90"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w:t>
      </w:r>
    </w:p>
    <w:p>
      <w:pPr>
        <w:spacing w:after="0" w:line="191" w:lineRule="exact"/>
        <w:rPr>
          <w:rFonts w:ascii="Courier New" w:cs="Courier New" w:eastAsia="Courier New" w:hAnsi="Courier New"/>
          <w:sz w:val="16"/>
          <w:szCs w:val="16"/>
          <w:color w:val="auto"/>
        </w:rPr>
      </w:pPr>
    </w:p>
    <w:p>
      <w:pPr>
        <w:ind w:left="1460"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hedging transactions and agreements the Company has entered into, see Note 18C.</w:t>
      </w:r>
    </w:p>
    <w:p>
      <w:pPr>
        <w:spacing w:after="0" w:line="184"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28 -</w:t>
      </w:r>
    </w:p>
    <w:p>
      <w:pPr>
        <w:sectPr>
          <w:pgSz w:w="11900" w:h="16838" w:orient="portrait"/>
          <w:cols w:equalWidth="0" w:num="1">
            <w:col w:w="10219"/>
          </w:cols>
          <w:pgMar w:left="240" w:top="676" w:right="1440" w:bottom="1440" w:gutter="0" w:footer="0" w:header="0"/>
        </w:sectPr>
      </w:pPr>
    </w:p>
    <w:bookmarkStart w:id="39" w:name="page40"/>
    <w:bookmarkEnd w:id="3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w:t>
      </w:r>
    </w:p>
    <w:p>
      <w:pPr>
        <w:spacing w:after="0" w:line="191" w:lineRule="exact"/>
        <w:rPr>
          <w:rFonts w:ascii="Courier New" w:cs="Courier New" w:eastAsia="Courier New" w:hAnsi="Courier New"/>
          <w:sz w:val="16"/>
          <w:szCs w:val="16"/>
          <w:color w:val="auto"/>
        </w:rPr>
      </w:pPr>
    </w:p>
    <w:p>
      <w:pPr>
        <w:ind w:left="14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2005, the Company had entered into several additional agreements related mainly to the construction, equipping and transfer of technology for Fab 2. The Company's aggregate commitment in connection with these agreements which were not supplied or rendered as of such date, including the Fab 2 construction agreement described in paragraph (7) above, amounted to $14,715.</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AGREEMENTS</w:t>
      </w:r>
    </w:p>
    <w:p>
      <w:pPr>
        <w:spacing w:after="0" w:line="191"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2000, the Company entered into a cross license agreement with a major technology company. According to the agreement, each party acquired a non-exclusive license to certain of the other's patents. The Company agreed to pay an annual royalty through July 2005. Though the licenses terminated on December 31, 2005, the parties are currently negotiating the renewal of said agreement.</w:t>
      </w:r>
    </w:p>
    <w:p>
      <w:pPr>
        <w:spacing w:after="0" w:line="185"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91"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original agreement. According to the terms of the termination agreement, the Japanese manufacturer paid the Company an amount of $2,500 in April 2005. In addition, each party expressly released the other party from any obligations or liabilities of any nature in connection with the original agreement. Revenues for 2005 and 2004 include $8,000 and $1,944, respectively, in relation to this agreement, with the $8,000 of 2005 received subsequent to the termination of the agreement, and as a result of its termination. See also Note 10A.</w:t>
      </w:r>
    </w:p>
    <w:p>
      <w:pPr>
        <w:spacing w:after="0" w:line="196"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Note 10A and paragraph E(2) below.</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29 -</w:t>
      </w:r>
    </w:p>
    <w:p>
      <w:pPr>
        <w:sectPr>
          <w:pgSz w:w="11900" w:h="16838" w:orient="portrait"/>
          <w:cols w:equalWidth="0" w:num="1">
            <w:col w:w="10219"/>
          </w:cols>
          <w:pgMar w:left="240" w:top="676" w:right="1440" w:bottom="1440" w:gutter="0" w:footer="0" w:header="0"/>
        </w:sectPr>
      </w:pPr>
    </w:p>
    <w:bookmarkStart w:id="40" w:name="page41"/>
    <w:bookmarkEnd w:id="4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91"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85" w:lineRule="exact"/>
        <w:rPr>
          <w:rFonts w:ascii="Courier New" w:cs="Courier New" w:eastAsia="Courier New" w:hAnsi="Courier New"/>
          <w:sz w:val="16"/>
          <w:szCs w:val="16"/>
          <w:color w:val="auto"/>
        </w:rPr>
      </w:pPr>
    </w:p>
    <w:p>
      <w:pPr>
        <w:ind w:left="1460" w:right="2559" w:hanging="492"/>
        <w:spacing w:after="0" w:line="248"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long-term lease agreement of land on which Fab 2 was constructed, see paragraph A(9) above.</w:t>
      </w:r>
    </w:p>
    <w:p>
      <w:pPr>
        <w:spacing w:after="0" w:line="184" w:lineRule="exact"/>
        <w:rPr>
          <w:rFonts w:ascii="Courier New" w:cs="Courier New" w:eastAsia="Courier New" w:hAnsi="Courier New"/>
          <w:sz w:val="16"/>
          <w:szCs w:val="16"/>
          <w:color w:val="auto"/>
        </w:rPr>
      </w:pPr>
    </w:p>
    <w:p>
      <w:pPr>
        <w:ind w:left="1460" w:right="2959" w:hanging="492"/>
        <w:spacing w:after="0" w:line="247"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occupies certain other premises under various operating leases. The obligations under such leases were not material as of December 31, 2005.</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PLAN</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maintains an employee profit sharing plan. No amounts were provided for under this plan for periods presented in these financial statements, since the Company did not record profits for these periods.</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PRINCIPAL AGREEMENTS</w:t>
      </w:r>
    </w:p>
    <w:p>
      <w:pPr>
        <w:spacing w:after="0" w:line="191"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MACRONIX - In December 2000, the Company and Macronix entered into an agreement according to which the Company waived in favor of Macronix certain exclusive semiconductor manufacturing rights it received from Saifun.</w:t>
      </w:r>
    </w:p>
    <w:p>
      <w:pPr>
        <w:spacing w:after="0" w:line="185"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 The agreement terminates in October 2007, unless terminated earlier for cause.</w:t>
      </w:r>
    </w:p>
    <w:p>
      <w:pPr>
        <w:spacing w:after="0" w:line="191"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SILICONIX - In May 2004, the Company and chip maker Siliconix incorporated ("Siliconix"), a wholly-owned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the second quarter of 2005 (the date in which the transfer of Siliconix's technology to Fab 1 was completed). According to the agreement, in August 2004 Siliconix advanced the Company $20,000 to be used primarily for the purchase of additional equipment required to satisfy Siliconix's orders. The advanced amount is credited towards the purchase price of wafers. The unused remaining balance of the $20,000 ($9,631 as of December 31, 2005) is included in designated cash and short-term interest-bearing deposits in the balance sheet. The Company registered liens in favor of Siliconix on the bank account in which the $20,000 was deposited and over the equipment purchased in connection with the transaction.</w:t>
      </w:r>
    </w:p>
    <w:p>
      <w:pPr>
        <w:spacing w:after="0" w:line="383"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w:t>
      </w:r>
    </w:p>
    <w:p>
      <w:pPr>
        <w:sectPr>
          <w:pgSz w:w="11900" w:h="16838" w:orient="portrait"/>
          <w:cols w:equalWidth="0" w:num="1">
            <w:col w:w="10219"/>
          </w:cols>
          <w:pgMar w:left="240" w:top="676" w:right="1440" w:bottom="1440" w:gutter="0" w:footer="0" w:header="0"/>
        </w:sectPr>
      </w:pPr>
    </w:p>
    <w:bookmarkStart w:id="41" w:name="page42"/>
    <w:bookmarkEnd w:id="41"/>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 (cont.)</w:t>
      </w:r>
    </w:p>
    <w:p>
      <w:pPr>
        <w:spacing w:after="0" w:line="191" w:lineRule="exact"/>
        <w:rPr>
          <w:sz w:val="20"/>
          <w:szCs w:val="20"/>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PRINCIPAL AGREEMENTS (cont.)</w:t>
      </w:r>
    </w:p>
    <w:p>
      <w:pPr>
        <w:spacing w:after="0" w:line="191"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 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AFFAIRS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ACTION</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193"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ISRAELI BANKING REGULATIONS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 amendment to a directive published by the Israel Supervisor of Banks, effective March 31, 2004, the Company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the Company's Banks exceed these limitations, they may limit the Company's ability to borrow other money in the future and may require the Company to return some or all of the outstanding borrowings (which were $526,693 as of the approval date of the financial statements). As of the approval date of the financial statements, the Company had received no such request.</w:t>
      </w:r>
    </w:p>
    <w:p>
      <w:pPr>
        <w:spacing w:after="0" w:line="193"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COMMITMENTS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2005.</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31 -</w:t>
      </w:r>
    </w:p>
    <w:p>
      <w:pPr>
        <w:sectPr>
          <w:pgSz w:w="11900" w:h="16838" w:orient="portrait"/>
          <w:cols w:equalWidth="0" w:num="1">
            <w:col w:w="10219"/>
          </w:cols>
          <w:pgMar w:left="240" w:top="676" w:right="1440" w:bottom="1440" w:gutter="0" w:footer="0" w:header="0"/>
        </w:sectPr>
      </w:pPr>
    </w:p>
    <w:bookmarkStart w:id="42" w:name="page43"/>
    <w:bookmarkEnd w:id="42"/>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CONVERTIBLE DEBENTURE</w:t>
      </w:r>
    </w:p>
    <w:p>
      <w:pPr>
        <w:spacing w:after="0" w:line="191" w:lineRule="exact"/>
        <w:rPr>
          <w:sz w:val="20"/>
          <w:szCs w:val="20"/>
          <w:color w:val="auto"/>
        </w:rPr>
      </w:pPr>
    </w:p>
    <w:p>
      <w:pPr>
        <w:ind w:left="960" w:right="2459" w:hanging="476"/>
        <w:spacing w:after="0" w:line="246"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rights offering described in Note 13H, the Company issued $48,169 principal amount of convertible debentures of which $25,493 was fully paid as of December 31, 2005. The rights were distributed to the Company's shareholders and eligible employees holding options to purchase Ordinary Shares of the Company under share option plans that entitle option holders to participate in a rights offering. The debentures are listed for trade on the Tel-Aviv Stock Exchange and on the NASDAQ Capital Market. The debentures bear annual interest at the rate of 5% and are convertible into up to 43,790,272 of the Company's Ordinary Shares. The principal of the debentures, together with accrued interest, will be payable in one installment on January 12, 2012. The effective interest rate on the convertible debentures, taking into account the proceeds and related costs of issuance of approximately $1,300, is 5.48%.</w:t>
      </w:r>
    </w:p>
    <w:p>
      <w:pPr>
        <w:spacing w:after="0" w:line="194"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are convertible into the Company's Ordinary Shares at a conversion price of $1.10 per share.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85" w:lineRule="exact"/>
        <w:rPr>
          <w:rFonts w:ascii="Courier New" w:cs="Courier New" w:eastAsia="Courier New" w:hAnsi="Courier New"/>
          <w:sz w:val="16"/>
          <w:szCs w:val="16"/>
          <w:color w:val="auto"/>
        </w:rPr>
      </w:pPr>
    </w:p>
    <w:p>
      <w:pPr>
        <w:ind w:left="960"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85" w:lineRule="exact"/>
        <w:rPr>
          <w:rFonts w:ascii="Courier New" w:cs="Courier New" w:eastAsia="Courier New" w:hAnsi="Courier New"/>
          <w:sz w:val="16"/>
          <w:szCs w:val="16"/>
          <w:color w:val="auto"/>
        </w:rPr>
      </w:pPr>
    </w:p>
    <w:p>
      <w:pPr>
        <w:ind w:left="960"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 Company's Equity Investors and Wafer Partners invested $27,811 in the framework of the rights offering.</w:t>
      </w:r>
    </w:p>
    <w:p>
      <w:pPr>
        <w:spacing w:after="0" w:line="184"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85" w:lineRule="exact"/>
        <w:rPr>
          <w:rFonts w:ascii="Courier New" w:cs="Courier New" w:eastAsia="Courier New" w:hAnsi="Courier New"/>
          <w:sz w:val="16"/>
          <w:szCs w:val="16"/>
          <w:color w:val="auto"/>
        </w:rPr>
      </w:pPr>
    </w:p>
    <w:p>
      <w:pPr>
        <w:ind w:left="960" w:right="2459" w:hanging="476"/>
        <w:spacing w:after="0" w:line="247"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balance sheet date and through the approval date of the financial statements the nominee company acting on behalf of the Tel Aviv Stock Exchange Clearing House has requested to convert, 3,351,854 of the convertible debentures, issued in connection with the Company's recent rights offering, into 3,047,140 Ordinary Shares of the Company.</w:t>
      </w:r>
    </w:p>
    <w:p>
      <w:pPr>
        <w:spacing w:after="0" w:line="185" w:lineRule="exact"/>
        <w:rPr>
          <w:rFonts w:ascii="Courier New" w:cs="Courier New" w:eastAsia="Courier New" w:hAnsi="Courier New"/>
          <w:sz w:val="16"/>
          <w:szCs w:val="16"/>
          <w:color w:val="auto"/>
        </w:rPr>
      </w:pPr>
    </w:p>
    <w:p>
      <w:pPr>
        <w:ind w:left="960" w:right="2459" w:hanging="476"/>
        <w:spacing w:after="0" w:line="246"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feature according to the provisions of Opinion No. 55 "EARNINGS PER SHARE" of the Institute of Certified Public Accountants in Israel, determined based on the theoretical ex-price derived from the Company's share price immediately prior to the issuance date of the rights, was 19 %. According to Opinion No. 55, the number of shares used in the computation of loss per share for the periods presented has been adjusted retroactively according to that beneficial feature.</w:t>
      </w:r>
    </w:p>
    <w:p>
      <w:pPr>
        <w:spacing w:after="0" w:line="190" w:lineRule="exact"/>
        <w:rPr>
          <w:rFonts w:ascii="Courier New" w:cs="Courier New" w:eastAsia="Courier New" w:hAnsi="Courier New"/>
          <w:sz w:val="16"/>
          <w:szCs w:val="16"/>
          <w:color w:val="auto"/>
        </w:rPr>
      </w:pPr>
    </w:p>
    <w:p>
      <w:pPr>
        <w:ind w:left="960" w:right="2459" w:hanging="476"/>
        <w:spacing w:after="0" w:line="246" w:lineRule="auto"/>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initial adoption of Accounting Standard No. 22 "FINANCIAL INSTRUMENTS: DISCLOSURE AND PRESENTATION" of the Israeli Accounting Standards Board (see Note 2P(1)) in the first quarter of 2006, the Company's convertible debentures would be bifurcated in a manner by which the Company's shareholders' equity would increase by approximately $16,500 and the convertible debentures will be reduced by the same amount. Said amount will be expensed as financing expenses through 2011.</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32 -</w:t>
      </w:r>
    </w:p>
    <w:p>
      <w:pPr>
        <w:sectPr>
          <w:pgSz w:w="11900" w:h="16838" w:orient="portrait"/>
          <w:cols w:equalWidth="0" w:num="1">
            <w:col w:w="10219"/>
          </w:cols>
          <w:pgMar w:left="240" w:top="676" w:right="1440" w:bottom="1440" w:gutter="0" w:footer="0" w:header="0"/>
        </w:sectPr>
      </w:pPr>
    </w:p>
    <w:bookmarkStart w:id="43" w:name="page44"/>
    <w:bookmarkEnd w:id="43"/>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w:t>
      </w:r>
    </w:p>
    <w:p>
      <w:pPr>
        <w:spacing w:after="0" w:line="191" w:lineRule="exact"/>
        <w:rPr>
          <w:sz w:val="20"/>
          <w:szCs w:val="20"/>
          <w:color w:val="auto"/>
        </w:rPr>
      </w:pPr>
    </w:p>
    <w:p>
      <w:pPr>
        <w:ind w:left="960" w:hanging="476"/>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ORDINARY SHARES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and 2004, the Company had 500,000,000 and 250,000,000 authorized Ordinary Shares, respectively, par value NIS 1.00 each, of which 66,932,056 and 65,699,796, respectively, were issued and outstanding (net of 1,300,000 Ordinary Shares held by the Company as of such dates). As of the approval date of the financial statements, there were 67,189,547 Ordinary Shares issued and outstanding and 58,627,109 Ordinary Shares of the Company contingently issuable. This amount includes Ordinary Shares to be issued under various agreements according to their provisions related to Fab 2 Wafer Partners and Equity Investors warrants, the exercise of all options granted and issued to non-employees and the conversion of all convertible debentures. Subsequent to the balance sheet date and through the approval date of the financial statements, the nominee company acting on behalf of the Tel Aviv Stock Exchange Clearing House has requested to convert 3,351,854 of convertible debentures, issued in connection with the Company's recent rights offering, into</w:t>
      </w:r>
    </w:p>
    <w:p>
      <w:pPr>
        <w:spacing w:after="0" w:line="9"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3,047,140 Ordinary Shares of the Company, which as of the approval date of the financial statements have not yet been issued.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90"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CHIEF EXECUTIVE OFFICER AND DIRECTOR SHARE OPTIONS</w:t>
      </w:r>
    </w:p>
    <w:p>
      <w:pPr>
        <w:spacing w:after="0" w:line="191"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 The Company has granted to its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to not less than 85% of the market value of the Ordinary Shares at the date of grant (in mostly all cases, at an exercise price equal to the market value of the underlying shares at the date of grant); vest over a three to four-year period according to various vesting schedules; and are not exercisable beyond ten years from the grant date under each plan.</w:t>
      </w:r>
    </w:p>
    <w:p>
      <w:pPr>
        <w:spacing w:after="0" w:line="193"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TO THE COMPANY'S NEW CHIEF EXECUTIVE OFFICER AND DIRECTOR - In April 2005, the Company's Board of Directors approved the grant of options to purchase up to 1,325,724 Ordinary Shares to the Company's new appointed Chief Executive Officer ("CEO"), who was also appointed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380" w:lineRule="exact"/>
        <w:rPr>
          <w:rFonts w:ascii="Courier New" w:cs="Courier New" w:eastAsia="Courier New" w:hAnsi="Courier New"/>
          <w:sz w:val="16"/>
          <w:szCs w:val="16"/>
          <w:color w:val="auto"/>
        </w:rPr>
      </w:pPr>
    </w:p>
    <w:p>
      <w:pPr>
        <w:ind w:left="3780" w:hanging="195"/>
        <w:spacing w:after="0"/>
        <w:tabs>
          <w:tab w:leader="none" w:pos="3780" w:val="left"/>
        </w:tabs>
        <w:numPr>
          <w:ilvl w:val="3"/>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33 -</w:t>
      </w:r>
    </w:p>
    <w:p>
      <w:pPr>
        <w:sectPr>
          <w:pgSz w:w="11900" w:h="16838" w:orient="portrait"/>
          <w:cols w:equalWidth="0" w:num="1">
            <w:col w:w="10219"/>
          </w:cols>
          <w:pgMar w:left="240" w:top="676" w:right="1440" w:bottom="1440" w:gutter="0" w:footer="0" w:header="0"/>
        </w:sectPr>
      </w:pPr>
    </w:p>
    <w:bookmarkStart w:id="44" w:name="page45"/>
    <w:bookmarkEnd w:id="44"/>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right="2959" w:hanging="492"/>
        <w:spacing w:after="0" w:line="248" w:lineRule="auto"/>
        <w:tabs>
          <w:tab w:leader="none" w:pos="14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CHIEF EXECUTIVE OFFICER AND DIRECTOR SHARE OPTIONS (cont.)</w:t>
      </w:r>
    </w:p>
    <w:p>
      <w:pPr>
        <w:spacing w:after="0" w:line="184" w:lineRule="exact"/>
        <w:rPr>
          <w:rFonts w:ascii="Courier New" w:cs="Courier New" w:eastAsia="Courier New" w:hAnsi="Courier New"/>
          <w:sz w:val="16"/>
          <w:szCs w:val="16"/>
          <w:color w:val="auto"/>
        </w:rPr>
      </w:pPr>
    </w:p>
    <w:p>
      <w:pPr>
        <w:ind w:left="1940" w:right="2859" w:hanging="487"/>
        <w:spacing w:after="0" w:line="248" w:lineRule="auto"/>
        <w:tabs>
          <w:tab w:leader="none" w:pos="1940"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TO THE COMPANY'S NEW CHIEF EXECUTIVE OFFICER AND DIRECTOR (CONT.)</w:t>
      </w:r>
    </w:p>
    <w:p>
      <w:pPr>
        <w:spacing w:after="0" w:line="184" w:lineRule="exact"/>
        <w:rPr>
          <w:rFonts w:ascii="Courier New" w:cs="Courier New" w:eastAsia="Courier New" w:hAnsi="Courier New"/>
          <w:sz w:val="16"/>
          <w:szCs w:val="16"/>
          <w:color w:val="auto"/>
        </w:rPr>
      </w:pPr>
    </w:p>
    <w:p>
      <w:pPr>
        <w:ind w:left="194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equity financings consummated after April 30, 2005 (excluding the exercise or conversion of warrants, options, convertible debentures or other rights to acquire the Company's securities outstanding on such date), the CEO's total number of options granted to him through April 30, 2007 would represent less than 1.2% of the total number of issued and outstanding shares of the Company as of April 30, 2007, additional options will be granted to the CEO to result in a 1.2% holding of the total number of issued and outstanding shares of the Company as of April 30, 2007.</w:t>
      </w:r>
    </w:p>
    <w:p>
      <w:pPr>
        <w:spacing w:after="0" w:line="191" w:lineRule="exact"/>
        <w:rPr>
          <w:rFonts w:ascii="Courier New" w:cs="Courier New" w:eastAsia="Courier New" w:hAnsi="Courier New"/>
          <w:sz w:val="16"/>
          <w:szCs w:val="16"/>
          <w:color w:val="auto"/>
        </w:rPr>
      </w:pPr>
    </w:p>
    <w:p>
      <w:pPr>
        <w:ind w:left="1940" w:right="2559" w:hanging="487"/>
        <w:spacing w:after="0" w:line="246" w:lineRule="auto"/>
        <w:tabs>
          <w:tab w:leader="none" w:pos="1940"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120,000 options were granted in 2005 to three directors who were appointed in 2005 (40,000 options each) at exercise prices of $1.87, $1.87 and $1.26, which equal the market price of the Company's shares on the grant dates. As of December 31, 2005 and 2004, 280,000 and 240,000 options were outstanding under the plan, respectively, with a weighted average exercise price of $5.39 and $8.41, respectively.</w:t>
      </w:r>
    </w:p>
    <w:p>
      <w:pPr>
        <w:spacing w:after="0" w:line="195" w:lineRule="exact"/>
        <w:rPr>
          <w:rFonts w:ascii="Courier New" w:cs="Courier New" w:eastAsia="Courier New" w:hAnsi="Courier New"/>
          <w:sz w:val="16"/>
          <w:szCs w:val="16"/>
          <w:color w:val="auto"/>
        </w:rPr>
      </w:pPr>
    </w:p>
    <w:p>
      <w:pPr>
        <w:ind w:left="19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plan vest over a four-year period according to various vesting schedules, and generally may not be exercised beyond five years from the date they first become exercisable.</w:t>
      </w:r>
    </w:p>
    <w:p>
      <w:pPr>
        <w:spacing w:after="0" w:line="185" w:lineRule="exact"/>
        <w:rPr>
          <w:rFonts w:ascii="Courier New" w:cs="Courier New" w:eastAsia="Courier New" w:hAnsi="Courier New"/>
          <w:sz w:val="16"/>
          <w:szCs w:val="16"/>
          <w:color w:val="auto"/>
        </w:rPr>
      </w:pPr>
    </w:p>
    <w:p>
      <w:pPr>
        <w:ind w:left="19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2005, 16,666 and 14,334 options, respectively, were expired.</w:t>
      </w:r>
    </w:p>
    <w:p>
      <w:pPr>
        <w:spacing w:after="0" w:line="378" w:lineRule="exact"/>
        <w:rPr>
          <w:rFonts w:ascii="Courier New" w:cs="Courier New" w:eastAsia="Courier New" w:hAnsi="Courier New"/>
          <w:sz w:val="16"/>
          <w:szCs w:val="16"/>
          <w:color w:val="auto"/>
        </w:rPr>
      </w:pPr>
    </w:p>
    <w:p>
      <w:pPr>
        <w:ind w:left="3780" w:hanging="195"/>
        <w:spacing w:after="0"/>
        <w:tabs>
          <w:tab w:leader="none" w:pos="3780" w:val="left"/>
        </w:tabs>
        <w:numPr>
          <w:ilvl w:val="3"/>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34 -</w:t>
      </w:r>
    </w:p>
    <w:p>
      <w:pPr>
        <w:sectPr>
          <w:pgSz w:w="11900" w:h="16838" w:orient="portrait"/>
          <w:cols w:equalWidth="0" w:num="1">
            <w:col w:w="10219"/>
          </w:cols>
          <w:pgMar w:left="240" w:top="676" w:right="1440" w:bottom="1440" w:gutter="0" w:footer="0" w:header="0"/>
        </w:sectPr>
      </w:pPr>
    </w:p>
    <w:bookmarkStart w:id="45" w:name="page46"/>
    <w:bookmarkEnd w:id="45"/>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right="2959" w:hanging="492"/>
        <w:spacing w:after="0" w:line="248" w:lineRule="auto"/>
        <w:tabs>
          <w:tab w:leader="none" w:pos="146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CHIEF EXECUTIVE OFFICER AND DIRECTOR SHARE OPTIONS (cont.)</w:t>
      </w:r>
    </w:p>
    <w:p>
      <w:pPr>
        <w:spacing w:after="0" w:line="184"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OF OPTIONS GRANTED TO THE COMPANY'S FORMER CHAIRMAN OF THE BOARD OF DIRECTORS AND CHIEF EXECUTIVE OFFICER - In March 2003, the Board of Directors of the Company approved a share option plan, which was approved by the Company's shareholders in May 2003, pursuant to which the Company's former Chairman of the Board of Directors and CEO was granted options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 trading days preceding the date of board approval of an amendment to the Fab 2 investment agreements. Options granted under the plan vest over a five-year period according to various vesting schedules. Due to the resignation of the Company's former Chairman of the Board of Directors and Chief Executive Officer in May 2005, 625,800 options granted to him were fully forfeited and 417,200 options were exercisable until May 2006.</w:t>
      </w:r>
    </w:p>
    <w:p>
      <w:pPr>
        <w:spacing w:after="0" w:line="197"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TO FORMER CO-CEOS IN OCTOBER 1998 AND MAY 2001 - In October 1998 and May 2001, the Board of Directors of the Company approved share option plans pursuant to which each of the Company's two former Co-Chief Executive Officers was granted options to purchase up to 300,000 and 100,000 Ordinary Shares of the Company, respectively,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 As of December 31, 2005, there were 705,000 options exercisable by the former Co-Chief Executive Officers.</w:t>
      </w:r>
    </w:p>
    <w:p>
      <w:pPr>
        <w:spacing w:after="0" w:line="194"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a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for the years 2004 and 2005 - 3.6%. As of December 31, 2005, an aggregate of 1,973,025 options had not yet been granted, and are accordingly available for grant under the general terms described in paragraph (a) above.</w:t>
      </w:r>
    </w:p>
    <w:p>
      <w:pPr>
        <w:spacing w:after="0" w:line="384" w:lineRule="exact"/>
        <w:rPr>
          <w:rFonts w:ascii="Courier New" w:cs="Courier New" w:eastAsia="Courier New" w:hAnsi="Courier New"/>
          <w:sz w:val="16"/>
          <w:szCs w:val="16"/>
          <w:color w:val="auto"/>
        </w:rPr>
      </w:pPr>
    </w:p>
    <w:p>
      <w:pPr>
        <w:ind w:left="3780" w:hanging="195"/>
        <w:spacing w:after="0"/>
        <w:tabs>
          <w:tab w:leader="none" w:pos="3780" w:val="left"/>
        </w:tabs>
        <w:numPr>
          <w:ilvl w:val="3"/>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35 -</w:t>
      </w:r>
    </w:p>
    <w:p>
      <w:pPr>
        <w:sectPr>
          <w:pgSz w:w="11900" w:h="16838" w:orient="portrait"/>
          <w:cols w:equalWidth="0" w:num="1">
            <w:col w:w="10219"/>
          </w:cols>
          <w:pgMar w:left="240" w:top="676" w:right="1440" w:bottom="1440" w:gutter="0" w:footer="0" w:header="0"/>
        </w:sectPr>
      </w:pPr>
    </w:p>
    <w:bookmarkStart w:id="46" w:name="page47"/>
    <w:bookmarkEnd w:id="46"/>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right="3860" w:hanging="492"/>
        <w:spacing w:after="0" w:line="248" w:lineRule="auto"/>
        <w:tabs>
          <w:tab w:leader="none" w:pos="146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THE STATUS OF ALL THE COMPANY'S EMPLOYEE AND DIRECTOR SHARE OPTIONS</w:t>
      </w:r>
    </w:p>
    <w:p>
      <w:pPr>
        <w:spacing w:after="0" w:line="184" w:lineRule="exact"/>
        <w:rPr>
          <w:rFonts w:ascii="Courier New" w:cs="Courier New" w:eastAsia="Courier New" w:hAnsi="Courier New"/>
          <w:sz w:val="16"/>
          <w:szCs w:val="16"/>
          <w:color w:val="auto"/>
        </w:rPr>
      </w:pPr>
    </w:p>
    <w:p>
      <w:pPr>
        <w:ind w:left="1460" w:right="386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the status of all the Company's employee and director share option plans as of December 31, 2005, 2004 and 2003, as well as changes during each of the years then ended, is presented below (for options granted to the Banks, a related party and a consultant, see paragraph B(5) below):</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2005</w:t>
            </w:r>
          </w:p>
        </w:tc>
        <w:tc>
          <w:tcPr>
            <w:tcW w:w="1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13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32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0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Weighted</w:t>
            </w:r>
          </w:p>
        </w:tc>
        <w:tc>
          <w:tcPr>
            <w:tcW w:w="1680" w:type="dxa"/>
            <w:vAlign w:val="bottom"/>
          </w:tcPr>
          <w:p>
            <w:pPr>
              <w:spacing w:after="0"/>
              <w:rPr>
                <w:sz w:val="16"/>
                <w:szCs w:val="16"/>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Weighted</w:t>
            </w:r>
          </w:p>
        </w:tc>
        <w:tc>
          <w:tcPr>
            <w:tcW w:w="1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Weighted</w:t>
            </w:r>
          </w:p>
        </w:tc>
      </w:tr>
      <w:tr>
        <w:trPr>
          <w:trHeight w:val="186"/>
        </w:trPr>
        <w:tc>
          <w:tcPr>
            <w:tcW w:w="2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average</w:t>
            </w:r>
          </w:p>
        </w:tc>
        <w:tc>
          <w:tcPr>
            <w:tcW w:w="16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Number</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average</w:t>
            </w:r>
          </w:p>
        </w:tc>
        <w:tc>
          <w:tcPr>
            <w:tcW w:w="17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Number</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average</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Number of</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exercise</w:t>
            </w:r>
          </w:p>
        </w:tc>
        <w:tc>
          <w:tcPr>
            <w:tcW w:w="16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of share</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exercise</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of share</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exercise</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share options</w:t>
            </w:r>
          </w:p>
        </w:tc>
        <w:tc>
          <w:tcPr>
            <w:tcW w:w="13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price</w:t>
            </w:r>
          </w:p>
        </w:tc>
        <w:tc>
          <w:tcPr>
            <w:tcW w:w="16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options</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price</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options</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price</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Outstanding as of</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238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10,212,920</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$ 5.71</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6,842,442</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$ 7.93</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4,247,898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5,000,224</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1.54</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4,364,954</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2.69</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3,118,742</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4.10</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(95,250)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Terminated</w:t>
            </w:r>
          </w:p>
        </w:tc>
        <w:tc>
          <w:tcPr>
            <w:tcW w:w="1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(77,214)</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12.45</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(2,124,355)</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4.99</w:t>
            </w: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(899,226)</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7.89</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(524,199)</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8.25</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Outstanding as of</w:t>
            </w: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end of year</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13,011,575</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4.19</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10,212,920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5.71</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6,842,441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7.93</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Options exercisable</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as of end of year</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4,602,447</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7.77</w:t>
            </w: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3,010,870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10.78</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2,008,674</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11.60</w:t>
            </w:r>
          </w:p>
        </w:tc>
      </w:tr>
      <w:tr>
        <w:trPr>
          <w:trHeight w:val="186"/>
        </w:trPr>
        <w:tc>
          <w:tcPr>
            <w:tcW w:w="2380" w:type="dxa"/>
            <w:vAlign w:val="bottom"/>
          </w:tcPr>
          <w:p>
            <w:pPr>
              <w:spacing w:after="0"/>
              <w:rPr>
                <w:sz w:val="16"/>
                <w:szCs w:val="16"/>
                <w:color w:val="auto"/>
              </w:rPr>
            </w:pP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6"/>
                <w:szCs w:val="16"/>
                <w:color w:val="auto"/>
              </w:rPr>
            </w:pP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745"/>
        </w:trPr>
        <w:tc>
          <w:tcPr>
            <w:tcW w:w="23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- 36 -</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676" w:right="139" w:bottom="1440" w:gutter="0" w:footer="0" w:header="0"/>
        </w:sectPr>
      </w:pPr>
    </w:p>
    <w:bookmarkStart w:id="47" w:name="page48"/>
    <w:bookmarkEnd w:id="4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INFORMATION ABOUT EMPLOYEE SHARE OPTIONS OUTSTANDING</w:t>
      </w:r>
    </w:p>
    <w:p>
      <w:pPr>
        <w:spacing w:after="0" w:line="191" w:lineRule="exact"/>
        <w:rPr>
          <w:rFonts w:ascii="Courier New" w:cs="Courier New" w:eastAsia="Courier New" w:hAnsi="Courier New"/>
          <w:sz w:val="16"/>
          <w:szCs w:val="16"/>
          <w:color w:val="auto"/>
        </w:rPr>
      </w:pPr>
    </w:p>
    <w:p>
      <w:pPr>
        <w:ind w:left="1460" w:right="290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summarizes information about employee share options outstanding as of December 31, 2005:</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Exercisable as of</w:t>
            </w:r>
          </w:p>
        </w:tc>
      </w:tr>
      <w:tr>
        <w:trPr>
          <w:trHeight w:val="186"/>
        </w:trPr>
        <w:tc>
          <w:tcPr>
            <w:tcW w:w="1740" w:type="dxa"/>
            <w:vAlign w:val="bottom"/>
          </w:tcPr>
          <w:p>
            <w:pPr>
              <w:spacing w:after="0"/>
              <w:rPr>
                <w:sz w:val="16"/>
                <w:szCs w:val="16"/>
                <w:color w:val="auto"/>
              </w:rPr>
            </w:pPr>
          </w:p>
        </w:tc>
        <w:tc>
          <w:tcPr>
            <w:tcW w:w="3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Outstanding as of December 31, 2005</w:t>
            </w:r>
          </w:p>
        </w:tc>
        <w:tc>
          <w:tcPr>
            <w:tcW w:w="1600" w:type="dxa"/>
            <w:vAlign w:val="bottom"/>
          </w:tcPr>
          <w:p>
            <w:pPr>
              <w:spacing w:after="0"/>
              <w:rPr>
                <w:sz w:val="16"/>
                <w:szCs w:val="16"/>
                <w:color w:val="auto"/>
              </w:rPr>
            </w:pPr>
          </w:p>
        </w:tc>
        <w:tc>
          <w:tcPr>
            <w:tcW w:w="3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December 31, 2005</w:t>
            </w:r>
          </w:p>
        </w:tc>
      </w:tr>
      <w:tr>
        <w:trPr>
          <w:trHeight w:val="186"/>
        </w:trPr>
        <w:tc>
          <w:tcPr>
            <w:tcW w:w="31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0"/>
              </w:rPr>
              <w:t>------------------------------------------------------------------</w:t>
            </w: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r>
      <w:tr>
        <w:trPr>
          <w:trHeight w:val="186"/>
        </w:trPr>
        <w:tc>
          <w:tcPr>
            <w:tcW w:w="1740" w:type="dxa"/>
            <w:vAlign w:val="bottom"/>
          </w:tcPr>
          <w:p>
            <w:pPr>
              <w:jc w:val="center"/>
              <w:ind w:right="521"/>
              <w:spacing w:after="0"/>
              <w:rPr>
                <w:sz w:val="20"/>
                <w:szCs w:val="20"/>
                <w:color w:val="auto"/>
              </w:rPr>
            </w:pPr>
            <w:r>
              <w:rPr>
                <w:rFonts w:ascii="Courier New" w:cs="Courier New" w:eastAsia="Courier New" w:hAnsi="Courier New"/>
                <w:sz w:val="16"/>
                <w:szCs w:val="16"/>
                <w:color w:val="auto"/>
              </w:rPr>
              <w:t>Range of</w:t>
            </w:r>
          </w:p>
        </w:tc>
        <w:tc>
          <w:tcPr>
            <w:tcW w:w="13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Weighted average</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Weighted</w:t>
            </w:r>
          </w:p>
        </w:tc>
        <w:tc>
          <w:tcPr>
            <w:tcW w:w="15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6"/>
        </w:trPr>
        <w:tc>
          <w:tcPr>
            <w:tcW w:w="1740" w:type="dxa"/>
            <w:vAlign w:val="bottom"/>
          </w:tcPr>
          <w:p>
            <w:pPr>
              <w:jc w:val="center"/>
              <w:ind w:right="521"/>
              <w:spacing w:after="0"/>
              <w:rPr>
                <w:sz w:val="20"/>
                <w:szCs w:val="20"/>
                <w:color w:val="auto"/>
              </w:rPr>
            </w:pPr>
            <w:r>
              <w:rPr>
                <w:rFonts w:ascii="Courier New" w:cs="Courier New" w:eastAsia="Courier New" w:hAnsi="Courier New"/>
                <w:sz w:val="16"/>
                <w:szCs w:val="16"/>
                <w:color w:val="auto"/>
              </w:rPr>
              <w:t>exercise</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Number</w:t>
            </w:r>
          </w:p>
        </w:tc>
        <w:tc>
          <w:tcPr>
            <w:tcW w:w="2180" w:type="dxa"/>
            <w:vAlign w:val="bottom"/>
          </w:tcPr>
          <w:p>
            <w:pPr>
              <w:ind w:left="580"/>
              <w:spacing w:after="0"/>
              <w:rPr>
                <w:sz w:val="20"/>
                <w:szCs w:val="20"/>
                <w:color w:val="auto"/>
              </w:rPr>
            </w:pPr>
            <w:r>
              <w:rPr>
                <w:rFonts w:ascii="Courier New" w:cs="Courier New" w:eastAsia="Courier New" w:hAnsi="Courier New"/>
                <w:sz w:val="16"/>
                <w:szCs w:val="16"/>
                <w:color w:val="auto"/>
              </w:rPr>
              <w:t>remaining</w:t>
            </w: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average</w:t>
            </w: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Number</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w:t>
            </w:r>
          </w:p>
        </w:tc>
      </w:tr>
      <w:tr>
        <w:trPr>
          <w:trHeight w:val="186"/>
        </w:trPr>
        <w:tc>
          <w:tcPr>
            <w:tcW w:w="1740" w:type="dxa"/>
            <w:vAlign w:val="bottom"/>
          </w:tcPr>
          <w:p>
            <w:pPr>
              <w:jc w:val="center"/>
              <w:ind w:right="521"/>
              <w:spacing w:after="0"/>
              <w:rPr>
                <w:sz w:val="20"/>
                <w:szCs w:val="20"/>
                <w:color w:val="auto"/>
              </w:rPr>
            </w:pPr>
            <w:r>
              <w:rPr>
                <w:rFonts w:ascii="Courier New" w:cs="Courier New" w:eastAsia="Courier New" w:hAnsi="Courier New"/>
                <w:sz w:val="16"/>
                <w:szCs w:val="16"/>
                <w:color w:val="auto"/>
              </w:rPr>
              <w:t>prices</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outstanding</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contractual life</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exercise price</w:t>
            </w: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exercisable</w:t>
            </w:r>
          </w:p>
        </w:tc>
        <w:tc>
          <w:tcPr>
            <w:tcW w:w="1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exercise price</w:t>
            </w:r>
          </w:p>
        </w:tc>
      </w:tr>
      <w:tr>
        <w:trPr>
          <w:trHeight w:val="186"/>
        </w:trPr>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w w:val="99"/>
              </w:rPr>
              <w:t>(in years)</w:t>
            </w: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3"/>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1.00-1.99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4,860,017</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9.29</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1.54</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0.00</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2.00-2.99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2,723,059</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7.64</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2.33</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991,621</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2.54</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3.00-3.99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1,317,600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8.59</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344,220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3.26</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4.42-4.92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1,051,350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7.55</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4.43</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530,396</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4.43</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5.00-5.96</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118,000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7.11</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5.23</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72,412</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5.35</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6.00-6.99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714,889</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6.50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6.13</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437,138</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6.09</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7.00-7.99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579,750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1.17</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579,750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7.01</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8.00-8.99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344,887</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2.36</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8.51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344,887</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8.51</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9.063-9.812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8,250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1.09</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9.37</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8,250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9.37</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10.00-10.89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612,109</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5.23</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10.41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612,109</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10.41</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11.81-11.81</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5.41</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11.81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200,000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11.81</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12.00-13.00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38,350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4.67</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12.40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38,350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12.40</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w w:val="99"/>
              </w:rPr>
              <w:t>14.25-17.1875</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18,500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4.85</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16.16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18,500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16.16</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18.75-18.75</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44,500</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4.26</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18.75</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44,500</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18.75</w:t>
            </w:r>
          </w:p>
        </w:tc>
      </w:tr>
      <w:tr>
        <w:trPr>
          <w:trHeight w:val="186"/>
        </w:trPr>
        <w:tc>
          <w:tcPr>
            <w:tcW w:w="17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20.00-25.00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380,314</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4.30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24.48</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380,314</w:t>
            </w:r>
          </w:p>
        </w:tc>
        <w:tc>
          <w:tcPr>
            <w:tcW w:w="1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24.48</w:t>
            </w:r>
          </w:p>
        </w:tc>
      </w:tr>
      <w:tr>
        <w:trPr>
          <w:trHeight w:val="186"/>
        </w:trPr>
        <w:tc>
          <w:tcPr>
            <w:tcW w:w="17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w:t>
            </w: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r>
      <w:tr>
        <w:trPr>
          <w:trHeight w:val="186"/>
        </w:trPr>
        <w:tc>
          <w:tcPr>
            <w:tcW w:w="17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13,011,575</w:t>
            </w: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4,602,447</w:t>
            </w:r>
          </w:p>
        </w:tc>
        <w:tc>
          <w:tcPr>
            <w:tcW w:w="1780" w:type="dxa"/>
            <w:vAlign w:val="bottom"/>
          </w:tcPr>
          <w:p>
            <w:pPr>
              <w:spacing w:after="0"/>
              <w:rPr>
                <w:sz w:val="16"/>
                <w:szCs w:val="16"/>
                <w:color w:val="auto"/>
              </w:rPr>
            </w:pPr>
          </w:p>
        </w:tc>
      </w:tr>
      <w:tr>
        <w:trPr>
          <w:trHeight w:val="186"/>
        </w:trPr>
        <w:tc>
          <w:tcPr>
            <w:tcW w:w="17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w:t>
            </w: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363" w:lineRule="exact"/>
        <w:rPr>
          <w:sz w:val="20"/>
          <w:szCs w:val="20"/>
          <w:color w:val="auto"/>
        </w:rPr>
      </w:pPr>
    </w:p>
    <w:p>
      <w:pPr>
        <w:ind w:left="1460" w:right="3200" w:hanging="492"/>
        <w:spacing w:after="0" w:line="248" w:lineRule="auto"/>
        <w:tabs>
          <w:tab w:leader="none" w:pos="14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GRANT-DATE FAIR VALUE OF OPTIONS GRANTED TO EMPLOYEES</w:t>
      </w:r>
    </w:p>
    <w:p>
      <w:pPr>
        <w:spacing w:after="0" w:line="184" w:lineRule="exact"/>
        <w:rPr>
          <w:rFonts w:ascii="Courier New" w:cs="Courier New" w:eastAsia="Courier New" w:hAnsi="Courier New"/>
          <w:sz w:val="16"/>
          <w:szCs w:val="16"/>
          <w:color w:val="auto"/>
        </w:rPr>
      </w:pPr>
    </w:p>
    <w:p>
      <w:pPr>
        <w:ind w:left="1460" w:right="270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grant-date fair value of the options granted during 2005, 2004 and 2003 to employees and directors amounted to $0.83, $1.53 and $2.18 per option, respectively. The Company utilized the Black-Scholes option-pricing model to estimate fair value, utilizing the following assumptions for the years 2005,</w:t>
      </w:r>
    </w:p>
    <w:p>
      <w:pPr>
        <w:spacing w:after="0" w:line="2"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2004 and 2003 (all in weighted averages):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760" w:type="dxa"/>
            <w:vAlign w:val="bottom"/>
          </w:tcPr>
          <w:p>
            <w:pPr>
              <w:jc w:val="center"/>
              <w:ind w:left="99"/>
              <w:spacing w:after="0"/>
              <w:rPr>
                <w:sz w:val="20"/>
                <w:szCs w:val="20"/>
                <w:color w:val="auto"/>
              </w:rPr>
            </w:pPr>
            <w:r>
              <w:rPr>
                <w:rFonts w:ascii="Courier New" w:cs="Courier New" w:eastAsia="Courier New" w:hAnsi="Courier New"/>
                <w:sz w:val="16"/>
                <w:szCs w:val="16"/>
                <w:color w:val="auto"/>
                <w:w w:val="98"/>
              </w:rPr>
              <w:t>2005</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2004</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900" w:type="dxa"/>
            <w:vAlign w:val="bottom"/>
          </w:tcPr>
          <w:p>
            <w:pPr>
              <w:spacing w:after="0"/>
              <w:rPr>
                <w:sz w:val="16"/>
                <w:szCs w:val="16"/>
                <w:color w:val="auto"/>
              </w:rPr>
            </w:pPr>
          </w:p>
        </w:tc>
        <w:tc>
          <w:tcPr>
            <w:tcW w:w="1760" w:type="dxa"/>
            <w:vAlign w:val="bottom"/>
          </w:tcPr>
          <w:p>
            <w:pPr>
              <w:jc w:val="center"/>
              <w:ind w:left="99"/>
              <w:spacing w:after="0"/>
              <w:rPr>
                <w:sz w:val="20"/>
                <w:szCs w:val="20"/>
                <w:color w:val="auto"/>
              </w:rPr>
            </w:pPr>
            <w:r>
              <w:rPr>
                <w:rFonts w:ascii="Courier New" w:cs="Courier New" w:eastAsia="Courier New" w:hAnsi="Courier New"/>
                <w:sz w:val="16"/>
                <w:szCs w:val="16"/>
                <w:color w:val="auto"/>
                <w:w w:val="98"/>
              </w:rPr>
              <w:t>----</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3.69%-4.34%</w:t>
            </w:r>
          </w:p>
        </w:tc>
        <w:tc>
          <w:tcPr>
            <w:tcW w:w="1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2.84%-3.88%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2.88%-3.22%</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Expected life of options</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4.49 years</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 years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4.75 years</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Expected annual volatility</w:t>
            </w:r>
          </w:p>
        </w:tc>
        <w:tc>
          <w:tcPr>
            <w:tcW w:w="17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54%-69%</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65%-82%</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55%-74%</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7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None</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None</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None</w:t>
            </w:r>
          </w:p>
        </w:tc>
      </w:tr>
      <w:tr>
        <w:trPr>
          <w:trHeight w:val="559"/>
        </w:trPr>
        <w:tc>
          <w:tcPr>
            <w:tcW w:w="2900" w:type="dxa"/>
            <w:vAlign w:val="bottom"/>
          </w:tcPr>
          <w:p>
            <w:pPr>
              <w:spacing w:after="0"/>
              <w:rPr>
                <w:sz w:val="24"/>
                <w:szCs w:val="24"/>
                <w:color w:val="auto"/>
              </w:rPr>
            </w:pPr>
          </w:p>
        </w:tc>
        <w:tc>
          <w:tcPr>
            <w:tcW w:w="17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- 37 -</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460"/>
          </w:cols>
          <w:pgMar w:left="240" w:top="676" w:right="1199" w:bottom="1440" w:gutter="0" w:footer="0" w:header="0"/>
        </w:sectPr>
      </w:pPr>
    </w:p>
    <w:bookmarkStart w:id="48" w:name="page49"/>
    <w:bookmarkEnd w:id="4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WARRANTS</w:t>
      </w:r>
    </w:p>
    <w:p>
      <w:pPr>
        <w:spacing w:after="0" w:line="191" w:lineRule="exact"/>
        <w:rPr>
          <w:rFonts w:ascii="Courier New" w:cs="Courier New" w:eastAsia="Courier New" w:hAnsi="Courier New"/>
          <w:sz w:val="16"/>
          <w:szCs w:val="16"/>
          <w:color w:val="auto"/>
        </w:rPr>
      </w:pPr>
    </w:p>
    <w:p>
      <w:pPr>
        <w:ind w:left="1940" w:right="2459" w:hanging="487"/>
        <w:spacing w:after="0" w:line="247" w:lineRule="auto"/>
        <w:tabs>
          <w:tab w:leader="none" w:pos="1940"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 As of December 31, 2005, the Company had granted the Banks an aggregate of 9,561,060 warrants to purchase Ordinary Shares of the Company, at an average exercise price of $1.88 per share, at terms described below, of which 9,161,060 were outstanding and 5,028,828 were exercisable as of the approval date of the financial statements.</w:t>
      </w:r>
    </w:p>
    <w:p>
      <w:pPr>
        <w:spacing w:after="0" w:line="185" w:lineRule="exact"/>
        <w:rPr>
          <w:rFonts w:ascii="Courier New" w:cs="Courier New" w:eastAsia="Courier New" w:hAnsi="Courier New"/>
          <w:sz w:val="16"/>
          <w:szCs w:val="16"/>
          <w:color w:val="auto"/>
        </w:rPr>
      </w:pPr>
    </w:p>
    <w:p>
      <w:pPr>
        <w:ind w:left="19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IN JANUARY 2001 - In January 2001, as part of the Facility Agreement described in Note 11A(6), the Banks received an aggregate of 400,000 warrants to purchase Ordinary Shares of the Company (200,000 each) at an exercise price, as amended in December 2001, of $6.20 per share. As of December 31, 2005, all of these warrants were fully vested. The warrants expired in January 2006.</w:t>
      </w:r>
    </w:p>
    <w:p>
      <w:pPr>
        <w:spacing w:after="0" w:line="185" w:lineRule="exact"/>
        <w:rPr>
          <w:rFonts w:ascii="Courier New" w:cs="Courier New" w:eastAsia="Courier New" w:hAnsi="Courier New"/>
          <w:sz w:val="16"/>
          <w:szCs w:val="16"/>
          <w:color w:val="auto"/>
        </w:rPr>
      </w:pPr>
    </w:p>
    <w:p>
      <w:pPr>
        <w:ind w:left="19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85" w:lineRule="exact"/>
        <w:rPr>
          <w:rFonts w:ascii="Courier New" w:cs="Courier New" w:eastAsia="Courier New" w:hAnsi="Courier New"/>
          <w:sz w:val="16"/>
          <w:szCs w:val="16"/>
          <w:color w:val="auto"/>
        </w:rPr>
      </w:pPr>
    </w:p>
    <w:p>
      <w:pPr>
        <w:ind w:left="19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GRANTED IN DECEMBER 2003 - In December 2003, as part of an amendment to the Facility Agreement, the Banks received an aggregate of 896,596 warrants to purchase Ordinary Shares of the Company (448,298 each) at an exercise price of $6.17 per share, the 15 day average closing price of the Company's Ordinary Shares prior to the date the amendment with the Banks was signed. As of December 31, 2005, all of the warrants are fully vested. The warrants are exercisable for a five-year period ending December 2008.</w:t>
      </w:r>
    </w:p>
    <w:p>
      <w:pPr>
        <w:spacing w:after="0" w:line="191" w:lineRule="exact"/>
        <w:rPr>
          <w:rFonts w:ascii="Courier New" w:cs="Courier New" w:eastAsia="Courier New" w:hAnsi="Courier New"/>
          <w:sz w:val="16"/>
          <w:szCs w:val="16"/>
          <w:color w:val="auto"/>
        </w:rPr>
      </w:pPr>
    </w:p>
    <w:p>
      <w:pPr>
        <w:ind w:left="19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185" w:lineRule="exact"/>
        <w:rPr>
          <w:rFonts w:ascii="Courier New" w:cs="Courier New" w:eastAsia="Courier New" w:hAnsi="Courier New"/>
          <w:sz w:val="16"/>
          <w:szCs w:val="16"/>
          <w:color w:val="auto"/>
        </w:rPr>
      </w:pPr>
    </w:p>
    <w:p>
      <w:pPr>
        <w:ind w:left="19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IN JULY 2005 - In connection with the July 2005 amendment to the Facility Agreement detailed in Note 11A(6) above, the Company agreed to issue warrants to the Banks exercisable into an aggregate of 8,264,464 ordinary shares of the Company, with an exercise price of $1.21. One-half, or 4,132,232, of the warrants are exercisable for five years ending in August 2010, and one-half, or 4,132,232, of the warrants shall be exercisable for a five-year period commencing on the date on which the Company and its Banks will agree, if at all, upon the rescheduled repayment dates of the new loans of $29,693, as described in Note 11A(6) above.</w:t>
      </w:r>
    </w:p>
    <w:p>
      <w:pPr>
        <w:spacing w:after="0" w:line="193" w:lineRule="exact"/>
        <w:rPr>
          <w:rFonts w:ascii="Courier New" w:cs="Courier New" w:eastAsia="Courier New" w:hAnsi="Courier New"/>
          <w:sz w:val="16"/>
          <w:szCs w:val="16"/>
          <w:color w:val="auto"/>
        </w:rPr>
      </w:pPr>
    </w:p>
    <w:p>
      <w:pPr>
        <w:ind w:left="194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the currently exercisable 4,132,232 warrants, determined based on the fair value at the grant date in accordance with SFAS 123, amounted to a total of $2,793. Such amount is amortized as deferred financing charges over the term of the new loans of $29,693.</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3"/>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38 -</w:t>
      </w:r>
    </w:p>
    <w:p>
      <w:pPr>
        <w:sectPr>
          <w:pgSz w:w="11900" w:h="16838" w:orient="portrait"/>
          <w:cols w:equalWidth="0" w:num="1">
            <w:col w:w="10219"/>
          </w:cols>
          <w:pgMar w:left="240" w:top="676" w:right="1440" w:bottom="1440" w:gutter="0" w:footer="0" w:header="0"/>
        </w:sectPr>
      </w:pPr>
    </w:p>
    <w:bookmarkStart w:id="49" w:name="page50"/>
    <w:bookmarkEnd w:id="4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WARRANTS (cont.)</w:t>
      </w:r>
    </w:p>
    <w:p>
      <w:pPr>
        <w:spacing w:after="0" w:line="191" w:lineRule="exact"/>
        <w:rPr>
          <w:rFonts w:ascii="Courier New" w:cs="Courier New" w:eastAsia="Courier New" w:hAnsi="Courier New"/>
          <w:sz w:val="16"/>
          <w:szCs w:val="16"/>
          <w:color w:val="auto"/>
        </w:rPr>
      </w:pPr>
    </w:p>
    <w:p>
      <w:pPr>
        <w:ind w:left="1940" w:hanging="487"/>
        <w:spacing w:after="0"/>
        <w:tabs>
          <w:tab w:leader="none" w:pos="194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(cont.)</w:t>
      </w:r>
    </w:p>
    <w:p>
      <w:pPr>
        <w:spacing w:after="0" w:line="191" w:lineRule="exact"/>
        <w:rPr>
          <w:rFonts w:ascii="Courier New" w:cs="Courier New" w:eastAsia="Courier New" w:hAnsi="Courier New"/>
          <w:sz w:val="16"/>
          <w:szCs w:val="16"/>
          <w:color w:val="auto"/>
        </w:rPr>
      </w:pPr>
    </w:p>
    <w:p>
      <w:pPr>
        <w:ind w:left="19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paying the exercise price in cash, the Banks are entitled to exercise all their warrants on a "cashless" basis, i.e. by forfeiting part of the warrants in exchange for ordinary shares equal to the aggregate fair market value of the shares underlying the warrants forfeited less the aggregate exercise price.</w:t>
      </w:r>
    </w:p>
    <w:p>
      <w:pPr>
        <w:spacing w:after="0" w:line="185" w:lineRule="exact"/>
        <w:rPr>
          <w:rFonts w:ascii="Courier New" w:cs="Courier New" w:eastAsia="Courier New" w:hAnsi="Courier New"/>
          <w:sz w:val="16"/>
          <w:szCs w:val="16"/>
          <w:color w:val="auto"/>
        </w:rPr>
      </w:pPr>
    </w:p>
    <w:p>
      <w:pPr>
        <w:ind w:left="1940" w:right="2459" w:hanging="487"/>
        <w:spacing w:after="0" w:line="246" w:lineRule="auto"/>
        <w:tabs>
          <w:tab w:leader="none" w:pos="194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GRANTED TO A RELATED PARTY - In consideration for TIC's undertaking described in Note 11A(6), the Company issued TIC warrants for the purchase of 58,906 of the Company's Ordinary Shares. The exercise price for the warrants is $6.17 per share, the 15-day average closing price of the Company's Ordinary Shares prior to the date the November 2003 amendment with the Banks described in Note 11A(6) was signed. As of December 31, 2005, all of the warrants are fully vested and none of them was exercised. The warrants are exercisable for a five-year period ending December 2008.</w:t>
      </w:r>
    </w:p>
    <w:p>
      <w:pPr>
        <w:spacing w:after="0" w:line="192" w:lineRule="exact"/>
        <w:rPr>
          <w:rFonts w:ascii="Courier New" w:cs="Courier New" w:eastAsia="Courier New" w:hAnsi="Courier New"/>
          <w:sz w:val="16"/>
          <w:szCs w:val="16"/>
          <w:color w:val="auto"/>
        </w:rPr>
      </w:pPr>
    </w:p>
    <w:p>
      <w:pPr>
        <w:ind w:left="19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the warrants award granted to TIC, determined based on the fair value at the grant date in accordance with SFAS 123, amounted to a total of $259. Such amount was allocated to other assets as deferred financing charges and is amortized as financing expense over the terms of the loans under the Facility Agreement with the Banks.</w:t>
      </w:r>
    </w:p>
    <w:p>
      <w:pPr>
        <w:spacing w:after="0" w:line="185" w:lineRule="exact"/>
        <w:rPr>
          <w:rFonts w:ascii="Courier New" w:cs="Courier New" w:eastAsia="Courier New" w:hAnsi="Courier New"/>
          <w:sz w:val="16"/>
          <w:szCs w:val="16"/>
          <w:color w:val="auto"/>
        </w:rPr>
      </w:pPr>
    </w:p>
    <w:p>
      <w:pPr>
        <w:ind w:left="1940" w:right="3139" w:hanging="487"/>
        <w:spacing w:after="0" w:line="248" w:lineRule="auto"/>
        <w:tabs>
          <w:tab w:leader="none" w:pos="194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TO A CANADIAN PENSION FUND - See Note 11A(4).</w:t>
      </w:r>
    </w:p>
    <w:p>
      <w:pPr>
        <w:spacing w:after="0" w:line="184" w:lineRule="exact"/>
        <w:rPr>
          <w:sz w:val="20"/>
          <w:szCs w:val="20"/>
          <w:color w:val="auto"/>
        </w:rPr>
      </w:pPr>
    </w:p>
    <w:p>
      <w:pPr>
        <w:ind w:left="1460" w:right="2759"/>
        <w:spacing w:after="0" w:line="247" w:lineRule="auto"/>
        <w:rPr>
          <w:sz w:val="20"/>
          <w:szCs w:val="20"/>
          <w:color w:val="auto"/>
        </w:rPr>
      </w:pPr>
      <w:r>
        <w:rPr>
          <w:rFonts w:ascii="Courier New" w:cs="Courier New" w:eastAsia="Courier New" w:hAnsi="Courier New"/>
          <w:sz w:val="16"/>
          <w:szCs w:val="16"/>
          <w:color w:val="auto"/>
        </w:rPr>
        <w:t>The Company utilized the Black-Scholes option pricing model to estimate fair values of options and warrants granted to non-employees, utilizing the assumptions similar to those presented in paragraph B(4) above.</w:t>
      </w:r>
    </w:p>
    <w:p>
      <w:pPr>
        <w:spacing w:after="0" w:line="186" w:lineRule="exact"/>
        <w:rPr>
          <w:sz w:val="20"/>
          <w:szCs w:val="20"/>
          <w:color w:val="auto"/>
        </w:rPr>
      </w:pPr>
    </w:p>
    <w:p>
      <w:pPr>
        <w:ind w:left="1460" w:hanging="492"/>
        <w:spacing w:after="0"/>
        <w:tabs>
          <w:tab w:leader="none" w:pos="14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LOSS PER SHARE ACCORDING TO SFAS 123 AND SFAS 148</w:t>
      </w:r>
    </w:p>
    <w:p>
      <w:pPr>
        <w:spacing w:after="0" w:line="191" w:lineRule="exact"/>
        <w:rPr>
          <w:rFonts w:ascii="Courier New" w:cs="Courier New" w:eastAsia="Courier New" w:hAnsi="Courier New"/>
          <w:sz w:val="16"/>
          <w:szCs w:val="16"/>
          <w:color w:val="auto"/>
        </w:rPr>
      </w:pPr>
    </w:p>
    <w:p>
      <w:pPr>
        <w:ind w:left="14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Had compensation cost for the Company's share option plans been determined based on the fair value at the grant dates for all awards made through December 31, 2005 in accordance with SFAS 123, as amended by SFAS 148, the Company's pro forma loss per share would have been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gridSpan w:val="5"/>
          </w:tcPr>
          <w:p>
            <w:pPr>
              <w:jc w:val="right"/>
              <w:ind w:right="399"/>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6"/>
        </w:trPr>
        <w:tc>
          <w:tcPr>
            <w:tcW w:w="3240" w:type="dxa"/>
            <w:vAlign w:val="bottom"/>
          </w:tcPr>
          <w:p>
            <w:pPr>
              <w:spacing w:after="0"/>
              <w:rPr>
                <w:sz w:val="16"/>
                <w:szCs w:val="16"/>
                <w:color w:val="auto"/>
              </w:rPr>
            </w:pPr>
          </w:p>
        </w:tc>
        <w:tc>
          <w:tcPr>
            <w:tcW w:w="412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2005</w:t>
            </w:r>
          </w:p>
        </w:tc>
        <w:tc>
          <w:tcPr>
            <w:tcW w:w="44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2004</w:t>
            </w:r>
          </w:p>
        </w:tc>
        <w:tc>
          <w:tcPr>
            <w:tcW w:w="420" w:type="dxa"/>
            <w:vAlign w:val="bottom"/>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24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PRO FORMA LOSS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Loss for the year, as reported</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$(203,082)</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$(137,768)</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$(114,261)</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Less - stock-based compensation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240" w:type="dxa"/>
            <w:vAlign w:val="bottom"/>
          </w:tcPr>
          <w:p>
            <w:pPr>
              <w:ind w:left="580"/>
              <w:spacing w:after="0"/>
              <w:rPr>
                <w:sz w:val="20"/>
                <w:szCs w:val="20"/>
                <w:color w:val="auto"/>
              </w:rPr>
            </w:pPr>
            <w:r>
              <w:rPr>
                <w:rFonts w:ascii="Courier New" w:cs="Courier New" w:eastAsia="Courier New" w:hAnsi="Courier New"/>
                <w:sz w:val="16"/>
                <w:szCs w:val="16"/>
                <w:color w:val="auto"/>
              </w:rPr>
              <w:t>determined under APB 25</w:t>
            </w:r>
          </w:p>
        </w:tc>
        <w:tc>
          <w:tcPr>
            <w:tcW w:w="3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Add - stock-based compensation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240" w:type="dxa"/>
            <w:vAlign w:val="bottom"/>
          </w:tcPr>
          <w:p>
            <w:pPr>
              <w:ind w:left="580"/>
              <w:spacing w:after="0"/>
              <w:rPr>
                <w:sz w:val="20"/>
                <w:szCs w:val="20"/>
                <w:color w:val="auto"/>
              </w:rPr>
            </w:pPr>
            <w:r>
              <w:rPr>
                <w:rFonts w:ascii="Courier New" w:cs="Courier New" w:eastAsia="Courier New" w:hAnsi="Courier New"/>
                <w:sz w:val="16"/>
                <w:szCs w:val="16"/>
                <w:color w:val="auto"/>
              </w:rPr>
              <w:t>determined under SFAS 123</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(4,229)</w:t>
            </w:r>
          </w:p>
        </w:tc>
        <w:tc>
          <w:tcPr>
            <w:tcW w:w="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(3,980)</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(8,437)</w:t>
            </w:r>
          </w:p>
        </w:tc>
      </w:tr>
      <w:tr>
        <w:trPr>
          <w:trHeight w:val="186"/>
        </w:trPr>
        <w:tc>
          <w:tcPr>
            <w:tcW w:w="324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Pro forma loss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$(207,311)</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$(141,748)</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$(122,671)</w:t>
            </w:r>
          </w:p>
        </w:tc>
      </w:tr>
      <w:tr>
        <w:trPr>
          <w:trHeight w:val="186"/>
        </w:trPr>
        <w:tc>
          <w:tcPr>
            <w:tcW w:w="324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As reported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(2.55)</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(2.01)</w:t>
            </w:r>
          </w:p>
        </w:tc>
      </w:tr>
      <w:tr>
        <w:trPr>
          <w:trHeight w:val="186"/>
        </w:trPr>
        <w:tc>
          <w:tcPr>
            <w:tcW w:w="324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(2.60)</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6"/>
        </w:trPr>
        <w:tc>
          <w:tcPr>
            <w:tcW w:w="324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- 39 -</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50" w:name="page51"/>
    <w:bookmarkEnd w:id="5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STOCK</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DISTRIBUTIONS</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Facility Agreement, as amended (Note 11A(6)), the Company undertook not to distribute any dividends prior to January 1, 2008. Any dividend distributions after that date shall be subject to provisions stipulated in such agreement, mainly the prior approval of the Banks.</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SECURITIES - JANUARY 2002</w:t>
      </w:r>
    </w:p>
    <w:p>
      <w:pPr>
        <w:spacing w:after="0" w:line="191" w:lineRule="exact"/>
        <w:rPr>
          <w:rFonts w:ascii="Courier New" w:cs="Courier New" w:eastAsia="Courier New" w:hAnsi="Courier New"/>
          <w:sz w:val="16"/>
          <w:szCs w:val="16"/>
          <w:color w:val="auto"/>
        </w:rPr>
      </w:pPr>
    </w:p>
    <w:p>
      <w:pPr>
        <w:ind w:left="9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2002, the Company issued on the Tel Aviv Stock Exchange, Israel NIS 110,579,800 principal amount of convertible debentures, under terms described in Note 9. Together with the convertible debentures the Company issued for no consideration an aggregate of 552,899 options and 2,211,596 Options (Series 1). As of the approval date of the financial statements, all said options were expired and none were exercised.</w:t>
      </w:r>
    </w:p>
    <w:p>
      <w:pPr>
        <w:spacing w:after="0" w:line="185"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initial proceeds raised were $23,200, and costs related to the issuance of the securities and the prospectus were approximately $1,750. See Note 20F for the presentation and the accounting treatment of the sale of these securities under U.S. GAAP.</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OFFERING - OCTOBER 2002</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2002, the Company issued in connection with a rights offering done on the Nasdaq and on the Tel-Aviv Stock Exchange in Israel 4,097,964 Ordinary Shares of the Company and 1,844,070 warrants, all of which were outstanding as of December 31, 2005, to purchase Ordinary Shares of the Company, in consideration for aggregate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 were approximately $800.</w:t>
      </w:r>
    </w:p>
    <w:p>
      <w:pPr>
        <w:spacing w:after="0" w:line="193"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OFFERING - JANUARY 2004</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2004, the Company completed a public offering of its Ordinary Shares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w:t>
      </w:r>
    </w:p>
    <w:p>
      <w:pPr>
        <w:sectPr>
          <w:pgSz w:w="11900" w:h="16838" w:orient="portrait"/>
          <w:cols w:equalWidth="0" w:num="1">
            <w:col w:w="10219"/>
          </w:cols>
          <w:pgMar w:left="240" w:top="676" w:right="1440" w:bottom="1440" w:gutter="0" w:footer="0" w:header="0"/>
        </w:sectPr>
      </w:pPr>
    </w:p>
    <w:bookmarkStart w:id="51" w:name="page52"/>
    <w:bookmarkEnd w:id="51"/>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91" w:lineRule="exact"/>
        <w:rPr>
          <w:sz w:val="20"/>
          <w:szCs w:val="20"/>
          <w:color w:val="auto"/>
        </w:rPr>
      </w:pPr>
    </w:p>
    <w:p>
      <w:pPr>
        <w:ind w:left="960" w:hanging="476"/>
        <w:spacing w:after="0"/>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OFFERING - DECEMBER 2005</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$100.00, 100 U.S. dollar denominated convertible debentures.</w:t>
      </w:r>
    </w:p>
    <w:p>
      <w:pPr>
        <w:spacing w:after="0" w:line="193"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85"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are convertible into the Company's Ordinary Shares at a rate of one ordinary share per $1.10 aggregate principal amount of debentures.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85" w:lineRule="exact"/>
        <w:rPr>
          <w:rFonts w:ascii="Courier New" w:cs="Courier New" w:eastAsia="Courier New" w:hAnsi="Courier New"/>
          <w:sz w:val="16"/>
          <w:szCs w:val="16"/>
          <w:color w:val="auto"/>
        </w:rPr>
      </w:pPr>
    </w:p>
    <w:p>
      <w:pPr>
        <w:ind w:left="960"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85" w:lineRule="exact"/>
        <w:rPr>
          <w:rFonts w:ascii="Courier New" w:cs="Courier New" w:eastAsia="Courier New" w:hAnsi="Courier New"/>
          <w:sz w:val="16"/>
          <w:szCs w:val="16"/>
          <w:color w:val="auto"/>
        </w:rPr>
      </w:pPr>
    </w:p>
    <w:p>
      <w:pPr>
        <w:ind w:left="960"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are listed and quoted on the NASDAQ Capital Market and the Tel Aviv Stock Exchange.</w:t>
      </w:r>
    </w:p>
    <w:p>
      <w:pPr>
        <w:spacing w:after="0" w:line="184" w:lineRule="exact"/>
        <w:rPr>
          <w:rFonts w:ascii="Courier New" w:cs="Courier New" w:eastAsia="Courier New" w:hAnsi="Courier New"/>
          <w:sz w:val="16"/>
          <w:szCs w:val="16"/>
          <w:color w:val="auto"/>
        </w:rPr>
      </w:pPr>
    </w:p>
    <w:p>
      <w:pPr>
        <w:ind w:left="960"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 Company's Equity Investors and Wafer Partners invested $27,811 in the framework of the rights offering.</w:t>
      </w:r>
    </w:p>
    <w:p>
      <w:pPr>
        <w:spacing w:after="0" w:line="184"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85"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on the payment date of the principal and interest on the debentures, there exists an infringement of certain covenants and conditions under the Facility Agreement, the date for payment of the interest and principal on the debentures may be postponed, depending on various scenarios under the Facility Agreement until such covenant or condition is settled. See Note 20G for the presentation of the rights offering in accordance with U.S. GAAP.</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41 -</w:t>
      </w:r>
    </w:p>
    <w:p>
      <w:pPr>
        <w:sectPr>
          <w:pgSz w:w="11900" w:h="16838" w:orient="portrait"/>
          <w:cols w:equalWidth="0" w:num="1">
            <w:col w:w="10219"/>
          </w:cols>
          <w:pgMar w:left="240" w:top="676" w:right="1440" w:bottom="1440" w:gutter="0" w:footer="0" w:header="0"/>
        </w:sectPr>
      </w:pPr>
    </w:p>
    <w:bookmarkStart w:id="52" w:name="page53"/>
    <w:bookmarkEnd w:id="52"/>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 INFORMATION ON GEOGRAPHIC AREAS AND MAJOR CUSTOMERS</w:t>
      </w:r>
    </w:p>
    <w:p>
      <w:pPr>
        <w:spacing w:after="0" w:line="191" w:lineRule="exact"/>
        <w:rPr>
          <w:sz w:val="20"/>
          <w:szCs w:val="20"/>
          <w:color w:val="auto"/>
        </w:rPr>
      </w:pPr>
    </w:p>
    <w:p>
      <w:pPr>
        <w:ind w:left="960" w:hanging="476"/>
        <w:spacing w:after="0"/>
        <w:tabs>
          <w:tab w:leader="none" w:pos="9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BY GEOGRAPHIC AREA (as percentage of total sales)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20" w:type="dxa"/>
            <w:vAlign w:val="bottom"/>
          </w:tcPr>
          <w:p>
            <w:pPr>
              <w:spacing w:after="0"/>
              <w:rPr>
                <w:sz w:val="15"/>
                <w:szCs w:val="15"/>
                <w:color w:val="auto"/>
              </w:rPr>
            </w:pPr>
          </w:p>
        </w:tc>
        <w:tc>
          <w:tcPr>
            <w:tcW w:w="28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3820" w:type="dxa"/>
            <w:vAlign w:val="bottom"/>
          </w:tcPr>
          <w:p>
            <w:pPr>
              <w:spacing w:after="0"/>
              <w:rPr>
                <w:sz w:val="16"/>
                <w:szCs w:val="16"/>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2005</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82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Israel</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Asia Pacific - in 2005 and 2004 -</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primarily Taiwan; in 2003 - only</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Taiwan</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382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r>
      <w:tr>
        <w:trPr>
          <w:trHeight w:val="186"/>
        </w:trPr>
        <w:tc>
          <w:tcPr>
            <w:tcW w:w="382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382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960" w:right="3139" w:hanging="476"/>
        <w:spacing w:after="0" w:line="248" w:lineRule="auto"/>
        <w:tabs>
          <w:tab w:leader="none" w:pos="9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LONG-LIVED ASSETS BY GEOGRAPHIC AREA - Substantially all of the Company's long-lived assets are located in Israel.</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CUSTOMERS (as percentage of total sales)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r>
      <w:tr>
        <w:trPr>
          <w:trHeight w:val="186"/>
        </w:trPr>
        <w:tc>
          <w:tcPr>
            <w:tcW w:w="2140" w:type="dxa"/>
            <w:vAlign w:val="bottom"/>
          </w:tcPr>
          <w:p>
            <w:pPr>
              <w:spacing w:after="0"/>
              <w:rPr>
                <w:sz w:val="16"/>
                <w:szCs w:val="16"/>
                <w:color w:val="auto"/>
              </w:rPr>
            </w:pPr>
          </w:p>
        </w:tc>
        <w:tc>
          <w:tcPr>
            <w:tcW w:w="27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14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2005</w:t>
            </w:r>
          </w:p>
        </w:tc>
        <w:tc>
          <w:tcPr>
            <w:tcW w:w="13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2004</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2003</w:t>
            </w:r>
          </w:p>
        </w:tc>
      </w:tr>
      <w:tr>
        <w:trPr>
          <w:trHeight w:val="186"/>
        </w:trPr>
        <w:tc>
          <w:tcPr>
            <w:tcW w:w="214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Customer A</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w:t>
            </w:r>
          </w:p>
        </w:tc>
        <w:tc>
          <w:tcPr>
            <w:tcW w:w="13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24%</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20%</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Customer B</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1</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Customer C</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17</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rPr>
              <w:t>1</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Customer D</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24</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Customer E</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Other customers (*)</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w:t>
            </w: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17</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20</w:t>
            </w:r>
          </w:p>
        </w:tc>
      </w:tr>
    </w:tbl>
    <w:p>
      <w:pPr>
        <w:spacing w:after="0" w:line="377" w:lineRule="exact"/>
        <w:rPr>
          <w:sz w:val="20"/>
          <w:szCs w:val="20"/>
          <w:color w:val="auto"/>
        </w:rPr>
      </w:pPr>
    </w:p>
    <w:p>
      <w:pPr>
        <w:ind w:left="1460" w:right="2459" w:hanging="492"/>
        <w:spacing w:after="0" w:line="247" w:lineRule="auto"/>
        <w:tabs>
          <w:tab w:leader="none" w:pos="14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 sales to six different customers each of whom accounted for between 1% and 8% of sales during 2005; to four customers (1% -8%) of sales during 2004; and to six customers (0%-9%) during 2003.</w:t>
      </w:r>
    </w:p>
    <w:p>
      <w:pPr>
        <w:spacing w:after="0" w:line="372"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As of December 31, 2005 and 2004, the above major customers constituted the majority of the trade accounts receivable reflected on the balance sheets.</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- 42 -</w:t>
      </w:r>
    </w:p>
    <w:p>
      <w:pPr>
        <w:sectPr>
          <w:pgSz w:w="11900" w:h="16838" w:orient="portrait"/>
          <w:cols w:equalWidth="0" w:num="1">
            <w:col w:w="10219"/>
          </w:cols>
          <w:pgMar w:left="240" w:top="676" w:right="1440" w:bottom="1440" w:gutter="0" w:footer="0" w:header="0"/>
        </w:sectPr>
      </w:pPr>
    </w:p>
    <w:bookmarkStart w:id="53" w:name="page54"/>
    <w:bookmarkEnd w:id="53"/>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 FINANCING EXPENSES, NET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Financing expenses, net consist of the following:</w:t>
            </w:r>
          </w:p>
        </w:tc>
        <w:tc>
          <w:tcPr>
            <w:tcW w:w="1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45"/>
        </w:trPr>
        <w:tc>
          <w:tcPr>
            <w:tcW w:w="5380" w:type="dxa"/>
            <w:vAlign w:val="bottom"/>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20" w:type="dxa"/>
            <w:vAlign w:val="bottom"/>
          </w:tcPr>
          <w:p>
            <w:pPr>
              <w:spacing w:after="0"/>
              <w:rPr>
                <w:sz w:val="24"/>
                <w:szCs w:val="24"/>
                <w:color w:val="auto"/>
              </w:rPr>
            </w:pPr>
          </w:p>
        </w:tc>
      </w:tr>
      <w:tr>
        <w:trPr>
          <w:trHeight w:val="186"/>
        </w:trPr>
        <w:tc>
          <w:tcPr>
            <w:tcW w:w="5380" w:type="dxa"/>
            <w:vAlign w:val="bottom"/>
          </w:tcPr>
          <w:p>
            <w:pPr>
              <w:spacing w:after="0"/>
              <w:rPr>
                <w:sz w:val="16"/>
                <w:szCs w:val="16"/>
                <w:color w:val="auto"/>
              </w:rPr>
            </w:pPr>
          </w:p>
        </w:tc>
        <w:tc>
          <w:tcPr>
            <w:tcW w:w="41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2005</w:t>
            </w:r>
          </w:p>
        </w:tc>
        <w:tc>
          <w:tcPr>
            <w:tcW w:w="18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2004</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Financial expenses (primarily bank loan interest)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$(35,595)</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$(29,709)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$(16,073)</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expenses in relation</w:t>
            </w:r>
          </w:p>
        </w:tc>
        <w:tc>
          <w:tcPr>
            <w:tcW w:w="1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to convertible debentures</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(1,249)</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(1,233)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(1,198)</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Less capitalized interest - Note 5A(3)</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6,892</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(36,844)</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(30,942)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(10,379)</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Financing income (primarily bank deposit interest)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1,193</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1,197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$(35,651)</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$(29,745)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(9,826)</w:t>
            </w:r>
          </w:p>
        </w:tc>
      </w:tr>
      <w:tr>
        <w:trPr>
          <w:trHeight w:val="186"/>
        </w:trPr>
        <w:tc>
          <w:tcPr>
            <w:tcW w:w="53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 OTHER INCOME</w:t>
      </w:r>
    </w:p>
    <w:p>
      <w:pPr>
        <w:spacing w:after="0" w:line="191" w:lineRule="exact"/>
        <w:rPr>
          <w:sz w:val="20"/>
          <w:szCs w:val="20"/>
          <w:color w:val="auto"/>
        </w:rPr>
      </w:pPr>
    </w:p>
    <w:p>
      <w:pPr>
        <w:ind w:left="480" w:right="2559"/>
        <w:spacing w:after="0" w:line="247" w:lineRule="auto"/>
        <w:rPr>
          <w:sz w:val="20"/>
          <w:szCs w:val="20"/>
          <w:color w:val="auto"/>
        </w:rPr>
      </w:pPr>
      <w:r>
        <w:rPr>
          <w:rFonts w:ascii="Courier New" w:cs="Courier New" w:eastAsia="Courier New" w:hAnsi="Courier New"/>
          <w:sz w:val="16"/>
          <w:szCs w:val="16"/>
          <w:color w:val="auto"/>
        </w:rPr>
        <w:t>In December 2004, the Company entered into a definitive agreement to sell all of its holdings in Saifun Semiconductors Ltd. ("Saifun"), an Israeli company which designs and develops memory designs, to a U.S. based private equity investor in consideration for $38,677. In December 2004, shareholders of Saifun exercised their right of first refusal, and accordingly purchased the shares from the Company for said amount. The net gain from the sale of Saifun's shares amounted to $32,377.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 INCOME TAXES</w:t>
      </w:r>
    </w:p>
    <w:p>
      <w:pPr>
        <w:spacing w:after="0" w:line="191" w:lineRule="exact"/>
        <w:rPr>
          <w:sz w:val="20"/>
          <w:szCs w:val="20"/>
          <w:color w:val="auto"/>
        </w:rPr>
      </w:pPr>
    </w:p>
    <w:p>
      <w:pPr>
        <w:ind w:left="960" w:hanging="476"/>
        <w:spacing w:after="0"/>
        <w:tabs>
          <w:tab w:leader="none" w:pos="9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all of the Company's existing facilities as of December 31, 2005 have been granted approved enterprise status, as provided by the Israeli Law for the Encouragement of Capital Investments - 1959 ("Investments Law") (see Note 5B).</w:t>
      </w:r>
    </w:p>
    <w:p>
      <w:pPr>
        <w:spacing w:after="0" w:line="185"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2012. Taxable income attributable to Fab 2 approved program shall be tax-exempt for the first two years it arises. The portion of the Company's taxable income that is not attributable to approved enterprise investments is taxed at a rate of 34% in 2005 (regular "Company Tax"). The regular Company Tax rate is to be gradually reduced to 25% until 2010.</w:t>
      </w:r>
    </w:p>
    <w:p>
      <w:pPr>
        <w:spacing w:after="0" w:line="192"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5B and 11A(8).</w:t>
      </w:r>
    </w:p>
    <w:p>
      <w:pPr>
        <w:spacing w:after="0" w:line="378"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43 -</w:t>
      </w:r>
    </w:p>
    <w:p>
      <w:pPr>
        <w:sectPr>
          <w:pgSz w:w="11900" w:h="16838" w:orient="portrait"/>
          <w:cols w:equalWidth="0" w:num="1">
            <w:col w:w="10219"/>
          </w:cols>
          <w:pgMar w:left="240" w:top="676" w:right="1440" w:bottom="1440" w:gutter="0" w:footer="0" w:header="0"/>
        </w:sectPr>
      </w:pPr>
    </w:p>
    <w:bookmarkStart w:id="54" w:name="page55"/>
    <w:bookmarkEnd w:id="54"/>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 INCOME TAXES (cont.)</w:t>
      </w:r>
    </w:p>
    <w:p>
      <w:pPr>
        <w:spacing w:after="0" w:line="191" w:lineRule="exact"/>
        <w:rPr>
          <w:sz w:val="20"/>
          <w:szCs w:val="20"/>
          <w:color w:val="auto"/>
        </w:rPr>
      </w:pPr>
    </w:p>
    <w:p>
      <w:pPr>
        <w:ind w:left="960" w:hanging="476"/>
        <w:spacing w:after="0"/>
        <w:tabs>
          <w:tab w:leader="none" w:pos="9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COMPONENTS OF DEFERRED TAX ASSET/LIABILITY</w:t>
      </w:r>
    </w:p>
    <w:p>
      <w:pPr>
        <w:spacing w:after="0" w:line="191" w:lineRule="exact"/>
        <w:rPr>
          <w:rFonts w:ascii="Courier New" w:cs="Courier New" w:eastAsia="Courier New" w:hAnsi="Courier New"/>
          <w:sz w:val="16"/>
          <w:szCs w:val="16"/>
          <w:color w:val="auto"/>
        </w:rPr>
      </w:pPr>
    </w:p>
    <w:p>
      <w:pPr>
        <w:ind w:left="960" w:right="30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As of December 31,</w:t>
            </w:r>
          </w:p>
        </w:tc>
      </w:tr>
      <w:tr>
        <w:trPr>
          <w:trHeight w:val="186"/>
        </w:trPr>
        <w:tc>
          <w:tcPr>
            <w:tcW w:w="5580" w:type="dxa"/>
            <w:vAlign w:val="bottom"/>
          </w:tcPr>
          <w:p>
            <w:pPr>
              <w:spacing w:after="0"/>
              <w:rPr>
                <w:sz w:val="16"/>
                <w:szCs w:val="16"/>
                <w:color w:val="auto"/>
              </w:rPr>
            </w:pPr>
          </w:p>
        </w:tc>
        <w:tc>
          <w:tcPr>
            <w:tcW w:w="29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2005</w:t>
            </w:r>
          </w:p>
        </w:tc>
        <w:tc>
          <w:tcPr>
            <w:tcW w:w="48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TAX BENEFIT - CURRENT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Accrued vacation pay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702</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573</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770</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42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(573)</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(770)</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Total current deferred tax benefit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DEFERRED TAX BENEFIT - LONG-TERM</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tax assets -</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Net operating loss carryforwards</w:t>
            </w: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$ 165,000</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$ 112,147</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2,427</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3,213</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Liability for employee rights upon severance</w:t>
            </w: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957</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918</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168,384</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116,278</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Valuation allowance</w:t>
            </w:r>
          </w:p>
        </w:tc>
        <w:tc>
          <w:tcPr>
            <w:tcW w:w="42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(118,321)</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(75,613)</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50,063</w:t>
            </w:r>
          </w:p>
        </w:tc>
        <w:tc>
          <w:tcPr>
            <w:tcW w:w="4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40,665</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tax liability - depreciation and amortization</w:t>
            </w:r>
          </w:p>
        </w:tc>
        <w:tc>
          <w:tcPr>
            <w:tcW w:w="42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(50,063)</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(40,665)</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680"/>
              <w:spacing w:after="0"/>
              <w:rPr>
                <w:sz w:val="20"/>
                <w:szCs w:val="20"/>
                <w:color w:val="auto"/>
              </w:rPr>
            </w:pPr>
            <w:r>
              <w:rPr>
                <w:rFonts w:ascii="Courier New" w:cs="Courier New" w:eastAsia="Courier New" w:hAnsi="Courier New"/>
                <w:sz w:val="16"/>
                <w:szCs w:val="16"/>
                <w:color w:val="auto"/>
              </w:rPr>
              <w:t>Total net long-term deferred tax benefit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6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960" w:hanging="476"/>
        <w:spacing w:after="0"/>
        <w:tabs>
          <w:tab w:leader="none" w:pos="9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INCOME TAX RATES</w:t>
      </w:r>
    </w:p>
    <w:p>
      <w:pPr>
        <w:spacing w:after="0" w:line="191" w:lineRule="exact"/>
        <w:rPr>
          <w:rFonts w:ascii="Courier New" w:cs="Courier New" w:eastAsia="Courier New" w:hAnsi="Courier New"/>
          <w:sz w:val="16"/>
          <w:szCs w:val="16"/>
          <w:color w:val="auto"/>
        </w:rPr>
      </w:pPr>
    </w:p>
    <w:p>
      <w:pPr>
        <w:ind w:left="960" w:right="33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reconciliation of the statutory tax rate to the Company's effective tax rate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780" w:type="dxa"/>
            <w:vAlign w:val="bottom"/>
          </w:tcPr>
          <w:p>
            <w:pPr>
              <w:spacing w:after="0"/>
              <w:rPr>
                <w:sz w:val="15"/>
                <w:szCs w:val="15"/>
                <w:color w:val="auto"/>
              </w:rPr>
            </w:pPr>
          </w:p>
        </w:tc>
      </w:tr>
      <w:tr>
        <w:trPr>
          <w:trHeight w:val="186"/>
        </w:trPr>
        <w:tc>
          <w:tcPr>
            <w:tcW w:w="4060" w:type="dxa"/>
            <w:vAlign w:val="bottom"/>
          </w:tcPr>
          <w:p>
            <w:pPr>
              <w:spacing w:after="0"/>
              <w:rPr>
                <w:sz w:val="16"/>
                <w:szCs w:val="16"/>
                <w:color w:val="auto"/>
              </w:rPr>
            </w:pPr>
          </w:p>
        </w:tc>
        <w:tc>
          <w:tcPr>
            <w:tcW w:w="370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2005</w:t>
            </w:r>
          </w:p>
        </w:tc>
        <w:tc>
          <w:tcPr>
            <w:tcW w:w="17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2004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0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Israeli statutory rate</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Reduced tax rate for approved enterprise</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Tax benefits for which deferred taxes</w:t>
            </w:r>
          </w:p>
        </w:tc>
        <w:tc>
          <w:tcPr>
            <w:tcW w:w="1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were not recorded</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21</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Permanent differences and other, net</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186"/>
        </w:trPr>
        <w:tc>
          <w:tcPr>
            <w:tcW w:w="40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406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r>
    </w:tbl>
    <w:p>
      <w:pPr>
        <w:spacing w:after="0" w:line="377" w:lineRule="exact"/>
        <w:rPr>
          <w:sz w:val="20"/>
          <w:szCs w:val="20"/>
          <w:color w:val="auto"/>
        </w:rPr>
      </w:pPr>
    </w:p>
    <w:p>
      <w:pPr>
        <w:ind w:left="960" w:hanging="476"/>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LOSS CARRYFORWARD</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the Company had net operating loss carryforwards for tax purposes of approximately $825,000, which may be carried forward for an unlimited period of time.</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TAX ASSESSMENTS</w:t>
      </w:r>
    </w:p>
    <w:p>
      <w:pPr>
        <w:spacing w:after="0" w:line="191" w:lineRule="exact"/>
        <w:rPr>
          <w:rFonts w:ascii="Courier New" w:cs="Courier New" w:eastAsia="Courier New" w:hAnsi="Courier New"/>
          <w:sz w:val="16"/>
          <w:szCs w:val="16"/>
          <w:color w:val="auto"/>
        </w:rPr>
      </w:pPr>
    </w:p>
    <w:p>
      <w:pPr>
        <w:ind w:left="96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possesses final tax assessments under agreement through the year 1998. In addition, the tax assessments for the years 1999-2001 are deemed final.</w:t>
      </w:r>
    </w:p>
    <w:p>
      <w:pPr>
        <w:spacing w:after="0" w:line="372"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44 -</w:t>
      </w:r>
    </w:p>
    <w:p>
      <w:pPr>
        <w:sectPr>
          <w:pgSz w:w="11900" w:h="16838" w:orient="portrait"/>
          <w:cols w:equalWidth="0" w:num="1">
            <w:col w:w="10219"/>
          </w:cols>
          <w:pgMar w:left="240" w:top="676" w:right="1440" w:bottom="881" w:gutter="0" w:footer="0" w:header="0"/>
        </w:sectPr>
      </w:pPr>
    </w:p>
    <w:bookmarkStart w:id="55" w:name="page56"/>
    <w:bookmarkEnd w:id="55"/>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 FINANCIAL INSTRUMENTS</w:t>
      </w:r>
    </w:p>
    <w:p>
      <w:pPr>
        <w:spacing w:after="0" w:line="191" w:lineRule="exact"/>
        <w:rPr>
          <w:sz w:val="20"/>
          <w:szCs w:val="20"/>
          <w:color w:val="auto"/>
        </w:rPr>
      </w:pPr>
    </w:p>
    <w:p>
      <w:pPr>
        <w:ind w:left="480" w:right="2659"/>
        <w:spacing w:after="0" w:line="247" w:lineRule="auto"/>
        <w:rPr>
          <w:sz w:val="20"/>
          <w:szCs w:val="20"/>
          <w:color w:val="auto"/>
        </w:rPr>
      </w:pPr>
      <w:r>
        <w:rPr>
          <w:rFonts w:ascii="Courier New" w:cs="Courier New" w:eastAsia="Courier New" w:hAnsi="Courier New"/>
          <w:sz w:val="16"/>
          <w:szCs w:val="16"/>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85"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85" w:lineRule="exact"/>
        <w:rPr>
          <w:sz w:val="20"/>
          <w:szCs w:val="20"/>
          <w:color w:val="auto"/>
        </w:rPr>
      </w:pPr>
    </w:p>
    <w:p>
      <w:pPr>
        <w:ind w:left="480" w:right="2559"/>
        <w:spacing w:after="0" w:line="248" w:lineRule="auto"/>
        <w:rPr>
          <w:sz w:val="20"/>
          <w:szCs w:val="20"/>
          <w:color w:val="auto"/>
        </w:rPr>
      </w:pPr>
      <w:r>
        <w:rPr>
          <w:rFonts w:ascii="Courier New" w:cs="Courier New" w:eastAsia="Courier New" w:hAnsi="Courier New"/>
          <w:sz w:val="16"/>
          <w:szCs w:val="16"/>
          <w:color w:val="auto"/>
        </w:rPr>
        <w:t>See Note 20D for disclosure related to the Company's derivatives financial instruments in accordance with U.S. GAAP.</w:t>
      </w:r>
    </w:p>
    <w:p>
      <w:pPr>
        <w:spacing w:after="0" w:line="184" w:lineRule="exact"/>
        <w:rPr>
          <w:sz w:val="20"/>
          <w:szCs w:val="20"/>
          <w:color w:val="auto"/>
        </w:rPr>
      </w:pPr>
    </w:p>
    <w:p>
      <w:pPr>
        <w:ind w:left="960" w:hanging="476"/>
        <w:spacing w:after="0"/>
        <w:tabs>
          <w:tab w:leader="none" w:pos="9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93"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Company, from time to time, enters into agreements to hedge variable interest rate exposure on long-term loans (see Note 8).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the results of operations on a straight-line basis. When the related debt is issued in connection with the acquisition of assets not yet placed into operations, interest costs and gains and losses on the derivative contracts are capitalized to the related asset.</w:t>
      </w:r>
    </w:p>
    <w:p>
      <w:pPr>
        <w:spacing w:after="0" w:line="193" w:lineRule="exact"/>
        <w:rPr>
          <w:rFonts w:ascii="Courier New" w:cs="Courier New" w:eastAsia="Courier New" w:hAnsi="Courier New"/>
          <w:sz w:val="16"/>
          <w:szCs w:val="16"/>
          <w:color w:val="auto"/>
        </w:rPr>
      </w:pPr>
    </w:p>
    <w:p>
      <w:pPr>
        <w:ind w:left="960"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hold or issue derivative financial instruments for non-hedging purposes.</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w:t>
      </w:r>
    </w:p>
    <w:p>
      <w:pPr>
        <w:sectPr>
          <w:pgSz w:w="11900" w:h="16838" w:orient="portrait"/>
          <w:cols w:equalWidth="0" w:num="1">
            <w:col w:w="10219"/>
          </w:cols>
          <w:pgMar w:left="240" w:top="676" w:right="1440" w:bottom="1440" w:gutter="0" w:footer="0" w:header="0"/>
        </w:sectPr>
      </w:pPr>
    </w:p>
    <w:bookmarkStart w:id="56" w:name="page57"/>
    <w:bookmarkEnd w:id="56"/>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 FINANCIAL INSTRUMENTS (cont.)</w:t>
      </w:r>
    </w:p>
    <w:p>
      <w:pPr>
        <w:spacing w:after="0" w:line="191" w:lineRule="exact"/>
        <w:rPr>
          <w:sz w:val="20"/>
          <w:szCs w:val="20"/>
          <w:color w:val="auto"/>
        </w:rPr>
      </w:pPr>
    </w:p>
    <w:p>
      <w:pPr>
        <w:ind w:left="960" w:hanging="476"/>
        <w:spacing w:after="0"/>
        <w:tabs>
          <w:tab w:leader="none" w:pos="9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RISK OF FINANCIAL INSTRUMENTS, INCLUDING DERIVATIVES</w:t>
      </w:r>
    </w:p>
    <w:p>
      <w:pPr>
        <w:spacing w:after="0" w:line="191" w:lineRule="exact"/>
        <w:rPr>
          <w:rFonts w:ascii="Courier New" w:cs="Courier New" w:eastAsia="Courier New" w:hAnsi="Courier New"/>
          <w:sz w:val="16"/>
          <w:szCs w:val="16"/>
          <w:color w:val="auto"/>
        </w:rPr>
      </w:pPr>
    </w:p>
    <w:p>
      <w:pPr>
        <w:ind w:left="9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or contract amounts of derivatives do not represent amounts exchanged by the parties and, accordingly, are not a measure of the exposure of the Company through its use of derivatives.</w:t>
      </w:r>
    </w:p>
    <w:p>
      <w:pPr>
        <w:spacing w:after="0" w:line="185"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HEDGING ACTIVITIES IN THE FINANCIAL STATEMENTS</w:t>
      </w:r>
    </w:p>
    <w:p>
      <w:pPr>
        <w:spacing w:after="0" w:line="191" w:lineRule="exact"/>
        <w:rPr>
          <w:rFonts w:ascii="Courier New" w:cs="Courier New" w:eastAsia="Courier New" w:hAnsi="Courier New"/>
          <w:sz w:val="16"/>
          <w:szCs w:val="16"/>
          <w:color w:val="auto"/>
        </w:rPr>
      </w:pPr>
    </w:p>
    <w:p>
      <w:pPr>
        <w:ind w:left="1460" w:right="2559" w:hanging="492"/>
        <w:spacing w:after="0" w:line="246" w:lineRule="auto"/>
        <w:tabs>
          <w:tab w:leader="none" w:pos="14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and 2004, there were no outstanding foreign exchange agreements (options) to hedge exposure related to the purchase of machinery and equipment. During 2005, the Company did not enter into foreign exchange agreements (options) and accordingly there were no results of such agreements during that year. The loss resulted from these agreements in 2004 was immaterial. The agreements resulted in 2003 in a gain of $2,357 of which $1,663 was capitalized to fixed assets.</w:t>
      </w:r>
    </w:p>
    <w:p>
      <w:pPr>
        <w:spacing w:after="0" w:line="190"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2005 and 2004, the Company had outstanding agreements to hedge interest rate exposure on loans drawn down under the Facility Agreement, the aggregate amount of which was $292,000, all of which is attributable to Fab 2. These agreements resulted in 2005 and 2004 in a loss of $1,756 and $5,629, respectively, and in 2003 in a loss of $5,335, out of which $2,547 was capitalized to property and equipment.</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w:t>
      </w:r>
    </w:p>
    <w:p>
      <w:pPr>
        <w:spacing w:after="0" w:line="191"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fair values of the Company's financial instruments, excluding the Company's agreements to hedge interest rate exposure on long-term loans, did not materially differ from their respective carrying amounts as of December 31, 2005 and 2004. The fair value of the interest rate hedging transactions as of December 31, 2005 would have resulted in an unrealized capitalizable gain of $1,767 (as of December 31, 2004 - an unrealized capitalizable loss of $2,406).</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46 -</w:t>
      </w:r>
    </w:p>
    <w:p>
      <w:pPr>
        <w:sectPr>
          <w:pgSz w:w="11900" w:h="16838" w:orient="portrait"/>
          <w:cols w:equalWidth="0" w:num="1">
            <w:col w:w="10219"/>
          </w:cols>
          <w:pgMar w:left="240" w:top="676" w:right="1440" w:bottom="1440" w:gutter="0" w:footer="0" w:header="0"/>
        </w:sectPr>
      </w:pPr>
    </w:p>
    <w:bookmarkStart w:id="57" w:name="page58"/>
    <w:bookmarkEnd w:id="5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RELATED PARTIES BALANCES AND TRANSACTIONS</w:t>
      </w:r>
    </w:p>
    <w:p>
      <w:pPr>
        <w:spacing w:after="0" w:line="191" w:lineRule="exact"/>
        <w:rPr>
          <w:sz w:val="20"/>
          <w:szCs w:val="20"/>
          <w:color w:val="auto"/>
        </w:rPr>
      </w:pPr>
    </w:p>
    <w:p>
      <w:pPr>
        <w:ind w:left="960" w:hanging="476"/>
        <w:spacing w:after="0"/>
        <w:tabs>
          <w:tab w:leader="none" w:pos="9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As of December 31,</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2005</w:t>
            </w:r>
          </w:p>
        </w:tc>
        <w:tc>
          <w:tcPr>
            <w:tcW w:w="380" w:type="dxa"/>
            <w:vAlign w:val="bottom"/>
          </w:tcPr>
          <w:p>
            <w:pPr>
              <w:spacing w:after="0"/>
              <w:rPr>
                <w:sz w:val="16"/>
                <w:szCs w:val="16"/>
                <w:color w:val="auto"/>
              </w:rPr>
            </w:pP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Trade accounts receivable</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$ 5,309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$ 9,054</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Convertible debenture</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$25,493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Long-term liability in respect of customers' advances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$37,785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$40,514</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Other long-term liabilities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$ 1,102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32"/>
        </w:trPr>
        <w:tc>
          <w:tcPr>
            <w:tcW w:w="820" w:type="dxa"/>
            <w:vAlign w:val="bottom"/>
          </w:tcPr>
          <w:p>
            <w:pPr>
              <w:ind w:left="480"/>
              <w:spacing w:after="0"/>
              <w:rPr>
                <w:sz w:val="20"/>
                <w:szCs w:val="20"/>
                <w:color w:val="auto"/>
              </w:rPr>
            </w:pPr>
            <w:r>
              <w:rPr>
                <w:rFonts w:ascii="Courier New" w:cs="Courier New" w:eastAsia="Courier New" w:hAnsi="Courier New"/>
                <w:sz w:val="16"/>
                <w:szCs w:val="16"/>
                <w:color w:val="auto"/>
              </w:rPr>
              <w:t>B.</w:t>
            </w:r>
          </w:p>
        </w:tc>
        <w:tc>
          <w:tcPr>
            <w:tcW w:w="4660" w:type="dxa"/>
            <w:vAlign w:val="bottom"/>
          </w:tcPr>
          <w:p>
            <w:pPr>
              <w:ind w:left="140"/>
              <w:spacing w:after="0"/>
              <w:rPr>
                <w:sz w:val="20"/>
                <w:szCs w:val="20"/>
                <w:color w:val="auto"/>
              </w:rPr>
            </w:pPr>
            <w:r>
              <w:rPr>
                <w:rFonts w:ascii="Courier New" w:cs="Courier New" w:eastAsia="Courier New" w:hAnsi="Courier New"/>
                <w:sz w:val="16"/>
                <w:szCs w:val="16"/>
                <w:color w:val="auto"/>
              </w:rPr>
              <w:t>TRANSACTIONS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540" w:type="dxa"/>
            <w:vAlign w:val="bottom"/>
          </w:tcPr>
          <w:p>
            <w:pPr>
              <w:spacing w:after="0"/>
              <w:rPr>
                <w:sz w:val="15"/>
                <w:szCs w:val="15"/>
                <w:color w:val="auto"/>
              </w:rPr>
            </w:pPr>
          </w:p>
        </w:tc>
      </w:tr>
      <w:tr>
        <w:trPr>
          <w:trHeight w:val="186"/>
        </w:trPr>
        <w:tc>
          <w:tcPr>
            <w:tcW w:w="4220" w:type="dxa"/>
            <w:vAlign w:val="bottom"/>
          </w:tcPr>
          <w:p>
            <w:pPr>
              <w:spacing w:after="0"/>
              <w:rPr>
                <w:sz w:val="16"/>
                <w:szCs w:val="16"/>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2005</w:t>
            </w:r>
          </w:p>
        </w:tc>
        <w:tc>
          <w:tcPr>
            <w:tcW w:w="840" w:type="dxa"/>
            <w:vAlign w:val="bottom"/>
          </w:tcPr>
          <w:p>
            <w:pPr>
              <w:spacing w:after="0"/>
              <w:rPr>
                <w:sz w:val="16"/>
                <w:szCs w:val="16"/>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2004</w:t>
            </w:r>
          </w:p>
        </w:tc>
        <w:tc>
          <w:tcPr>
            <w:tcW w:w="480" w:type="dxa"/>
            <w:vAlign w:val="bottom"/>
          </w:tcPr>
          <w:p>
            <w:pPr>
              <w:spacing w:after="0"/>
              <w:rPr>
                <w:sz w:val="16"/>
                <w:szCs w:val="16"/>
                <w:color w:val="auto"/>
              </w:rPr>
            </w:pP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22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$ 33,456</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$ 37,521</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$13,282</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Management fees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ind w:left="100"/>
              <w:spacing w:after="0"/>
              <w:rPr>
                <w:sz w:val="20"/>
                <w:szCs w:val="20"/>
                <w:color w:val="auto"/>
              </w:rPr>
            </w:pPr>
            <w:r>
              <w:rPr>
                <w:rFonts w:ascii="Courier New" w:cs="Courier New" w:eastAsia="Courier New" w:hAnsi="Courier New"/>
                <w:sz w:val="16"/>
                <w:szCs w:val="16"/>
                <w:color w:val="auto"/>
              </w:rPr>
              <w:t>Expenses paid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Royalties received - Note 11E(2)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Application of customer advances</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4220" w:type="dxa"/>
            <w:vAlign w:val="bottom"/>
          </w:tcPr>
          <w:p>
            <w:pPr>
              <w:ind w:left="300"/>
              <w:spacing w:after="0"/>
              <w:rPr>
                <w:sz w:val="20"/>
                <w:szCs w:val="20"/>
                <w:color w:val="auto"/>
              </w:rPr>
            </w:pPr>
            <w:r>
              <w:rPr>
                <w:rFonts w:ascii="Courier New" w:cs="Courier New" w:eastAsia="Courier New" w:hAnsi="Courier New"/>
                <w:sz w:val="16"/>
                <w:szCs w:val="16"/>
                <w:color w:val="auto"/>
              </w:rPr>
              <w:t>towards purchases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Equity conversion of customer advances -</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4220" w:type="dxa"/>
            <w:vAlign w:val="bottom"/>
          </w:tcPr>
          <w:p>
            <w:pPr>
              <w:ind w:left="300"/>
              <w:spacing w:after="0"/>
              <w:rPr>
                <w:sz w:val="20"/>
                <w:szCs w:val="20"/>
                <w:color w:val="auto"/>
              </w:rPr>
            </w:pPr>
            <w:r>
              <w:rPr>
                <w:rFonts w:ascii="Courier New" w:cs="Courier New" w:eastAsia="Courier New" w:hAnsi="Courier New"/>
                <w:sz w:val="16"/>
                <w:szCs w:val="16"/>
                <w:color w:val="auto"/>
              </w:rPr>
              <w:t>Note 11A(5)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1,794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Expense reimbursements received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282</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Conversion of customer advances into</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6"/>
        </w:trPr>
        <w:tc>
          <w:tcPr>
            <w:tcW w:w="4220" w:type="dxa"/>
            <w:vAlign w:val="bottom"/>
          </w:tcPr>
          <w:p>
            <w:pPr>
              <w:ind w:left="300"/>
              <w:spacing w:after="0"/>
              <w:rPr>
                <w:sz w:val="20"/>
                <w:szCs w:val="20"/>
                <w:color w:val="auto"/>
              </w:rPr>
            </w:pPr>
            <w:r>
              <w:rPr>
                <w:rFonts w:ascii="Courier New" w:cs="Courier New" w:eastAsia="Courier New" w:hAnsi="Courier New"/>
                <w:sz w:val="16"/>
                <w:szCs w:val="16"/>
                <w:color w:val="auto"/>
              </w:rPr>
              <w:t>Long-term loans - Note 11A(5)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936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960" w:right="2559" w:hanging="476"/>
        <w:spacing w:after="0" w:line="248" w:lineRule="auto"/>
        <w:tabs>
          <w:tab w:leader="none" w:pos="9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commitments, contingencies and other transactions relating to Fab 2 Wafer Partner and Equity Investor agreements - see Note 11A.</w:t>
      </w:r>
    </w:p>
    <w:p>
      <w:pPr>
        <w:spacing w:after="0" w:line="370"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47 -</w:t>
      </w:r>
    </w:p>
    <w:p>
      <w:pPr>
        <w:sectPr>
          <w:pgSz w:w="11900" w:h="16838" w:orient="portrait"/>
          <w:cols w:equalWidth="0" w:num="1">
            <w:col w:w="10219"/>
          </w:cols>
          <w:pgMar w:left="240" w:top="676" w:right="1440" w:bottom="1440" w:gutter="0" w:footer="0" w:header="0"/>
        </w:sectPr>
      </w:pPr>
    </w:p>
    <w:bookmarkStart w:id="58" w:name="page59"/>
    <w:bookmarkEnd w:id="5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w:t>
      </w:r>
    </w:p>
    <w:p>
      <w:pPr>
        <w:spacing w:after="0" w:line="191" w:lineRule="exact"/>
        <w:rPr>
          <w:sz w:val="20"/>
          <w:szCs w:val="20"/>
          <w:color w:val="auto"/>
        </w:rPr>
      </w:pPr>
    </w:p>
    <w:p>
      <w:pPr>
        <w:ind w:left="480" w:right="2459"/>
        <w:spacing w:after="0" w:line="247" w:lineRule="auto"/>
        <w:rPr>
          <w:sz w:val="20"/>
          <w:szCs w:val="20"/>
          <w:color w:val="auto"/>
        </w:rPr>
      </w:pPr>
      <w:r>
        <w:rPr>
          <w:rFonts w:ascii="Courier New" w:cs="Courier New" w:eastAsia="Courier New" w:hAnsi="Courier New"/>
          <w:sz w:val="16"/>
          <w:szCs w:val="16"/>
          <w:color w:val="auto"/>
        </w:rPr>
        <w:t>With regard to the Company's financial statements, the material differences between GAAP in Israel and in the U.S. relate to the following. See H below for the presentation of the Company's balance sheets as of December 31, 2005 and 2004 in accordance with U.S. GAAP.</w:t>
      </w:r>
    </w:p>
    <w:p>
      <w:pPr>
        <w:spacing w:after="0" w:line="186" w:lineRule="exact"/>
        <w:rPr>
          <w:sz w:val="20"/>
          <w:szCs w:val="20"/>
          <w:color w:val="auto"/>
        </w:rPr>
      </w:pPr>
    </w:p>
    <w:p>
      <w:pPr>
        <w:ind w:left="960" w:hanging="476"/>
        <w:spacing w:after="0"/>
        <w:tabs>
          <w:tab w:leader="none" w:pos="9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FASB</w:t>
      </w:r>
    </w:p>
    <w:p>
      <w:pPr>
        <w:spacing w:after="0" w:line="191" w:lineRule="exact"/>
        <w:rPr>
          <w:rFonts w:ascii="Courier New" w:cs="Courier New" w:eastAsia="Courier New" w:hAnsi="Courier New"/>
          <w:sz w:val="16"/>
          <w:szCs w:val="16"/>
          <w:color w:val="auto"/>
        </w:rPr>
      </w:pPr>
    </w:p>
    <w:p>
      <w:pPr>
        <w:jc w:val="both"/>
        <w:ind w:left="1460" w:right="3039" w:hanging="492"/>
        <w:spacing w:after="0" w:line="246" w:lineRule="auto"/>
        <w:tabs>
          <w:tab w:leader="none" w:pos="146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151 - INVENTORY COSTS, AN AMENDMENT OF ARB NO. 43, CHAPTER 4 - In November 2004, the FASB issued SFAS No. 151,</w:t>
      </w:r>
    </w:p>
    <w:p>
      <w:pPr>
        <w:spacing w:after="0" w:line="1"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the Company's financial position or results of operations.</w:t>
      </w:r>
    </w:p>
    <w:p>
      <w:pPr>
        <w:spacing w:after="0" w:line="194"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w:t>
      </w:r>
    </w:p>
    <w:p>
      <w:pPr>
        <w:spacing w:after="0" w:line="185" w:lineRule="exact"/>
        <w:rPr>
          <w:rFonts w:ascii="Courier New" w:cs="Courier New" w:eastAsia="Courier New" w:hAnsi="Courier New"/>
          <w:sz w:val="16"/>
          <w:szCs w:val="16"/>
          <w:color w:val="auto"/>
        </w:rPr>
      </w:pPr>
    </w:p>
    <w:p>
      <w:pPr>
        <w:ind w:left="14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85"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123(R) eliminates the alternative to use APB 25's intrinsic value method of accounting that was provided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pacing w:after="0" w:line="192"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48 -</w:t>
      </w:r>
    </w:p>
    <w:p>
      <w:pPr>
        <w:sectPr>
          <w:pgSz w:w="11900" w:h="16838" w:orient="portrait"/>
          <w:cols w:equalWidth="0" w:num="1">
            <w:col w:w="10219"/>
          </w:cols>
          <w:pgMar w:left="240" w:top="676" w:right="1440" w:bottom="1440" w:gutter="0" w:footer="0" w:header="0"/>
        </w:sectPr>
      </w:pPr>
    </w:p>
    <w:bookmarkStart w:id="59" w:name="page60"/>
    <w:bookmarkEnd w:id="5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FASB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123 (REVISED 2004) "SHARE BASED PAYMENTS"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provisions of SFAS 123(R) apply to all awards to be granted by the Company on or after January 1, 2006 and to awards modified, repurchased, or cancelled after that date. When initially applying the provisions of SFAS 123(R), in the first quarter of 2006, the Company will be required to elect between using either the "modified prospective method" or the "modified retrospective method". Under the modified prospective method, the Company is required to recognize compensation cost for all awards granted after the adoption of SFAS 123(R) and for the unvested portion of previously granted awards that are outstanding on that date. Under the modified retrospective method, the Company is required to restate its previously issued financial statements to recognize the amounts previously calculated and reported on a pro forma basis, as if the original provisions of SFAS 123(R) had been adopted. Under both methods, it is permitted to use either a straight line or an accelerated method to amortize the cost as an expense for awards with graded vesting.</w:t>
      </w:r>
    </w:p>
    <w:p>
      <w:pPr>
        <w:spacing w:after="0" w:line="195" w:lineRule="exact"/>
        <w:rPr>
          <w:rFonts w:ascii="Courier New" w:cs="Courier New" w:eastAsia="Courier New" w:hAnsi="Courier New"/>
          <w:sz w:val="16"/>
          <w:szCs w:val="16"/>
          <w:color w:val="auto"/>
        </w:rPr>
      </w:pPr>
    </w:p>
    <w:p>
      <w:pPr>
        <w:ind w:left="14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has commenced identifying the potential future impact of applying the provisions of SFAS 123(R), including each of its proposed transition methods. Based on the outstanding options as of December 31, 2005, the total compensation to be amortized in the years 2006-2009 is expected to be approximately $4,200.</w:t>
      </w:r>
    </w:p>
    <w:p>
      <w:pPr>
        <w:spacing w:after="0" w:line="185"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Retroactive application is not permitted. The adoption of this Standard does not affect the Company's financial position or results of operations.</w:t>
      </w:r>
    </w:p>
    <w:p>
      <w:pPr>
        <w:spacing w:after="0" w:line="194"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377"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49 -</w:t>
      </w:r>
    </w:p>
    <w:p>
      <w:pPr>
        <w:sectPr>
          <w:pgSz w:w="11900" w:h="16838" w:orient="portrait"/>
          <w:cols w:equalWidth="0" w:num="1">
            <w:col w:w="10219"/>
          </w:cols>
          <w:pgMar w:left="240" w:top="676" w:right="1440" w:bottom="1440" w:gutter="0" w:footer="0" w:header="0"/>
        </w:sectPr>
      </w:pPr>
    </w:p>
    <w:bookmarkStart w:id="60" w:name="page61"/>
    <w:bookmarkEnd w:id="6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FASB (cont.)</w:t>
      </w:r>
    </w:p>
    <w:p>
      <w:pPr>
        <w:spacing w:after="0" w:line="191" w:lineRule="exact"/>
        <w:rPr>
          <w:rFonts w:ascii="Courier New" w:cs="Courier New" w:eastAsia="Courier New" w:hAnsi="Courier New"/>
          <w:sz w:val="16"/>
          <w:szCs w:val="16"/>
          <w:color w:val="auto"/>
        </w:rPr>
      </w:pPr>
    </w:p>
    <w:p>
      <w:pPr>
        <w:ind w:left="1460" w:hanging="492"/>
        <w:spacing w:after="0"/>
        <w:tabs>
          <w:tab w:leader="none" w:pos="146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154, ACCOUNTING CHANGES AND ERROR CORRECTIONS (cont.)</w:t>
      </w:r>
    </w:p>
    <w:p>
      <w:pPr>
        <w:spacing w:after="0" w:line="191"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Opinion 20 previously required that most voluntary changes in accounting principles be recognized by including the cumulative effect of changing to the new accounting principles in the net income of the period of the change. This Statement requires retrospective application to prior periods' financial statements of changes in accounting principles,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principles to all prior periods.</w:t>
      </w:r>
    </w:p>
    <w:p>
      <w:pPr>
        <w:spacing w:after="0" w:line="193"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defines RETROSPECTIVE APPLICATION as (i) the application of a different accounting principle to prior accounting periods as if that principle had always been used, or</w:t>
      </w:r>
    </w:p>
    <w:p>
      <w:pPr>
        <w:spacing w:after="0" w:line="1" w:lineRule="exact"/>
        <w:rPr>
          <w:rFonts w:ascii="Courier New" w:cs="Courier New" w:eastAsia="Courier New" w:hAnsi="Courier New"/>
          <w:sz w:val="16"/>
          <w:szCs w:val="16"/>
          <w:color w:val="auto"/>
        </w:rPr>
      </w:pPr>
    </w:p>
    <w:p>
      <w:pPr>
        <w:jc w:val="both"/>
        <w:ind w:left="1460" w:right="2559" w:hanging="7"/>
        <w:spacing w:after="0" w:line="247" w:lineRule="auto"/>
        <w:tabs>
          <w:tab w:leader="none" w:pos="1945"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86" w:lineRule="exact"/>
        <w:rPr>
          <w:sz w:val="20"/>
          <w:szCs w:val="20"/>
          <w:color w:val="auto"/>
        </w:rPr>
      </w:pPr>
    </w:p>
    <w:p>
      <w:pPr>
        <w:ind w:left="1460" w:right="2659"/>
        <w:spacing w:after="0" w:line="246" w:lineRule="auto"/>
        <w:rPr>
          <w:sz w:val="20"/>
          <w:szCs w:val="20"/>
          <w:color w:val="auto"/>
        </w:rPr>
      </w:pPr>
      <w:r>
        <w:rPr>
          <w:rFonts w:ascii="Courier New" w:cs="Courier New" w:eastAsia="Courier New" w:hAnsi="Courier New"/>
          <w:sz w:val="16"/>
          <w:szCs w:val="16"/>
          <w:color w:val="auto"/>
        </w:rPr>
        <w:t>This Statement also requires that a change in depreciation, amortization, or depletion method for long-lived, non-financial assets, be accounted for as a change in accounting estimate effected by a change in accounting principles. This Statement carries forward without change the guidance in Opinion 20 for reporting the correction of an error in previously issued financial statements and a change in accounting estimate. This Statement also carries forward the guidance in Opinion 20 requiring justification of a change in accounting principles on the basis of preferability.</w:t>
      </w:r>
    </w:p>
    <w:p>
      <w:pPr>
        <w:spacing w:after="0" w:line="192" w:lineRule="exact"/>
        <w:rPr>
          <w:sz w:val="20"/>
          <w:szCs w:val="20"/>
          <w:color w:val="auto"/>
        </w:rPr>
      </w:pPr>
    </w:p>
    <w:p>
      <w:pPr>
        <w:ind w:left="1460" w:right="2559"/>
        <w:spacing w:after="0" w:line="247" w:lineRule="auto"/>
        <w:rPr>
          <w:sz w:val="20"/>
          <w:szCs w:val="20"/>
          <w:color w:val="auto"/>
        </w:rPr>
      </w:pPr>
      <w:r>
        <w:rPr>
          <w:rFonts w:ascii="Courier New" w:cs="Courier New" w:eastAsia="Courier New" w:hAnsi="Courier New"/>
          <w:sz w:val="16"/>
          <w:szCs w:val="16"/>
          <w:color w:val="auto"/>
        </w:rPr>
        <w:t>The provisions of this Statement are effective for accounting changes and corrections of errors made during fiscal years beginning after December 15, 2005. The adoption of this Standard is not expected to have a material effect on the Company's financial position or results of operations.</w:t>
      </w:r>
    </w:p>
    <w:p>
      <w:pPr>
        <w:spacing w:after="0" w:line="185" w:lineRule="exact"/>
        <w:rPr>
          <w:sz w:val="20"/>
          <w:szCs w:val="20"/>
          <w:color w:val="auto"/>
        </w:rPr>
      </w:pPr>
    </w:p>
    <w:p>
      <w:pPr>
        <w:ind w:left="960" w:right="3439" w:hanging="476"/>
        <w:spacing w:after="0" w:line="248" w:lineRule="auto"/>
        <w:tabs>
          <w:tab w:leader="none" w:pos="9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DESIGNATED CASH AND SHORT-TERM AND LONG-TERM INTEREST-BEARING DEPOSITS</w:t>
      </w:r>
    </w:p>
    <w:p>
      <w:pPr>
        <w:spacing w:after="0" w:line="184"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U.S. GAAP, the Company's designated cash, short-term and long-term interest-bearing deposits should be excluded from current assets and long-term investments and presented separately as a non-current asset. Accordingly, as of December 31, 2005, $31,661 was reclassified from current assets to a long-term asset (as of December 31, 2004, $53,793 and $5,134 were reclassified, respectively, from current assets and long-term investments to a long-term asset).</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NET LONG-TERM LIABILITIES IN RESPECT OF EMPLOYEES</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U.S. GAAP, assets and liabilities relating to severance arrangements are to be presented separately and are not to be offset, while according to Israeli GAAP such an offset is required. Accordingly, as of December 31, 2005 an amount of $13,658 was reclassified from other long-term liabilities to long-term investments (as of December 31, 2004 - $16,350).</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w:t>
      </w:r>
    </w:p>
    <w:p>
      <w:pPr>
        <w:sectPr>
          <w:pgSz w:w="11900" w:h="16838" w:orient="portrait"/>
          <w:cols w:equalWidth="0" w:num="1">
            <w:col w:w="10219"/>
          </w:cols>
          <w:pgMar w:left="240" w:top="676" w:right="1440" w:bottom="1440" w:gutter="0" w:footer="0" w:header="0"/>
        </w:sectPr>
      </w:pPr>
    </w:p>
    <w:bookmarkStart w:id="61" w:name="page62"/>
    <w:bookmarkEnd w:id="61"/>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 IN ACCORDANCE WITH U.S. GAAP (SFAS 133)</w:t>
      </w:r>
    </w:p>
    <w:p>
      <w:pPr>
        <w:spacing w:after="0" w:line="191" w:lineRule="exact"/>
        <w:rPr>
          <w:rFonts w:ascii="Courier New" w:cs="Courier New" w:eastAsia="Courier New" w:hAnsi="Courier New"/>
          <w:sz w:val="16"/>
          <w:szCs w:val="16"/>
          <w:color w:val="auto"/>
        </w:rPr>
      </w:pPr>
    </w:p>
    <w:p>
      <w:pPr>
        <w:ind w:left="1460" w:right="2659" w:hanging="492"/>
        <w:spacing w:after="0" w:line="247" w:lineRule="auto"/>
        <w:tabs>
          <w:tab w:leader="none" w:pos="14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85" w:lineRule="exact"/>
        <w:rPr>
          <w:rFonts w:ascii="Courier New" w:cs="Courier New" w:eastAsia="Courier New" w:hAnsi="Courier New"/>
          <w:sz w:val="16"/>
          <w:szCs w:val="16"/>
          <w:color w:val="auto"/>
        </w:rPr>
      </w:pPr>
    </w:p>
    <w:p>
      <w:pPr>
        <w:ind w:left="14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90" w:lineRule="exact"/>
        <w:rPr>
          <w:rFonts w:ascii="Courier New" w:cs="Courier New" w:eastAsia="Courier New" w:hAnsi="Courier New"/>
          <w:sz w:val="16"/>
          <w:szCs w:val="16"/>
          <w:color w:val="auto"/>
        </w:rPr>
      </w:pPr>
    </w:p>
    <w:p>
      <w:pPr>
        <w:ind w:left="1460" w:right="2459" w:hanging="492"/>
        <w:spacing w:after="0" w:line="246" w:lineRule="auto"/>
        <w:tabs>
          <w:tab w:leader="none" w:pos="14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w:t>
      </w:r>
    </w:p>
    <w:p>
      <w:pPr>
        <w:spacing w:after="0" w:line="7" w:lineRule="exact"/>
        <w:rPr>
          <w:rFonts w:ascii="Courier New" w:cs="Courier New" w:eastAsia="Courier New" w:hAnsi="Courier New"/>
          <w:sz w:val="16"/>
          <w:szCs w:val="16"/>
          <w:color w:val="auto"/>
        </w:rPr>
      </w:pPr>
    </w:p>
    <w:p>
      <w:pPr>
        <w:ind w:left="1460"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2005 and 2004, the Company had no outstanding foreign exchange agreements.</w:t>
      </w:r>
    </w:p>
    <w:p>
      <w:pPr>
        <w:spacing w:after="0" w:line="184" w:lineRule="exact"/>
        <w:rPr>
          <w:rFonts w:ascii="Courier New" w:cs="Courier New" w:eastAsia="Courier New" w:hAnsi="Courier New"/>
          <w:sz w:val="16"/>
          <w:szCs w:val="16"/>
          <w:color w:val="auto"/>
        </w:rPr>
      </w:pPr>
    </w:p>
    <w:p>
      <w:pPr>
        <w:ind w:left="14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uses interest rate collars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2L), as interest payment become due. For outstanding contracts as of December 31, 2005 and 2004, see Note 18C(2).</w:t>
      </w:r>
    </w:p>
    <w:p>
      <w:pPr>
        <w:spacing w:after="0" w:line="194" w:lineRule="exact"/>
        <w:rPr>
          <w:rFonts w:ascii="Courier New" w:cs="Courier New" w:eastAsia="Courier New" w:hAnsi="Courier New"/>
          <w:sz w:val="16"/>
          <w:szCs w:val="16"/>
          <w:color w:val="auto"/>
        </w:rPr>
      </w:pPr>
    </w:p>
    <w:p>
      <w:pPr>
        <w:ind w:left="1460" w:right="2459" w:hanging="492"/>
        <w:spacing w:after="0" w:line="247" w:lineRule="auto"/>
        <w:tabs>
          <w:tab w:leader="none" w:pos="14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correspondence to the economic useful lives of the machinery and equipment.</w:t>
      </w:r>
    </w:p>
    <w:p>
      <w:pPr>
        <w:spacing w:after="0" w:line="371" w:lineRule="exact"/>
        <w:rPr>
          <w:rFonts w:ascii="Courier New" w:cs="Courier New" w:eastAsia="Courier New" w:hAnsi="Courier New"/>
          <w:sz w:val="16"/>
          <w:szCs w:val="16"/>
          <w:color w:val="auto"/>
        </w:rPr>
      </w:pPr>
    </w:p>
    <w:p>
      <w:pPr>
        <w:ind w:left="3780" w:hanging="195"/>
        <w:spacing w:after="0"/>
        <w:tabs>
          <w:tab w:leader="none" w:pos="3780" w:val="left"/>
        </w:tabs>
        <w:numPr>
          <w:ilvl w:val="2"/>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51 -</w:t>
      </w:r>
    </w:p>
    <w:p>
      <w:pPr>
        <w:sectPr>
          <w:pgSz w:w="11900" w:h="16838" w:orient="portrait"/>
          <w:cols w:equalWidth="0" w:num="1">
            <w:col w:w="10219"/>
          </w:cols>
          <w:pgMar w:left="240" w:top="676" w:right="1440" w:bottom="1440" w:gutter="0" w:footer="0" w:header="0"/>
        </w:sectPr>
      </w:pPr>
    </w:p>
    <w:bookmarkStart w:id="62" w:name="page63"/>
    <w:bookmarkEnd w:id="62"/>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 IN ACCORDANCE WITH U.S. GAAP (SFAS 133) (cont.)</w:t>
      </w:r>
    </w:p>
    <w:p>
      <w:pPr>
        <w:spacing w:after="0" w:line="191" w:lineRule="exact"/>
        <w:rPr>
          <w:rFonts w:ascii="Courier New" w:cs="Courier New" w:eastAsia="Courier New" w:hAnsi="Courier New"/>
          <w:sz w:val="16"/>
          <w:szCs w:val="16"/>
          <w:color w:val="auto"/>
        </w:rPr>
      </w:pPr>
    </w:p>
    <w:p>
      <w:pPr>
        <w:ind w:left="1460" w:right="2559" w:hanging="492"/>
        <w:spacing w:after="0" w:line="246" w:lineRule="auto"/>
        <w:tabs>
          <w:tab w:leader="none" w:pos="146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SFAS 133 with respect to the Company's hedging transactions as of December 31, 2005 would have resulted in: an increase in other long-term investments in the amount of $1,767; a decrease (for U.S. GAAP purposes only) in other comprehensive loss for the year ended December 31, 2005 in the net amount of $5,501; an accumulated other comprehensive loss component of equity balance as of such date in the amount of $1,554; and in a decrease of $3,291 in property and equipment, net as of December 31, 2005.</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IMPLEMENTATION OF SFAS 123 AND SFAS 148</w:t>
      </w:r>
    </w:p>
    <w:p>
      <w:pPr>
        <w:spacing w:after="0" w:line="191" w:lineRule="exact"/>
        <w:rPr>
          <w:rFonts w:ascii="Courier New" w:cs="Courier New" w:eastAsia="Courier New" w:hAnsi="Courier New"/>
          <w:sz w:val="16"/>
          <w:szCs w:val="16"/>
          <w:color w:val="auto"/>
        </w:rPr>
      </w:pPr>
    </w:p>
    <w:p>
      <w:pPr>
        <w:ind w:left="9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Had compensation cost for the Company's share option plans been determined based on fair value at the grant dates for awards made through December 31, 2005 in accordance with SFAS 123, as amended by SFAS 148, the Company's pro forma loss and loss per share would have been as follows (for further information with regard to the Company's share option plans and the assumptions for utilizing the Black-Scholes pricing model, see Note 13B(4)):</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4500" w:type="dxa"/>
            <w:vAlign w:val="bottom"/>
          </w:tcPr>
          <w:p>
            <w:pPr>
              <w:spacing w:after="0"/>
              <w:rPr>
                <w:sz w:val="16"/>
                <w:szCs w:val="16"/>
                <w:color w:val="auto"/>
              </w:rPr>
            </w:pPr>
          </w:p>
        </w:tc>
        <w:tc>
          <w:tcPr>
            <w:tcW w:w="46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2005</w:t>
            </w:r>
          </w:p>
        </w:tc>
        <w:tc>
          <w:tcPr>
            <w:tcW w:w="820" w:type="dxa"/>
            <w:vAlign w:val="bottom"/>
          </w:tcPr>
          <w:p>
            <w:pPr>
              <w:spacing w:after="0"/>
              <w:rPr>
                <w:sz w:val="16"/>
                <w:szCs w:val="16"/>
                <w:color w:val="auto"/>
              </w:rPr>
            </w:pPr>
          </w:p>
        </w:tc>
        <w:tc>
          <w:tcPr>
            <w:tcW w:w="146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2004</w:t>
            </w:r>
          </w:p>
        </w:tc>
        <w:tc>
          <w:tcPr>
            <w:tcW w:w="20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50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 FORMA LOSS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Loss for the year, as reported according to</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500" w:type="dxa"/>
            <w:vAlign w:val="bottom"/>
          </w:tcPr>
          <w:p>
            <w:pPr>
              <w:ind w:left="580"/>
              <w:spacing w:after="0"/>
              <w:rPr>
                <w:sz w:val="20"/>
                <w:szCs w:val="20"/>
                <w:color w:val="auto"/>
              </w:rPr>
            </w:pPr>
            <w:r>
              <w:rPr>
                <w:rFonts w:ascii="Courier New" w:cs="Courier New" w:eastAsia="Courier New" w:hAnsi="Courier New"/>
                <w:sz w:val="16"/>
                <w:szCs w:val="16"/>
                <w:color w:val="auto"/>
              </w:rPr>
              <w:t>U.S. GAAP (see I below)</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$(203,082)</w:t>
            </w:r>
          </w:p>
        </w:tc>
        <w:tc>
          <w:tcPr>
            <w:tcW w:w="22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$(137,768)</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$(114,261)</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Less - stock-based compensation determined</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500" w:type="dxa"/>
            <w:vAlign w:val="bottom"/>
          </w:tcPr>
          <w:p>
            <w:pPr>
              <w:ind w:left="580"/>
              <w:spacing w:after="0"/>
              <w:rPr>
                <w:sz w:val="20"/>
                <w:szCs w:val="20"/>
                <w:color w:val="auto"/>
              </w:rPr>
            </w:pPr>
            <w:r>
              <w:rPr>
                <w:rFonts w:ascii="Courier New" w:cs="Courier New" w:eastAsia="Courier New" w:hAnsi="Courier New"/>
                <w:sz w:val="16"/>
                <w:szCs w:val="16"/>
                <w:color w:val="auto"/>
              </w:rPr>
              <w:t>under APB 25</w:t>
            </w:r>
          </w:p>
        </w:tc>
        <w:tc>
          <w:tcPr>
            <w:tcW w:w="5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14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Add - stock-based compensation</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500" w:type="dxa"/>
            <w:vAlign w:val="bottom"/>
          </w:tcPr>
          <w:p>
            <w:pPr>
              <w:ind w:left="580"/>
              <w:spacing w:after="0"/>
              <w:rPr>
                <w:sz w:val="20"/>
                <w:szCs w:val="20"/>
                <w:color w:val="auto"/>
              </w:rPr>
            </w:pPr>
            <w:r>
              <w:rPr>
                <w:rFonts w:ascii="Courier New" w:cs="Courier New" w:eastAsia="Courier New" w:hAnsi="Courier New"/>
                <w:sz w:val="16"/>
                <w:szCs w:val="16"/>
                <w:color w:val="auto"/>
              </w:rPr>
              <w:t>determined under SFAS 123</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(4,229)</w:t>
            </w:r>
          </w:p>
        </w:tc>
        <w:tc>
          <w:tcPr>
            <w:tcW w:w="820" w:type="dxa"/>
            <w:vAlign w:val="bottom"/>
          </w:tcPr>
          <w:p>
            <w:pPr>
              <w:spacing w:after="0"/>
              <w:rPr>
                <w:sz w:val="16"/>
                <w:szCs w:val="16"/>
                <w:color w:val="auto"/>
              </w:rPr>
            </w:pP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(3,980)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(8,437)</w:t>
            </w:r>
          </w:p>
        </w:tc>
      </w:tr>
      <w:tr>
        <w:trPr>
          <w:trHeight w:val="186"/>
        </w:trPr>
        <w:tc>
          <w:tcPr>
            <w:tcW w:w="450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500" w:type="dxa"/>
            <w:vAlign w:val="bottom"/>
          </w:tcPr>
          <w:p>
            <w:pPr>
              <w:ind w:left="100"/>
              <w:spacing w:after="0"/>
              <w:rPr>
                <w:sz w:val="20"/>
                <w:szCs w:val="20"/>
                <w:color w:val="auto"/>
              </w:rPr>
            </w:pPr>
            <w:r>
              <w:rPr>
                <w:rFonts w:ascii="Courier New" w:cs="Courier New" w:eastAsia="Courier New" w:hAnsi="Courier New"/>
                <w:sz w:val="16"/>
                <w:szCs w:val="16"/>
                <w:color w:val="auto"/>
              </w:rPr>
              <w:t>Pro forma loss</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$(207,311)</w:t>
            </w:r>
          </w:p>
        </w:tc>
        <w:tc>
          <w:tcPr>
            <w:tcW w:w="22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$(141,748)</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$(122,671)</w:t>
            </w:r>
          </w:p>
        </w:tc>
      </w:tr>
      <w:tr>
        <w:trPr>
          <w:trHeight w:val="186"/>
        </w:trPr>
        <w:tc>
          <w:tcPr>
            <w:tcW w:w="450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As reported according to U.S.</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4500" w:type="dxa"/>
            <w:vAlign w:val="bottom"/>
          </w:tcPr>
          <w:p>
            <w:pPr>
              <w:ind w:left="580"/>
              <w:spacing w:after="0"/>
              <w:rPr>
                <w:sz w:val="20"/>
                <w:szCs w:val="20"/>
                <w:color w:val="auto"/>
              </w:rPr>
            </w:pPr>
            <w:r>
              <w:rPr>
                <w:rFonts w:ascii="Courier New" w:cs="Courier New" w:eastAsia="Courier New" w:hAnsi="Courier New"/>
                <w:sz w:val="16"/>
                <w:szCs w:val="16"/>
                <w:color w:val="auto"/>
              </w:rPr>
              <w:t>GAAP (see K below)</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(3.06)</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(2.13)</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6"/>
        </w:trPr>
        <w:tc>
          <w:tcPr>
            <w:tcW w:w="450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(2.19)</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(2.63)</w:t>
            </w:r>
          </w:p>
        </w:tc>
      </w:tr>
      <w:tr>
        <w:trPr>
          <w:trHeight w:val="186"/>
        </w:trPr>
        <w:tc>
          <w:tcPr>
            <w:tcW w:w="450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932"/>
        </w:trPr>
        <w:tc>
          <w:tcPr>
            <w:tcW w:w="4500" w:type="dxa"/>
            <w:vAlign w:val="bottom"/>
          </w:tcPr>
          <w:p>
            <w:pPr>
              <w:ind w:left="3580"/>
              <w:spacing w:after="0"/>
              <w:rPr>
                <w:sz w:val="20"/>
                <w:szCs w:val="20"/>
                <w:color w:val="auto"/>
              </w:rPr>
            </w:pPr>
            <w:r>
              <w:rPr>
                <w:rFonts w:ascii="Courier New" w:cs="Courier New" w:eastAsia="Courier New" w:hAnsi="Courier New"/>
                <w:sz w:val="16"/>
                <w:szCs w:val="16"/>
                <w:color w:val="auto"/>
              </w:rPr>
              <w:t>- 52 -</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63" w:name="page64"/>
    <w:bookmarkEnd w:id="63"/>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SECURITIES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Accounting Principles Board Opinion No. 14 ("APB 14"), the proceeds from the sale of the securities described in Note 9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as of December 31, 2005 and 2004 in the amount of $2,363 (net of $196 related issuance expenses), and a decrease in convertible debentures as of such dates in the amount of $2,559. The effect of amortization of the discount on the convertible debentures under U.S. GAAP for each of the years ended December 31, 2005, 2004 and 2003 would have been immaterial.</w:t>
      </w:r>
    </w:p>
    <w:p>
      <w:pPr>
        <w:spacing w:after="0" w:line="193"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DEBENTURES</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U.S. GAAP (SFAS No. 133), an embedded conversion option should be bifurcated and accounted for separately as a derivative instrument, unless the specific requirements for equity classification of the embedded conversion option, as stated in EITF 00-19, are met. EITF 00-19 provides that an equity classification is appropriate if the settlement criteria set forth therein for such classification are met and that the additional conditions necessary for equity classification, set forth therein, are also met. EITF 00-19 also allows for the equity classification of the embedded conversion option in case the necessary additional conditions are not met, only if the contract is a conventional convertible debt instrument. In accordance with EITFs 00-19 and 05-2, a conventional convertible debt instrument is an instrument that provides the holder with an option to convert into a fixed number of shares or the equivalent amount of cash (at the discretion of the issuer), and the ability to exercise that option is based on the passage of time or a contingent event. Convertible debt is not considered conventional when the number of shares the holder converts into is not fixed and can vary based on a contingent future event (other than "standard" antidilution provisions).</w:t>
      </w:r>
    </w:p>
    <w:p>
      <w:pPr>
        <w:spacing w:after="0" w:line="197" w:lineRule="exact"/>
        <w:rPr>
          <w:rFonts w:ascii="Courier New" w:cs="Courier New" w:eastAsia="Courier New" w:hAnsi="Courier New"/>
          <w:sz w:val="16"/>
          <w:szCs w:val="16"/>
          <w:color w:val="auto"/>
        </w:rPr>
      </w:pPr>
    </w:p>
    <w:p>
      <w:pPr>
        <w:ind w:left="960"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detailed in Note 13H, the conversion price of the convertible debenture issued by the Company in December 2005 is subject to downward adjustment under certain circumstances; i.e. the number of shares to be issued is not fixed. In addition, the criteria set forth in EITF 00-19 for classification as equity are not met. Accordingly, for purposes of U.S. GAAP, these convertible debentures are to be accounted for under SFAS No. 133 and to be bifurcated with the embedded conversion option treated as a liability.</w:t>
      </w:r>
    </w:p>
    <w:p>
      <w:pPr>
        <w:spacing w:after="0" w:line="190"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Israeli GAAP, convertible debentures the future conversion of which is probable as of the balance-sheet date, are presented as a separate line-item between total liabilities and shareholders equity, while according to U.S. GAAP such presentation is not allowed as detailed above.</w:t>
      </w:r>
    </w:p>
    <w:p>
      <w:pPr>
        <w:spacing w:after="0" w:line="185" w:lineRule="exact"/>
        <w:rPr>
          <w:rFonts w:ascii="Courier New" w:cs="Courier New" w:eastAsia="Courier New" w:hAnsi="Courier New"/>
          <w:sz w:val="16"/>
          <w:szCs w:val="16"/>
          <w:color w:val="auto"/>
        </w:rPr>
      </w:pPr>
    </w:p>
    <w:p>
      <w:pPr>
        <w:ind w:left="96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Accordingly, as of December 31, 2005 an amount of $25,493 was reclassified from that separate line-item to convertible debentures (under total long-term liabilities).</w:t>
      </w:r>
    </w:p>
    <w:p>
      <w:pPr>
        <w:spacing w:after="0" w:line="372"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53 -</w:t>
      </w:r>
    </w:p>
    <w:p>
      <w:pPr>
        <w:sectPr>
          <w:pgSz w:w="11900" w:h="16838" w:orient="portrait"/>
          <w:cols w:equalWidth="0" w:num="1">
            <w:col w:w="10219"/>
          </w:cols>
          <w:pgMar w:left="240" w:top="676" w:right="1440" w:bottom="1440" w:gutter="0" w:footer="0" w:header="0"/>
        </w:sectPr>
      </w:pPr>
    </w:p>
    <w:bookmarkStart w:id="64" w:name="page65"/>
    <w:bookmarkEnd w:id="64"/>
    <w:p>
      <w:pPr>
        <w:spacing w:after="0" w:line="60"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H.</w:t>
        <w:tab/>
        <w:t>Balance Sheets in Accordance with U.S. GAAP</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4"/>
          </w:tcPr>
          <w:p>
            <w:pPr>
              <w:jc w:val="right"/>
              <w:ind w:right="419"/>
              <w:spacing w:after="0"/>
              <w:rPr>
                <w:sz w:val="20"/>
                <w:szCs w:val="20"/>
                <w:color w:val="auto"/>
              </w:rPr>
            </w:pPr>
            <w:r>
              <w:rPr>
                <w:rFonts w:ascii="Courier New" w:cs="Courier New" w:eastAsia="Courier New" w:hAnsi="Courier New"/>
                <w:sz w:val="16"/>
                <w:szCs w:val="16"/>
                <w:color w:val="auto"/>
              </w:rPr>
              <w:t>AS OF DECEMBER 31, 2005</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U.S.</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AS PER</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PER</w:t>
            </w:r>
          </w:p>
        </w:tc>
      </w:tr>
      <w:tr>
        <w:trPr>
          <w:trHeight w:val="186"/>
        </w:trPr>
        <w:tc>
          <w:tcPr>
            <w:tcW w:w="606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GAAP</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ISRAELI</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ADJUST-</w:t>
            </w:r>
          </w:p>
        </w:tc>
        <w:tc>
          <w:tcPr>
            <w:tcW w:w="28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U.S.</w:t>
            </w:r>
          </w:p>
        </w:tc>
      </w:tr>
      <w:tr>
        <w:trPr>
          <w:trHeight w:val="186"/>
        </w:trPr>
        <w:tc>
          <w:tcPr>
            <w:tcW w:w="60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REMARK</w:t>
            </w:r>
          </w:p>
        </w:tc>
        <w:tc>
          <w:tcPr>
            <w:tcW w:w="14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GAAP</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MENTS</w:t>
            </w:r>
          </w:p>
        </w:tc>
        <w:tc>
          <w:tcPr>
            <w:tcW w:w="28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GAAP</w:t>
            </w:r>
          </w:p>
        </w:tc>
      </w:tr>
      <w:tr>
        <w:trPr>
          <w:trHeight w:val="186"/>
        </w:trPr>
        <w:tc>
          <w:tcPr>
            <w:tcW w:w="6060" w:type="dxa"/>
            <w:vAlign w:val="bottom"/>
          </w:tcPr>
          <w:p>
            <w:pPr>
              <w:spacing w:after="0"/>
              <w:rPr>
                <w:sz w:val="16"/>
                <w:szCs w:val="16"/>
                <w:color w:val="auto"/>
              </w:rPr>
            </w:pPr>
          </w:p>
        </w:tc>
        <w:tc>
          <w:tcPr>
            <w:tcW w:w="188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CURRENT ASSETS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7,337</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7,337</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31,661</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(31,661)</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TRADE ACCOUNTS RECEIVABLE: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RELATED PARTIES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5,309</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5,309</w:t>
            </w: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OTHERS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11,467</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11,467</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RECEIVABLES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9,043</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9,043</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24,376</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24,376</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CURRENT ASSETS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1,048</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1,048</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CURRENT ASSETS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90,241</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(31,661)</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58,580</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INVESTMENTS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LONG-TERM INTEREST-BEARING DEPOSITS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DESIGNATED FOR FAB 2 OPERATIONS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LONG-TERM INVESTMENT</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C, D</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15,425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15,425</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15,425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15,425</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PROPERTY AND EQUIPMENT, NET</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510,645</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(3,291)</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507,354</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DESIGNATED CASH AND SHORT-TERM AND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LONG-TERM INTEREST-BEARING DEPOSITS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31,661</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31,661</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OTHER ASSETS, NET: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TECHNOLOGY</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61,441</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61,441</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16,359</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16,163</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77,800</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77,604</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ASSETS</w:t>
            </w: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$ 678,686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11,938</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$ 690,624</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CURRENT LIABILITIES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LONG-TERM DEBT</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21,103</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21,103</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CONVERTIBLE DEBENTURES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6,453</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(640)</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5,813</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TRADE ACCOUNTS PAYABLE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59,741</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59,741</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CURRENT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8,972</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8,972</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CURRENT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96,269</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(640)</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95,629</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497,000</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497,000</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CONVERTIBLE DEBENTURES</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F, G</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19,358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23,574</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42,932</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LIABILITY IN RESPECT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OF CUSTOMERS' ADVANCES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59,621</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59,621</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OTHER LONG-TERM LIABILITIES</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C, D</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11,012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13,658</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24,670</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683,260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36,592</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719,852</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CONVERTIBLE DEBENTURES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25,493</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(25,493)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SHAREHOLDERS' EQUITY (DEFICIT)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500,000,000 AND 250,000,000 SHARES, RESPECTIVELY;</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ISSUED 68,232,056 AND 66,999,796 SHARES, RESPECTIVELY</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16,548</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16,548</w:t>
            </w:r>
          </w:p>
        </w:tc>
      </w:tr>
    </w:tbl>
    <w:p>
      <w:pPr>
        <w:sectPr>
          <w:pgSz w:w="11900" w:h="16898" w:orient="portrait"/>
          <w:cols w:equalWidth="0" w:num="1">
            <w:col w:w="10280"/>
          </w:cols>
          <w:pgMar w:left="240" w:top="676" w:right="1379" w:bottom="0" w:gutter="0" w:footer="0" w:header="0"/>
        </w:sectPr>
      </w:pPr>
    </w:p>
    <w:bookmarkStart w:id="65" w:name="page66"/>
    <w:bookmarkEnd w:id="65"/>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1060" w:type="dxa"/>
            <w:vAlign w:val="bottom"/>
          </w:tcPr>
          <w:p>
            <w:pPr>
              <w:ind w:left="720"/>
              <w:spacing w:after="0"/>
              <w:rPr>
                <w:sz w:val="20"/>
                <w:szCs w:val="20"/>
                <w:color w:val="auto"/>
              </w:rPr>
            </w:pPr>
            <w:r>
              <w:rPr>
                <w:rFonts w:ascii="Courier New" w:cs="Courier New" w:eastAsia="Courier New" w:hAnsi="Courier New"/>
                <w:sz w:val="16"/>
                <w:szCs w:val="16"/>
                <w:color w:val="auto"/>
              </w:rPr>
              <w:t>F</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522,237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2,363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524,600</w:t>
            </w:r>
          </w:p>
        </w:tc>
      </w:tr>
      <w:tr>
        <w:trPr>
          <w:trHeight w:val="186"/>
        </w:trPr>
        <w:tc>
          <w:tcPr>
            <w:tcW w:w="5100" w:type="dxa"/>
            <w:vAlign w:val="bottom"/>
          </w:tcPr>
          <w:p>
            <w:pPr>
              <w:spacing w:after="0"/>
              <w:rPr>
                <w:sz w:val="20"/>
                <w:szCs w:val="20"/>
                <w:color w:val="auto"/>
              </w:rPr>
            </w:pPr>
            <w:r>
              <w:rPr>
                <w:rFonts w:ascii="Courier New" w:cs="Courier New" w:eastAsia="Courier New" w:hAnsi="Courier New"/>
                <w:sz w:val="16"/>
                <w:szCs w:val="16"/>
                <w:color w:val="auto"/>
              </w:rPr>
              <w:t>SHAREHOLDER RECEIVABLES</w:t>
            </w:r>
          </w:p>
        </w:tc>
        <w:tc>
          <w:tcPr>
            <w:tcW w:w="106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6"/>
        </w:trPr>
        <w:tc>
          <w:tcPr>
            <w:tcW w:w="51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1060" w:type="dxa"/>
            <w:vAlign w:val="bottom"/>
          </w:tcPr>
          <w:p>
            <w:pPr>
              <w:ind w:left="720"/>
              <w:spacing w:after="0"/>
              <w:rPr>
                <w:sz w:val="20"/>
                <w:szCs w:val="20"/>
                <w:color w:val="auto"/>
              </w:rPr>
            </w:pPr>
            <w:r>
              <w:rPr>
                <w:rFonts w:ascii="Courier New" w:cs="Courier New" w:eastAsia="Courier New" w:hAnsi="Courier New"/>
                <w:sz w:val="16"/>
                <w:szCs w:val="16"/>
                <w:color w:val="auto"/>
              </w:rPr>
              <w:t>D</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(1,554)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(1,554)</w:t>
            </w:r>
          </w:p>
        </w:tc>
      </w:tr>
      <w:tr>
        <w:trPr>
          <w:trHeight w:val="186"/>
        </w:trPr>
        <w:tc>
          <w:tcPr>
            <w:tcW w:w="510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06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(559,754)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(559,724)</w:t>
            </w:r>
          </w:p>
        </w:tc>
      </w:tr>
      <w:tr>
        <w:trPr>
          <w:trHeight w:val="186"/>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(20,995)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839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(20,156)</w:t>
            </w:r>
          </w:p>
        </w:tc>
      </w:tr>
      <w:tr>
        <w:trPr>
          <w:trHeight w:val="186"/>
        </w:trPr>
        <w:tc>
          <w:tcPr>
            <w:tcW w:w="5100" w:type="dxa"/>
            <w:vAlign w:val="bottom"/>
          </w:tcPr>
          <w:p>
            <w:pPr>
              <w:spacing w:after="0"/>
              <w:rPr>
                <w:sz w:val="20"/>
                <w:szCs w:val="20"/>
                <w:color w:val="auto"/>
              </w:rPr>
            </w:pPr>
            <w:r>
              <w:rPr>
                <w:rFonts w:ascii="Courier New" w:cs="Courier New" w:eastAsia="Courier New" w:hAnsi="Courier New"/>
                <w:sz w:val="16"/>
                <w:szCs w:val="16"/>
                <w:color w:val="auto"/>
              </w:rPr>
              <w:t>TREASURY STOCK, AT COST - 1,300,000 SHARES</w:t>
            </w:r>
          </w:p>
        </w:tc>
        <w:tc>
          <w:tcPr>
            <w:tcW w:w="106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(9,072)</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6"/>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00" w:type="dxa"/>
            <w:vAlign w:val="bottom"/>
          </w:tcPr>
          <w:p>
            <w:pPr>
              <w:ind w:left="300"/>
              <w:spacing w:after="0"/>
              <w:rPr>
                <w:sz w:val="20"/>
                <w:szCs w:val="20"/>
                <w:color w:val="auto"/>
              </w:rPr>
            </w:pPr>
            <w:r>
              <w:rPr>
                <w:rFonts w:ascii="Courier New" w:cs="Courier New" w:eastAsia="Courier New" w:hAnsi="Courier New"/>
                <w:sz w:val="16"/>
                <w:szCs w:val="16"/>
                <w:color w:val="auto"/>
              </w:rPr>
              <w:t>TOTAL SHAREHOLDERS' EQUITY (DEFICIT)</w:t>
            </w:r>
          </w:p>
        </w:tc>
        <w:tc>
          <w:tcPr>
            <w:tcW w:w="106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(30,067)</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839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(29,228)</w:t>
            </w:r>
          </w:p>
        </w:tc>
      </w:tr>
      <w:tr>
        <w:trPr>
          <w:trHeight w:val="186"/>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0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0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$ 678,686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11,938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$ 690,624</w:t>
            </w:r>
          </w:p>
        </w:tc>
      </w:tr>
      <w:tr>
        <w:trPr>
          <w:trHeight w:val="186"/>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4"/>
          </w:tcPr>
          <w:p>
            <w:pPr>
              <w:jc w:val="right"/>
              <w:ind w:right="599"/>
              <w:spacing w:after="0"/>
              <w:rPr>
                <w:sz w:val="20"/>
                <w:szCs w:val="20"/>
                <w:color w:val="auto"/>
              </w:rPr>
            </w:pPr>
            <w:r>
              <w:rPr>
                <w:rFonts w:ascii="Courier New" w:cs="Courier New" w:eastAsia="Courier New" w:hAnsi="Courier New"/>
                <w:sz w:val="16"/>
                <w:szCs w:val="16"/>
                <w:color w:val="auto"/>
              </w:rPr>
              <w:t>AS OF DECEMBER 31, 2004</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U.S.</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AS PER</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AS PER</w:t>
            </w:r>
          </w:p>
        </w:tc>
      </w:tr>
      <w:tr>
        <w:trPr>
          <w:trHeight w:val="186"/>
        </w:trPr>
        <w:tc>
          <w:tcPr>
            <w:tcW w:w="606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GAAP</w:t>
            </w:r>
          </w:p>
        </w:tc>
        <w:tc>
          <w:tcPr>
            <w:tcW w:w="1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ISRAELI</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ADJUST-</w:t>
            </w:r>
          </w:p>
        </w:tc>
        <w:tc>
          <w:tcPr>
            <w:tcW w:w="2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U.S.</w:t>
            </w:r>
          </w:p>
        </w:tc>
      </w:tr>
      <w:tr>
        <w:trPr>
          <w:trHeight w:val="186"/>
        </w:trPr>
        <w:tc>
          <w:tcPr>
            <w:tcW w:w="60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REMARK</w:t>
            </w:r>
          </w:p>
        </w:tc>
        <w:tc>
          <w:tcPr>
            <w:tcW w:w="14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GAAP</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MENTS</w:t>
            </w:r>
          </w:p>
        </w:tc>
        <w:tc>
          <w:tcPr>
            <w:tcW w:w="2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GAAP</w:t>
            </w:r>
          </w:p>
        </w:tc>
      </w:tr>
      <w:tr>
        <w:trPr>
          <w:trHeight w:val="186"/>
        </w:trPr>
        <w:tc>
          <w:tcPr>
            <w:tcW w:w="6060" w:type="dxa"/>
            <w:vAlign w:val="bottom"/>
          </w:tcPr>
          <w:p>
            <w:pPr>
              <w:spacing w:after="0"/>
              <w:rPr>
                <w:sz w:val="16"/>
                <w:szCs w:val="16"/>
                <w:color w:val="auto"/>
              </w:rPr>
            </w:pPr>
          </w:p>
        </w:tc>
        <w:tc>
          <w:tcPr>
            <w:tcW w:w="188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CURRENT ASSETS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27,664</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27,664</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53,793</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(53,793)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TRADE ACCOUNTS RECEIVABLE: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RELATED PARTIES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9,054</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9,054</w:t>
            </w: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OTHERS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10,232</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10,232</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RECEIVABLES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11,365</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11,365</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25,669</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25,669</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CURRENT ASSETS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1,818</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1,818</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CURRENT ASSETS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139,595</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(53,793)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85,802</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INVESTMENTS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LONG-TERM INTEREST-BEARING DEPOSITS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6060" w:type="dxa"/>
            <w:vAlign w:val="bottom"/>
          </w:tcPr>
          <w:p>
            <w:pPr>
              <w:ind w:left="680"/>
              <w:spacing w:after="0"/>
              <w:rPr>
                <w:sz w:val="20"/>
                <w:szCs w:val="20"/>
                <w:color w:val="auto"/>
              </w:rPr>
            </w:pPr>
            <w:r>
              <w:rPr>
                <w:rFonts w:ascii="Courier New" w:cs="Courier New" w:eastAsia="Courier New" w:hAnsi="Courier New"/>
                <w:sz w:val="16"/>
                <w:szCs w:val="16"/>
                <w:color w:val="auto"/>
              </w:rPr>
              <w:t>DESIGNATED FOR FAB 2 OPERATIONS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5,134</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(5,134)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LONG-TERM INVESTMENT</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C, D</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16,350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16,350</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5,134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11,216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16,350</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PROPERTY AND EQUIPMENT, NET</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609,296</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(4,619)</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604,677</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DESIGNATED CASH AND SHORT-TERM AND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LONG-TERM INTEREST-BEARING DEPOSITS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58,927</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58,927</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OTHER ASSETS, NET: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TECHNOLOGY</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76,950</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76,950</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16,533</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16,337</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93,483</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93,287</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ASSETS</w:t>
            </w: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$ 847,508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11,535</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$ 859,043</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CURRENT LIABILITIES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LONG-TERM DEBT</w:t>
            </w:r>
          </w:p>
        </w:tc>
        <w:tc>
          <w:tcPr>
            <w:tcW w:w="7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CONVERTIBLE DEBENTURES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TRADE ACCOUNTS PAYABLE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65,326</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65,326</w:t>
            </w:r>
          </w:p>
        </w:tc>
      </w:tr>
      <w:tr>
        <w:trPr>
          <w:trHeight w:val="186"/>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OTHER CURRENT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10,678</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10,678</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CURRENT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76,004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76,004</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497,000</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497,000</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CONVERTIBLE DEBENTURES</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F, G</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26,651</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(2,559)</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24,092</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LONG-TERM LIABILITY IN RESPECT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OF CUSTOMERS' ADVANCES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64,428</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64,428</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OTHER LONG-TERM LIABILITIES</w:t>
            </w: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C, D</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15,445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18,756</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34,201</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ind w:left="780"/>
              <w:spacing w:after="0"/>
              <w:rPr>
                <w:sz w:val="20"/>
                <w:szCs w:val="20"/>
                <w:color w:val="auto"/>
              </w:rPr>
            </w:pPr>
            <w:r>
              <w:rPr>
                <w:rFonts w:ascii="Courier New" w:cs="Courier New" w:eastAsia="Courier New" w:hAnsi="Courier New"/>
                <w:sz w:val="16"/>
                <w:szCs w:val="16"/>
                <w:color w:val="auto"/>
              </w:rPr>
              <w:t>TOTAL LIABILITIES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679,528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16,197</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695,725</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CONVERTIBLE DEBENTURES</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14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60"/>
          </w:cols>
          <w:pgMar w:left="240" w:top="142" w:right="129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0" w:type="dxa"/>
            <w:vAlign w:val="bottom"/>
          </w:tcPr>
          <w:p>
            <w:pPr>
              <w:spacing w:after="0"/>
              <w:rPr>
                <w:sz w:val="20"/>
                <w:szCs w:val="20"/>
                <w:color w:val="auto"/>
              </w:rPr>
            </w:pPr>
            <w:r>
              <w:rPr>
                <w:rFonts w:ascii="Courier New" w:cs="Courier New" w:eastAsia="Courier New" w:hAnsi="Courier New"/>
                <w:sz w:val="16"/>
                <w:szCs w:val="16"/>
                <w:color w:val="auto"/>
              </w:rPr>
              <w:t>SHAREHOLDERS' EQUITY (DEFICIT)</w:t>
            </w: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5800" w:type="dxa"/>
            <w:vAlign w:val="bottom"/>
          </w:tcPr>
          <w:p>
            <w:pPr>
              <w:ind w:left="380"/>
              <w:spacing w:after="0"/>
              <w:rPr>
                <w:sz w:val="20"/>
                <w:szCs w:val="20"/>
                <w:color w:val="auto"/>
              </w:rPr>
            </w:pPr>
            <w:r>
              <w:rPr>
                <w:rFonts w:ascii="Courier New" w:cs="Courier New" w:eastAsia="Courier New" w:hAnsi="Courier New"/>
                <w:sz w:val="16"/>
                <w:szCs w:val="16"/>
                <w:color w:val="auto"/>
              </w:rPr>
              <w:t>500,000,000 AND 250,000,000 SHARES, RESPECTIVELY;</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5800" w:type="dxa"/>
            <w:vAlign w:val="bottom"/>
          </w:tcPr>
          <w:p>
            <w:pPr>
              <w:ind w:left="480"/>
              <w:spacing w:after="0"/>
              <w:rPr>
                <w:sz w:val="20"/>
                <w:szCs w:val="20"/>
                <w:color w:val="auto"/>
              </w:rPr>
            </w:pPr>
            <w:r>
              <w:rPr>
                <w:rFonts w:ascii="Courier New" w:cs="Courier New" w:eastAsia="Courier New" w:hAnsi="Courier New"/>
                <w:sz w:val="16"/>
                <w:szCs w:val="16"/>
                <w:color w:val="auto"/>
              </w:rPr>
              <w:t>ISSUED 68,232,056 AND 66,999,796 SHARES, RESPECTIVELY</w:t>
            </w: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16,274</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16,274</w:t>
            </w: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ADDITIONAL PAID-IN CAPITAL</w:t>
            </w:r>
          </w:p>
        </w:tc>
        <w:tc>
          <w:tcPr>
            <w:tcW w:w="540" w:type="dxa"/>
            <w:vAlign w:val="bottom"/>
          </w:tcPr>
          <w:p>
            <w:pPr>
              <w:ind w:left="200"/>
              <w:spacing w:after="0"/>
              <w:rPr>
                <w:sz w:val="20"/>
                <w:szCs w:val="20"/>
                <w:color w:val="auto"/>
              </w:rPr>
            </w:pPr>
            <w:r>
              <w:rPr>
                <w:rFonts w:ascii="Courier New" w:cs="Courier New" w:eastAsia="Courier New" w:hAnsi="Courier New"/>
                <w:sz w:val="16"/>
                <w:szCs w:val="16"/>
                <w:color w:val="auto"/>
              </w:rPr>
              <w:t>F</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517,476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2,363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519,839</w:t>
            </w: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SHAREHOLDER RECEIVABLES</w:t>
            </w:r>
          </w:p>
        </w:tc>
        <w:tc>
          <w:tcPr>
            <w:tcW w:w="5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 LOSS</w:t>
            </w:r>
          </w:p>
        </w:tc>
        <w:tc>
          <w:tcPr>
            <w:tcW w:w="54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(7,055)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(7,055)</w:t>
            </w: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ACCUMULATED DEFICIT</w:t>
            </w:r>
          </w:p>
        </w:tc>
        <w:tc>
          <w:tcPr>
            <w:tcW w:w="5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(356,672)</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(356,642)</w:t>
            </w:r>
          </w:p>
        </w:tc>
      </w:tr>
      <w:tr>
        <w:trPr>
          <w:trHeight w:val="186"/>
        </w:trPr>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177,052</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(4,662)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172,390</w:t>
            </w:r>
          </w:p>
        </w:tc>
      </w:tr>
      <w:tr>
        <w:trPr>
          <w:trHeight w:val="186"/>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AT COST - 1,300,000 SHARES</w:t>
            </w:r>
          </w:p>
        </w:tc>
        <w:tc>
          <w:tcPr>
            <w:tcW w:w="5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(9,072)</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6"/>
        </w:trPr>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00" w:type="dxa"/>
            <w:vAlign w:val="bottom"/>
          </w:tcPr>
          <w:p>
            <w:pPr>
              <w:ind w:left="480"/>
              <w:spacing w:after="0"/>
              <w:rPr>
                <w:sz w:val="20"/>
                <w:szCs w:val="20"/>
                <w:color w:val="auto"/>
              </w:rPr>
            </w:pPr>
            <w:r>
              <w:rPr>
                <w:rFonts w:ascii="Courier New" w:cs="Courier New" w:eastAsia="Courier New" w:hAnsi="Courier New"/>
                <w:sz w:val="16"/>
                <w:szCs w:val="16"/>
                <w:color w:val="auto"/>
              </w:rPr>
              <w:t>TOTAL SHAREHOLDERS' EQUITY (DEFICIT)</w:t>
            </w: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167,980</w:t>
            </w:r>
          </w:p>
        </w:tc>
        <w:tc>
          <w:tcPr>
            <w:tcW w:w="12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(4,662)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163,318</w:t>
            </w:r>
          </w:p>
        </w:tc>
      </w:tr>
      <w:tr>
        <w:trPr>
          <w:trHeight w:val="186"/>
        </w:trPr>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0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$ 847,508</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11,535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$ 859,043</w:t>
            </w:r>
          </w:p>
        </w:tc>
      </w:tr>
      <w:tr>
        <w:trPr>
          <w:trHeight w:val="186"/>
        </w:trPr>
        <w:tc>
          <w:tcPr>
            <w:tcW w:w="5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5800" w:type="dxa"/>
            <w:vAlign w:val="bottom"/>
          </w:tcPr>
          <w:p>
            <w:pPr>
              <w:ind w:left="3280"/>
              <w:spacing w:after="0"/>
              <w:rPr>
                <w:sz w:val="20"/>
                <w:szCs w:val="20"/>
                <w:color w:val="auto"/>
              </w:rPr>
            </w:pPr>
            <w:r>
              <w:rPr>
                <w:rFonts w:ascii="Courier New" w:cs="Courier New" w:eastAsia="Courier New" w:hAnsi="Courier New"/>
                <w:sz w:val="16"/>
                <w:szCs w:val="16"/>
                <w:color w:val="auto"/>
              </w:rPr>
              <w:t>- 54 -</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060"/>
          </w:cols>
          <w:pgMar w:left="540" w:top="142" w:right="1299" w:bottom="1440" w:gutter="0" w:footer="0" w:header="0"/>
        </w:sectPr>
      </w:pPr>
    </w:p>
    <w:bookmarkStart w:id="67" w:name="page68"/>
    <w:bookmarkEnd w:id="67"/>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OPERATIONS IN ACCORDANCE WITH U.S. GAAP</w:t>
      </w:r>
    </w:p>
    <w:p>
      <w:pPr>
        <w:spacing w:after="0" w:line="191" w:lineRule="exact"/>
        <w:rPr>
          <w:rFonts w:ascii="Courier New" w:cs="Courier New" w:eastAsia="Courier New" w:hAnsi="Courier New"/>
          <w:sz w:val="16"/>
          <w:szCs w:val="16"/>
          <w:color w:val="auto"/>
        </w:rPr>
      </w:pPr>
    </w:p>
    <w:p>
      <w:pPr>
        <w:ind w:left="9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SFAS 133 and SFAS 138 (D above) and APB 14 (F above) would not have materially affected the results of operations for the years ended December 31, 2005, 2004 and 2003.</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 IN ACCORDANCE WITH U.S. GAAP (SFAS 130)</w:t>
      </w:r>
    </w:p>
    <w:p>
      <w:pPr>
        <w:spacing w:after="0" w:line="191" w:lineRule="exact"/>
        <w:rPr>
          <w:rFonts w:ascii="Courier New" w:cs="Courier New" w:eastAsia="Courier New" w:hAnsi="Courier New"/>
          <w:sz w:val="16"/>
          <w:szCs w:val="16"/>
          <w:color w:val="auto"/>
        </w:rPr>
      </w:pPr>
    </w:p>
    <w:p>
      <w:pPr>
        <w:ind w:left="96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20" w:type="dxa"/>
            <w:vAlign w:val="bottom"/>
          </w:tcPr>
          <w:p>
            <w:pPr>
              <w:spacing w:after="0"/>
              <w:rPr>
                <w:sz w:val="15"/>
                <w:szCs w:val="15"/>
                <w:color w:val="auto"/>
              </w:rPr>
            </w:pPr>
          </w:p>
        </w:tc>
      </w:tr>
      <w:tr>
        <w:trPr>
          <w:trHeight w:val="186"/>
        </w:trPr>
        <w:tc>
          <w:tcPr>
            <w:tcW w:w="4360" w:type="dxa"/>
            <w:vAlign w:val="bottom"/>
          </w:tcPr>
          <w:p>
            <w:pPr>
              <w:spacing w:after="0"/>
              <w:rPr>
                <w:sz w:val="16"/>
                <w:szCs w:val="16"/>
                <w:color w:val="auto"/>
              </w:rPr>
            </w:pPr>
          </w:p>
        </w:tc>
        <w:tc>
          <w:tcPr>
            <w:tcW w:w="44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2005</w:t>
            </w:r>
          </w:p>
        </w:tc>
        <w:tc>
          <w:tcPr>
            <w:tcW w:w="228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2004</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3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Loss for the year according to U.S. GAAP</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$(203,082)</w:t>
            </w:r>
          </w:p>
        </w:tc>
        <w:tc>
          <w:tcPr>
            <w:tcW w:w="22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$(137,768)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$(114,261)</w:t>
            </w:r>
          </w:p>
        </w:tc>
      </w:tr>
      <w:tr>
        <w:trPr>
          <w:trHeight w:val="373"/>
        </w:trPr>
        <w:tc>
          <w:tcPr>
            <w:tcW w:w="4360" w:type="dxa"/>
            <w:vAlign w:val="bottom"/>
          </w:tcPr>
          <w:p>
            <w:pPr>
              <w:spacing w:after="0"/>
              <w:rPr>
                <w:sz w:val="20"/>
                <w:szCs w:val="20"/>
                <w:color w:val="auto"/>
              </w:rPr>
            </w:pPr>
            <w:r>
              <w:rPr>
                <w:rFonts w:ascii="Courier New" w:cs="Courier New" w:eastAsia="Courier New" w:hAnsi="Courier New"/>
                <w:sz w:val="16"/>
                <w:szCs w:val="16"/>
                <w:color w:val="auto"/>
              </w:rPr>
              <w:t>Other comprehensive loss:</w:t>
            </w:r>
          </w:p>
        </w:tc>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unrealized</w:t>
            </w:r>
          </w:p>
        </w:tc>
        <w:tc>
          <w:tcPr>
            <w:tcW w:w="1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360" w:type="dxa"/>
            <w:vAlign w:val="bottom"/>
          </w:tcPr>
          <w:p>
            <w:pPr>
              <w:ind w:left="680"/>
              <w:spacing w:after="0"/>
              <w:rPr>
                <w:sz w:val="20"/>
                <w:szCs w:val="20"/>
                <w:color w:val="auto"/>
              </w:rPr>
            </w:pPr>
            <w:r>
              <w:rPr>
                <w:rFonts w:ascii="Courier New" w:cs="Courier New" w:eastAsia="Courier New" w:hAnsi="Courier New"/>
                <w:sz w:val="16"/>
                <w:szCs w:val="16"/>
                <w:color w:val="auto"/>
              </w:rPr>
              <w:t>losses on derivatives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1,328</w:t>
            </w:r>
          </w:p>
        </w:tc>
        <w:tc>
          <w:tcPr>
            <w:tcW w:w="22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1,328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664</w:t>
            </w:r>
          </w:p>
        </w:tc>
      </w:tr>
      <w:tr>
        <w:trPr>
          <w:trHeight w:val="186"/>
        </w:trPr>
        <w:tc>
          <w:tcPr>
            <w:tcW w:w="436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gains on derivatives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4,173</w:t>
            </w:r>
          </w:p>
        </w:tc>
        <w:tc>
          <w:tcPr>
            <w:tcW w:w="22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7,514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1,276</w:t>
            </w:r>
          </w:p>
        </w:tc>
      </w:tr>
      <w:tr>
        <w:trPr>
          <w:trHeight w:val="186"/>
        </w:trPr>
        <w:tc>
          <w:tcPr>
            <w:tcW w:w="43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comprehensive loss for the year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$(197,581)</w:t>
            </w:r>
          </w:p>
        </w:tc>
        <w:tc>
          <w:tcPr>
            <w:tcW w:w="22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$(128,926)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$(112,321)</w:t>
            </w:r>
          </w:p>
        </w:tc>
      </w:tr>
      <w:tr>
        <w:trPr>
          <w:trHeight w:val="186"/>
        </w:trPr>
        <w:tc>
          <w:tcPr>
            <w:tcW w:w="43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4360" w:type="dxa"/>
            <w:vAlign w:val="bottom"/>
          </w:tcPr>
          <w:p>
            <w:pPr>
              <w:ind w:left="3580"/>
              <w:spacing w:after="0"/>
              <w:rPr>
                <w:sz w:val="20"/>
                <w:szCs w:val="20"/>
                <w:color w:val="auto"/>
              </w:rPr>
            </w:pPr>
            <w:r>
              <w:rPr>
                <w:rFonts w:ascii="Courier New" w:cs="Courier New" w:eastAsia="Courier New" w:hAnsi="Courier New"/>
                <w:sz w:val="16"/>
                <w:szCs w:val="16"/>
                <w:color w:val="auto"/>
              </w:rPr>
              <w:t>- 55 -</w:t>
            </w:r>
          </w:p>
        </w:tc>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68" w:name="page69"/>
    <w:bookmarkEnd w:id="68"/>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w:t>
      </w:r>
    </w:p>
    <w:p>
      <w:pPr>
        <w:spacing w:after="0" w:line="191" w:lineRule="exact"/>
        <w:rPr>
          <w:rFonts w:ascii="Courier New" w:cs="Courier New" w:eastAsia="Courier New" w:hAnsi="Courier New"/>
          <w:sz w:val="16"/>
          <w:szCs w:val="16"/>
          <w:color w:val="auto"/>
        </w:rPr>
      </w:pPr>
    </w:p>
    <w:p>
      <w:pPr>
        <w:ind w:left="96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U.S. GAAP (SFAS 128, including the implementation of SFAS 133 and SFAS 138, and APB 14 as described above), the basic and diluted loss per share would be: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35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2480" w:type="dxa"/>
            <w:vAlign w:val="bottom"/>
          </w:tcPr>
          <w:p>
            <w:pPr>
              <w:spacing w:after="0"/>
              <w:rPr>
                <w:sz w:val="16"/>
                <w:szCs w:val="16"/>
                <w:color w:val="auto"/>
              </w:rPr>
            </w:pPr>
          </w:p>
        </w:tc>
        <w:tc>
          <w:tcPr>
            <w:tcW w:w="3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16"/>
                <w:szCs w:val="16"/>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6"/>
                <w:szCs w:val="16"/>
                <w:color w:val="auto"/>
              </w:rPr>
              <w:t>2005</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2004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480" w:type="dxa"/>
            <w:vAlign w:val="bottom"/>
          </w:tcPr>
          <w:p>
            <w:pPr>
              <w:spacing w:after="0"/>
              <w:rPr>
                <w:sz w:val="16"/>
                <w:szCs w:val="16"/>
                <w:color w:val="auto"/>
              </w:rPr>
            </w:pPr>
          </w:p>
        </w:tc>
        <w:tc>
          <w:tcPr>
            <w:tcW w:w="13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1300" w:type="dxa"/>
            <w:vAlign w:val="bottom"/>
          </w:tcPr>
          <w:p>
            <w:pPr>
              <w:ind w:left="320"/>
              <w:spacing w:after="0"/>
              <w:rPr>
                <w:sz w:val="20"/>
                <w:szCs w:val="20"/>
                <w:color w:val="auto"/>
              </w:rPr>
            </w:pPr>
            <w:r>
              <w:rPr>
                <w:rFonts w:ascii="Courier New" w:cs="Courier New" w:eastAsia="Courier New" w:hAnsi="Courier New"/>
                <w:sz w:val="16"/>
                <w:szCs w:val="16"/>
                <w:color w:val="auto"/>
              </w:rPr>
              <w:t>$(3.06)</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$(2.13)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6"/>
        </w:trPr>
        <w:tc>
          <w:tcPr>
            <w:tcW w:w="2480" w:type="dxa"/>
            <w:vAlign w:val="bottom"/>
          </w:tcPr>
          <w:p>
            <w:pPr>
              <w:spacing w:after="0"/>
              <w:rPr>
                <w:sz w:val="16"/>
                <w:szCs w:val="16"/>
                <w:color w:val="auto"/>
              </w:rPr>
            </w:pPr>
          </w:p>
        </w:tc>
        <w:tc>
          <w:tcPr>
            <w:tcW w:w="13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Diluted loss per share</w:t>
            </w:r>
          </w:p>
        </w:tc>
        <w:tc>
          <w:tcPr>
            <w:tcW w:w="1300" w:type="dxa"/>
            <w:vAlign w:val="bottom"/>
          </w:tcPr>
          <w:p>
            <w:pPr>
              <w:ind w:left="320"/>
              <w:spacing w:after="0"/>
              <w:rPr>
                <w:sz w:val="20"/>
                <w:szCs w:val="20"/>
                <w:color w:val="auto"/>
              </w:rPr>
            </w:pPr>
            <w:r>
              <w:rPr>
                <w:rFonts w:ascii="Courier New" w:cs="Courier New" w:eastAsia="Courier New" w:hAnsi="Courier New"/>
                <w:sz w:val="16"/>
                <w:szCs w:val="16"/>
                <w:color w:val="auto"/>
              </w:rPr>
              <w:t>$(3.06)</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$(2.13)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6"/>
        </w:trPr>
        <w:tc>
          <w:tcPr>
            <w:tcW w:w="2480" w:type="dxa"/>
            <w:vAlign w:val="bottom"/>
          </w:tcPr>
          <w:p>
            <w:pPr>
              <w:spacing w:after="0"/>
              <w:rPr>
                <w:sz w:val="16"/>
                <w:szCs w:val="16"/>
                <w:color w:val="auto"/>
              </w:rPr>
            </w:pPr>
          </w:p>
        </w:tc>
        <w:tc>
          <w:tcPr>
            <w:tcW w:w="13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For the purpose of U.S. GAAP, the beneficial feature attributed to the rights offering that retroactively adjusted loss per share under Israeli GAAP, as described in Note 12C, was eliminated since such accounting treatment is not allowed by U.S. GAAP.</w:t>
      </w:r>
    </w:p>
    <w:p>
      <w:pPr>
        <w:spacing w:after="0" w:line="186"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The following tables provide a reconciliation of the numerators and denominators of the basic and diluted per share computations for 2005, 2004 and 2003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Israeli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and warrants is accounted for according to the treasury method, regardless of the probability of the exercise of the options and warrants, and the amount of shares underlying convertible debentures is accounted for by application of the if-converted method. According to Israeli GAAP, the loss to compute basic loss per share should include imputed interest income on the exercise price of options and warrants exercised during the year and of probable Exercise and probable Conversion, an inclusion which is not allowed under U.S. GAAP.</w:t>
      </w:r>
    </w:p>
    <w:p>
      <w:pPr>
        <w:spacing w:after="0" w:line="38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- 56 -</w:t>
      </w:r>
    </w:p>
    <w:p>
      <w:pPr>
        <w:sectPr>
          <w:pgSz w:w="11900" w:h="16838" w:orient="portrait"/>
          <w:cols w:equalWidth="0" w:num="1">
            <w:col w:w="10219"/>
          </w:cols>
          <w:pgMar w:left="240" w:top="676" w:right="1440" w:bottom="1440" w:gutter="0" w:footer="0" w:header="0"/>
        </w:sectPr>
      </w:pPr>
    </w:p>
    <w:bookmarkStart w:id="69" w:name="page70"/>
    <w:bookmarkEnd w:id="69"/>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 (cont.)</w:t>
      </w:r>
    </w:p>
    <w:p>
      <w:pPr>
        <w:sectPr>
          <w:pgSz w:w="11900" w:h="16838" w:orient="portrait"/>
          <w:cols w:equalWidth="0" w:num="1">
            <w:col w:w="10219"/>
          </w:cols>
          <w:pgMar w:left="240" w:top="676" w:right="1440" w:bottom="136"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for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Year Ended December 31,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tabs>
          <w:tab w:leader="none" w:pos="1520" w:val="left"/>
          <w:tab w:leader="none" w:pos="318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5" w:lineRule="exact"/>
        <w:rPr>
          <w:sz w:val="20"/>
          <w:szCs w:val="20"/>
          <w:color w:val="auto"/>
        </w:rPr>
      </w:pPr>
    </w:p>
    <w:p>
      <w:pPr>
        <w:spacing w:after="0"/>
        <w:tabs>
          <w:tab w:leader="none" w:pos="1520" w:val="left"/>
          <w:tab w:leader="none" w:pos="326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6"/>
          <w:szCs w:val="16"/>
          <w:color w:val="auto"/>
        </w:rPr>
        <w:t>amount</w:t>
      </w:r>
    </w:p>
    <w:p>
      <w:pPr>
        <w:spacing w:after="0" w:line="5" w:lineRule="exact"/>
        <w:rPr>
          <w:sz w:val="20"/>
          <w:szCs w:val="20"/>
          <w:color w:val="auto"/>
        </w:rPr>
      </w:pPr>
    </w:p>
    <w:p>
      <w:pPr>
        <w:spacing w:after="0"/>
        <w:tabs>
          <w:tab w:leader="none" w:pos="1520" w:val="left"/>
          <w:tab w:leader="none" w:pos="3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0" w:space="720"/>
            <w:col w:w="565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 shareholders</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$(203,082)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66,371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4">
            <w:col w:w="3940" w:space="720"/>
            <w:col w:w="1200" w:space="720"/>
            <w:col w:w="600" w:space="660"/>
            <w:col w:w="237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DILUTIVE SECURITIES</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Convertible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3">
            <w:col w:w="3940" w:space="720"/>
            <w:col w:w="1020" w:space="720"/>
            <w:col w:w="381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$(203,082)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66,371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980" w:space="680"/>
            <w:col w:w="1020" w:space="720"/>
            <w:col w:w="780" w:space="660"/>
            <w:col w:w="2379"/>
          </w:cols>
          <w:pgMar w:left="240" w:top="676" w:right="1440" w:bottom="136" w:gutter="0" w:footer="0" w:header="0"/>
          <w:type w:val="continuous"/>
        </w:sectPr>
      </w:pPr>
    </w:p>
    <w:p>
      <w:pPr>
        <w:spacing w:after="0" w:line="178"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Options and warrants to purchase 28,437,207 Ordinary Shares at an average exercise price of $4.23 per share were outstanding as of December 31, 2005 but were not included in the computation of diluted loss per share because their effect was anti-dilutive. The options and warrants, which as of December 31, 2005 expire between January 2006 and November 2015 (weighted average remaining contractual life of 5.02 years), were still outstanding as of such date. Convertible debentures, convertible into 25,872,523 Ordinary Shares, were outstanding as of December 31, 2005 but were not included in the computation of diluted loss per share since their effect is anti-dilutive. Of that amount, 2,697,068 convertible debentures may be converted into Ordinary Shares until December 31, 2008, and the remaining 23,175,455 convertible debentures may be converted into Ordinary Shares until December 2011.</w:t>
      </w:r>
    </w:p>
    <w:p>
      <w:pPr>
        <w:sectPr>
          <w:pgSz w:w="11900" w:h="16838" w:orient="portrait"/>
          <w:cols w:equalWidth="0" w:num="1">
            <w:col w:w="10219"/>
          </w:cols>
          <w:pgMar w:left="240" w:top="676" w:right="1440" w:bottom="136"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for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Year Ended December 31,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tabs>
          <w:tab w:leader="none" w:pos="1520" w:val="left"/>
          <w:tab w:leader="none" w:pos="318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5" w:lineRule="exact"/>
        <w:rPr>
          <w:sz w:val="20"/>
          <w:szCs w:val="20"/>
          <w:color w:val="auto"/>
        </w:rPr>
      </w:pPr>
    </w:p>
    <w:p>
      <w:pPr>
        <w:spacing w:after="0"/>
        <w:tabs>
          <w:tab w:leader="none" w:pos="1520" w:val="left"/>
          <w:tab w:leader="none" w:pos="326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6"/>
          <w:szCs w:val="16"/>
          <w:color w:val="auto"/>
        </w:rPr>
        <w:t>amount</w:t>
      </w:r>
    </w:p>
    <w:p>
      <w:pPr>
        <w:spacing w:after="0" w:line="5" w:lineRule="exact"/>
        <w:rPr>
          <w:sz w:val="20"/>
          <w:szCs w:val="20"/>
          <w:color w:val="auto"/>
        </w:rPr>
      </w:pPr>
    </w:p>
    <w:p>
      <w:pPr>
        <w:spacing w:after="0"/>
        <w:tabs>
          <w:tab w:leader="none" w:pos="1420" w:val="left"/>
          <w:tab w:leader="none" w:pos="3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0" w:space="720"/>
            <w:col w:w="565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 shareholders</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$(137,768)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64,633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4">
            <w:col w:w="3940" w:space="720"/>
            <w:col w:w="1200" w:space="720"/>
            <w:col w:w="600" w:space="660"/>
            <w:col w:w="237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DILUTIVE SECURITIES</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Convertible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3">
            <w:col w:w="3940" w:space="720"/>
            <w:col w:w="920" w:space="720"/>
            <w:col w:w="3919"/>
          </w:cols>
          <w:pgMar w:left="240" w:top="676" w:right="1440" w:bottom="13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w:t>
      </w:r>
    </w:p>
    <w:p>
      <w:pPr>
        <w:sectPr>
          <w:pgSz w:w="11900" w:h="16838" w:orient="portrait"/>
          <w:cols w:equalWidth="0" w:num="1">
            <w:col w:w="10219"/>
          </w:cols>
          <w:pgMar w:left="240" w:top="676" w:right="1440" w:bottom="136" w:gutter="0" w:footer="0" w:header="0"/>
          <w:type w:val="continuous"/>
        </w:sectPr>
      </w:pP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$(137,768)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64,633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980" w:space="680"/>
            <w:col w:w="960" w:space="680"/>
            <w:col w:w="880" w:space="660"/>
            <w:col w:w="2379"/>
          </w:cols>
          <w:pgMar w:left="240" w:top="676" w:right="1440" w:bottom="136" w:gutter="0" w:footer="0" w:header="0"/>
          <w:type w:val="continuous"/>
        </w:sectPr>
      </w:pPr>
    </w:p>
    <w:p>
      <w:pPr>
        <w:spacing w:after="0" w:line="178"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Options and warrants to purchase 17,374,088 Ordinary Shares at an average exercise price of $6.61 per share were outstanding as of December 31, 2004 but were not included in the computation of diluted loss per share because their effect was anti-dilutive. The options and warrants, which as of December 31, 2004 expire between January 2005 and December 2014 (weighted average remaining contractual life of 5.26 years), were still outstanding as of such date. Convertible debentures, convertible into 2,697,068 Ordinary Shares, were outstanding as of December 31, 2004 but were not included in the computation of diluted loss per share since their effect is anti-dilutive. The convertible debentures may be converted until December 31, 2008 into Ordinary Shares.</w:t>
      </w: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- 57 -</w:t>
      </w:r>
    </w:p>
    <w:p>
      <w:pPr>
        <w:sectPr>
          <w:pgSz w:w="11900" w:h="16838" w:orient="portrait"/>
          <w:cols w:equalWidth="0" w:num="1">
            <w:col w:w="10219"/>
          </w:cols>
          <w:pgMar w:left="240" w:top="676" w:right="1440" w:bottom="136" w:gutter="0" w:footer="0" w:header="0"/>
          <w:type w:val="continuous"/>
        </w:sectPr>
      </w:pPr>
    </w:p>
    <w:bookmarkStart w:id="70" w:name="page71"/>
    <w:bookmarkEnd w:id="70"/>
    <w:p>
      <w:pPr>
        <w:ind w:left="204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 MATERIAL DIFFERENCES BETWEEN ISRAEL AND U.S. GAAP (cont.)</w:t>
      </w:r>
    </w:p>
    <w:p>
      <w:pPr>
        <w:spacing w:after="0" w:line="191" w:lineRule="exact"/>
        <w:rPr>
          <w:sz w:val="20"/>
          <w:szCs w:val="20"/>
          <w:color w:val="auto"/>
        </w:rPr>
      </w:pPr>
    </w:p>
    <w:p>
      <w:pPr>
        <w:ind w:left="960" w:hanging="476"/>
        <w:spacing w:after="0"/>
        <w:tabs>
          <w:tab w:leader="none" w:pos="9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 (cont.)</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for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Year Ended December 31, 2003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tabs>
          <w:tab w:leader="none" w:pos="1520" w:val="left"/>
          <w:tab w:leader="none" w:pos="318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5" w:lineRule="exact"/>
        <w:rPr>
          <w:sz w:val="20"/>
          <w:szCs w:val="20"/>
          <w:color w:val="auto"/>
        </w:rPr>
      </w:pPr>
    </w:p>
    <w:p>
      <w:pPr>
        <w:spacing w:after="0"/>
        <w:tabs>
          <w:tab w:leader="none" w:pos="1520" w:val="left"/>
          <w:tab w:leader="none" w:pos="326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6"/>
          <w:szCs w:val="16"/>
          <w:color w:val="auto"/>
        </w:rPr>
        <w:t>amount</w:t>
      </w:r>
    </w:p>
    <w:p>
      <w:pPr>
        <w:spacing w:after="0" w:line="5" w:lineRule="exact"/>
        <w:rPr>
          <w:sz w:val="20"/>
          <w:szCs w:val="20"/>
          <w:color w:val="auto"/>
        </w:rPr>
      </w:pPr>
    </w:p>
    <w:p>
      <w:pPr>
        <w:ind w:left="100"/>
        <w:spacing w:after="0"/>
        <w:tabs>
          <w:tab w:leader="none" w:pos="1520" w:val="left"/>
          <w:tab w:leader="none" w:pos="3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0" w:space="720"/>
            <w:col w:w="565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219"/>
          </w:cols>
          <w:pgMar w:left="240" w:top="67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 shareholders</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46,710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4">
            <w:col w:w="3940" w:space="720"/>
            <w:col w:w="1200" w:space="720"/>
            <w:col w:w="600" w:space="660"/>
            <w:col w:w="23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DILUTIVE SECURITIES</w:t>
      </w:r>
    </w:p>
    <w:p>
      <w:pPr>
        <w:sectPr>
          <w:pgSz w:w="11900" w:h="16838" w:orient="portrait"/>
          <w:cols w:equalWidth="0" w:num="1">
            <w:col w:w="10219"/>
          </w:cols>
          <w:pgMar w:left="240" w:top="67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Convertible debentures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3">
            <w:col w:w="3940" w:space="720"/>
            <w:col w:w="920" w:space="720"/>
            <w:col w:w="391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available to ordinary</w:t>
      </w:r>
    </w:p>
    <w:p>
      <w:pPr>
        <w:sectPr>
          <w:pgSz w:w="11900" w:h="16838" w:orient="portrait"/>
          <w:cols w:equalWidth="0" w:num="1">
            <w:col w:w="10219"/>
          </w:cols>
          <w:pgMar w:left="240" w:top="676" w:right="1440" w:bottom="1440" w:gutter="0" w:footer="0" w:header="0"/>
          <w:type w:val="continuous"/>
        </w:sectPr>
      </w:pP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$(114,261)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46,710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980" w:space="680"/>
            <w:col w:w="960" w:space="680"/>
            <w:col w:w="880" w:space="660"/>
            <w:col w:w="2379"/>
          </w:cols>
          <w:pgMar w:left="240" w:top="676" w:right="1440" w:bottom="1440" w:gutter="0" w:footer="0" w:header="0"/>
          <w:type w:val="continuous"/>
        </w:sectPr>
      </w:pPr>
    </w:p>
    <w:p>
      <w:pPr>
        <w:spacing w:after="0" w:line="178" w:lineRule="exact"/>
        <w:rPr>
          <w:sz w:val="20"/>
          <w:szCs w:val="20"/>
          <w:color w:val="auto"/>
        </w:rPr>
      </w:pPr>
    </w:p>
    <w:p>
      <w:pPr>
        <w:ind w:left="960" w:right="2459"/>
        <w:spacing w:after="0" w:line="246" w:lineRule="auto"/>
        <w:rPr>
          <w:sz w:val="20"/>
          <w:szCs w:val="20"/>
          <w:color w:val="auto"/>
        </w:rPr>
      </w:pPr>
      <w:r>
        <w:rPr>
          <w:rFonts w:ascii="Courier New" w:cs="Courier New" w:eastAsia="Courier New" w:hAnsi="Courier New"/>
          <w:sz w:val="16"/>
          <w:szCs w:val="16"/>
          <w:color w:val="auto"/>
        </w:rPr>
        <w:t>Options and warrants to purchase 14,003,621 Ordinary Shares at an average exercise price of $7.87 per share were outstanding as of December 31, 2003 but were not included in the computation of diluted loss per share because their effect was anti-dilutive. The options and warrants, which as of December 31, 2003 expire between April 2005 and December 2013 (weighted average remaining contractual life of 5.02 years), were still outstanding as of such date. Convertible debentures, convertible into 2,697,068 Ordinary Shares, were outstanding as of December 31, 2003 but were not included in the computation of diluted loss per share since their effect is anti-dilutive. The convertible debentures may be converted until December 31, 2008 into Ordinary Shares.</w:t>
      </w:r>
    </w:p>
    <w:p>
      <w:pPr>
        <w:spacing w:after="0" w:line="193" w:lineRule="exact"/>
        <w:rPr>
          <w:sz w:val="20"/>
          <w:szCs w:val="20"/>
          <w:color w:val="auto"/>
        </w:rPr>
      </w:pPr>
    </w:p>
    <w:p>
      <w:pPr>
        <w:ind w:left="960" w:hanging="476"/>
        <w:spacing w:after="0"/>
        <w:tabs>
          <w:tab w:leader="none" w:pos="9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CASH FLOWS IN ACCORDANCE WITH U.S. GAAP (SFAS 95)</w:t>
      </w:r>
    </w:p>
    <w:p>
      <w:pPr>
        <w:spacing w:after="0" w:line="191" w:lineRule="exact"/>
        <w:rPr>
          <w:rFonts w:ascii="Courier New" w:cs="Courier New" w:eastAsia="Courier New" w:hAnsi="Courier New"/>
          <w:sz w:val="16"/>
          <w:szCs w:val="16"/>
          <w:color w:val="auto"/>
        </w:rPr>
      </w:pPr>
    </w:p>
    <w:p>
      <w:pPr>
        <w:ind w:left="96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SFAS 95 would not have materially affected the cash flows of the Company for each of the years ended December 31, 2005, 2004 and 2003.</w:t>
      </w:r>
    </w:p>
    <w:p>
      <w:pPr>
        <w:spacing w:after="0" w:line="200" w:lineRule="exact"/>
        <w:rPr>
          <w:rFonts w:ascii="Courier New" w:cs="Courier New" w:eastAsia="Courier New" w:hAnsi="Courier New"/>
          <w:sz w:val="16"/>
          <w:szCs w:val="16"/>
          <w:color w:val="auto"/>
        </w:rPr>
      </w:pPr>
    </w:p>
    <w:p>
      <w:pPr>
        <w:spacing w:after="0" w:line="358" w:lineRule="exact"/>
        <w:rPr>
          <w:rFonts w:ascii="Courier New" w:cs="Courier New" w:eastAsia="Courier New" w:hAnsi="Courier New"/>
          <w:sz w:val="16"/>
          <w:szCs w:val="16"/>
          <w:color w:val="auto"/>
        </w:rPr>
      </w:pPr>
    </w:p>
    <w:p>
      <w:pPr>
        <w:ind w:left="3780" w:hanging="195"/>
        <w:spacing w:after="0"/>
        <w:tabs>
          <w:tab w:leader="none" w:pos="37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58 -</w:t>
      </w:r>
    </w:p>
    <w:p>
      <w:pPr>
        <w:sectPr>
          <w:pgSz w:w="11900" w:h="16838" w:orient="portrait"/>
          <w:cols w:equalWidth="0" w:num="1">
            <w:col w:w="10219"/>
          </w:cols>
          <w:pgMar w:left="240" w:top="676" w:right="1440" w:bottom="1440" w:gutter="0" w:footer="0" w:header="0"/>
          <w:type w:val="continuous"/>
        </w:sectPr>
      </w:pPr>
    </w:p>
    <w:bookmarkStart w:id="71" w:name="page72"/>
    <w:bookmarkEnd w:id="71"/>
    <w:p>
      <w:pPr>
        <w:spacing w:after="0" w:line="59"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99.3</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INFORMATION CONTAINED IN THIS SECTION SHOULD BE READ IN CONJUNCTION WITH OUR CONSOLIDATED FINANCIAL STATEMENTS AS OF DECEMBER 31, 2005 AND RELATED NOTES FOR THE YEAR THEN ENDED. OUR FINANCIAL STATEMENTS HAVE BEEN PREPARED IN ACCORDANCE WITH GENERALLY ACCEPTED ACCOUNTING PRINCIPLES ("GAAP") IN ISRAEL. DIFFERENCES BETWEEN ISRAELI GAAP AND US GAAP AS THEY RELATE TO OUR FINANCIAL STATEMENTS ARE DESCRIBED IN NOTE 20 TO OUR CONSOLIDATED FINANCIAL STATEMENTS AS OF DECEMBER 31, 2005.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following table sets forth certain statement of operations data as a percentage of total revenues for the periods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3740" w:type="dxa"/>
            <w:vAlign w:val="bottom"/>
          </w:tcPr>
          <w:p>
            <w:pPr>
              <w:spacing w:after="0"/>
              <w:rPr>
                <w:sz w:val="16"/>
                <w:szCs w:val="16"/>
                <w:color w:val="auto"/>
              </w:rPr>
            </w:pPr>
          </w:p>
        </w:tc>
        <w:tc>
          <w:tcPr>
            <w:tcW w:w="22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2005</w:t>
            </w:r>
          </w:p>
        </w:tc>
        <w:tc>
          <w:tcPr>
            <w:tcW w:w="1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Total revenues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Cost of total revenues</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233.7</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181.2</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Gross loss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(133.7)</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(81.2)</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Research and development expenses, net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15.7</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13.5</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Marketing, general and administrative</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17.1</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16.9</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(166.5)</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(111.6)</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(23.6)</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2.34</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25.9</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374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(199.1)%</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(109.3)%</w:t>
            </w:r>
          </w:p>
        </w:tc>
      </w:tr>
      <w:tr>
        <w:trPr>
          <w:trHeight w:val="186"/>
        </w:trPr>
        <w:tc>
          <w:tcPr>
            <w:tcW w:w="374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2005 COMPARED TO YEAR ENDED DECEMBER 31, 2004</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TOTAL REVENUES. Total Revenues for the year ended December 31, 2005 decreased by 19.1% to $102.0 million from $126.1 million for the year ended December 31, 2004. This $24.1 million decrease was mainly attributable to lower volume of wafer shipments, which was partly offset by increased revenues from a joint development agreement for certain technology with a Japanese semiconductor manufacturer.</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During the year ended December 31, 2005, we had five significant customers who contributed between 3% and 22% of our revenues.</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COST OF TOTAL REVENUES. Cost of total revenues for the year ended December 31, 2005 amounted to $238.4 million, compared with $228.4 million for the year ended December 31, 2004. This increase was mainly due to an increase in depreciation and amortization expenses which was partly offset by cost reductions and efficiency measures taken by the Company.</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GROSS LOSS. Gross loss for the year ended December 31, 2005 was $136.4 million compared to a gross loss of $102.4 million for the year ended December 31, 2004. The increase in gross loss was mainly attributable to the decrease in total revenues and to the increased cost of total revenues.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RESEARCH AND DEVELOPMENT. Research and development expenses for the year ended December 31, 2005 decreased to $16.0 million from $17.1 million for the year ended December 31, 2004. The decrease was mainly attributable to cost reductions and efficiency measures taken by the Company. Research and development expenses are reflected net of participation grants received from the Israeli government ($1.0 million and $1.5 million, for the years ended December 31, 2005 and 2004, respectively).</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MARKETING, GENERAL AND ADMINISTRATIVE EXPENSES. Marketing, general and administrative expenses for the year ended December 31, 2005 decreased to $17.4 million from $21.3 million for the year ended December 31, 2004, primarily due to cost reductions and efficiency measures taken by the Company.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LOSS. Operating loss for the year ended December 31, 2005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$169.8 million, compared to $140.7 million for the year ended December 31,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increase in the operating loss is attributable mainly to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 EXPENSES, NET. Financing expenses, net for the 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2005 were $35.7 million compared to financing expenses,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$29.8 million for the year ended December 31, 2004. This increase is mainly due</w:t>
      </w:r>
    </w:p>
    <w:p>
      <w:pPr>
        <w:sectPr>
          <w:pgSz w:w="11900" w:h="16897" w:orient="portrait"/>
          <w:cols w:equalWidth="0" w:num="1">
            <w:col w:w="10219"/>
          </w:cols>
          <w:pgMar w:left="240" w:top="328" w:right="1440" w:bottom="0" w:gutter="0" w:footer="0" w:header="0"/>
        </w:sectPr>
      </w:pPr>
    </w:p>
    <w:bookmarkStart w:id="72" w:name="page73"/>
    <w:bookmarkEnd w:id="72"/>
    <w:p>
      <w:pPr>
        <w:ind w:right="2459"/>
        <w:spacing w:after="0" w:line="246" w:lineRule="auto"/>
        <w:rPr>
          <w:sz w:val="20"/>
          <w:szCs w:val="20"/>
          <w:color w:val="auto"/>
        </w:rPr>
      </w:pPr>
      <w:r>
        <w:rPr>
          <w:rFonts w:ascii="Courier New" w:cs="Courier New" w:eastAsia="Courier New" w:hAnsi="Courier New"/>
          <w:sz w:val="16"/>
          <w:szCs w:val="16"/>
          <w:color w:val="auto"/>
        </w:rPr>
        <w:t>to an increase of $7.6 million in connection with our Fab 2 credit facility agreement attributable to (i) a higher amount of long-term loans which financed the construction and equipping of Fab 2 during the year ended December 31, 2005 as compared to the amount of such long-term loans during the year ended December 31, 2004, and (ii) an increase in the LIBOR rate from an average of approximately 1.5% per annum for the year ended December 31, 2004 to an average of approximately 3.3% per annum for the year ended December 31, 2005 (our long-term loans bear interest at a rate of LIBOR + 2.5% per annum).</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OTHER INCOME, NET. Other income, net, for the year ended December 31, 2005 was $2.4 million compared to $32.7 million for the year ended December 31, 2004. This decrease was mainly attributable to the $32.4 million gain from the sale of the Saifun Semiconductor shares in 2004.</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LOSS. Our loss for the year ended December 31, 2005 was $203.1 million, compared to $137.8 million for the year ended December 31, 2004. This increase is primarily attributable to the increase in the operating loss of $29.1 million, the increase in financing expenses, net of $5.9 million, and the decrease in other income, net of $30.3 million.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INFLATION AND CURRENCY FLUCTUATIONS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dollar cost of our operations in Israel is influenced by the timing of any change in the rate of inflation in Israel and the extent to which such change is not offset by the change in valuation of the NIS in relation to the dollar. During the year ended December 31, 2005, the exchange rate of the dollar vis-a-vis the NIS increased by 6.8%, and the Israeli Consumer Price Index, or CPI, increased by 2.4% (In 2004 - a decrease of 1.6% in the exchange rate of the dollar vis-a-vis the NIS and an increase of 1.2% in the CPI)</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At December 31, 2005, we had an aggregate of $39.0 million in cash, cash equivalents, and short-term interest-bearing deposits, of which $22.0 million was contractually restricted for Fab 2 use only and $9.6 million was contractually restricted for exclusive use in the Siliconix project. This compares to $81.5 million we had as of December 31, 2004 in cash, cash equivalents, and short-term and interest-bearing deposits, of which $39.7 million was contractually restricted for Fab 2 use only and $14.1 million was contractually restricted for exclusive use in the Siliconix project. In addition, as of December 31, 2004, we had $5.1 million in long-term interest-bearing deposits which was contractually restricted for Fab 2 use only.</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During the year ended December 31, 2005, we received $21.1 million from bank loans, $25.1 million in proceeds from the issuance of convertible debentures, net, $7.5 million from Investment Center grants and $2.2 million in proceeds from the sale and disposal of property and equipment. These liquidity resources partially financed our operating activities (net amount of $60.7 million) and our investments made during the year ended December 31, 2005, which aggregated $42.7 million, mainly in connection with the construction, purchase and installation of equipment and other assets for Fab 2.</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As of December 31, 2005, we had long-term loans in the amount of $518.1 million we obtained in connection with the establishment of Fab 2. Of that amount $21.1 million are presented as current maturities as of December 31, 2005. In addition, as of such date we had convertible debentures in the aggregate of $51.3 million, of which $6.5 million are presented as current maturities.</w:t>
      </w:r>
    </w:p>
    <w:p>
      <w:pPr>
        <w:sectPr>
          <w:pgSz w:w="11900" w:h="16838" w:orient="portrait"/>
          <w:cols w:equalWidth="0" w:num="1">
            <w:col w:w="10219"/>
          </w:cols>
          <w:pgMar w:left="240" w:top="142" w:right="1440" w:bottom="1440" w:gutter="0" w:footer="0" w:header="0"/>
        </w:sectPr>
      </w:pPr>
    </w:p>
    <w:bookmarkStart w:id="73" w:name="page74"/>
    <w:bookmarkEnd w:id="73"/>
    <w:p>
      <w:pPr>
        <w:jc w:val="right"/>
        <w:ind w:right="2459"/>
        <w:spacing w:after="0"/>
        <w:rPr>
          <w:sz w:val="20"/>
          <w:szCs w:val="20"/>
          <w:color w:val="auto"/>
        </w:rPr>
      </w:pPr>
      <w:r>
        <w:rPr>
          <w:rFonts w:ascii="Courier New" w:cs="Courier New" w:eastAsia="Courier New" w:hAnsi="Courier New"/>
          <w:sz w:val="16"/>
          <w:szCs w:val="16"/>
          <w:color w:val="auto"/>
        </w:rPr>
        <w:t>EXHIBIT 99.4</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incorporation by reference in Registration Statements Nos.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333-85090, 333-108896, 333-110486 and 333-131315, on Form F-3, and Nos.</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33-80947, 333-06482, 333-11720, 333-83204, 333-107943 and 333-117565, on Form S-8, of our report dated February 1, 2006, relating to the consolidated financial statements of Tower Semiconductor Ltd., appearing in this Report on Form 6-K of Tower Semiconductor Ltd.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Brightman Almagor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Certified Public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Member Firm of Deloitte Touche Tohmatsu</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Aviv, Israel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2006</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lowerRoman"/>
      <w:start w:val="10"/>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upperLetter"/>
      <w:start w:val="1"/>
    </w:lvl>
    <w:lvl w:ilvl="1">
      <w:lvlJc w:val="left"/>
      <w:lvlText w:val="-"/>
      <w:numFmt w:val="bullet"/>
      <w:start w:val="1"/>
    </w:lvl>
  </w:abstractNum>
  <w:abstractNum w:abstractNumId="4">
    <w:nsid w:val="2463B9EA"/>
    <w:multiLevelType w:val="hybridMultilevel"/>
    <w:lvl w:ilvl="0">
      <w:lvlJc w:val="left"/>
      <w:lvlText w:val="%1."/>
      <w:numFmt w:val="upperLetter"/>
      <w:start w:val="3"/>
    </w:lvl>
    <w:lvl w:ilvl="1">
      <w:lvlJc w:val="left"/>
      <w:lvlText w:val="-"/>
      <w:numFmt w:val="bullet"/>
      <w:start w:val="1"/>
    </w:lvl>
  </w:abstractNum>
  <w:abstractNum w:abstractNumId="5">
    <w:nsid w:val="5E884ADC"/>
    <w:multiLevelType w:val="hybridMultilevel"/>
    <w:lvl w:ilvl="0">
      <w:lvlJc w:val="left"/>
      <w:lvlText w:val="%1."/>
      <w:numFmt w:val="upperLetter"/>
      <w:start w:val="4"/>
    </w:lvl>
  </w:abstractNum>
  <w:abstractNum w:abstractNumId="6">
    <w:nsid w:val="51EAD36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
    <w:nsid w:val="2D517796"/>
    <w:multiLevelType w:val="hybridMultilevel"/>
    <w:lvl w:ilvl="0">
      <w:lvlJc w:val="left"/>
      <w:lvlText w:val="%1."/>
      <w:numFmt w:val="upperLetter"/>
      <w:start w:val="5"/>
    </w:lvl>
    <w:lvl w:ilvl="1">
      <w:lvlJc w:val="left"/>
      <w:lvlText w:val="(%2)"/>
      <w:numFmt w:val="decimal"/>
      <w:start w:val="1"/>
    </w:lvl>
  </w:abstractNum>
  <w:abstractNum w:abstractNumId="8">
    <w:nsid w:val="580BD78F"/>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9">
    <w:nsid w:val="153EA438"/>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10">
    <w:nsid w:val="3855585C"/>
    <w:multiLevelType w:val="hybridMultilevel"/>
    <w:lvl w:ilvl="0">
      <w:lvlJc w:val="left"/>
      <w:lvlText w:val="%1."/>
      <w:numFmt w:val="upperLetter"/>
      <w:start w:val="7"/>
    </w:lvl>
    <w:lvl w:ilvl="1">
      <w:lvlJc w:val="left"/>
      <w:lvlText w:val="-"/>
      <w:numFmt w:val="bullet"/>
      <w:start w:val="1"/>
    </w:lvl>
  </w:abstractNum>
  <w:abstractNum w:abstractNumId="11">
    <w:nsid w:val="70A64E2A"/>
    <w:multiLevelType w:val="hybridMultilevel"/>
    <w:lvl w:ilvl="0">
      <w:lvlJc w:val="left"/>
      <w:lvlText w:val="%1."/>
      <w:numFmt w:val="upperLetter"/>
      <w:start w:val="10"/>
    </w:lvl>
    <w:lvl w:ilvl="1">
      <w:lvlJc w:val="left"/>
      <w:lvlText w:val="-"/>
      <w:numFmt w:val="bullet"/>
      <w:start w:val="1"/>
    </w:lvl>
  </w:abstractNum>
  <w:abstractNum w:abstractNumId="12">
    <w:nsid w:val="6A2342EC"/>
    <w:multiLevelType w:val="hybridMultilevel"/>
    <w:lvl w:ilvl="0">
      <w:lvlJc w:val="left"/>
      <w:lvlText w:val="%1."/>
      <w:numFmt w:val="upperLetter"/>
      <w:start w:val="14"/>
    </w:lvl>
    <w:lvl w:ilvl="1">
      <w:lvlJc w:val="left"/>
      <w:lvlText w:val="-"/>
      <w:numFmt w:val="bullet"/>
      <w:start w:val="1"/>
    </w:lvl>
  </w:abstractNum>
  <w:abstractNum w:abstractNumId="13">
    <w:nsid w:val="2A487CB0"/>
    <w:multiLevelType w:val="hybridMultilevel"/>
    <w:lvl w:ilvl="0">
      <w:lvlJc w:val="left"/>
      <w:lvlText w:val="%1."/>
      <w:numFmt w:val="upperLetter"/>
      <w:start w:val="16"/>
    </w:lvl>
    <w:lvl w:ilvl="1">
      <w:lvlJc w:val="left"/>
      <w:lvlText w:val="(%2)"/>
      <w:numFmt w:val="decimal"/>
      <w:start w:val="1"/>
    </w:lvl>
    <w:lvl w:ilvl="2">
      <w:lvlJc w:val="left"/>
      <w:lvlText w:val="-"/>
      <w:numFmt w:val="bullet"/>
      <w:start w:val="1"/>
    </w:lvl>
  </w:abstractNum>
  <w:abstractNum w:abstractNumId="14">
    <w:nsid w:val="1D4ED43B"/>
    <w:multiLevelType w:val="hybridMultilevel"/>
    <w:lvl w:ilvl="0">
      <w:lvlJc w:val="left"/>
      <w:lvlText w:val="%1."/>
      <w:numFmt w:val="upperLetter"/>
      <w:start w:val="16"/>
    </w:lvl>
    <w:lvl w:ilvl="1">
      <w:lvlJc w:val="left"/>
      <w:lvlText w:val="(%2)"/>
      <w:numFmt w:val="decimal"/>
      <w:start w:val="2"/>
    </w:lvl>
  </w:abstractNum>
  <w:abstractNum w:abstractNumId="15">
    <w:nsid w:val="725A06FB"/>
    <w:multiLevelType w:val="hybridMultilevel"/>
    <w:lvl w:ilvl="0">
      <w:lvlJc w:val="left"/>
      <w:lvlText w:val="(*)"/>
      <w:numFmt w:val="bullet"/>
      <w:start w:val="1"/>
    </w:lvl>
    <w:lvl w:ilvl="1">
      <w:lvlJc w:val="left"/>
      <w:lvlText w:val="-"/>
      <w:numFmt w:val="bullet"/>
      <w:start w:val="1"/>
    </w:lvl>
  </w:abstractNum>
  <w:abstractNum w:abstractNumId="16">
    <w:nsid w:val="2CD89A32"/>
    <w:multiLevelType w:val="hybridMultilevel"/>
    <w:lvl w:ilvl="0">
      <w:lvlJc w:val="left"/>
      <w:lvlText w:val="(%1)"/>
      <w:numFmt w:val="decimal"/>
      <w:start w:val="1"/>
    </w:lvl>
    <w:lvl w:ilvl="1">
      <w:lvlJc w:val="left"/>
      <w:lvlText w:val="-"/>
      <w:numFmt w:val="bullet"/>
      <w:start w:val="1"/>
    </w:lvl>
  </w:abstractNum>
  <w:abstractNum w:abstractNumId="17">
    <w:nsid w:val="57E4CCAF"/>
    <w:multiLevelType w:val="hybridMultilevel"/>
    <w:lvl w:ilvl="0">
      <w:lvlJc w:val="left"/>
      <w:lvlText w:val="%1."/>
      <w:numFmt w:val="upperLetter"/>
      <w:start w:val="2"/>
    </w:lvl>
  </w:abstractNum>
  <w:abstractNum w:abstractNumId="18">
    <w:nsid w:val="7A6D8D3C"/>
    <w:multiLevelType w:val="hybridMultilevel"/>
    <w:lvl w:ilvl="0">
      <w:lvlJc w:val="left"/>
      <w:lvlText w:val="(*)"/>
      <w:numFmt w:val="bullet"/>
      <w:start w:val="1"/>
    </w:lvl>
    <w:lvl w:ilvl="1">
      <w:lvlJc w:val="left"/>
      <w:lvlText w:val="-"/>
      <w:numFmt w:val="bullet"/>
      <w:start w:val="1"/>
    </w:lvl>
  </w:abstractNum>
  <w:abstractNum w:abstractNumId="19">
    <w:nsid w:val="4B588F54"/>
    <w:multiLevelType w:val="hybridMultilevel"/>
    <w:lvl w:ilvl="0">
      <w:lvlJc w:val="left"/>
      <w:lvlText w:val="%1."/>
      <w:numFmt w:val="upperLetter"/>
      <w:start w:val="2"/>
    </w:lvl>
  </w:abstractNum>
  <w:abstractNum w:abstractNumId="20">
    <w:nsid w:val="542289EC"/>
    <w:multiLevelType w:val="hybridMultilevel"/>
    <w:lvl w:ilvl="0">
      <w:lvlJc w:val="left"/>
      <w:lvlText w:val="%1."/>
      <w:numFmt w:val="upperLetter"/>
      <w:start w:val="5"/>
    </w:lvl>
  </w:abstractNum>
  <w:abstractNum w:abstractNumId="21">
    <w:nsid w:val="6DE91B18"/>
    <w:multiLevelType w:val="hybridMultilevel"/>
    <w:lvl w:ilvl="0">
      <w:lvlJc w:val="left"/>
      <w:lvlText w:val="%1."/>
      <w:numFmt w:val="upperLetter"/>
      <w:start w:val="2"/>
    </w:lvl>
    <w:lvl w:ilvl="1">
      <w:lvlJc w:val="left"/>
      <w:lvlText w:val="-"/>
      <w:numFmt w:val="bullet"/>
      <w:start w:val="1"/>
    </w:lvl>
  </w:abstractNum>
  <w:abstractNum w:abstractNumId="22">
    <w:nsid w:val="38437FDB"/>
    <w:multiLevelType w:val="hybridMultilevel"/>
    <w:lvl w:ilvl="0">
      <w:lvlJc w:val="left"/>
      <w:lvlText w:val="%1."/>
      <w:numFmt w:val="upperLetter"/>
      <w:start w:val="3"/>
    </w:lvl>
  </w:abstractNum>
  <w:abstractNum w:abstractNumId="23">
    <w:nsid w:val="7644A45C"/>
    <w:multiLevelType w:val="hybridMultilevel"/>
    <w:lvl w:ilvl="0">
      <w:lvlJc w:val="left"/>
      <w:lvlText w:val="%1."/>
      <w:numFmt w:val="upperLetter"/>
      <w:start w:val="2"/>
    </w:lvl>
    <w:lvl w:ilvl="1">
      <w:lvlJc w:val="left"/>
      <w:lvlText w:val="-"/>
      <w:numFmt w:val="bullet"/>
      <w:start w:val="1"/>
    </w:lvl>
  </w:abstractNum>
  <w:abstractNum w:abstractNumId="24">
    <w:nsid w:val="32FFF90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5">
    <w:nsid w:val="684A481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6">
    <w:nsid w:val="579478FE"/>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27">
    <w:nsid w:val="749ABB43"/>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28">
    <w:nsid w:val="3DC240FB"/>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29">
    <w:nsid w:val="1BA026FA"/>
    <w:multiLevelType w:val="hybridMultilevel"/>
    <w:lvl w:ilvl="0">
      <w:lvlJc w:val="left"/>
      <w:lvlText w:val="%1."/>
      <w:numFmt w:val="upperLetter"/>
      <w:start w:val="1"/>
    </w:lvl>
    <w:lvl w:ilvl="1">
      <w:lvlJc w:val="left"/>
      <w:lvlText w:val="(%2)"/>
      <w:numFmt w:val="decimal"/>
      <w:start w:val="6"/>
    </w:lvl>
  </w:abstractNum>
  <w:abstractNum w:abstractNumId="30">
    <w:nsid w:val="79A1DEAA"/>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31">
    <w:nsid w:val="75C6C33A"/>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32">
    <w:nsid w:val="12E685FB"/>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33">
    <w:nsid w:val="70C6A529"/>
    <w:multiLevelType w:val="hybridMultilevel"/>
    <w:lvl w:ilvl="0">
      <w:lvlJc w:val="left"/>
      <w:lvlText w:val="%1."/>
      <w:numFmt w:val="upperLetter"/>
      <w:start w:val="1"/>
    </w:lvl>
    <w:lvl w:ilvl="1">
      <w:lvlJc w:val="left"/>
      <w:lvlText w:val="(%2)"/>
      <w:numFmt w:val="decimal"/>
      <w:start w:val="11"/>
    </w:lvl>
    <w:lvl w:ilvl="2">
      <w:lvlJc w:val="left"/>
      <w:lvlText w:val="-"/>
      <w:numFmt w:val="bullet"/>
      <w:start w:val="1"/>
    </w:lvl>
  </w:abstractNum>
  <w:abstractNum w:abstractNumId="34">
    <w:nsid w:val="520EEDD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5">
    <w:nsid w:val="374A3FE6"/>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36">
    <w:nsid w:val="4F4EF005"/>
    <w:multiLevelType w:val="hybridMultilevel"/>
    <w:lvl w:ilvl="0">
      <w:lvlJc w:val="left"/>
      <w:lvlText w:val="%1."/>
      <w:numFmt w:val="upperLetter"/>
      <w:start w:val="5"/>
    </w:lvl>
    <w:lvl w:ilvl="1">
      <w:lvlJc w:val="left"/>
      <w:lvlText w:val="(%2)"/>
      <w:numFmt w:val="decimal"/>
      <w:start w:val="4"/>
    </w:lvl>
    <w:lvl w:ilvl="2">
      <w:lvlJc w:val="left"/>
      <w:lvlText w:val="-"/>
      <w:numFmt w:val="bullet"/>
      <w:start w:val="1"/>
    </w:lvl>
  </w:abstractNum>
  <w:abstractNum w:abstractNumId="37">
    <w:nsid w:val="23F9C13C"/>
    <w:multiLevelType w:val="hybridMultilevel"/>
    <w:lvl w:ilvl="0">
      <w:lvlJc w:val="left"/>
      <w:lvlText w:val="%1."/>
      <w:numFmt w:val="upperLetter"/>
      <w:start w:val="1"/>
    </w:lvl>
    <w:lvl w:ilvl="1">
      <w:lvlJc w:val="left"/>
      <w:lvlText w:val="-"/>
      <w:numFmt w:val="bullet"/>
      <w:start w:val="1"/>
    </w:lvl>
  </w:abstractNum>
  <w:abstractNum w:abstractNumId="38">
    <w:nsid w:val="649BB77C"/>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39">
    <w:nsid w:val="275AC794"/>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
    </w:lvl>
    <w:lvl w:ilvl="3">
      <w:lvlJc w:val="left"/>
      <w:lvlText w:val="-"/>
      <w:numFmt w:val="bullet"/>
      <w:start w:val="1"/>
    </w:lvl>
  </w:abstractNum>
  <w:abstractNum w:abstractNumId="40">
    <w:nsid w:val="39386575"/>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lvl w:ilvl="3">
      <w:lvlJc w:val="left"/>
      <w:lvlText w:val="-"/>
      <w:numFmt w:val="bullet"/>
      <w:start w:val="1"/>
    </w:lvl>
  </w:abstractNum>
  <w:abstractNum w:abstractNumId="41">
    <w:nsid w:val="1CF10FD8"/>
    <w:multiLevelType w:val="hybridMultilevel"/>
    <w:lvl w:ilvl="0">
      <w:lvlJc w:val="left"/>
      <w:lvlText w:val="%1."/>
      <w:numFmt w:val="upperLetter"/>
      <w:start w:val="2"/>
    </w:lvl>
    <w:lvl w:ilvl="1">
      <w:lvlJc w:val="left"/>
      <w:lvlText w:val="(%2)"/>
      <w:numFmt w:val="decimal"/>
      <w:start w:val="2"/>
    </w:lvl>
  </w:abstractNum>
  <w:abstractNum w:abstractNumId="42">
    <w:nsid w:val="180115BE"/>
    <w:multiLevelType w:val="hybridMultilevel"/>
    <w:lvl w:ilvl="0">
      <w:lvlJc w:val="left"/>
      <w:lvlText w:val="%1."/>
      <w:numFmt w:val="upperLetter"/>
      <w:start w:val="2"/>
    </w:lvl>
    <w:lvl w:ilvl="1">
      <w:lvlJc w:val="left"/>
      <w:lvlText w:val="(%2)"/>
      <w:numFmt w:val="decimal"/>
      <w:start w:val="3"/>
    </w:lvl>
  </w:abstractNum>
  <w:abstractNum w:abstractNumId="43">
    <w:nsid w:val="235BA861"/>
    <w:multiLevelType w:val="hybridMultilevel"/>
    <w:lvl w:ilvl="0">
      <w:lvlJc w:val="left"/>
      <w:lvlText w:val="(%1)"/>
      <w:numFmt w:val="decimal"/>
      <w:start w:val="4"/>
    </w:lvl>
  </w:abstractNum>
  <w:abstractNum w:abstractNumId="44">
    <w:nsid w:val="47398C89"/>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lvl w:ilvl="3">
      <w:lvlJc w:val="left"/>
      <w:lvlText w:val="-"/>
      <w:numFmt w:val="bullet"/>
      <w:start w:val="1"/>
    </w:lvl>
  </w:abstractNum>
  <w:abstractNum w:abstractNumId="45">
    <w:nsid w:val="354FE9F9"/>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46">
    <w:nsid w:val="15B5AF5C"/>
    <w:multiLevelType w:val="hybridMultilevel"/>
    <w:lvl w:ilvl="0">
      <w:lvlJc w:val="left"/>
      <w:lvlText w:val="(%1)"/>
      <w:numFmt w:val="decimal"/>
      <w:start w:val="6"/>
    </w:lvl>
  </w:abstractNum>
  <w:abstractNum w:abstractNumId="47">
    <w:nsid w:val="741226BB"/>
    <w:multiLevelType w:val="hybridMultilevel"/>
    <w:lvl w:ilvl="0">
      <w:lvlJc w:val="left"/>
      <w:lvlText w:val="%1."/>
      <w:numFmt w:val="upperLetter"/>
      <w:start w:val="3"/>
    </w:lvl>
    <w:lvl w:ilvl="1">
      <w:lvlJc w:val="left"/>
      <w:lvlText w:val="-"/>
      <w:numFmt w:val="bullet"/>
      <w:start w:val="1"/>
    </w:lvl>
  </w:abstractNum>
  <w:abstractNum w:abstractNumId="48">
    <w:nsid w:val="D34B6A8"/>
    <w:multiLevelType w:val="hybridMultilevel"/>
    <w:lvl w:ilvl="0">
      <w:lvlJc w:val="left"/>
      <w:lvlText w:val="%1."/>
      <w:numFmt w:val="upperLetter"/>
      <w:start w:val="8"/>
    </w:lvl>
    <w:lvl w:ilvl="1">
      <w:lvlJc w:val="left"/>
      <w:lvlText w:val="-"/>
      <w:numFmt w:val="bullet"/>
      <w:start w:val="1"/>
    </w:lvl>
  </w:abstractNum>
  <w:abstractNum w:abstractNumId="49">
    <w:nsid w:val="10233C99"/>
    <w:multiLevelType w:val="hybridMultilevel"/>
    <w:lvl w:ilvl="0">
      <w:lvlJc w:val="left"/>
      <w:lvlText w:val="%1."/>
      <w:numFmt w:val="upperLetter"/>
      <w:start w:val="1"/>
    </w:lvl>
  </w:abstractNum>
  <w:abstractNum w:abstractNumId="50">
    <w:nsid w:val="3F6AB60F"/>
    <w:multiLevelType w:val="hybridMultilevel"/>
    <w:lvl w:ilvl="0">
      <w:lvlJc w:val="left"/>
      <w:lvlText w:val="%1."/>
      <w:numFmt w:val="upperLetter"/>
      <w:start w:val="2"/>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upperLetter"/>
      <w:start w:val="1"/>
    </w:lvl>
    <w:lvl w:ilvl="1">
      <w:lvlJc w:val="left"/>
      <w:lvlText w:val="-"/>
      <w:numFmt w:val="bullet"/>
      <w:start w:val="1"/>
    </w:lvl>
  </w:abstractNum>
  <w:abstractNum w:abstractNumId="53">
    <w:nsid w:val="77AE35EB"/>
    <w:multiLevelType w:val="hybridMultilevel"/>
    <w:lvl w:ilvl="0">
      <w:lvlJc w:val="left"/>
      <w:lvlText w:val="%1."/>
      <w:numFmt w:val="upperLetter"/>
      <w:start w:val="2"/>
    </w:lvl>
  </w:abstractNum>
  <w:abstractNum w:abstractNumId="54">
    <w:nsid w:val="579BE4F1"/>
    <w:multiLevelType w:val="hybridMultilevel"/>
    <w:lvl w:ilvl="0">
      <w:lvlJc w:val="left"/>
      <w:lvlText w:val="%1."/>
      <w:numFmt w:val="upperLetter"/>
      <w:start w:val="3"/>
    </w:lvl>
  </w:abstractNum>
  <w:abstractNum w:abstractNumId="55">
    <w:nsid w:val="310C50B3"/>
    <w:multiLevelType w:val="hybridMultilevel"/>
    <w:lvl w:ilvl="0">
      <w:lvlJc w:val="left"/>
      <w:lvlText w:val="%1."/>
      <w:numFmt w:val="upperLetter"/>
      <w:start w:val="4"/>
    </w:lvl>
    <w:lvl w:ilvl="1">
      <w:lvlJc w:val="left"/>
      <w:lvlText w:val="-"/>
      <w:numFmt w:val="bullet"/>
      <w:start w:val="1"/>
    </w:lvl>
  </w:abstractNum>
  <w:abstractNum w:abstractNumId="56">
    <w:nsid w:val="5FF87E05"/>
    <w:multiLevelType w:val="hybridMultilevel"/>
    <w:lvl w:ilvl="0">
      <w:lvlJc w:val="left"/>
      <w:lvlText w:val="%1."/>
      <w:numFmt w:val="upperLetter"/>
      <w:start w:val="1"/>
    </w:lvl>
    <w:lvl w:ilvl="1">
      <w:lvlJc w:val="left"/>
      <w:lvlText w:val="-"/>
      <w:numFmt w:val="bullet"/>
      <w:start w:val="1"/>
    </w:lvl>
  </w:abstractNum>
  <w:abstractNum w:abstractNumId="57">
    <w:nsid w:val="2F305DEF"/>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58">
    <w:nsid w:val="25A70BF7"/>
    <w:multiLevelType w:val="hybridMultilevel"/>
    <w:lvl w:ilvl="0">
      <w:lvlJc w:val="left"/>
      <w:lvlText w:val="%1."/>
      <w:numFmt w:val="upperLetter"/>
      <w:start w:val="1"/>
    </w:lvl>
  </w:abstractNum>
  <w:abstractNum w:abstractNumId="59">
    <w:nsid w:val="1DBABF00"/>
    <w:multiLevelType w:val="hybridMultilevel"/>
    <w:lvl w:ilvl="0">
      <w:lvlJc w:val="left"/>
      <w:lvlText w:val="%1."/>
      <w:numFmt w:val="upperLetter"/>
      <w:start w:val="3"/>
    </w:lvl>
    <w:lvl w:ilvl="1">
      <w:lvlJc w:val="left"/>
      <w:lvlText w:val="-"/>
      <w:numFmt w:val="bullet"/>
      <w:start w:val="1"/>
    </w:lvl>
  </w:abstractNum>
  <w:abstractNum w:abstractNumId="60">
    <w:nsid w:val="4AD084E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1">
    <w:nsid w:val="1F48EAA1"/>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62">
    <w:nsid w:val="1381823A"/>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2"/>
    </w:lvl>
  </w:abstractNum>
  <w:abstractNum w:abstractNumId="63">
    <w:nsid w:val="5DB70AE5"/>
    <w:multiLevelType w:val="hybridMultilevel"/>
    <w:lvl w:ilvl="0">
      <w:lvlJc w:val="left"/>
      <w:lvlText w:val="%1."/>
      <w:numFmt w:val="upperLetter"/>
      <w:start w:val="2"/>
    </w:lvl>
    <w:lvl w:ilvl="1">
      <w:lvlJc w:val="left"/>
      <w:lvlText w:val="-"/>
      <w:numFmt w:val="bullet"/>
      <w:start w:val="1"/>
    </w:lvl>
  </w:abstractNum>
  <w:abstractNum w:abstractNumId="64">
    <w:nsid w:val="100F8FCA"/>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65">
    <w:nsid w:val="6590700B"/>
    <w:multiLevelType w:val="hybridMultilevel"/>
    <w:lvl w:ilvl="0">
      <w:lvlJc w:val="left"/>
      <w:lvlText w:val="%1."/>
      <w:numFmt w:val="upperLetter"/>
      <w:start w:val="4"/>
    </w:lvl>
    <w:lvl w:ilvl="1">
      <w:lvlJc w:val="left"/>
      <w:lvlText w:val="(%2)"/>
      <w:numFmt w:val="decimal"/>
      <w:start w:val="4"/>
    </w:lvl>
  </w:abstractNum>
  <w:abstractNum w:abstractNumId="66">
    <w:nsid w:val="15014ACB"/>
    <w:multiLevelType w:val="hybridMultilevel"/>
    <w:lvl w:ilvl="0">
      <w:lvlJc w:val="left"/>
      <w:lvlText w:val="%1."/>
      <w:numFmt w:val="upperLetter"/>
      <w:start w:val="6"/>
    </w:lvl>
    <w:lvl w:ilvl="1">
      <w:lvlJc w:val="left"/>
      <w:lvlText w:val="-"/>
      <w:numFmt w:val="bullet"/>
      <w:start w:val="1"/>
    </w:lvl>
  </w:abstractNum>
  <w:abstractNum w:abstractNumId="67">
    <w:nsid w:val="5F5E7FD0"/>
    <w:multiLevelType w:val="hybridMultilevel"/>
    <w:lvl w:ilvl="0">
      <w:lvlJc w:val="left"/>
      <w:lvlText w:val="%1."/>
      <w:numFmt w:val="upperLetter"/>
      <w:start w:val="9"/>
    </w:lvl>
  </w:abstractNum>
  <w:abstractNum w:abstractNumId="68">
    <w:nsid w:val="98A3148"/>
    <w:multiLevelType w:val="hybridMultilevel"/>
    <w:lvl w:ilvl="0">
      <w:lvlJc w:val="left"/>
      <w:lvlText w:val="%1."/>
      <w:numFmt w:val="upperLetter"/>
      <w:start w:val="11"/>
    </w:lvl>
  </w:abstractNum>
  <w:abstractNum w:abstractNumId="69">
    <w:nsid w:val="799D0247"/>
    <w:multiLevelType w:val="hybridMultilevel"/>
    <w:lvl w:ilvl="0">
      <w:lvlJc w:val="left"/>
      <w:lvlText w:val="%1."/>
      <w:numFmt w:val="upperLetter"/>
      <w:start w:val="11"/>
    </w:lvl>
  </w:abstractNum>
  <w:abstractNum w:abstractNumId="70">
    <w:nsid w:val="6B94764"/>
    <w:multiLevelType w:val="hybridMultilevel"/>
    <w:lvl w:ilvl="0">
      <w:lvlJc w:val="left"/>
      <w:lvlText w:val="%1."/>
      <w:numFmt w:val="upperLetter"/>
      <w:start w:val="11"/>
    </w:lvl>
  </w:abstractNum>
  <w:abstractNum w:abstractNumId="71">
    <w:nsid w:val="42C296BD"/>
    <w:multiLevelType w:val="hybridMultilevel"/>
    <w:lvl w:ilvl="0">
      <w:lvlJc w:val="left"/>
      <w:lvlText w:val="%1."/>
      <w:numFmt w:val="upperLetter"/>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2019-12-12T00:12:08Z</dcterms:created>
  <dcterms:modified xsi:type="dcterms:W3CDTF">2019-12-12T00:12:08Z</dcterms:modified>
</cp:coreProperties>
</file>