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November 2005 No. 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1"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73"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8, 2005, the Registrant announced its financial results for the three and nine month periods ended September 30, 2005. Attached hereto as Exhibit 99.1 is the press release relating to such announcement and attached hereto as Exhibit 99.2 are the Registrant's unaudited interim consolidated financial statements for the three and nine month periods ended September 30, 2005.</w:t>
      </w:r>
    </w:p>
    <w:p>
      <w:pPr>
        <w:spacing w:after="0" w:line="175" w:lineRule="exact"/>
        <w:rPr>
          <w:sz w:val="24"/>
          <w:szCs w:val="24"/>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393"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10"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Nati Somekh Gilboa</w:t>
      </w:r>
    </w:p>
    <w:p>
      <w:pPr>
        <w:ind w:left="4200"/>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1">
            <w:col w:w="10239"/>
          </w:cols>
          <w:pgMar w:left="220" w:top="617"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TOWER SEMICONDUCTOR ANNOUNCES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THIRD QUARTER AND NINE-MONTH 2005 RESULTS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IMPROVING REVENUES OUTLOOK FOR Q4 2005 AND 2006</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MIGDAL HAEMEK, Israel -- November 8, 2005 -- Tower Semiconductor Ltd. (NASDAQ: TSEM; TASE: TSEM), a pure-play independent specialty foundry, today announced third quarter and nine-month results for fiscal year 2005. Revenues were $20.6 million for the third quarter of 2005, compared to $35.1 million for the third quarter of 2004. For the nine months ended September 30, 2005, revenues were $70.9 million, including $8 million from a previously announced technology-related agreement, compared to $96 million for the nine months ended September 30, 2004, which included $1.9 million from this same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2005 third quarter loss was $55.4 million, or $0.83 per share, including</w:t>
      </w:r>
    </w:p>
    <w:p>
      <w:pPr>
        <w:spacing w:after="0" w:line="237" w:lineRule="auto"/>
        <w:rPr>
          <w:sz w:val="20"/>
          <w:szCs w:val="20"/>
          <w:color w:val="auto"/>
        </w:rPr>
      </w:pPr>
      <w:r>
        <w:rPr>
          <w:rFonts w:ascii="Courier New" w:cs="Courier New" w:eastAsia="Courier New" w:hAnsi="Courier New"/>
          <w:sz w:val="15"/>
          <w:szCs w:val="15"/>
          <w:color w:val="auto"/>
        </w:rPr>
        <w:t>$36.9 million depreciation and amortization expenses, compared with a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$39.4 million, or $0.60 per share, which included $30.8 million depreciation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expenses, for the third quarter of 2004. For the nine months ended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2005, the loss was $157.9 million, or $2.39 per share, including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 million net profit from a previously announced technology-related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$108 million depreciation and amortization expenses, compared to a loss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$114.4 million, or $1.78 per share, which included $1.8 million net profit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same agreement and $86.2 million depreciation and amortization expenses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nine months ended September 30, 2004.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Third quarter 2005 sales from manufacturing activities showed an increase in revenue of 7% over Q2. During the quarter, Tower shipped its first 0.18um CMOS Image Sensor products and increased its Fab 2 customers in production from 9 to 13.</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Tower expects substantial growth in revenues in the fourth quarter compared to the third quarter and guides revenues of between $25 to $28 million.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are pleased with the progress Tower is making in our focus on differentiated specialized products targeted toward our customers' needs and market success," said Russell Ellwanger, chief executive officer, Tower Semiconductor. "The pipeline of new customers and the rate of qualifications give us confidence about continued revenue growth in 2006."</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Tower continues to focus on initiatives discussed in previous financial releases:</w:t>
      </w:r>
    </w:p>
    <w:p>
      <w:pPr>
        <w:spacing w:after="0" w:line="167"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CUSTOMER BASE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END OF</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AS OF END OF</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8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OF END OF</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CUSTOMER COUNT</w:t>
            </w:r>
          </w:p>
        </w:tc>
        <w:tc>
          <w:tcPr>
            <w:tcW w:w="32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Q3 2005</w:t>
            </w:r>
          </w:p>
        </w:tc>
        <w:tc>
          <w:tcPr>
            <w:tcW w:w="3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Q2 2005</w:t>
            </w:r>
          </w:p>
        </w:tc>
        <w:tc>
          <w:tcPr>
            <w:tcW w:w="3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Q3 2004</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95% of revenue generated by:</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28</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customers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customers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 customers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13</w:t>
            </w:r>
          </w:p>
        </w:tc>
        <w:tc>
          <w:tcPr>
            <w:tcW w:w="10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1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88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pre-production customers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24</w:t>
            </w:r>
          </w:p>
        </w:tc>
        <w:tc>
          <w:tcPr>
            <w:tcW w:w="10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1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14"/>
                <w:szCs w:val="14"/>
                <w:color w:val="auto"/>
              </w:rPr>
            </w:pPr>
          </w:p>
        </w:tc>
      </w:tr>
    </w:tbl>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CUSTOMER BASE PROFILE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76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6"/>
              </w:rPr>
              <w:t>NINE MONTHS ENDED</w:t>
            </w:r>
          </w:p>
        </w:tc>
        <w:tc>
          <w:tcPr>
            <w:tcW w:w="600" w:type="dxa"/>
            <w:vAlign w:val="bottom"/>
          </w:tcPr>
          <w:p>
            <w:pPr>
              <w:spacing w:after="0"/>
              <w:rPr>
                <w:sz w:val="14"/>
                <w:szCs w:val="14"/>
                <w:color w:val="auto"/>
              </w:rPr>
            </w:pP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NINE MONTHS ENDED</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TYPE OF CUSTOMER</w:t>
            </w:r>
          </w:p>
        </w:tc>
        <w:tc>
          <w:tcPr>
            <w:tcW w:w="1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SEPTEMBER 30, 2005</w:t>
            </w:r>
          </w:p>
        </w:tc>
        <w:tc>
          <w:tcPr>
            <w:tcW w:w="2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SEPTEMBER 30, 2004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Fabless</w:t>
            </w:r>
          </w:p>
        </w:tc>
        <w:tc>
          <w:tcPr>
            <w:tcW w:w="440" w:type="dxa"/>
            <w:vAlign w:val="bottom"/>
          </w:tcPr>
          <w:p>
            <w:pPr>
              <w:spacing w:after="0"/>
              <w:rPr>
                <w:sz w:val="14"/>
                <w:szCs w:val="14"/>
                <w:color w:val="auto"/>
              </w:rPr>
            </w:pP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IDM</w:t>
            </w:r>
          </w:p>
        </w:tc>
        <w:tc>
          <w:tcPr>
            <w:tcW w:w="440" w:type="dxa"/>
            <w:vAlign w:val="bottom"/>
          </w:tcPr>
          <w:p>
            <w:pPr>
              <w:spacing w:after="0"/>
              <w:rPr>
                <w:sz w:val="14"/>
                <w:szCs w:val="14"/>
                <w:color w:val="auto"/>
              </w:rPr>
            </w:pP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3.   SALES BY GEOGRAPHY</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REGION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Q3</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2005</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Q3 2004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U.S.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Pacific Rim (including Japan)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bl>
    <w:p>
      <w:pPr>
        <w:spacing w:after="0" w:line="166"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SPECIALIZED TECHNOLOGY OFFERINGS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Tower continues to develop differentiated technologies, utilizing core technical knowledge in embedded NVM, CMOS image sensors, Mixed Signal and RF technologies, according to its strategic roadmap.</w:t>
      </w:r>
    </w:p>
    <w:p>
      <w:pPr>
        <w:spacing w:after="0" w:line="17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During the third quarter, Tower continued to focus on the specialized markets and on increasing the contribution to total revenue by CMOS image sensors and Mixed Signal devices, as can be seen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TECHNOLOGY SEGMENT CONSOLIDATED</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Q3 2005</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Q2 2005</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Q3 2004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54%</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 Sensors and Non-Volatile Memory</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27%</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FAB1</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 Sensors and Non-Volatile Memory</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48%</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28%</w:t>
            </w:r>
          </w:p>
        </w:tc>
      </w:tr>
    </w:tbl>
    <w:p>
      <w:pPr>
        <w:sectPr>
          <w:pgSz w:w="11900" w:h="16838" w:orient="portrait"/>
          <w:cols w:equalWidth="0" w:num="1">
            <w:col w:w="10239"/>
          </w:cols>
          <w:pgMar w:left="220" w:top="303"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FAB2</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 Sensors and Non-Volatile Memory</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and RF</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2 of 6</w:t>
      </w:r>
    </w:p>
    <w:p>
      <w:pPr>
        <w:sectPr>
          <w:pgSz w:w="11900" w:h="16838" w:orient="portrait"/>
          <w:cols w:equalWidth="0" w:num="1">
            <w:col w:w="10239"/>
          </w:cols>
          <w:pgMar w:left="220" w:top="135" w:right="1440" w:bottom="1440" w:gutter="0" w:footer="0" w:header="0"/>
        </w:sectPr>
      </w:pPr>
    </w:p>
    <w:bookmarkStart w:id="4" w:name="page5"/>
    <w:bookmarkEnd w:id="4"/>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REVENUES BY MARKET SEGMENT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maintains its market segment diversification.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INDUSTRY SEGMENT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Q3 2005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Q2 2005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Q3 2004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PC</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Industrial, medical and automotive</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Multi-market and others</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today, November 8, at 11 a.m. Eastern time /6 p.m. Israel time. To participate, call 1-866-527-8676 (U.S. toll-free number) or 972-3-918-0609 (international) and mention ID code: TOWER. Callers in Israel are invited to call locally 03-918-0609. The conference call will also be web cast live at www.companyboardroom.com and at www.towersemi.com and will be available thereafter on both websites for replay for 90 days, starting at 2 p.m. Eastern time on the day of the call.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THE SUCCESSFUL COMPLETION OF THE RIGHTS OFFERING BY THE DATES SET FORTH IN OUR AMENDED FACILITY AGREEMENT (VI) OUR ABILITY TO MEET CERTAIN OF THE COVENANTS STIPULATED IN OUR AMENDED FACILITY AGREEMENT, (VII) THE RECEIPT AND CONSUMMATION OF THE INVESTORS' COMMITMENTS TO INVEST AT LEAST $23.5 MILLION BY THE DATES SET FORTH IN OUR AMENDED FACILITY AGREEMENT, (VIII) OUR ABILITY TO CAPITALIZE ON INCREASES IN DEMAND FOR FOUNDRY SERVICES, (IX) MEETING THE CONDITIONS TO RECEIVE ISRAELI GOVERNMENT GRANTS AND TAX BENEFITS APPROVED FOR FAB 2 AND OBTAINING THE APPROVAL OF THE ISRAELI INVESTMENT CENTER TO EXPAND THE FIVE-YEAR INVESTMENT PERIOD UNDER OUR FAB 2 APPROVED ENTERPRISE PROGRAM, (X) ATTRACTING ADDITIONAL CUSTOMERS, (XI) NOT RECEIVING ORDERS FROM OUR WAFER PARTNERS AND TECHNOLOGY PROVIDERS, (XII) FAILING TO MAINTAIN AND DEVELOP OUR TECHNOLOGY PROCESSES AND SERVICES, (XIII) COMPETING EFFECTIVELY, (XIV) OUR LARGE AMOUNT OF DEBT, (XV) ACHIEVING ACCEPTABLE DEVICE YIELDS, PRODUCT PERFORMANCE AND DELIVERY TIMES, (XVI) THE TIMELY DEVELOPMENT, INTERNAL QUALIFICATION AND CUSTOMER ACCEPTANCE OF NEW PROCESSES AND PRODUCTS, AND (XVII) BUSINESS INTERRUPTION DUE TO TERROR ATTACKS, EARTHQUAKES, AND OTHER ACTS OF GOD.</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 of 6</w:t>
      </w:r>
    </w:p>
    <w:p>
      <w:pPr>
        <w:sectPr>
          <w:pgSz w:w="11900" w:h="16838" w:orient="portrait"/>
          <w:cols w:equalWidth="0" w:num="1">
            <w:col w:w="10239"/>
          </w:cols>
          <w:pgMar w:left="220" w:top="785" w:right="1440" w:bottom="1440" w:gutter="0" w:footer="0" w:header="0"/>
        </w:sectPr>
      </w:pPr>
    </w:p>
    <w:bookmarkStart w:id="5" w:name="page6"/>
    <w:bookmarkEnd w:id="5"/>
    <w:p>
      <w:pPr>
        <w:ind w:right="3399"/>
        <w:spacing w:after="0" w:line="255" w:lineRule="auto"/>
        <w:rPr>
          <w:sz w:val="20"/>
          <w:szCs w:val="20"/>
          <w:color w:val="auto"/>
        </w:rPr>
      </w:pPr>
      <w:r>
        <w:rPr>
          <w:rFonts w:ascii="Courier New" w:cs="Courier New" w:eastAsia="Courier New" w:hAnsi="Courier New"/>
          <w:sz w:val="14"/>
          <w:szCs w:val="14"/>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F-2 AND 6-K, AS WERE FILED WITH THE SECURITIES AND EXCHANGE COMMISSION AND THE ISRAEL SECURITIES AUTHORITY. FUTURE RESULTS MAY DIFFER MATERIALLY FROM THOSE PREVIOUSLY REPORTED. WE DO NOT INTEND TO UPDATE THE INFORMATION CONTAINED IN THIS RELEASE.</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Tower Semiconductor</w:t>
      </w:r>
    </w:p>
    <w:p>
      <w:pPr>
        <w:ind w:left="440"/>
        <w:spacing w:after="0" w:line="237" w:lineRule="auto"/>
        <w:rPr>
          <w:sz w:val="20"/>
          <w:szCs w:val="20"/>
          <w:color w:val="auto"/>
        </w:rPr>
      </w:pPr>
      <w:r>
        <w:rPr>
          <w:rFonts w:ascii="Courier New" w:cs="Courier New" w:eastAsia="Courier New" w:hAnsi="Courier New"/>
          <w:sz w:val="15"/>
          <w:szCs w:val="15"/>
          <w:color w:val="auto"/>
        </w:rPr>
        <w:t>Ilanit Vudinsky, +972 4 650 6434</w:t>
      </w:r>
    </w:p>
    <w:p>
      <w:pPr>
        <w:ind w:left="440"/>
        <w:spacing w:after="0" w:line="238" w:lineRule="auto"/>
        <w:rPr>
          <w:sz w:val="20"/>
          <w:szCs w:val="20"/>
          <w:color w:val="auto"/>
        </w:rPr>
      </w:pPr>
      <w:r>
        <w:rPr>
          <w:rFonts w:ascii="Courier New" w:cs="Courier New" w:eastAsia="Courier New" w:hAnsi="Courier New"/>
          <w:sz w:val="15"/>
          <w:szCs w:val="15"/>
          <w:color w:val="auto"/>
        </w:rPr>
        <w:t>ilanitvu@towersemi.com</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Pacifico Inc.</w:t>
      </w:r>
    </w:p>
    <w:p>
      <w:pPr>
        <w:ind w:left="440"/>
        <w:spacing w:after="0" w:line="237" w:lineRule="auto"/>
        <w:rPr>
          <w:sz w:val="20"/>
          <w:szCs w:val="20"/>
          <w:color w:val="auto"/>
        </w:rPr>
      </w:pPr>
      <w:r>
        <w:rPr>
          <w:rFonts w:ascii="Courier New" w:cs="Courier New" w:eastAsia="Courier New" w:hAnsi="Courier New"/>
          <w:sz w:val="15"/>
          <w:szCs w:val="15"/>
          <w:color w:val="auto"/>
        </w:rPr>
        <w:t>PR Agency Contact</w:t>
      </w:r>
    </w:p>
    <w:p>
      <w:pPr>
        <w:ind w:left="440"/>
        <w:spacing w:after="0" w:line="238" w:lineRule="auto"/>
        <w:rPr>
          <w:sz w:val="20"/>
          <w:szCs w:val="20"/>
          <w:color w:val="auto"/>
        </w:rPr>
      </w:pPr>
      <w:r>
        <w:rPr>
          <w:rFonts w:ascii="Courier New" w:cs="Courier New" w:eastAsia="Courier New" w:hAnsi="Courier New"/>
          <w:sz w:val="15"/>
          <w:szCs w:val="15"/>
          <w:color w:val="auto"/>
        </w:rPr>
        <w:t>Mary Curtis, +1 408 293 8600</w:t>
      </w:r>
    </w:p>
    <w:p>
      <w:pPr>
        <w:ind w:left="440"/>
        <w:spacing w:after="0" w:line="237" w:lineRule="auto"/>
        <w:rPr>
          <w:sz w:val="20"/>
          <w:szCs w:val="20"/>
          <w:color w:val="auto"/>
        </w:rPr>
      </w:pPr>
      <w:r>
        <w:rPr>
          <w:rFonts w:ascii="Courier New" w:cs="Courier New" w:eastAsia="Courier New" w:hAnsi="Courier New"/>
          <w:sz w:val="15"/>
          <w:szCs w:val="15"/>
          <w:color w:val="auto"/>
        </w:rPr>
        <w:t>mcurtis@pacifico.com</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4 of 6</w:t>
      </w:r>
    </w:p>
    <w:p>
      <w:pPr>
        <w:sectPr>
          <w:pgSz w:w="11900" w:h="16838" w:orient="portrait"/>
          <w:cols w:equalWidth="0" w:num="1">
            <w:col w:w="10239"/>
          </w:cols>
          <w:pgMar w:left="220" w:top="792" w:right="1440"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58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5860" w:type="dxa"/>
            <w:vAlign w:val="bottom"/>
          </w:tcPr>
          <w:p>
            <w:pPr>
              <w:spacing w:after="0"/>
              <w:rPr>
                <w:sz w:val="24"/>
                <w:szCs w:val="24"/>
                <w:color w:val="auto"/>
              </w:rPr>
            </w:pP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17,972</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9,632</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8,099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20,902</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70,753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534,661</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83,313</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ASSETS</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$ 688,727</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$ 847,508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59,783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6,397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9,203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75,383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510,360</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19,192</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60,577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8,907</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674,419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ORDINARY SHARES</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16,499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521,489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(514,582)</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23,380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TREASURY STOCK</w:t>
            </w:r>
          </w:p>
        </w:tc>
        <w:tc>
          <w:tcPr>
            <w:tcW w:w="4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14,308</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$ 688,727</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$ 847,508</w:t>
            </w:r>
          </w:p>
        </w:tc>
      </w:tr>
      <w:tr>
        <w:trPr>
          <w:trHeight w:val="168"/>
        </w:trPr>
        <w:tc>
          <w:tcPr>
            <w:tcW w:w="586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5 of 6</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6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620" w:type="dxa"/>
            <w:vAlign w:val="bottom"/>
            <w:gridSpan w:val="3"/>
          </w:tcPr>
          <w:p>
            <w:pPr>
              <w:jc w:val="right"/>
              <w:ind w:right="40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NINE MONTHS ENDED</w:t>
            </w:r>
          </w:p>
        </w:tc>
        <w:tc>
          <w:tcPr>
            <w:tcW w:w="440" w:type="dxa"/>
            <w:vAlign w:val="bottom"/>
          </w:tcPr>
          <w:p>
            <w:pPr>
              <w:spacing w:after="0"/>
              <w:rPr>
                <w:sz w:val="24"/>
                <w:szCs w:val="2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SEPTEMBER 30,</w:t>
            </w:r>
          </w:p>
        </w:tc>
        <w:tc>
          <w:tcPr>
            <w:tcW w:w="4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120" w:type="dxa"/>
            <w:vAlign w:val="bottom"/>
          </w:tcPr>
          <w:p>
            <w:pPr>
              <w:spacing w:after="0"/>
              <w:rPr>
                <w:sz w:val="14"/>
                <w:szCs w:val="14"/>
                <w:color w:val="auto"/>
              </w:rPr>
            </w:pPr>
          </w:p>
        </w:tc>
        <w:tc>
          <w:tcPr>
            <w:tcW w:w="298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2004</w:t>
            </w:r>
          </w:p>
        </w:tc>
        <w:tc>
          <w:tcPr>
            <w:tcW w:w="440" w:type="dxa"/>
            <w:vAlign w:val="bottom"/>
          </w:tcPr>
          <w:p>
            <w:pPr>
              <w:spacing w:after="0"/>
              <w:rPr>
                <w:sz w:val="14"/>
                <w:szCs w:val="14"/>
                <w:color w:val="auto"/>
              </w:rPr>
            </w:pPr>
          </w:p>
        </w:tc>
        <w:tc>
          <w:tcPr>
            <w:tcW w:w="13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SALES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62,928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94,046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20,553</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35,091</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REVENUES RELATED TO A JOINT DEVELOPMENT AGREEMENT</w:t>
            </w:r>
          </w:p>
        </w:tc>
        <w:tc>
          <w:tcPr>
            <w:tcW w:w="4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1,944</w:t>
            </w:r>
          </w:p>
        </w:tc>
        <w:tc>
          <w:tcPr>
            <w:tcW w:w="44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70,928</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95,990</w:t>
            </w:r>
          </w:p>
        </w:tc>
        <w:tc>
          <w:tcPr>
            <w:tcW w:w="44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20,553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35,091</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179,598</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162,242</w:t>
            </w:r>
          </w:p>
        </w:tc>
        <w:tc>
          <w:tcPr>
            <w:tcW w:w="44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57,130</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57,843</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40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(108,670)</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(66,252)</w:t>
            </w:r>
          </w:p>
        </w:tc>
        <w:tc>
          <w:tcPr>
            <w:tcW w:w="440" w:type="dxa"/>
            <w:vAlign w:val="bottom"/>
          </w:tcPr>
          <w:p>
            <w:pPr>
              <w:spacing w:after="0"/>
              <w:rPr>
                <w:sz w:val="24"/>
                <w:szCs w:val="24"/>
                <w:color w:val="auto"/>
              </w:rPr>
            </w:pP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9"/>
              </w:rPr>
              <w:t>(36,577)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(22,752)</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12,849</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11,208</w:t>
            </w:r>
          </w:p>
        </w:tc>
        <w:tc>
          <w:tcPr>
            <w:tcW w:w="44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4,200</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3,952</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13,481</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16,176</w:t>
            </w:r>
          </w:p>
        </w:tc>
        <w:tc>
          <w:tcPr>
            <w:tcW w:w="44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4,715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5,155</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26,330</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27,384</w:t>
            </w:r>
          </w:p>
        </w:tc>
        <w:tc>
          <w:tcPr>
            <w:tcW w:w="44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8,915</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9,107</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40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(135,000)</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(93,636)</w:t>
            </w:r>
          </w:p>
        </w:tc>
        <w:tc>
          <w:tcPr>
            <w:tcW w:w="440" w:type="dxa"/>
            <w:vAlign w:val="bottom"/>
          </w:tcPr>
          <w:p>
            <w:pPr>
              <w:spacing w:after="0"/>
              <w:rPr>
                <w:sz w:val="24"/>
                <w:szCs w:val="24"/>
                <w:color w:val="auto"/>
              </w:rPr>
            </w:pP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9"/>
              </w:rPr>
              <w:t>(45,492)</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(31,859)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40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(25,428)</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(20,907)</w:t>
            </w:r>
          </w:p>
        </w:tc>
        <w:tc>
          <w:tcPr>
            <w:tcW w:w="440" w:type="dxa"/>
            <w:vAlign w:val="bottom"/>
          </w:tcPr>
          <w:p>
            <w:pPr>
              <w:spacing w:after="0"/>
              <w:rPr>
                <w:sz w:val="24"/>
                <w:szCs w:val="24"/>
                <w:color w:val="auto"/>
              </w:rPr>
            </w:pP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(9,900)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(7,567)</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2,518</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w:t>
            </w:r>
          </w:p>
        </w:tc>
        <w:tc>
          <w:tcPr>
            <w:tcW w:w="440" w:type="dxa"/>
            <w:vAlign w:val="bottom"/>
          </w:tcPr>
          <w:p>
            <w:pPr>
              <w:spacing w:after="0"/>
              <w:rPr>
                <w:sz w:val="24"/>
                <w:szCs w:val="24"/>
                <w:color w:val="auto"/>
              </w:rPr>
            </w:pPr>
          </w:p>
        </w:tc>
        <w:tc>
          <w:tcPr>
            <w:tcW w:w="13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1140"/>
              <w:spacing w:after="0"/>
              <w:rPr>
                <w:sz w:val="20"/>
                <w:szCs w:val="20"/>
                <w:color w:val="auto"/>
              </w:rPr>
            </w:pPr>
            <w:r>
              <w:rPr>
                <w:rFonts w:ascii="Courier New" w:cs="Courier New" w:eastAsia="Courier New" w:hAnsi="Courier New"/>
                <w:sz w:val="15"/>
                <w:szCs w:val="15"/>
                <w:color w:val="auto"/>
              </w:rPr>
              <w:t>LOSS FOR THE PERIOD</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$(157,910)</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$(114,435)</w:t>
            </w:r>
          </w:p>
        </w:tc>
        <w:tc>
          <w:tcPr>
            <w:tcW w:w="17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(55,350)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(39,412)</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LOSS PER SHARE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(0.83)</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LOSS USED TO COMPUTE</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$(157,910)</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$(114,435)</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(55,350)</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(39,412)</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WEIGHTED AVERAGE NUMBER OF ORDINARY</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4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66,190</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64,392</w:t>
            </w:r>
          </w:p>
        </w:tc>
        <w:tc>
          <w:tcPr>
            <w:tcW w:w="440" w:type="dxa"/>
            <w:vAlign w:val="bottom"/>
          </w:tcPr>
          <w:p>
            <w:pPr>
              <w:spacing w:after="0"/>
              <w:rPr>
                <w:sz w:val="14"/>
                <w:szCs w:val="14"/>
                <w:color w:val="auto"/>
              </w:rPr>
            </w:pPr>
          </w:p>
        </w:tc>
        <w:tc>
          <w:tcPr>
            <w:tcW w:w="13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66,671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65,625</w:t>
            </w:r>
          </w:p>
        </w:tc>
      </w:tr>
      <w:tr>
        <w:trPr>
          <w:trHeight w:val="168"/>
        </w:trPr>
        <w:tc>
          <w:tcPr>
            <w:tcW w:w="51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76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are the same as the Isr. GAAP data FOR THE NINE AND THREE MONTHS PERIODS ENDED SEPTEMBER 30, 2005 AND 2004.</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6 of 6</w:t>
      </w:r>
    </w:p>
    <w:p>
      <w:pPr>
        <w:sectPr>
          <w:pgSz w:w="11900" w:h="16838" w:orient="portrait"/>
          <w:cols w:equalWidth="0" w:num="1">
            <w:col w:w="10760"/>
          </w:cols>
          <w:pgMar w:left="220" w:top="617" w:right="919" w:bottom="1440" w:gutter="0" w:footer="0" w:header="0"/>
        </w:sectPr>
      </w:pPr>
    </w:p>
    <w:bookmarkStart w:id="8" w:name="page9"/>
    <w:bookmarkEnd w:id="8"/>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2380"/>
        <w:spacing w:after="0" w:line="237" w:lineRule="auto"/>
        <w:rPr>
          <w:sz w:val="20"/>
          <w:szCs w:val="20"/>
          <w:color w:val="auto"/>
        </w:rPr>
      </w:pPr>
      <w:r>
        <w:rPr>
          <w:rFonts w:ascii="Courier New" w:cs="Courier New" w:eastAsia="Courier New" w:hAnsi="Courier New"/>
          <w:sz w:val="15"/>
          <w:szCs w:val="15"/>
          <w:color w:val="auto"/>
        </w:rPr>
        <w:t>UNAUDITED CONDENSED INTERIM</w:t>
      </w:r>
    </w:p>
    <w:p>
      <w:pPr>
        <w:ind w:left="2100"/>
        <w:spacing w:after="0" w:line="238" w:lineRule="auto"/>
        <w:rPr>
          <w:sz w:val="20"/>
          <w:szCs w:val="20"/>
          <w:color w:val="auto"/>
        </w:rPr>
      </w:pPr>
      <w:r>
        <w:rPr>
          <w:rFonts w:ascii="Courier New" w:cs="Courier New" w:eastAsia="Courier New" w:hAnsi="Courier New"/>
          <w:sz w:val="15"/>
          <w:szCs w:val="15"/>
          <w:color w:val="auto"/>
        </w:rPr>
        <w:t>CONSOLIDATED FINANCIAL STATEMENTS</w:t>
      </w:r>
    </w:p>
    <w:p>
      <w:pPr>
        <w:ind w:left="2460"/>
        <w:spacing w:after="0" w:line="237" w:lineRule="auto"/>
        <w:rPr>
          <w:sz w:val="20"/>
          <w:szCs w:val="20"/>
          <w:color w:val="auto"/>
        </w:rPr>
      </w:pPr>
      <w:r>
        <w:rPr>
          <w:rFonts w:ascii="Courier New" w:cs="Courier New" w:eastAsia="Courier New" w:hAnsi="Courier New"/>
          <w:sz w:val="15"/>
          <w:szCs w:val="15"/>
          <w:color w:val="auto"/>
        </w:rPr>
        <w:t>AS OF SEPTEMBER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ind w:left="1940"/>
              <w:spacing w:after="0"/>
              <w:rPr>
                <w:sz w:val="20"/>
                <w:szCs w:val="20"/>
                <w:color w:val="auto"/>
              </w:rPr>
            </w:pPr>
            <w:r>
              <w:rPr>
                <w:rFonts w:ascii="Courier New" w:cs="Courier New" w:eastAsia="Courier New" w:hAnsi="Courier New"/>
                <w:sz w:val="15"/>
                <w:szCs w:val="15"/>
                <w:color w:val="auto"/>
              </w:rPr>
              <w:t>INDEX TO UNAUDITED CONDENSED INTERIM</w:t>
            </w:r>
          </w:p>
        </w:tc>
        <w:tc>
          <w:tcPr>
            <w:tcW w:w="1000" w:type="dxa"/>
            <w:vAlign w:val="bottom"/>
          </w:tcPr>
          <w:p>
            <w:pPr>
              <w:spacing w:after="0"/>
              <w:rPr>
                <w:sz w:val="14"/>
                <w:szCs w:val="14"/>
                <w:color w:val="auto"/>
              </w:rPr>
            </w:pPr>
          </w:p>
        </w:tc>
      </w:tr>
      <w:tr>
        <w:trPr>
          <w:trHeight w:val="168"/>
        </w:trPr>
        <w:tc>
          <w:tcPr>
            <w:tcW w:w="57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c>
          <w:tcPr>
            <w:tcW w:w="1000" w:type="dxa"/>
            <w:vAlign w:val="bottom"/>
          </w:tcPr>
          <w:p>
            <w:pPr>
              <w:spacing w:after="0"/>
              <w:rPr>
                <w:sz w:val="14"/>
                <w:szCs w:val="14"/>
                <w:color w:val="auto"/>
              </w:rPr>
            </w:pPr>
          </w:p>
        </w:tc>
      </w:tr>
      <w:tr>
        <w:trPr>
          <w:trHeight w:val="168"/>
        </w:trPr>
        <w:tc>
          <w:tcPr>
            <w:tcW w:w="57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AS OF SEPTEMBER 30, 2005</w:t>
            </w:r>
          </w:p>
        </w:tc>
        <w:tc>
          <w:tcPr>
            <w:tcW w:w="1000" w:type="dxa"/>
            <w:vAlign w:val="bottom"/>
          </w:tcPr>
          <w:p>
            <w:pPr>
              <w:spacing w:after="0"/>
              <w:rPr>
                <w:sz w:val="14"/>
                <w:szCs w:val="14"/>
                <w:color w:val="auto"/>
              </w:rPr>
            </w:pPr>
          </w:p>
        </w:tc>
      </w:tr>
      <w:tr>
        <w:trPr>
          <w:trHeight w:val="673"/>
        </w:trPr>
        <w:tc>
          <w:tcPr>
            <w:tcW w:w="5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7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r>
    </w:tbl>
    <w:p>
      <w:pPr>
        <w:sectPr>
          <w:pgSz w:w="11900" w:h="16838" w:orient="portrait"/>
          <w:cols w:equalWidth="0" w:num="1">
            <w:col w:w="10239"/>
          </w:cols>
          <w:pgMar w:left="220" w:top="303" w:right="1440" w:bottom="1440" w:gutter="0" w:footer="0" w:header="0"/>
        </w:sectPr>
      </w:pPr>
    </w:p>
    <w:bookmarkStart w:id="9" w:name="page10"/>
    <w:bookmarkEnd w:id="9"/>
    <w:p>
      <w:pPr>
        <w:jc w:val="center"/>
        <w:ind w:right="38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jc w:val="center"/>
        <w:ind w:right="392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AS OF SEPTEMBER 30,</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700" w:type="dxa"/>
            <w:vAlign w:val="bottom"/>
          </w:tcPr>
          <w:p>
            <w:pPr>
              <w:spacing w:after="0"/>
              <w:rPr>
                <w:sz w:val="14"/>
                <w:szCs w:val="14"/>
                <w:color w:val="auto"/>
              </w:rPr>
            </w:pPr>
          </w:p>
        </w:tc>
        <w:tc>
          <w:tcPr>
            <w:tcW w:w="29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2005</w:t>
            </w:r>
          </w:p>
        </w:tc>
        <w:tc>
          <w:tcPr>
            <w:tcW w:w="4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907"/>
              <w:spacing w:after="0" w:line="168" w:lineRule="exact"/>
              <w:rPr>
                <w:sz w:val="20"/>
                <w:szCs w:val="20"/>
                <w:color w:val="auto"/>
              </w:rPr>
            </w:pPr>
            <w:r>
              <w:rPr>
                <w:rFonts w:ascii="Courier New" w:cs="Courier New" w:eastAsia="Courier New" w:hAnsi="Courier New"/>
                <w:sz w:val="15"/>
                <w:szCs w:val="15"/>
                <w:color w:val="auto"/>
              </w:rPr>
              <w:t>(UNAUDITED)</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29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11,719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21,877</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17,972</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36,576</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9,632</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25,961</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8,099</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18,385</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20,902</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30,371</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2,429</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1,243</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70,753</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134,413</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4,934</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6,000</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10,934</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40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534,661</w:t>
            </w:r>
          </w:p>
        </w:tc>
        <w:tc>
          <w:tcPr>
            <w:tcW w:w="4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613,561</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40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83,313</w:t>
            </w:r>
          </w:p>
        </w:tc>
        <w:tc>
          <w:tcPr>
            <w:tcW w:w="4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97,961</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$ 688,727</w:t>
            </w: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$ 856,869</w:t>
            </w:r>
          </w:p>
        </w:tc>
        <w:tc>
          <w:tcPr>
            <w:tcW w:w="13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7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59,783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61,202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6,397</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9,203</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9,082</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75,383</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70,284</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510,360</w:t>
            </w:r>
          </w:p>
        </w:tc>
        <w:tc>
          <w:tcPr>
            <w:tcW w:w="4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497,000</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40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19,192</w:t>
            </w:r>
          </w:p>
        </w:tc>
        <w:tc>
          <w:tcPr>
            <w:tcW w:w="4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25,643</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60,577</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65,069</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40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8,907</w:t>
            </w:r>
          </w:p>
        </w:tc>
        <w:tc>
          <w:tcPr>
            <w:tcW w:w="4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7,792</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674,419</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665,788</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250,000,000, 150,000,000 AND 250,000,000 SHARES, RESPECTIVELY;</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ISSUED 68,007,609, 66,934,971 AND 66,999,796 SHARES, RESPECTIVEL</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16,499</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16,260</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521,489</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517,258</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(514,582)</w:t>
            </w:r>
          </w:p>
        </w:tc>
        <w:tc>
          <w:tcPr>
            <w:tcW w:w="4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(333,339)</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(356,672)</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23,380</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200,153</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(9,072)</w:t>
            </w:r>
          </w:p>
        </w:tc>
        <w:tc>
          <w:tcPr>
            <w:tcW w:w="4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(9,072)</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14,308</w:t>
            </w:r>
          </w:p>
        </w:tc>
        <w:tc>
          <w:tcPr>
            <w:tcW w:w="4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191,081</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$ 688,727</w:t>
            </w: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$ 856,869</w:t>
            </w:r>
          </w:p>
        </w:tc>
        <w:tc>
          <w:tcPr>
            <w:tcW w:w="13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67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940"/>
          </w:cols>
          <w:pgMar w:left="220" w:top="617" w:right="739" w:bottom="517" w:gutter="0" w:footer="0" w:header="0"/>
        </w:sectPr>
      </w:pPr>
    </w:p>
    <w:bookmarkStart w:id="10" w:name="page11"/>
    <w:bookmarkEnd w:id="10"/>
    <w:p>
      <w:pPr>
        <w:jc w:val="center"/>
        <w:ind w:right="420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20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26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w w:val="99"/>
              </w:rPr>
              <w:t>(DOLLARS IN THOUSANDS, EXCEPT SHARE DATA AND PER SHARE 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41"/>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NINE MONTHS ENDED</w:t>
            </w:r>
          </w:p>
        </w:tc>
        <w:tc>
          <w:tcPr>
            <w:tcW w:w="320" w:type="dxa"/>
            <w:vAlign w:val="bottom"/>
          </w:tcPr>
          <w:p>
            <w:pPr>
              <w:spacing w:after="0"/>
              <w:rPr>
                <w:sz w:val="24"/>
                <w:szCs w:val="24"/>
                <w:color w:val="auto"/>
              </w:rPr>
            </w:pPr>
          </w:p>
        </w:tc>
        <w:tc>
          <w:tcPr>
            <w:tcW w:w="2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w w:val="95"/>
              </w:rPr>
              <w:t>THREE MONTHS ENDED</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5"/>
              </w:rPr>
              <w:t>YEAR ENDED</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3"/>
          </w:tcPr>
          <w:p>
            <w:pPr>
              <w:jc w:val="right"/>
              <w:ind w:right="567"/>
              <w:spacing w:after="0" w:line="168" w:lineRule="exact"/>
              <w:rPr>
                <w:sz w:val="20"/>
                <w:szCs w:val="20"/>
                <w:color w:val="auto"/>
              </w:rPr>
            </w:pPr>
            <w:r>
              <w:rPr>
                <w:rFonts w:ascii="Courier New" w:cs="Courier New" w:eastAsia="Courier New" w:hAnsi="Courier New"/>
                <w:sz w:val="15"/>
                <w:szCs w:val="15"/>
                <w:color w:val="auto"/>
              </w:rPr>
              <w:t>SEPTEMBER 30,</w:t>
            </w:r>
          </w:p>
        </w:tc>
        <w:tc>
          <w:tcPr>
            <w:tcW w:w="3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4860" w:type="dxa"/>
            <w:vAlign w:val="bottom"/>
          </w:tcPr>
          <w:p>
            <w:pPr>
              <w:spacing w:after="0"/>
              <w:rPr>
                <w:sz w:val="14"/>
                <w:szCs w:val="14"/>
                <w:color w:val="auto"/>
              </w:rPr>
            </w:pPr>
          </w:p>
        </w:tc>
        <w:tc>
          <w:tcPr>
            <w:tcW w:w="262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3"/>
          </w:tcPr>
          <w:p>
            <w:pPr>
              <w:jc w:val="right"/>
              <w:ind w:right="747"/>
              <w:spacing w:after="0" w:line="168" w:lineRule="exact"/>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226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26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62,928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94,046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20,553</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35,091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$ 124,111</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REVENUES RELATED TO A JOINT DEVELOPMENT AGREEMENT</w:t>
            </w:r>
          </w:p>
        </w:tc>
        <w:tc>
          <w:tcPr>
            <w:tcW w:w="3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1,944</w:t>
            </w: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70,928</w:t>
            </w:r>
          </w:p>
        </w:tc>
        <w:tc>
          <w:tcPr>
            <w:tcW w:w="2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95,990</w:t>
            </w: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20,553</w:t>
            </w:r>
          </w:p>
        </w:tc>
        <w:tc>
          <w:tcPr>
            <w:tcW w:w="1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35,091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126,055</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20" w:type="dxa"/>
            <w:vAlign w:val="bottom"/>
          </w:tcPr>
          <w:p>
            <w:pPr>
              <w:spacing w:after="0"/>
              <w:rPr>
                <w:sz w:val="24"/>
                <w:szCs w:val="24"/>
                <w:color w:val="auto"/>
              </w:rPr>
            </w:pPr>
          </w:p>
        </w:tc>
        <w:tc>
          <w:tcPr>
            <w:tcW w:w="1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179,598</w:t>
            </w:r>
          </w:p>
        </w:tc>
        <w:tc>
          <w:tcPr>
            <w:tcW w:w="2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162,242</w:t>
            </w:r>
          </w:p>
        </w:tc>
        <w:tc>
          <w:tcPr>
            <w:tcW w:w="3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57,130</w:t>
            </w:r>
          </w:p>
        </w:tc>
        <w:tc>
          <w:tcPr>
            <w:tcW w:w="1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57,843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228,410</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GROSS LOSS</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(108,670)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(66,252)</w:t>
            </w:r>
          </w:p>
        </w:tc>
        <w:tc>
          <w:tcPr>
            <w:tcW w:w="3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(36,577)</w:t>
            </w:r>
          </w:p>
        </w:tc>
        <w:tc>
          <w:tcPr>
            <w:tcW w:w="1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(22,752)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(102,355)</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24"/>
                <w:szCs w:val="24"/>
                <w:color w:val="auto"/>
              </w:rPr>
            </w:pPr>
          </w:p>
        </w:tc>
        <w:tc>
          <w:tcPr>
            <w:tcW w:w="1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12,849</w:t>
            </w:r>
          </w:p>
        </w:tc>
        <w:tc>
          <w:tcPr>
            <w:tcW w:w="2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11,208</w:t>
            </w:r>
          </w:p>
        </w:tc>
        <w:tc>
          <w:tcPr>
            <w:tcW w:w="3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4,200</w:t>
            </w:r>
          </w:p>
        </w:tc>
        <w:tc>
          <w:tcPr>
            <w:tcW w:w="1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17,053</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3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13,481</w:t>
            </w:r>
          </w:p>
        </w:tc>
        <w:tc>
          <w:tcPr>
            <w:tcW w:w="2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16,176</w:t>
            </w: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4,715</w:t>
            </w:r>
          </w:p>
        </w:tc>
        <w:tc>
          <w:tcPr>
            <w:tcW w:w="1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21,297</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26,330</w:t>
            </w:r>
          </w:p>
        </w:tc>
        <w:tc>
          <w:tcPr>
            <w:tcW w:w="2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27,384</w:t>
            </w: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8,915</w:t>
            </w:r>
          </w:p>
        </w:tc>
        <w:tc>
          <w:tcPr>
            <w:tcW w:w="1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9,107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38,350</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OPERATING LOSS</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(135,000)</w:t>
            </w:r>
          </w:p>
        </w:tc>
        <w:tc>
          <w:tcPr>
            <w:tcW w:w="2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(93,636)</w:t>
            </w:r>
          </w:p>
        </w:tc>
        <w:tc>
          <w:tcPr>
            <w:tcW w:w="3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(45,492)</w:t>
            </w:r>
          </w:p>
        </w:tc>
        <w:tc>
          <w:tcPr>
            <w:tcW w:w="16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(31,859)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(140,705)</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(25,428)</w:t>
            </w:r>
          </w:p>
        </w:tc>
        <w:tc>
          <w:tcPr>
            <w:tcW w:w="2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(20,907)</w:t>
            </w:r>
          </w:p>
        </w:tc>
        <w:tc>
          <w:tcPr>
            <w:tcW w:w="3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(9,900)</w:t>
            </w:r>
          </w:p>
        </w:tc>
        <w:tc>
          <w:tcPr>
            <w:tcW w:w="16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(7,567)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(29,745)</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24"/>
                <w:szCs w:val="24"/>
                <w:color w:val="auto"/>
              </w:rPr>
            </w:pPr>
          </w:p>
        </w:tc>
        <w:tc>
          <w:tcPr>
            <w:tcW w:w="1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2,518</w:t>
            </w:r>
          </w:p>
        </w:tc>
        <w:tc>
          <w:tcPr>
            <w:tcW w:w="2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w:t>
            </w:r>
          </w:p>
        </w:tc>
        <w:tc>
          <w:tcPr>
            <w:tcW w:w="16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32,682</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$(157,910)</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$(114,435)</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(55,350)</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(39,412)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LOSS PER SHARE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(0.83)</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(2.13)</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$(157,910)</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$(114,435)</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(55,350)</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(39,412)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320" w:type="dxa"/>
            <w:vAlign w:val="bottom"/>
          </w:tcPr>
          <w:p>
            <w:pPr>
              <w:spacing w:after="0"/>
              <w:rPr>
                <w:sz w:val="14"/>
                <w:szCs w:val="14"/>
                <w:color w:val="auto"/>
              </w:rPr>
            </w:pP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66,190</w:t>
            </w:r>
          </w:p>
        </w:tc>
        <w:tc>
          <w:tcPr>
            <w:tcW w:w="2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64,392</w:t>
            </w: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66,671</w:t>
            </w:r>
          </w:p>
        </w:tc>
        <w:tc>
          <w:tcPr>
            <w:tcW w:w="1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64,717</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1300"/>
          </w:cols>
          <w:pgMar w:left="220" w:top="617" w:right="379" w:bottom="1440" w:gutter="0" w:footer="0" w:header="0"/>
        </w:sectPr>
      </w:pPr>
    </w:p>
    <w:bookmarkStart w:id="11" w:name="page12"/>
    <w:bookmarkEnd w:id="11"/>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spacing w:after="0" w:line="5" w:lineRule="exact"/>
        <w:rPr>
          <w:sz w:val="20"/>
          <w:szCs w:val="20"/>
          <w:color w:val="auto"/>
        </w:rPr>
      </w:pPr>
    </w:p>
    <w:p>
      <w:pPr>
        <w:ind w:left="880" w:right="4099" w:firstLine="262"/>
        <w:spacing w:after="0" w:line="261" w:lineRule="auto"/>
        <w:rPr>
          <w:sz w:val="20"/>
          <w:szCs w:val="20"/>
          <w:color w:val="auto"/>
        </w:rPr>
      </w:pPr>
      <w:r>
        <w:rPr>
          <w:rFonts w:ascii="Courier New" w:cs="Courier New" w:eastAsia="Courier New" w:hAnsi="Courier New"/>
          <w:sz w:val="14"/>
          <w:szCs w:val="14"/>
          <w:color w:val="auto"/>
        </w:rPr>
        <w:t>CONDENSED STATEMENTS OF CHANGES IN SHAREHOLDERS' EQUITY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PROCEEDS</w:t>
            </w:r>
          </w:p>
        </w:tc>
      </w:tr>
      <w:tr>
        <w:trPr>
          <w:trHeight w:val="168"/>
        </w:trPr>
        <w:tc>
          <w:tcPr>
            <w:tcW w:w="4300" w:type="dxa"/>
            <w:vAlign w:val="bottom"/>
          </w:tcPr>
          <w:p>
            <w:pPr>
              <w:spacing w:after="0"/>
              <w:rPr>
                <w:sz w:val="14"/>
                <w:szCs w:val="14"/>
                <w:color w:val="auto"/>
              </w:rPr>
            </w:pPr>
          </w:p>
        </w:tc>
        <w:tc>
          <w:tcPr>
            <w:tcW w:w="266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ORDINARY SHARES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w:t>
            </w:r>
          </w:p>
        </w:tc>
        <w:tc>
          <w:tcPr>
            <w:tcW w:w="420" w:type="dxa"/>
            <w:vAlign w:val="bottom"/>
          </w:tcPr>
          <w:p>
            <w:pPr>
              <w:spacing w:after="0"/>
              <w:rPr>
                <w:sz w:val="14"/>
                <w:szCs w:val="14"/>
                <w:color w:val="auto"/>
              </w:rPr>
            </w:pPr>
          </w:p>
        </w:tc>
        <w:tc>
          <w:tcPr>
            <w:tcW w:w="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300" w:type="dxa"/>
            <w:vAlign w:val="bottom"/>
          </w:tcPr>
          <w:p>
            <w:pPr>
              <w:spacing w:after="0"/>
              <w:rPr>
                <w:sz w:val="14"/>
                <w:szCs w:val="14"/>
                <w:color w:val="auto"/>
              </w:rPr>
            </w:pPr>
          </w:p>
        </w:tc>
        <w:tc>
          <w:tcPr>
            <w:tcW w:w="26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 OF</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CAPITAL</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CAPITAL</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66,999,796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16,274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$ 517,476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1,007,813</w:t>
            </w:r>
          </w:p>
        </w:tc>
        <w:tc>
          <w:tcPr>
            <w:tcW w:w="3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1,220</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2,793</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2005 (UNAUDITED)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68,007,609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$ 521,489</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52,996,097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$ 427,881</w:t>
            </w: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$ 16,428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2,399,124</w:t>
            </w:r>
          </w:p>
        </w:tc>
        <w:tc>
          <w:tcPr>
            <w:tcW w:w="3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16,196</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(16,428)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11,444,500</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72,536</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95,250</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2004 (UNAUDITED)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66,934,971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$ 517,258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JULY 1, 2005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67,586,187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16,408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$ 518,286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421,422</w:t>
            </w:r>
          </w:p>
        </w:tc>
        <w:tc>
          <w:tcPr>
            <w:tcW w:w="3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2,793</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2005 (UNAUDITED)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68,007,609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$ 521,489</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JULY 1, 2004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66,894,593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16,251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$ 517,041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40,378</w:t>
            </w:r>
          </w:p>
        </w:tc>
        <w:tc>
          <w:tcPr>
            <w:tcW w:w="3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-SEPTEMBER 30, 2004 (UNAUDITED)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66,934,971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$ 517,258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52,996,097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$ 427,881</w:t>
            </w: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$ 16,428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2,463,949</w:t>
            </w:r>
          </w:p>
        </w:tc>
        <w:tc>
          <w:tcPr>
            <w:tcW w:w="3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16,414</w:t>
            </w:r>
          </w:p>
        </w:tc>
        <w:tc>
          <w:tcPr>
            <w:tcW w:w="4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(16,428)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11,444,500</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72,536</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95,250</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66,999,796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$ 517,476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3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UNEARNED</w:t>
            </w:r>
          </w:p>
        </w:tc>
        <w:tc>
          <w:tcPr>
            <w:tcW w:w="260" w:type="dxa"/>
            <w:vAlign w:val="bottom"/>
          </w:tcPr>
          <w:p>
            <w:pPr>
              <w:spacing w:after="0"/>
              <w:rPr>
                <w:sz w:val="14"/>
                <w:szCs w:val="14"/>
                <w:color w:val="auto"/>
              </w:rPr>
            </w:pP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2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w:t>
            </w:r>
          </w:p>
        </w:tc>
        <w:tc>
          <w:tcPr>
            <w:tcW w:w="114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4"/>
                <w:szCs w:val="14"/>
                <w:color w:val="auto"/>
              </w:rPr>
            </w:pP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DEFICIT</w:t>
            </w:r>
          </w:p>
        </w:tc>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160" w:type="dxa"/>
            <w:vAlign w:val="bottom"/>
          </w:tcPr>
          <w:p>
            <w:pPr>
              <w:spacing w:after="0"/>
              <w:rPr>
                <w:sz w:val="14"/>
                <w:szCs w:val="14"/>
                <w:color w:val="auto"/>
              </w:rPr>
            </w:pP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2005</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 (26)</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(356,672)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(9,072)</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$ 167,980</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2,793</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(157,910)</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(157,910)</w:t>
            </w:r>
          </w:p>
        </w:tc>
      </w:tr>
      <w:tr>
        <w:trPr>
          <w:trHeight w:val="168"/>
        </w:trPr>
        <w:tc>
          <w:tcPr>
            <w:tcW w:w="4160" w:type="dxa"/>
            <w:vAlign w:val="bottom"/>
          </w:tcPr>
          <w:p>
            <w:pPr>
              <w:spacing w:after="0"/>
              <w:rPr>
                <w:sz w:val="14"/>
                <w:szCs w:val="14"/>
                <w:color w:val="auto"/>
              </w:rPr>
            </w:pP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2005 (UNAUDITED)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(514,582)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14,308</w:t>
            </w:r>
          </w:p>
        </w:tc>
      </w:tr>
      <w:tr>
        <w:trPr>
          <w:trHeight w:val="168"/>
        </w:trPr>
        <w:tc>
          <w:tcPr>
            <w:tcW w:w="4160" w:type="dxa"/>
            <w:vAlign w:val="bottom"/>
          </w:tcPr>
          <w:p>
            <w:pPr>
              <w:spacing w:after="0"/>
              <w:rPr>
                <w:sz w:val="14"/>
                <w:szCs w:val="14"/>
                <w:color w:val="auto"/>
              </w:rPr>
            </w:pP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2004</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(218,904)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$ 229,457</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NINE-MONTH PERIOD (UNAUDITED):</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(114,435)</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(114,435)</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2004 (UNAUDITED)</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(333,339)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$ 191,081</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JULY 1, 2005</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(459,232)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66,364</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(55,350)</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(55,350)</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SEPTEMBER 30, 2005 (UNAUDITED)</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(514,582)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14,308</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JULY 1, 2004</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(293,927)</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$ 230,267</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 (UNAUDITED):</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(39,412)</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(39,412)</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-SEPTEMBER 30, 2004 (UNAUDITED)</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(333,339)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$ 191,081</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2004</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(218,904)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$ 229,457</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(137,768)</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(137,768)</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(26)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(356,672)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$ 167,980</w:t>
            </w:r>
          </w:p>
        </w:tc>
      </w:tr>
      <w:tr>
        <w:trPr>
          <w:trHeight w:val="168"/>
        </w:trPr>
        <w:tc>
          <w:tcPr>
            <w:tcW w:w="430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303" w:right="1440" w:bottom="1440" w:gutter="0" w:footer="0" w:header="0"/>
        </w:sectPr>
      </w:pPr>
    </w:p>
    <w:bookmarkStart w:id="13" w:name="page14"/>
    <w:bookmarkEnd w:id="13"/>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9"/>
        </w:trPr>
        <w:tc>
          <w:tcPr>
            <w:tcW w:w="674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3"/>
          </w:tcPr>
          <w:p>
            <w:pPr>
              <w:jc w:val="center"/>
              <w:ind w:right="307"/>
              <w:spacing w:after="0"/>
              <w:rPr>
                <w:sz w:val="20"/>
                <w:szCs w:val="20"/>
                <w:color w:val="auto"/>
              </w:rPr>
            </w:pPr>
            <w:r>
              <w:rPr>
                <w:rFonts w:ascii="Courier New" w:cs="Courier New" w:eastAsia="Courier New" w:hAnsi="Courier New"/>
                <w:sz w:val="15"/>
                <w:szCs w:val="15"/>
                <w:color w:val="auto"/>
                <w:w w:val="96"/>
              </w:rPr>
              <w:t>NINE MONTHS ENDED</w:t>
            </w:r>
          </w:p>
        </w:tc>
        <w:tc>
          <w:tcPr>
            <w:tcW w:w="320" w:type="dxa"/>
            <w:vAlign w:val="bottom"/>
          </w:tcPr>
          <w:p>
            <w:pPr>
              <w:spacing w:after="0"/>
              <w:rPr>
                <w:sz w:val="24"/>
                <w:szCs w:val="24"/>
                <w:color w:val="auto"/>
              </w:rPr>
            </w:pPr>
          </w:p>
        </w:tc>
        <w:tc>
          <w:tcPr>
            <w:tcW w:w="21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3"/>
          </w:tcPr>
          <w:p>
            <w:pPr>
              <w:jc w:val="center"/>
              <w:ind w:right="307"/>
              <w:spacing w:after="0" w:line="168" w:lineRule="exact"/>
              <w:rPr>
                <w:sz w:val="20"/>
                <w:szCs w:val="20"/>
                <w:color w:val="auto"/>
              </w:rPr>
            </w:pPr>
            <w:r>
              <w:rPr>
                <w:rFonts w:ascii="Courier New" w:cs="Courier New" w:eastAsia="Courier New" w:hAnsi="Courier New"/>
                <w:sz w:val="15"/>
                <w:szCs w:val="15"/>
                <w:color w:val="auto"/>
                <w:w w:val="95"/>
              </w:rPr>
              <w:t>SEPTEMBER 30,</w:t>
            </w:r>
          </w:p>
        </w:tc>
        <w:tc>
          <w:tcPr>
            <w:tcW w:w="320" w:type="dxa"/>
            <w:vAlign w:val="bottom"/>
          </w:tcPr>
          <w:p>
            <w:pPr>
              <w:spacing w:after="0"/>
              <w:rPr>
                <w:sz w:val="14"/>
                <w:szCs w:val="14"/>
                <w:color w:val="auto"/>
              </w:rPr>
            </w:pPr>
          </w:p>
        </w:tc>
        <w:tc>
          <w:tcPr>
            <w:tcW w:w="210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SEPTEMBER 30,</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520" w:type="dxa"/>
            <w:vAlign w:val="bottom"/>
          </w:tcPr>
          <w:p>
            <w:pPr>
              <w:spacing w:after="0"/>
              <w:rPr>
                <w:sz w:val="14"/>
                <w:szCs w:val="14"/>
                <w:color w:val="auto"/>
              </w:rPr>
            </w:pPr>
          </w:p>
        </w:tc>
        <w:tc>
          <w:tcPr>
            <w:tcW w:w="244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2005</w:t>
            </w:r>
          </w:p>
        </w:tc>
        <w:tc>
          <w:tcPr>
            <w:tcW w:w="30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3"/>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32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244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$(157,910)</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$(114,435)</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(55,350)</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(39,412)</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108,008</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86,188</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36,855</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30,782</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121,067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(1,205)</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(2,518)</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(32,682)</w:t>
            </w:r>
          </w:p>
        </w:tc>
      </w:tr>
      <w:tr>
        <w:trPr>
          <w:trHeight w:val="168"/>
        </w:trPr>
        <w:tc>
          <w:tcPr>
            <w:tcW w:w="5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9,654</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(14,330)</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1,221</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(6,848)</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CURRENT ASSET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(1,382)</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(1,940)</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1,786</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4,767</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(10,989)</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(3,844)</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(4,659)</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5,320</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3,332</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5,480</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(1,459)</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(7,379)</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1,766</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(508)</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9,344</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(42,002)</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(51,040)</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(17,694)</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(19,010)</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(54,284)</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19,438</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19,942</w:t>
            </w:r>
          </w:p>
        </w:tc>
        <w:tc>
          <w:tcPr>
            <w:tcW w:w="3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19,384</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(42,398)</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(31,602)</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(17,858)</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(34,900)</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INVESTING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DESIGNATED CASH, SHORT-TERM</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LONG-TERM INTEREST-BEARING DEPOSITS, NET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40,955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7,380</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5,687</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(10,037)</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(32,251)</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(131,622)</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(8,146)</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(51,335)</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(154,975)</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23,945</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1,657</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11,443</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32,636</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RELATED TO SALE AND DISPOSAL OF PROPERTY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EQUIPMENT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(3,732)</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(702)</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38,677</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13,093</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(100,860)</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(7,242)</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(34,170)</w:t>
            </w:r>
          </w:p>
        </w:tc>
        <w:tc>
          <w:tcPr>
            <w:tcW w:w="3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(91,775)</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FINANCING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LONG-TERM DEBT</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13,360</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66,000</w:t>
            </w:r>
          </w:p>
        </w:tc>
        <w:tc>
          <w:tcPr>
            <w:tcW w:w="3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13,360</w:t>
            </w:r>
          </w:p>
        </w:tc>
        <w:tc>
          <w:tcPr>
            <w:tcW w:w="3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36,000</w:t>
            </w:r>
          </w:p>
        </w:tc>
        <w:tc>
          <w:tcPr>
            <w:tcW w:w="3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66,000</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SHARES, NET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75,225</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75,225</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13,360</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141,891</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13,360</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36,000</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141,891</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(15,945)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9,429</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(11,740)</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2,762</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15,216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27,664</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12,448</w:t>
            </w:r>
          </w:p>
        </w:tc>
        <w:tc>
          <w:tcPr>
            <w:tcW w:w="3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23,459</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19,115</w:t>
            </w:r>
          </w:p>
        </w:tc>
        <w:tc>
          <w:tcPr>
            <w:tcW w:w="3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 - END OF PERIOD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21,877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21,877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33,054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47,675</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2,793</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LONG-TERM LIABILITY IN RESPECT OF</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CUSTOMERS' ADVANCES TO SHARE CAPITAL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8,095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6,410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25,205</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5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1540"/>
          </w:cols>
          <w:pgMar w:left="220" w:top="617" w:right="139" w:bottom="517" w:gutter="0" w:footer="0" w:header="0"/>
        </w:sectPr>
      </w:pPr>
    </w:p>
    <w:bookmarkStart w:id="14" w:name="page15"/>
    <w:bookmarkEnd w:id="1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w:t>
      </w:r>
    </w:p>
    <w:p>
      <w:pPr>
        <w:spacing w:after="0" w:line="166"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w:t>
      </w:r>
    </w:p>
    <w:p>
      <w:pPr>
        <w:spacing w:after="0" w:line="172"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condensed interim consolidated financial statements as of September 30, 2005 and for the nine months and three months then ended ("interim financial statements") of Tower Semiconductor Ltd. and subsidiary ("the Company") should be read in conjunction with the audited consolidated financial statements of the Company as of December 31, 2004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73" w:lineRule="exact"/>
        <w:rPr>
          <w:rFonts w:ascii="Courier New" w:cs="Courier New" w:eastAsia="Courier New" w:hAnsi="Courier New"/>
          <w:sz w:val="15"/>
          <w:szCs w:val="15"/>
          <w:color w:val="auto"/>
        </w:rPr>
      </w:pPr>
    </w:p>
    <w:p>
      <w:pPr>
        <w:ind w:left="1320" w:right="3239" w:hanging="436"/>
        <w:spacing w:after="0" w:line="256" w:lineRule="auto"/>
        <w:tabs>
          <w:tab w:leader="none" w:pos="13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financial statements have been prepared in conformity with generally accepted accounting principles ("GAAP") in Israel ("Israeli GAAP"), which, as applicable to these interim financial statements, differ in certain respects from GAAP in the United States of America ("U.S. GAAP"), as indicated in Note 6.</w:t>
      </w:r>
    </w:p>
    <w:p>
      <w:pPr>
        <w:spacing w:after="0" w:line="163" w:lineRule="exact"/>
        <w:rPr>
          <w:rFonts w:ascii="Courier New" w:cs="Courier New" w:eastAsia="Courier New" w:hAnsi="Courier New"/>
          <w:sz w:val="14"/>
          <w:szCs w:val="14"/>
          <w:color w:val="auto"/>
        </w:rPr>
      </w:pPr>
    </w:p>
    <w:p>
      <w:pPr>
        <w:ind w:left="132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 except for the accounting principles detailed in paragraphs (3)b. and (4)a. below.</w:t>
      </w:r>
    </w:p>
    <w:p>
      <w:pPr>
        <w:spacing w:after="0" w:line="167"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151. INVENTORY COSTS, AN AMENDMENT OF ARB NO. 43, CHAPTER 4 - In November 2004, the FASB issued SFAS No. 151,</w:t>
      </w: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the Company's financial position or results of operations.</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39"/>
          </w:cols>
          <w:pgMar w:left="220" w:top="617" w:right="1440" w:bottom="1440" w:gutter="0" w:footer="0" w:header="0"/>
        </w:sectPr>
      </w:pPr>
    </w:p>
    <w:bookmarkStart w:id="15" w:name="page16"/>
    <w:bookmarkEnd w:id="1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 (cont.)</w:t>
      </w:r>
    </w:p>
    <w:p>
      <w:pPr>
        <w:spacing w:after="0" w:line="172"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issuance date of this Statement. Retroactive application is not permitted. The adoption of this Standard does not have a material effect on the Company's financial position or results of operations.</w:t>
      </w:r>
    </w:p>
    <w:p>
      <w:pPr>
        <w:spacing w:after="0" w:line="175"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165" w:lineRule="exact"/>
        <w:rPr>
          <w:rFonts w:ascii="Courier New" w:cs="Courier New" w:eastAsia="Courier New" w:hAnsi="Courier New"/>
          <w:sz w:val="14"/>
          <w:szCs w:val="14"/>
          <w:color w:val="auto"/>
        </w:rPr>
      </w:pP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Opinion 20 previously required that most voluntary changes in accounting principles be recognized by including the cumulative effect of changing to the new accounting principles in the net income of the period of the change. This Statement requires retrospective application to prior periods' financial statements of changes in accounting principles,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principles to all prior periods.</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449" w:right="1440" w:bottom="1440"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 (cont.)</w:t>
      </w:r>
    </w:p>
    <w:p>
      <w:pPr>
        <w:spacing w:after="0" w:line="172" w:lineRule="exact"/>
        <w:rPr>
          <w:rFonts w:ascii="Courier New" w:cs="Courier New" w:eastAsia="Courier New" w:hAnsi="Courier New"/>
          <w:sz w:val="15"/>
          <w:szCs w:val="15"/>
          <w:color w:val="auto"/>
        </w:rPr>
      </w:pPr>
    </w:p>
    <w:p>
      <w:pPr>
        <w:ind w:left="1760" w:right="3759" w:hanging="438"/>
        <w:spacing w:after="0" w:line="234" w:lineRule="auto"/>
        <w:tabs>
          <w:tab w:leader="none" w:pos="176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154. ACCOUNTING CHANGES AND ERROR CORRECTIONS (cont.)</w:t>
      </w:r>
    </w:p>
    <w:p>
      <w:pPr>
        <w:spacing w:after="0" w:line="173"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defines RETROSPECTIVE APPLICATION as (i) the application of a different accounting principle to prior accounting periods as if that principle had always been used, or (ii) 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77"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also requires that a change in depreciation, amortization, or depletion method for long-lived, non-financial assets, be accounted for as a change in accounting estimate effected by a change in accounting principles. This Statement carries forward without change the guidance in Opinion 20 for reporting the correction of an error in previously issued financial statements and a change in accounting estimate. This Statement also carries forward the guidance in Opinion 20 requiring justification of a change in accounting principles on the basis of preferability.</w:t>
      </w:r>
    </w:p>
    <w:p>
      <w:pPr>
        <w:spacing w:after="0" w:line="180"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Statement are effective for accounting changes and corrections of errors made during fiscal years beginning after December 15, 2005. The adoption of this Standard is not expected to have a material effect on the Company's financial position or results of operations.</w:t>
      </w:r>
    </w:p>
    <w:p>
      <w:pPr>
        <w:spacing w:after="0" w:line="174" w:lineRule="exact"/>
        <w:rPr>
          <w:rFonts w:ascii="Courier New" w:cs="Courier New" w:eastAsia="Courier New" w:hAnsi="Courier New"/>
          <w:sz w:val="15"/>
          <w:szCs w:val="15"/>
          <w:color w:val="auto"/>
        </w:rPr>
      </w:pPr>
    </w:p>
    <w:p>
      <w:pPr>
        <w:ind w:left="1320" w:right="3839" w:hanging="436"/>
        <w:spacing w:after="0" w:line="234" w:lineRule="auto"/>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w:t>
      </w:r>
    </w:p>
    <w:p>
      <w:pPr>
        <w:spacing w:after="0" w:line="173"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STANDARD NO. 19 "TAXES ON INCOME" - In July 2004, the Israeli Accounting Standards Board published Accounting Standard No. 19 "INCOME TAXES" (the "Standard"). The Standard established the guideline for recognizing, measuring, presenting and disclosing income taxes in financial statements. The Standard is effective for financial statements relating to reporting periods commencing on, or after, January 1, 2005. The initial adoption of the Standard is accounted for by the cumulative effect of change in accounting method, for the beginning of the period in which the Standard is initially adopted. The implementation of the Standard did not affect the Company's financial position, results of operations or cash flows.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449"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72" w:lineRule="exact"/>
        <w:rPr>
          <w:rFonts w:ascii="Courier New" w:cs="Courier New" w:eastAsia="Courier New" w:hAnsi="Courier New"/>
          <w:sz w:val="15"/>
          <w:szCs w:val="15"/>
          <w:color w:val="auto"/>
        </w:rPr>
      </w:pPr>
    </w:p>
    <w:p>
      <w:pPr>
        <w:ind w:left="1320" w:right="3839" w:hanging="436"/>
        <w:spacing w:after="0" w:line="234" w:lineRule="auto"/>
        <w:tabs>
          <w:tab w:leader="none" w:pos="13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 (cont.)</w:t>
      </w:r>
    </w:p>
    <w:p>
      <w:pPr>
        <w:spacing w:after="0" w:line="173"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22 "FINANCIAL INSTRUMENTS: DISCLOSURE AND PRESENTATION" - In July 2005, the Israeli Accounting Standards Board approved for publication Accounting Standard No. 22 "FINANCIAL INSTRUMENTS: DISCLOSURE AND PRESENTATION" (the "Standard"). A FINANCIAL INSTRUMENT under this Standard is defined, in general, as any contract that establishes a financial asset of an entity, or a financial liability or equity instrument of another entity. This Standard establishes the requirements for presentation of financial instruments in financial statements and indicates the information that should be disclosed in relation thereto, and, in certain cases, the method to measure their impact on the entity's financial statements. The presentation requirements relate to the classification of financial instruments as financial assets, financial liabilities or equity instruments. It also deals with the classification of related interest, dividends, losses and gains and to the circumstances under which financial assets and financial liabilities derived from financial instruments are to be offset. The Standard establishes requirements for disclosure of information relating to factors affecting the amount, timing and certainty of the entity's future cash flows relating to financial instruments and accounting policy implemented in respect of these instruments. The Standard also establishes requirements for disclosure of information about the nature and the extent of an entity's use of financial instruments, the business purposes they serve, the risks associated with them and management's policies for the oversight of those risks.</w:t>
      </w:r>
    </w:p>
    <w:p>
      <w:pPr>
        <w:spacing w:after="0" w:line="180" w:lineRule="exact"/>
        <w:rPr>
          <w:rFonts w:ascii="Courier New" w:cs="Courier New" w:eastAsia="Courier New" w:hAnsi="Courier New"/>
          <w:sz w:val="15"/>
          <w:szCs w:val="15"/>
          <w:color w:val="auto"/>
        </w:rPr>
      </w:pPr>
    </w:p>
    <w:p>
      <w:pPr>
        <w:ind w:left="17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Standard is effective for financial statements for periods commencing January 1, 2006 or thereafter. The initial adoption of the Standard will be accounted for by the "prospective method". Comparative financial statements for prior periods are not to be adjusted.</w:t>
      </w:r>
    </w:p>
    <w:p>
      <w:pPr>
        <w:spacing w:after="0" w:line="173"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recently commenced identifying the potential future impact of applying the provisions of the Standard. Though the Company is now in this process, the Company does not believe that the effect of the adoption of its provisions will have a material affect on the Company's financial position or results of operations.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3"/>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449"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72" w:lineRule="exact"/>
        <w:rPr>
          <w:rFonts w:ascii="Courier New" w:cs="Courier New" w:eastAsia="Courier New" w:hAnsi="Courier New"/>
          <w:sz w:val="15"/>
          <w:szCs w:val="15"/>
          <w:color w:val="auto"/>
        </w:rPr>
      </w:pPr>
    </w:p>
    <w:p>
      <w:pPr>
        <w:ind w:left="1320" w:right="3839" w:hanging="436"/>
        <w:spacing w:after="0" w:line="234" w:lineRule="auto"/>
        <w:tabs>
          <w:tab w:leader="none" w:pos="13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 (cont.)</w:t>
      </w:r>
    </w:p>
    <w:p>
      <w:pPr>
        <w:spacing w:after="0" w:line="173"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2"/>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STANDARD NO. 24 "STOCK-BASED PAYMENTS" - In September 2005, the Israeli Accounting Standards Board published Accounting Standard No. 24 "STOCK-BASED COMPENSATION" (the "Standard"), which calls for the recognition in the financial statements of stock-based payments, including transactions with employees and related parties which are to be settled by the payment of cash, by the other assets, or by equity instruments. Under Standard No. 24, amongst other matters, costs associated with grants of shares and options to employees will be expensed over the vesting period of each grant. Said costs will be determined based on the fair value of the grants at each grant date. The Standard establishes guidelines for measuring the fair value of each grant based on the settlement terms (either by cash or equity instrument), and disclosure provisions.</w:t>
      </w:r>
    </w:p>
    <w:p>
      <w:pPr>
        <w:spacing w:after="0" w:line="163" w:lineRule="exact"/>
        <w:rPr>
          <w:rFonts w:ascii="Courier New" w:cs="Courier New" w:eastAsia="Courier New" w:hAnsi="Courier New"/>
          <w:sz w:val="14"/>
          <w:szCs w:val="14"/>
          <w:color w:val="auto"/>
        </w:rPr>
      </w:pPr>
    </w:p>
    <w:p>
      <w:pPr>
        <w:ind w:left="17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Standard is effective for financial statements for periods commencing January 1, 2006 or thereafter (initial adoption is recommended). The Standard provides that with respect to stock-based compensation to be settled by equity instruments, its provisions should be applied to all grants made after March 15, 2005 that are unvested as of December 31, 2005. The Standard further provides that its provisions should be applied to grants in the terms of which changes were made after March 15, 2005, even if those grants are not in the scope of the Standard.</w:t>
      </w:r>
    </w:p>
    <w:p>
      <w:pPr>
        <w:spacing w:after="0" w:line="179" w:lineRule="exact"/>
        <w:rPr>
          <w:rFonts w:ascii="Courier New" w:cs="Courier New" w:eastAsia="Courier New" w:hAnsi="Courier New"/>
          <w:sz w:val="14"/>
          <w:szCs w:val="14"/>
          <w:color w:val="auto"/>
        </w:rPr>
      </w:pPr>
    </w:p>
    <w:p>
      <w:pPr>
        <w:ind w:left="176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Standard is to apply to all options the Company granted to employees and directors in the period between March 15, 2005 and December 31, 2005, which would be unvested as of December 31, 2005. Such options as of September 30, 2005 amounted to 4,821,777. The Company has recently commenced examining the extent that applying the Standard will impact the financial position and results of operations of the Company.</w:t>
      </w:r>
    </w:p>
    <w:p>
      <w:pPr>
        <w:spacing w:after="0" w:line="170"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jc w:val="both"/>
        <w:ind w:left="1760" w:right="3319"/>
        <w:spacing w:after="0" w:line="235" w:lineRule="auto"/>
        <w:rPr>
          <w:sz w:val="20"/>
          <w:szCs w:val="20"/>
          <w:color w:val="auto"/>
        </w:rPr>
      </w:pPr>
      <w:r>
        <w:rPr>
          <w:rFonts w:ascii="Courier New" w:cs="Courier New" w:eastAsia="Courier New" w:hAnsi="Courier New"/>
          <w:sz w:val="15"/>
          <w:szCs w:val="15"/>
          <w:color w:val="auto"/>
        </w:rPr>
        <w:t>Certain amounts in prior periods' financial statements have been reclassified in order to conform to the September 30, 2005 presentation.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449" w:right="1440" w:bottom="1440" w:gutter="0" w:footer="0" w:header="0"/>
        </w:sectPr>
      </w:pPr>
    </w:p>
    <w:bookmarkStart w:id="19" w:name="page20"/>
    <w:bookmarkEnd w:id="19"/>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approximately $1,300,000 of financing for Fab 2.</w:t>
      </w:r>
    </w:p>
    <w:p>
      <w:pPr>
        <w:spacing w:after="0" w:line="173" w:lineRule="exact"/>
        <w:rPr>
          <w:rFonts w:ascii="Courier New" w:cs="Courier New" w:eastAsia="Courier New" w:hAnsi="Courier New"/>
          <w:sz w:val="15"/>
          <w:szCs w:val="15"/>
          <w:color w:val="auto"/>
        </w:rPr>
      </w:pPr>
    </w:p>
    <w:p>
      <w:pPr>
        <w:ind w:left="88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w:t>
      </w:r>
    </w:p>
    <w:p>
      <w:pPr>
        <w:spacing w:after="0" w:line="173"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concerning the Fab 2 project and related agreements, some of which were amended several times, risks and uncertainties, see Note 12A to the 2004 audited consolidated financial statements.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nine months ended September 30, 2005 and in recent years, the Company has experienced significant recurring losses from operations and recurring negative cash flows from operating activities and an increasing accumulated deficit. According to the Company's approved short-term working plan, based on the current prevailing semiconductor market conditions, in the event the Company raises in a timely manner approximately $60,000 in funds as contemplated by an amendment to the Facility Agreement with the Company's Banks that was signed in July 2005, and by the commitments of certain of the Company's Equity Investors and Wafer Partners, described in Note 4B below, the Company will still need to raise additional funds in order to finance its short-term activities and liabilities in 2006, at least until the Company achieves positive cash flow from its operations. For details concerning recent amendments to the Company's financial ratios and covenants through the third quarter of 2006 under the amended Facility Agreement with the Banks, which were obtained subsequent to a waiver letter agreement signed between the Company and the Banks in January 2005, see Note 4B below and Note 12A(6) to the 2004 audited consolidated financial statements.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617" w:right="1440" w:bottom="1440" w:gutter="0" w:footer="0" w:header="0"/>
        </w:sectPr>
      </w:pPr>
    </w:p>
    <w:bookmarkStart w:id="20" w:name="page21"/>
    <w:bookmarkEnd w:id="2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 (cont.)</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light of the described above, the Company has been taking comprehensive measures to obtain the needed funds for its near-term ongoing operations, as well as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has held discussion with its Equity Investors, Wafer Partners, and its Banks to provide additional funding for the Company of an aggregate amount of approximately $60,000. Consequently, in July 2005, an amendment to the Facility Agreement was signed between the Company and its Banks, which closed in August 2005, providing the Company with up to approximately $30,000, through the end of March 2006, provided that similar amounts will be raised by the Company from investors (for additional details, see Note 4B below). In addition, as of the approval date of the interim financial statements, certain of the Company's Equity Investors and Wafer Partners have committed and are obligated to invest $25,500 in the framework of a rights offering. For details concerning a prospectus the Company filed in the U.S. and Israel in connection with said rights offering, see Note 5D below. Following the closing of the amendment to the Facility Agreement in August 2005 as described above, through the approval date of the interim financial statements, the Banks provided the Company with an aggregate of $21,100 of loans. Further, the Company is currently examining alternatives for additional funding sources, including raising funds in the capital markets, private placements and other sources.</w:t>
      </w:r>
    </w:p>
    <w:p>
      <w:pPr>
        <w:spacing w:after="0" w:line="34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management estimates that it is probable that the rights offering process will be successfully completed in a timely manner and the Equity Investors and Wafer Partners will invest the funds as described above, and that additional funds the Company will need in 2006 from the additional funding sources the Company is currently examining, as described above, will be achieved.</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449" w:right="1440" w:bottom="1440" w:gutter="0" w:footer="0" w:header="0"/>
        </w:sectPr>
      </w:pPr>
    </w:p>
    <w:bookmarkStart w:id="21" w:name="page22"/>
    <w:bookmarkEnd w:id="2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320" w:type="dxa"/>
            <w:vAlign w:val="bottom"/>
          </w:tcPr>
          <w:p>
            <w:pPr>
              <w:spacing w:after="0"/>
              <w:rPr>
                <w:sz w:val="14"/>
                <w:szCs w:val="14"/>
                <w:color w:val="auto"/>
              </w:rPr>
            </w:pPr>
          </w:p>
        </w:tc>
        <w:tc>
          <w:tcPr>
            <w:tcW w:w="2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3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20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$ 6,445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$ 8,343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$ 9,260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3,760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8,638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10,085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2,374</w:t>
            </w:r>
          </w:p>
        </w:tc>
      </w:tr>
      <w:tr>
        <w:trPr>
          <w:trHeight w:val="168"/>
        </w:trPr>
        <w:tc>
          <w:tcPr>
            <w:tcW w:w="23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$20,902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$30,371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23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 downs to net realizable value of $3,973, $4,980 and $2,665 as of September 30, 2005, September 30, 2004 and December 31, 2004,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MAJOR CUSTOMERS</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Revenues from major customers as a percentage of total revenues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Nine months ended</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1940" w:type="dxa"/>
            <w:vAlign w:val="bottom"/>
          </w:tcPr>
          <w:p>
            <w:pPr>
              <w:spacing w:after="0"/>
              <w:rPr>
                <w:sz w:val="14"/>
                <w:szCs w:val="14"/>
                <w:color w:val="auto"/>
              </w:rPr>
            </w:pPr>
          </w:p>
        </w:tc>
        <w:tc>
          <w:tcPr>
            <w:tcW w:w="19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September 30,</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1940" w:type="dxa"/>
            <w:vAlign w:val="bottom"/>
          </w:tcPr>
          <w:p>
            <w:pPr>
              <w:spacing w:after="0"/>
              <w:rPr>
                <w:sz w:val="14"/>
                <w:szCs w:val="14"/>
                <w:color w:val="auto"/>
              </w:rPr>
            </w:pPr>
          </w:p>
        </w:tc>
        <w:tc>
          <w:tcPr>
            <w:tcW w:w="1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9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r>
    </w:tbl>
    <w:p>
      <w:pPr>
        <w:spacing w:after="0" w:line="173" w:lineRule="exact"/>
        <w:rPr>
          <w:sz w:val="20"/>
          <w:szCs w:val="20"/>
          <w:color w:val="auto"/>
        </w:rPr>
      </w:pPr>
    </w:p>
    <w:p>
      <w:pPr>
        <w:ind w:left="880" w:right="339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revenues from five different customers each of whom accounted for between 1% and 5% of revenues during the nine months ended September 30, 2005, to three different customers (each of whom accounted for between 5%-8%) during the nine months ended September 30, 2004 and to five different customers (each of whom accounted for between 1%-8%) during the year ended December 2004.</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617" w:right="1440" w:bottom="1440" w:gutter="0" w:footer="0" w:header="0"/>
        </w:sectPr>
      </w:pPr>
    </w:p>
    <w:bookmarkStart w:id="22" w:name="page23"/>
    <w:bookmarkEnd w:id="2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w:t>
      </w:r>
    </w:p>
    <w:p>
      <w:pPr>
        <w:spacing w:after="0" w:line="166"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approved enterprise program for Fab 2, the Company is eligible to receive grants of 20% of up to $1,250,000 invested in Fab 2 plant and equipment, or an aggregate of up to $250,000, of which as of the balance sheet date, an aggregate of $156,662 has been already received from the Investment Center.</w:t>
      </w:r>
    </w:p>
    <w:p>
      <w:pPr>
        <w:spacing w:after="0" w:line="16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program, investments in respect of Fab 2 may be completed by December 31, 2005, five years from the date the approval certificate was obtained. Due to the later than planned commencement of construction of Fab 2, prevailing market conditions and slower than planned ramp-up, the Company does not expect to complete Fab 2 investments by the end of 2005. As of September 30, 2005, the Company completed approximately 71% of the investments under the approved enterprise program.</w:t>
      </w:r>
    </w:p>
    <w:p>
      <w:pPr>
        <w:spacing w:after="0" w:line="177"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Since the approved investment period of five years ends on December 31, 2005, the Company has been holding discussions with the Investment Center to achieve satisfactory arrangements to approve a new expansion program to commence on January 1, 2006. During the first half of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the approval date of the interim financial statements, the Company's management cannot estimate when the Investment Center will conclude its review of the revised business plan, when the Company will receive a formal response to its request for a new expansion program to commence on January 1, 2006, or if the Investment Center will approve the Company's request.</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w:t>
      </w:r>
    </w:p>
    <w:p>
      <w:pPr>
        <w:spacing w:after="0" w:line="172" w:lineRule="exact"/>
        <w:rPr>
          <w:rFonts w:ascii="Courier New" w:cs="Courier New" w:eastAsia="Courier New" w:hAnsi="Courier New"/>
          <w:sz w:val="15"/>
          <w:szCs w:val="15"/>
          <w:color w:val="auto"/>
        </w:rPr>
      </w:pPr>
    </w:p>
    <w:p>
      <w:pPr>
        <w:ind w:left="88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2005, the Company and the Banks entered into the following amendments to the Facility Agreement:</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2005, the Company and its Banks signed a waiver letter agreement according to which the Banks waived the Company's non-compliance with certain financial ratios and covenants for the fourth quarter of 2004. The agreement also amended certain of the financial ratios and covenants with which the Company was to comply with during 2005, and which were further revised in the framework of the July 2005 amendment to the Facility Agreement described below.</w:t>
      </w:r>
    </w:p>
    <w:p>
      <w:pPr>
        <w:spacing w:after="0" w:line="33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617"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w:t>
      </w:r>
    </w:p>
    <w:p>
      <w:pPr>
        <w:spacing w:after="0" w:line="172"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2005, the Company and its Banks entered into a definitive amendment to the Facility Agreement. The amendment provides, among other things, for the Banks to provide additional financing of up to approximately $30,000, subject to the Company raising through the issuance of shares or convertible debentures $23,500 by October 31, 2005 (which was subsequently extended to November 30, 2005) and an additional $6,500 by March 31, 2006. In connection with the amendment and prior to its closing, certain of the Company's Equity Investors and Wafer Partners committed and obligated themselves to invest an aggregate of $23,500 towards such funding in the context of a rights offering; see Note 5D below. Following the closing of the amendment to the Facility Agreement described above, in August 2005, in reliance on the above commitments, the Banks provided the Company with $21,100 in loans, of which $13,400 was provided through the balance sheet date.</w:t>
      </w:r>
    </w:p>
    <w:p>
      <w:pPr>
        <w:spacing w:after="0" w:line="174"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up to approximately $30,000 to be provided by the Banks under the July 2005 amendment, of which $21,100 has been provided in two installments, may be drawn down in up to three installments through the end of March 2006, will bear annual interest based on the three-month LIBOR plus 2.5% and shall be repayable in a period between twelve to fifteen months from each date any amount is received by the Company. The amendment further provides that a rescheduling of said repayment dates shall be discussed following the closing date of the amendment. Any unutilized amount on account of the up to approximately $30,000 amount will bear a commitment fee at an annual rate of 0.25%.</w:t>
      </w:r>
    </w:p>
    <w:p>
      <w:pPr>
        <w:spacing w:after="0" w:line="164"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July 2005 amendment further provides that: (i) The Israel Corp. undertaking, as detailed in Note 12A(6) to the 2004 annual financial statements, shall be extended from June 30, 2006 to December 31, 2006; (ii) such undertaking will be deemed to have been fulfilled if Israel Corp. invests at least $14,000 in the context of a rights offering; (iii) any amounts raised in equity or in convertible debentures through March 31, 2006, up to $30,000as detailed above, shall not constitute financing from other sources towards the $152,000 fundraising milestone, as detailed in Note 12A(6) to the 2004 annual financial statements; and (iv) the last date in which the Company is to comply with the $152,000 fundraising milestone is postponed from December 31, 2005 to June 30, 2006.</w:t>
      </w:r>
    </w:p>
    <w:p>
      <w:pPr>
        <w:spacing w:after="0" w:line="173" w:lineRule="exact"/>
        <w:rPr>
          <w:rFonts w:ascii="Courier New" w:cs="Courier New" w:eastAsia="Courier New" w:hAnsi="Courier New"/>
          <w:sz w:val="15"/>
          <w:szCs w:val="15"/>
          <w:color w:val="auto"/>
        </w:rPr>
      </w:pPr>
    </w:p>
    <w:p>
      <w:pPr>
        <w:ind w:left="132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also revised certain of the financial ratios and covenants through the third quarter of 2006.</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39"/>
          </w:cols>
          <w:pgMar w:left="220" w:top="449"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 (2) (cont.)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warrants provided to the Banks in connection with the</w:t>
      </w:r>
    </w:p>
    <w:p>
      <w:pPr>
        <w:ind w:left="1320"/>
        <w:spacing w:after="0" w:line="237" w:lineRule="auto"/>
        <w:rPr>
          <w:sz w:val="20"/>
          <w:szCs w:val="20"/>
          <w:color w:val="auto"/>
        </w:rPr>
      </w:pPr>
      <w:r>
        <w:rPr>
          <w:rFonts w:ascii="Courier New" w:cs="Courier New" w:eastAsia="Courier New" w:hAnsi="Courier New"/>
          <w:sz w:val="15"/>
          <w:szCs w:val="15"/>
          <w:color w:val="auto"/>
        </w:rPr>
        <w:t>amendment, see Note 5B(5) below</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As of the balance sheet date, the Company was in full compliance with all of the financial ratios and covenants under the amended Facility Agreement. According to the Facility Agreement, satisfying the financial ratios and covenants is a material provision.</w:t>
      </w:r>
    </w:p>
    <w:p>
      <w:pPr>
        <w:spacing w:after="0" w:line="174"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The Facility Agreement provides that if, as a result of any default, the Banks were to accelerate the Company's obligations, the Company would be obligated, among other matters, to immediately repay all loans made by the Banks (which as of the balance sheet date amounted to $510,400) plus penalties, and the Banks would be entitled to exercise the remedies available to them under the Facility Agreement, including enforcement of their lien against all of the Company's assets.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w:t>
      </w:r>
    </w:p>
    <w:p>
      <w:pPr>
        <w:spacing w:after="0" w:line="166"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32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In accordance with the Company's share option plan for directors, 120,000 options were granted in 2005 to three directors who were appointed in 2005 (40,000 options each) at exercise prices of $1.87, $1.87 and $1.26, which equals the market price of the Company's shares on the grant dates. As of the balance sheet date, 280,000 options were outstanding under the plan, with a weighted average exercise price of $5.39.</w:t>
      </w:r>
    </w:p>
    <w:p>
      <w:pPr>
        <w:spacing w:after="0" w:line="33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39"/>
          </w:cols>
          <w:pgMar w:left="220" w:top="449" w:right="1440" w:bottom="1440" w:gutter="0" w:footer="0" w:header="0"/>
        </w:sectPr>
      </w:pPr>
    </w:p>
    <w:bookmarkStart w:id="25" w:name="page26"/>
    <w:bookmarkEnd w:id="2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OPTIONS GRANTED TO THE COMPANY'S FORMER CHAIRMAN OF THE BOARD OF DIRECTORS AND CHIEF EXECUTIVE OFFICER - Due to the resignation of the Company's former Chairman of the Board of Directors and Chief Executive Officer in May 2005 625,800 of the 1,043,000 options granted to him, were fully forfeited.</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NEW CHIEF EXECUTIVE OFFICER AND DIRECTOR</w:t>
      </w:r>
    </w:p>
    <w:p>
      <w:pPr>
        <w:spacing w:after="0" w:line="9" w:lineRule="exact"/>
        <w:rPr>
          <w:rFonts w:ascii="Courier New" w:cs="Courier New" w:eastAsia="Courier New" w:hAnsi="Courier New"/>
          <w:sz w:val="14"/>
          <w:szCs w:val="14"/>
          <w:color w:val="auto"/>
        </w:rPr>
      </w:pPr>
    </w:p>
    <w:p>
      <w:pPr>
        <w:ind w:left="1320" w:right="3239" w:firstLine="2"/>
        <w:spacing w:after="0" w:line="237" w:lineRule="auto"/>
        <w:tabs>
          <w:tab w:leader="none" w:pos="1495"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the Company's Board of Directors approved the grant of options to purchase up to 1,325,724 Ordinary Shares to the Company's new appointed Chief Executive Officer ("CEO"), who was also appointed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 If as a result of equity financings consummated after April 30, 2005 (excluding the exercise or conversion of existing warrants, options, convertible debentures or other rights to acquire the Company's securities outstanding on such date), the CEO's total number of options granted to him through April 30, 2007 would represent less than 1.2% of the total number of issued and outstanding shares of the Company as of April 30, 2007, additional options will be granted to the CEO to result in a 1.2% holding of the total number of issued and outstanding shares of the Company as of April 30, 2007.</w:t>
      </w:r>
    </w:p>
    <w:p>
      <w:pPr>
        <w:spacing w:after="0" w:line="176" w:lineRule="exact"/>
        <w:rPr>
          <w:rFonts w:ascii="Courier New" w:cs="Courier New" w:eastAsia="Courier New" w:hAnsi="Courier New"/>
          <w:sz w:val="15"/>
          <w:szCs w:val="15"/>
          <w:color w:val="auto"/>
        </w:rPr>
      </w:pPr>
    </w:p>
    <w:p>
      <w:pPr>
        <w:ind w:left="1320" w:right="3319" w:hanging="436"/>
        <w:spacing w:after="0" w:line="255" w:lineRule="auto"/>
        <w:tabs>
          <w:tab w:leader="none" w:pos="13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EMPLOYEES - During 2005, the Company's Board of Directors approved the grant of 3,544,500 options to the Company's employees at an exercise price of $1.54, which equaled the Company's share market price on the date of grant. The options granted will vest over a four-year period from the date of grant and will expire ten years from such date. The net increase to the total outstanding options under the Company's various employee share option plans during the nine-month period ended September 30, 2005, amounted to 2,279,005 options.</w:t>
      </w:r>
    </w:p>
    <w:p>
      <w:pPr>
        <w:spacing w:after="0" w:line="327"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39"/>
          </w:cols>
          <w:pgMar w:left="220" w:top="449" w:right="1440" w:bottom="1440" w:gutter="0" w:footer="0" w:header="0"/>
        </w:sectPr>
      </w:pPr>
    </w:p>
    <w:bookmarkStart w:id="26" w:name="page27"/>
    <w:bookmarkEnd w:id="2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TO THE BANKS - In connection with the July 2005 amendment detailed in Note 4B above, the Company agreed to issue warrants to the Banks exercisable into an aggregate of 8,264,464 ordinary shares of the Company, with an exercise price of $1.21. One-half 4,132,232 of the warrants are exercisable for five years ending in August 2010, and one-half 4,132,232 of the warrants shall be exercisable for a five-year period commencing on the date on which the Company and its Banks will agree, if at all, upon the rescheduled repayment dates of the new loans of up to approximately $30,000, as described in Note 4B above. The cost of the currently exercisable 4,132,232 warrants, determined based on the fair value at the grant date in accordance with SFAS 123, amounted to a total of $2,793. Such amount is amortized as deferred financing charges over the term of the new loans of up to approximately $30,000.</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 JOINT DEVELOPMENT AGREEMENT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a Japanese semiconductor manufacturer corporation elected, and the Company agreed, to cease the joint development of certain technology and to terminate the agreement entered into between the parties in May 2002 described in Note 12B(3) to the 2004 audited consolidated financial statements ("the Original Agreement"). According to the terms of the termination agreement, the Japanese manufacturer paid an amount of $2,500 in April 2005. In addition, each party expressly released the other party from any obligations or liabilities of any nature in connection with the Original Agreement. The license rights granted to the parties continue pursuant to the terms of the Original Agreement. Subsequent to the termination of the agreement, and as a result of its termination, during the second quarter of 2005, the Company recognized revenues in the aggregate amount of $8,000.</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39"/>
          </w:cols>
          <w:pgMar w:left="220" w:top="449" w:right="1440"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CONTEMPLATED RIGHTS OFFERING</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2005, the Company filed in Israel and the U.S. a preliminary prospectus, which was amended in September 2005 and October 2005, for the distribution of transferable rights to purchase up to $50,000 in principal amount of convertible debentures. The rights are intended to be distributed to the shareholders of the Company on the record date and certain employees who on the record date hold options to purchase the Company's Ordinary Shares under share option plans that entitle the option holders to participate in a rights offering. Under the terms described in the preliminary prospectus, the debentures will bear interest at the rate of 5% per annum and principal, together with accrued interest, will be payable in one installment in 2011. The terms of the debentures set forth in the preliminary prospectus, including the conversion rate and subscription price, are subject to change and will be finalized in the prospectus to be declared effective by the U.S. Securities and Exchange Commission and the Israel Securities Authority.</w:t>
      </w:r>
    </w:p>
    <w:p>
      <w:pPr>
        <w:spacing w:after="0" w:line="331"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rights are expected to be listed for trading for a single day on the NASDAQ Capital Market and the Tel Aviv Stock Exchange. The debentures are expected to be listed and quoted on these exchanges.</w:t>
      </w:r>
    </w:p>
    <w:p>
      <w:pPr>
        <w:spacing w:after="0" w:line="161"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Equity Investors and Wafer Partners have committed and are obligated to invest $25,500 in the framework of the rights offering.</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payment of the principal and the interest on the debentures will be subordinated to the prior payment of all amounts payable by the Company to the Banks under the Facility Agreement. The debentures will also be effectively subordinated to amounts which the Company might owe to the Investment Center of the Israeli Ministry of Industry, Trade and Labor and to one of the Company's customers.</w:t>
      </w:r>
    </w:p>
    <w:p>
      <w:pPr>
        <w:spacing w:after="0" w:line="166"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rights offering is subject to the prospectus being declared effective by the U.S. Securities and Exchange Commission and the Israel Securities Authority.</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2005, the Company's Board of Directors approved the increase of the authorized share capital of the Company from 250,000,000 to 500,000,000 shares; such increase was approved by the shareholders of the Company in October 2005.</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39"/>
          </w:cols>
          <w:pgMar w:left="220" w:top="449" w:right="1440" w:bottom="1440" w:gutter="0" w:footer="0" w:header="0"/>
        </w:sectPr>
      </w:pPr>
    </w:p>
    <w:bookmarkStart w:id="28" w:name="page29"/>
    <w:bookmarkEnd w:id="2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September 30, 2005 in accordance with U.S. GAAP.</w:t>
      </w:r>
    </w:p>
    <w:p>
      <w:pPr>
        <w:spacing w:after="0" w:line="175" w:lineRule="exact"/>
        <w:rPr>
          <w:sz w:val="20"/>
          <w:szCs w:val="20"/>
          <w:color w:val="auto"/>
        </w:rPr>
      </w:pPr>
    </w:p>
    <w:p>
      <w:pPr>
        <w:ind w:left="880" w:right="409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the Company's designated cash, short-term and long-term interest-bearing deposits should be excluded from current assets and long-term investments and presented separately as a non-current asset. Accordingly, as of September 30, 2005, $17,972 was reclassified from current assets to a long-term asset (as of December 31, 2004 - $53,793 and $5,134, were reclassified from current assets and long-term investments, respectively, to a long-term asset).</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September 30, 2005, an amount of $15,296 was reclassified from other long-term liabilities to long-term investments (as of December 31, 2004 - $16,350).</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September 30, 2005 would have resulted in: an increase in other long-term investments in the amount of $1,327; an increase in other long-term liabilities in the amount of $233; a decrease in other comprehensive loss for the nine months ended September 30, 2005 in the net amount of $4,496; an accumulated other comprehensive loss component of equity balance as of September 30, 2005 in the amount of $2,559; and in a decrease of $3,623 in property and equipment, net as of September 30, 2005.</w:t>
      </w:r>
    </w:p>
    <w:p>
      <w:pPr>
        <w:spacing w:after="0" w:line="17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449" w:right="1440" w:bottom="1440" w:gutter="0" w:footer="0" w:header="0"/>
        </w:sectPr>
      </w:pPr>
    </w:p>
    <w:bookmarkStart w:id="29" w:name="page30"/>
    <w:bookmarkEnd w:id="29"/>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September 30, 2005 in accordance with SFAS 123, as amended by SFAS 148, the Company's pro forma loss and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c>
          <w:tcPr>
            <w:tcW w:w="400" w:type="dxa"/>
            <w:vAlign w:val="bottom"/>
          </w:tcPr>
          <w:p>
            <w:pPr>
              <w:spacing w:after="0"/>
              <w:rPr>
                <w:sz w:val="14"/>
                <w:szCs w:val="14"/>
                <w:color w:val="auto"/>
              </w:rPr>
            </w:pPr>
          </w:p>
        </w:tc>
        <w:tc>
          <w:tcPr>
            <w:tcW w:w="21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4"/>
                <w:szCs w:val="14"/>
                <w:color w:val="auto"/>
              </w:rPr>
            </w:pPr>
          </w:p>
        </w:tc>
        <w:tc>
          <w:tcPr>
            <w:tcW w:w="214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2005</w:t>
            </w:r>
          </w:p>
        </w:tc>
        <w:tc>
          <w:tcPr>
            <w:tcW w:w="4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2004</w:t>
            </w:r>
          </w:p>
        </w:tc>
        <w:tc>
          <w:tcPr>
            <w:tcW w:w="40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2005</w:t>
            </w:r>
          </w:p>
        </w:tc>
        <w:tc>
          <w:tcPr>
            <w:tcW w:w="44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2004</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(see G below)</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$(157,910)</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$(114,435)</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(55,350)</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(39,412)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(3,109)</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(3,584)</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(1,259)</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$(161,019)</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$(118,019)</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(56,609)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(40,673)</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GAAP (see I below)</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hanging="433"/>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September 30, 2005 and December 31, 2004 in the amount of $2,363 (net of $196 related issuance expenses), and a decrease in convertible debentures as of such dates in the amount of $2,559. The effect of amortization of the discount on the convertible debentures under U.S.GAAP for the periods ended at such dates would have been immaterial.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w:t>
      </w:r>
    </w:p>
    <w:p>
      <w:pPr>
        <w:sectPr>
          <w:pgSz w:w="11900" w:h="16838" w:orient="portrait"/>
          <w:cols w:equalWidth="0" w:num="1">
            <w:col w:w="10239"/>
          </w:cols>
          <w:pgMar w:left="220" w:top="449" w:right="1440" w:bottom="1440" w:gutter="0" w:footer="0" w:header="0"/>
        </w:sectPr>
      </w:pPr>
    </w:p>
    <w:bookmarkStart w:id="30" w:name="page31"/>
    <w:bookmarkEnd w:id="3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F.</w:t>
        <w:tab/>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4"/>
          </w:tcPr>
          <w:p>
            <w:pPr>
              <w:spacing w:after="0"/>
              <w:rPr>
                <w:sz w:val="20"/>
                <w:szCs w:val="20"/>
                <w:color w:val="auto"/>
              </w:rPr>
            </w:pPr>
            <w:r>
              <w:rPr>
                <w:rFonts w:ascii="Courier New" w:cs="Courier New" w:eastAsia="Courier New" w:hAnsi="Courier New"/>
                <w:sz w:val="15"/>
                <w:szCs w:val="15"/>
                <w:color w:val="auto"/>
              </w:rPr>
              <w:t>AS OF SEPTEMBER 30, 2005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8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U.S.</w:t>
            </w:r>
          </w:p>
        </w:tc>
        <w:tc>
          <w:tcPr>
            <w:tcW w:w="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AS PER</w:t>
            </w:r>
          </w:p>
        </w:tc>
      </w:tr>
      <w:tr>
        <w:trPr>
          <w:trHeight w:val="168"/>
        </w:trPr>
        <w:tc>
          <w:tcPr>
            <w:tcW w:w="478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GAAP</w:t>
            </w:r>
          </w:p>
        </w:tc>
        <w:tc>
          <w:tcPr>
            <w:tcW w:w="1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ISRAELI</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ADJUST-</w:t>
            </w:r>
          </w:p>
        </w:tc>
        <w:tc>
          <w:tcPr>
            <w:tcW w:w="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78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REMARK</w:t>
            </w:r>
          </w:p>
        </w:tc>
        <w:tc>
          <w:tcPr>
            <w:tcW w:w="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30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MENTS</w:t>
            </w:r>
          </w:p>
        </w:tc>
        <w:tc>
          <w:tcPr>
            <w:tcW w:w="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7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11,719</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INTEREST-BEARING DEPASITS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17,972</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(17,972)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9,632</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9,632</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8,099</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8,099</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20,902</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20,902</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2,429</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70,753</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(17,972)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52,781</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B,C</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16,623</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16,623</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16,623</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16,623</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w:t>
            </w: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534,661</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(3,623)</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531,038</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DESIGNATED CASH AND SHORT-TERM AND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17,972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17,972</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OTHER ASSETS, NET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w:t>
            </w: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83,313</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83,117</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$ 688,727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12,804</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$ 701,531</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59,783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59,783</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6,397</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(640)</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5,757</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9,203</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9,203</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75,383</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(640)</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74,743</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510,360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510,360</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w:t>
            </w: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19,192</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(1,919)</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17,273</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60,577</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60,577</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B,C</w:t>
            </w: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8,907</w:t>
            </w:r>
          </w:p>
        </w:tc>
        <w:tc>
          <w:tcPr>
            <w:tcW w:w="30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15,529</w:t>
            </w:r>
          </w:p>
        </w:tc>
        <w:tc>
          <w:tcPr>
            <w:tcW w:w="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24,436</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674,419</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12,970</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687,389</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ORDINARY SHARES, NIS 1.00 PAR VALUE - AUTHORIZED</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250,000,000 SHARES; ISSUED 68,007,609</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66,999,796 SHARES, RESPECTIVELY</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16,499</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16,499</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521,489</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2,363</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523,852</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w:t>
            </w: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(2,559)</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(514,582)</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(514,552)</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23,380</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(166)</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23,214</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14,308</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(166)</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14,142</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$ 688,727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12,804</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$ 701,531</w:t>
            </w:r>
          </w:p>
        </w:tc>
      </w:tr>
      <w:tr>
        <w:trPr>
          <w:trHeight w:val="168"/>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841"/>
        </w:trPr>
        <w:tc>
          <w:tcPr>
            <w:tcW w:w="4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Courier New" w:cs="Courier New" w:eastAsia="Courier New" w:hAnsi="Courier New"/>
                <w:sz w:val="15"/>
                <w:szCs w:val="15"/>
                <w:color w:val="auto"/>
              </w:rPr>
              <w:t>AS OF DECEMBER 31, 2004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4320" w:type="dxa"/>
            <w:vAlign w:val="bottom"/>
            <w:gridSpan w:val="7"/>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PER</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PER</w:t>
            </w:r>
          </w:p>
        </w:tc>
        <w:tc>
          <w:tcPr>
            <w:tcW w:w="78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ISRAELI</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GAAP</w:t>
            </w:r>
          </w:p>
        </w:tc>
        <w:tc>
          <w:tcPr>
            <w:tcW w:w="8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MENTS</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GAAP</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239"/>
          </w:cols>
          <w:pgMar w:left="220" w:top="449" w:right="1440"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INTEREST-BEARING DEPASITS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53,793</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25,669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139,595</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85,802</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609,296</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604,677</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DESIGNATED CASH AND SHORT-TERM AND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58,927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58,927</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OTHER ASSETS, NET</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93,483</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93,287</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$ 859,043</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65,326</w:t>
            </w:r>
          </w:p>
        </w:tc>
        <w:tc>
          <w:tcPr>
            <w:tcW w:w="260" w:type="dxa"/>
            <w:vAlign w:val="bottom"/>
          </w:tcPr>
          <w:p>
            <w:pPr>
              <w:spacing w:after="0"/>
              <w:rPr>
                <w:sz w:val="14"/>
                <w:szCs w:val="14"/>
                <w:color w:val="auto"/>
              </w:rPr>
            </w:pP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26,651</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24,092</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64,428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15,445</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18,756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34,201</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679,528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16,197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695,725</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250,000,000 SHARES; ISSUED 68,007,609</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66,999,796 SHARES, RESPECTIVELY</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519,839</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(356,672)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(356,642)</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177,052</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172,390</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167,980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163,318</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$ 859,043</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040" w:type="dxa"/>
            <w:vAlign w:val="bottom"/>
          </w:tcPr>
          <w:p>
            <w:pPr>
              <w:ind w:left="3240"/>
              <w:spacing w:after="0"/>
              <w:rPr>
                <w:sz w:val="20"/>
                <w:szCs w:val="20"/>
                <w:color w:val="auto"/>
              </w:rPr>
            </w:pPr>
            <w:r>
              <w:rPr>
                <w:rFonts w:ascii="Courier New" w:cs="Courier New" w:eastAsia="Courier New" w:hAnsi="Courier New"/>
                <w:sz w:val="15"/>
                <w:szCs w:val="15"/>
                <w:color w:val="auto"/>
              </w:rPr>
              <w:t>- 21 -</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32" w:name="page33"/>
    <w:bookmarkEnd w:id="3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STATEMENTS AS OF SEPTEMBER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nine-month and three-month periods ended September 30, 2005 and 2004.</w:t>
      </w:r>
    </w:p>
    <w:p>
      <w:pPr>
        <w:spacing w:after="0" w:line="15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IN ACCORDANCE WITH U.S. GAAP (SFAS 130)</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Nine months ended</w:t>
            </w:r>
          </w:p>
        </w:tc>
        <w:tc>
          <w:tcPr>
            <w:tcW w:w="2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200" w:type="dxa"/>
            <w:vAlign w:val="bottom"/>
          </w:tcPr>
          <w:p>
            <w:pPr>
              <w:spacing w:after="0"/>
              <w:rPr>
                <w:sz w:val="14"/>
                <w:szCs w:val="14"/>
                <w:color w:val="auto"/>
              </w:rPr>
            </w:pPr>
          </w:p>
        </w:tc>
        <w:tc>
          <w:tcPr>
            <w:tcW w:w="2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26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September 30,</w:t>
            </w:r>
          </w:p>
        </w:tc>
        <w:tc>
          <w:tcPr>
            <w:tcW w:w="24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200" w:type="dxa"/>
            <w:vAlign w:val="bottom"/>
          </w:tcPr>
          <w:p>
            <w:pPr>
              <w:spacing w:after="0"/>
              <w:rPr>
                <w:sz w:val="14"/>
                <w:szCs w:val="14"/>
                <w:color w:val="auto"/>
              </w:rPr>
            </w:pPr>
          </w:p>
        </w:tc>
        <w:tc>
          <w:tcPr>
            <w:tcW w:w="2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2005</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2005</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26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(unaudited)</w:t>
            </w:r>
          </w:p>
        </w:tc>
        <w:tc>
          <w:tcPr>
            <w:tcW w:w="24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Loss for the period, according</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U.S. GAAP (see G above)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$(157,910)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$(114,435)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(55,350)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(39,412)</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Reclassification of unrealized</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losses on derivatives</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996</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gains (losses) on</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derivatives</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3,500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3,638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(2,279)</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comprehensive loss</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the period</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$(153,414)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$(109,801)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(53,503)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(41,359)</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and APB 14 as described in G above), the basic and diluted loss per share for the nine-month and three-month periods ended September 30, 2005 would be $2.39 and $0.83, respectively (during the corresponding periods - $1.78 and $0.60, respectively).</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IN ACCORDANCE WITH U.S. GAAP (SFAS 95)</w:t>
      </w:r>
    </w:p>
    <w:p>
      <w:pPr>
        <w:spacing w:after="0" w:line="172"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95 would not have materially affected the cash flows of the Company for the nine-month and three-month periods ended September 30, 2005 and 2004.</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4"/>
    </w:lvl>
  </w:abstractNum>
  <w:abstractNum w:abstractNumId="3">
    <w:nsid w:val="41A7C4C9"/>
    <w:multiLevelType w:val="hybridMultilevel"/>
    <w:lvl w:ilvl="0">
      <w:lvlJc w:val="left"/>
      <w:lvlText w:val="%1."/>
      <w:numFmt w:val="decimal"/>
      <w:start w:val="5"/>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
    <w:nsid w:val="25E45D32"/>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2"/>
    </w:lvl>
    <w:lvl w:ilvl="3">
      <w:lvlJc w:val="left"/>
      <w:lvlText w:val="-"/>
      <w:numFmt w:val="bullet"/>
      <w:start w:val="1"/>
    </w:lvl>
  </w:abstractNum>
  <w:abstractNum w:abstractNumId="7">
    <w:nsid w:val="519B500D"/>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lvl w:ilvl="3">
      <w:lvlJc w:val="left"/>
      <w:lvlText w:val="-"/>
      <w:numFmt w:val="bullet"/>
      <w:start w:val="1"/>
    </w:lvl>
  </w:abstractNum>
  <w:abstractNum w:abstractNumId="8">
    <w:nsid w:val="431BD7B7"/>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9">
    <w:nsid w:val="3F2DBA31"/>
    <w:multiLevelType w:val="hybridMultilevel"/>
    <w:lvl w:ilvl="0">
      <w:lvlJc w:val="left"/>
      <w:lvlText w:val="%1."/>
      <w:numFmt w:val="upperLetter"/>
      <w:start w:val="1"/>
    </w:lvl>
    <w:lvl w:ilvl="1">
      <w:lvlJc w:val="left"/>
      <w:lvlText w:val="(%2)"/>
      <w:numFmt w:val="decimal"/>
      <w:start w:val="4"/>
    </w:lvl>
    <w:lvl w:ilvl="2">
      <w:lvlJc w:val="left"/>
      <w:lvlText w:val="%3."/>
      <w:numFmt w:val="upperLetter"/>
      <w:start w:val="2"/>
    </w:lvl>
    <w:lvl w:ilvl="3">
      <w:lvlJc w:val="left"/>
      <w:lvlText w:val="-"/>
      <w:numFmt w:val="bullet"/>
      <w:start w:val="1"/>
    </w:lvl>
  </w:abstractNum>
  <w:abstractNum w:abstractNumId="10">
    <w:nsid w:val="7C83E458"/>
    <w:multiLevelType w:val="hybridMultilevel"/>
    <w:lvl w:ilvl="0">
      <w:lvlJc w:val="left"/>
      <w:lvlText w:val="%1."/>
      <w:numFmt w:val="upperLetter"/>
      <w:start w:val="1"/>
    </w:lvl>
    <w:lvl w:ilvl="1">
      <w:lvlJc w:val="left"/>
      <w:lvlText w:val="(%2)"/>
      <w:numFmt w:val="decimal"/>
      <w:start w:val="4"/>
    </w:lvl>
    <w:lvl w:ilvl="2">
      <w:lvlJc w:val="left"/>
      <w:lvlText w:val="%3."/>
      <w:numFmt w:val="upperLetter"/>
      <w:start w:val="3"/>
    </w:lvl>
  </w:abstractNum>
  <w:abstractNum w:abstractNumId="11">
    <w:nsid w:val="257130A3"/>
    <w:multiLevelType w:val="hybridMultilevel"/>
    <w:lvl w:ilvl="0">
      <w:lvlJc w:val="left"/>
      <w:lvlText w:val="%1."/>
      <w:numFmt w:val="upperLetter"/>
      <w:start w:val="2"/>
    </w:lvl>
    <w:lvl w:ilvl="1">
      <w:lvlJc w:val="left"/>
      <w:lvlText w:val="-"/>
      <w:numFmt w:val="bullet"/>
      <w:start w:val="1"/>
    </w:lvl>
  </w:abstractNum>
  <w:abstractNum w:abstractNumId="12">
    <w:nsid w:val="62BBD95A"/>
    <w:multiLevelType w:val="hybridMultilevel"/>
    <w:lvl w:ilvl="0">
      <w:lvlJc w:val="left"/>
      <w:lvlText w:val="%1."/>
      <w:numFmt w:val="upperLetter"/>
      <w:start w:val="3"/>
    </w:lvl>
    <w:lvl w:ilvl="1">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6">
    <w:nsid w:val="721DA317"/>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abstractNum>
  <w:abstractNum w:abstractNumId="17">
    <w:nsid w:val="2443A858"/>
    <w:multiLevelType w:val="hybridMultilevel"/>
    <w:lvl w:ilvl="0">
      <w:lvlJc w:val="left"/>
      <w:lvlText w:val="%1."/>
      <w:numFmt w:val="upperLetter"/>
      <w:start w:val="2"/>
    </w:lvl>
  </w:abstractNum>
  <w:abstractNum w:abstractNumId="18">
    <w:nsid w:val="2D1D5AE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9">
    <w:nsid w:val="6763845E"/>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20">
    <w:nsid w:val="75A2A8D4"/>
    <w:multiLevelType w:val="hybridMultilevel"/>
    <w:lvl w:ilvl="0">
      <w:lvlJc w:val="left"/>
      <w:lvlText w:val="%1."/>
      <w:numFmt w:val="upperLetter"/>
      <w:start w:val="2"/>
    </w:lvl>
    <w:lvl w:ilvl="1">
      <w:lvlJc w:val="left"/>
      <w:lvlText w:val="(%2)"/>
      <w:numFmt w:val="decimal"/>
      <w:start w:val="5"/>
    </w:lvl>
    <w:lvl w:ilvl="2">
      <w:lvlJc w:val="left"/>
      <w:lvlText w:val="-"/>
      <w:numFmt w:val="bullet"/>
      <w:start w:val="1"/>
    </w:lvl>
  </w:abstractNum>
  <w:abstractNum w:abstractNumId="21">
    <w:nsid w:val="8EDBDAB"/>
    <w:multiLevelType w:val="hybridMultilevel"/>
    <w:lvl w:ilvl="0">
      <w:lvlJc w:val="left"/>
      <w:lvlText w:val="%1."/>
      <w:numFmt w:val="upperLetter"/>
      <w:start w:val="4"/>
    </w:lvl>
    <w:lvl w:ilvl="1">
      <w:lvlJc w:val="left"/>
      <w:lvlText w:val="-"/>
      <w:numFmt w:val="bullet"/>
      <w:start w:val="1"/>
    </w:lvl>
  </w:abstractNum>
  <w:abstractNum w:abstractNumId="22">
    <w:nsid w:val="79838CB2"/>
    <w:multiLevelType w:val="hybridMultilevel"/>
    <w:lvl w:ilvl="0">
      <w:lvlJc w:val="left"/>
      <w:lvlText w:val="%1."/>
      <w:numFmt w:val="upperLetter"/>
      <w:start w:val="1"/>
    </w:lvl>
    <w:lvl w:ilvl="1">
      <w:lvlJc w:val="left"/>
      <w:lvlText w:val="-"/>
      <w:numFmt w:val="bullet"/>
      <w:start w:val="1"/>
    </w:lvl>
  </w:abstractNum>
  <w:abstractNum w:abstractNumId="23">
    <w:nsid w:val="4353D0CD"/>
    <w:multiLevelType w:val="hybridMultilevel"/>
    <w:lvl w:ilvl="0">
      <w:lvlJc w:val="left"/>
      <w:lvlText w:val="%1."/>
      <w:numFmt w:val="upperLetter"/>
      <w:start w:val="4"/>
    </w:lvl>
  </w:abstractNum>
  <w:abstractNum w:abstractNumId="24">
    <w:nsid w:val="B03E0C6"/>
    <w:multiLevelType w:val="hybridMultilevel"/>
    <w:lvl w:ilvl="0">
      <w:lvlJc w:val="left"/>
      <w:lvlText w:val="%1."/>
      <w:numFmt w:val="upperLetter"/>
      <w:start w:val="5"/>
    </w:lvl>
    <w:lvl w:ilvl="1">
      <w:lvlJc w:val="left"/>
      <w:lvlText w:val="-"/>
      <w:numFmt w:val="bullet"/>
      <w:start w:val="1"/>
    </w:lvl>
  </w:abstractNum>
  <w:abstractNum w:abstractNumId="25">
    <w:nsid w:val="189A769B"/>
    <w:multiLevelType w:val="hybridMultilevel"/>
    <w:lvl w:ilvl="0">
      <w:lvlJc w:val="left"/>
      <w:lvlText w:val="%1."/>
      <w:numFmt w:val="upperLetter"/>
      <w:start w:val="7"/>
    </w:lvl>
  </w:abstractNum>
  <w:abstractNum w:abstractNumId="26">
    <w:nsid w:val="54E49EB4"/>
    <w:multiLevelType w:val="hybridMultilevel"/>
    <w:lvl w:ilvl="0">
      <w:lvlJc w:val="left"/>
      <w:lvlText w:val="%1."/>
      <w:numFmt w:val="upperLetter"/>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2019-12-14T04:06:53Z</dcterms:created>
  <dcterms:modified xsi:type="dcterms:W3CDTF">2019-12-14T04:06:53Z</dcterms:modified>
</cp:coreProperties>
</file>