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As filed with the Securities and Exchange Commission on September 22, 2005</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F-2</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88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80745"/>
                    </a:xfrm>
                    <a:prstGeom prst="rect">
                      <a:avLst/>
                    </a:prstGeom>
                    <a:noFill/>
                  </pic:spPr>
                </pic:pic>
              </a:graphicData>
            </a:graphic>
          </wp:anchor>
        </w:drawing>
      </w:r>
    </w:p>
    <w:p>
      <w:pPr>
        <w:spacing w:after="0" w:line="35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Class of</w:t>
            </w:r>
          </w:p>
        </w:tc>
        <w:tc>
          <w:tcPr>
            <w:tcW w:w="2160" w:type="dxa"/>
            <w:vAlign w:val="bottom"/>
          </w:tcPr>
          <w:p>
            <w:pPr>
              <w:spacing w:after="0"/>
              <w:rPr>
                <w:sz w:val="14"/>
                <w:szCs w:val="14"/>
                <w:color w:val="auto"/>
              </w:rPr>
            </w:pPr>
          </w:p>
        </w:tc>
        <w:tc>
          <w:tcPr>
            <w:tcW w:w="236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Proposed Maximum</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00" w:type="dxa"/>
            <w:vAlign w:val="bottom"/>
          </w:tcPr>
          <w:p>
            <w:pPr>
              <w:spacing w:after="0"/>
              <w:rPr>
                <w:sz w:val="14"/>
                <w:szCs w:val="14"/>
                <w:color w:val="auto"/>
              </w:rPr>
            </w:pPr>
          </w:p>
        </w:tc>
      </w:tr>
      <w:tr>
        <w:trPr>
          <w:trHeight w:val="149"/>
        </w:trPr>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23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223"/>
        </w:trPr>
        <w:tc>
          <w:tcPr>
            <w:tcW w:w="2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2"/>
              </w:rPr>
              <w:t>Registered</w:t>
            </w:r>
          </w:p>
        </w:tc>
        <w:tc>
          <w:tcPr>
            <w:tcW w:w="2160" w:type="dxa"/>
            <w:vAlign w:val="bottom"/>
            <w:tcBorders>
              <w:bottom w:val="single" w:sz="8" w:color="2C2C2C"/>
            </w:tcBorders>
          </w:tcPr>
          <w:p>
            <w:pPr>
              <w:jc w:val="center"/>
              <w:spacing w:after="0" w:line="217"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2360" w:type="dxa"/>
            <w:vAlign w:val="bottom"/>
            <w:tcBorders>
              <w:bottom w:val="single" w:sz="8" w:color="2C2C2C"/>
            </w:tcBorders>
          </w:tcPr>
          <w:p>
            <w:pPr>
              <w:jc w:val="center"/>
              <w:ind w:left="32"/>
              <w:spacing w:after="0"/>
              <w:rPr>
                <w:sz w:val="20"/>
                <w:szCs w:val="20"/>
                <w:color w:val="auto"/>
              </w:rPr>
            </w:pPr>
            <w:r>
              <w:rPr>
                <w:rFonts w:ascii="Arial" w:cs="Arial" w:eastAsia="Arial" w:hAnsi="Arial"/>
                <w:sz w:val="14"/>
                <w:szCs w:val="14"/>
                <w:b w:val="1"/>
                <w:bCs w:val="1"/>
                <w:color w:val="auto"/>
                <w:w w:val="95"/>
              </w:rPr>
              <w:t>Unit</w:t>
            </w:r>
          </w:p>
        </w:tc>
        <w:tc>
          <w:tcPr>
            <w:tcW w:w="2340" w:type="dxa"/>
            <w:vAlign w:val="bottom"/>
            <w:tcBorders>
              <w:bottom w:val="single" w:sz="8" w:color="2C2C2C"/>
            </w:tcBorders>
          </w:tcPr>
          <w:p>
            <w:pPr>
              <w:jc w:val="center"/>
              <w:spacing w:after="0" w:line="216" w:lineRule="exact"/>
              <w:rPr>
                <w:sz w:val="20"/>
                <w:szCs w:val="20"/>
                <w:color w:val="auto"/>
              </w:rPr>
            </w:pPr>
            <w:r>
              <w:rPr>
                <w:rFonts w:ascii="Arial" w:cs="Arial" w:eastAsia="Arial" w:hAnsi="Arial"/>
                <w:sz w:val="25"/>
                <w:szCs w:val="25"/>
                <w:b w:val="1"/>
                <w:bCs w:val="1"/>
                <w:color w:val="auto"/>
                <w:w w:val="82"/>
                <w:vertAlign w:val="subscript"/>
              </w:rPr>
              <w:t>Price</w:t>
            </w:r>
            <w:r>
              <w:rPr>
                <w:rFonts w:ascii="Arial" w:cs="Arial" w:eastAsia="Arial" w:hAnsi="Arial"/>
                <w:sz w:val="11"/>
                <w:szCs w:val="11"/>
                <w:b w:val="1"/>
                <w:bCs w:val="1"/>
                <w:color w:val="auto"/>
                <w:w w:val="82"/>
              </w:rPr>
              <w:t>(1)(2)</w:t>
            </w:r>
          </w:p>
        </w:tc>
        <w:tc>
          <w:tcPr>
            <w:tcW w:w="22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bl>
    <w:p>
      <w:pPr>
        <w:spacing w:after="0" w:line="32" w:lineRule="exact"/>
        <w:rPr>
          <w:sz w:val="24"/>
          <w:szCs w:val="24"/>
          <w:color w:val="auto"/>
        </w:rPr>
      </w:pPr>
    </w:p>
    <w:p>
      <w:pPr>
        <w:sectPr>
          <w:pgSz w:w="11900" w:h="16838" w:orient="portrait"/>
          <w:cols w:equalWidth="0" w:num="1">
            <w:col w:w="11420"/>
          </w:cols>
          <w:pgMar w:left="240" w:top="314" w:right="239" w:bottom="0" w:gutter="0" w:footer="0" w:header="0"/>
        </w:sectPr>
      </w:pPr>
    </w:p>
    <w:tbl>
      <w:tblPr>
        <w:tblLayout w:type="fixed"/>
        <w:tblInd w:w="80" w:type="dxa"/>
        <w:tblCellMar>
          <w:top w:w="0" w:type="dxa"/>
          <w:left w:w="0" w:type="dxa"/>
          <w:bottom w:w="0" w:type="dxa"/>
          <w:right w:w="0" w:type="dxa"/>
        </w:tblCellMar>
      </w:tblP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Rights to purchase</w:t>
            </w:r>
          </w:p>
        </w:tc>
        <w:tc>
          <w:tcPr>
            <w:tcW w:w="4820" w:type="dxa"/>
            <w:vAlign w:val="bottom"/>
          </w:tcPr>
          <w:p>
            <w:pPr>
              <w:jc w:val="right"/>
              <w:ind w:right="612"/>
              <w:spacing w:after="0"/>
              <w:rPr>
                <w:sz w:val="20"/>
                <w:szCs w:val="20"/>
                <w:color w:val="auto"/>
              </w:rPr>
            </w:pPr>
            <w:r>
              <w:rPr>
                <w:rFonts w:ascii="Arial" w:cs="Arial" w:eastAsia="Arial" w:hAnsi="Arial"/>
                <w:sz w:val="18"/>
                <w:szCs w:val="18"/>
                <w:color w:val="auto"/>
              </w:rPr>
              <w:t>$19,688,100.00</w:t>
            </w:r>
          </w:p>
        </w:tc>
        <w:tc>
          <w:tcPr>
            <w:tcW w:w="1380" w:type="dxa"/>
            <w:vAlign w:val="bottom"/>
          </w:tcPr>
          <w:p>
            <w:pPr>
              <w:jc w:val="right"/>
              <w:spacing w:after="0"/>
              <w:rPr>
                <w:sz w:val="20"/>
                <w:szCs w:val="20"/>
                <w:color w:val="auto"/>
              </w:rPr>
            </w:pPr>
            <w:r>
              <w:rPr>
                <w:rFonts w:ascii="Arial" w:cs="Arial" w:eastAsia="Arial" w:hAnsi="Arial"/>
                <w:sz w:val="18"/>
                <w:szCs w:val="18"/>
                <w:color w:val="auto"/>
              </w:rPr>
              <w:t>$2,317.29</w:t>
            </w:r>
          </w:p>
        </w:tc>
      </w:tr>
    </w:tbl>
    <w:p>
      <w:pPr>
        <w:ind w:left="80"/>
        <w:spacing w:after="0"/>
        <w:rPr>
          <w:sz w:val="20"/>
          <w:szCs w:val="20"/>
          <w:color w:val="auto"/>
        </w:rPr>
      </w:pPr>
      <w:r>
        <w:rPr>
          <w:rFonts w:ascii="Arial" w:cs="Arial" w:eastAsia="Arial" w:hAnsi="Arial"/>
          <w:sz w:val="18"/>
          <w:szCs w:val="18"/>
          <w:color w:val="auto"/>
        </w:rPr>
        <w:t>convertible debentures,</w:t>
      </w:r>
    </w:p>
    <w:p>
      <w:pPr>
        <w:spacing w:after="0" w:line="9" w:lineRule="exact"/>
        <w:rPr>
          <w:sz w:val="24"/>
          <w:szCs w:val="24"/>
          <w:color w:val="auto"/>
        </w:rPr>
      </w:pPr>
    </w:p>
    <w:p>
      <w:pPr>
        <w:ind w:left="80"/>
        <w:spacing w:after="0"/>
        <w:rPr>
          <w:sz w:val="20"/>
          <w:szCs w:val="20"/>
          <w:color w:val="auto"/>
        </w:rPr>
      </w:pPr>
      <w:r>
        <w:rPr>
          <w:rFonts w:ascii="Arial" w:cs="Arial" w:eastAsia="Arial" w:hAnsi="Arial"/>
          <w:sz w:val="18"/>
          <w:szCs w:val="18"/>
          <w:color w:val="auto"/>
        </w:rPr>
        <w:t>convertible debentures and</w:t>
      </w:r>
    </w:p>
    <w:p>
      <w:pPr>
        <w:sectPr>
          <w:pgSz w:w="11900" w:h="16838" w:orient="portrait"/>
          <w:cols w:equalWidth="0" w:num="1">
            <w:col w:w="11420"/>
          </w:cols>
          <w:pgMar w:left="240" w:top="314"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t>ordinary shares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6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673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conversion of convertible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debentures</w:t>
      </w:r>
    </w:p>
    <w:p>
      <w:pPr>
        <w:spacing w:after="0" w:line="313" w:lineRule="exact"/>
        <w:rPr>
          <w:sz w:val="20"/>
          <w:szCs w:val="20"/>
          <w:color w:val="auto"/>
        </w:rPr>
      </w:pPr>
    </w:p>
    <w:p>
      <w:pPr>
        <w:ind w:left="1160" w:right="260" w:hanging="571"/>
        <w:spacing w:after="0" w:line="256"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this registration statement also includes an indeterminate number of shares that may be issued upon conversion of the convertible debentures under the terms thereof. No additional consideration will be received for any shares of common stock issued upon conversion of the convertible notes, and therefore no registration fee is required pursuant to Rule 457(i) of the Securities Act of 1933.</w:t>
      </w:r>
    </w:p>
    <w:p>
      <w:pPr>
        <w:spacing w:after="0" w:line="224" w:lineRule="exact"/>
        <w:rPr>
          <w:rFonts w:ascii="Arial" w:cs="Arial" w:eastAsia="Arial" w:hAnsi="Arial"/>
          <w:sz w:val="18"/>
          <w:szCs w:val="18"/>
          <w:color w:val="auto"/>
        </w:rPr>
      </w:pPr>
    </w:p>
    <w:p>
      <w:pPr>
        <w:ind w:left="1160" w:right="480" w:hanging="571"/>
        <w:spacing w:after="0" w:line="259"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which is calculated in accordance with Rule 457(o) of the rules and regulations under the Securities Act of 1933. In no event will the aggregate maximum offering price of all securities issued pursuant to this Registration Statement exceed $19,688,100.</w:t>
      </w:r>
    </w:p>
    <w:p>
      <w:pPr>
        <w:spacing w:after="0" w:line="200" w:lineRule="exact"/>
        <w:rPr>
          <w:sz w:val="20"/>
          <w:szCs w:val="20"/>
          <w:color w:val="auto"/>
        </w:rPr>
      </w:pPr>
    </w:p>
    <w:p>
      <w:pPr>
        <w:spacing w:after="0" w:line="23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Preliminary Prospectus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September 22 , 2005</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285750</wp:posOffset>
            </wp:positionV>
            <wp:extent cx="171513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 OF RIGHTS TO PURCHASE DEBENTURES CONVERTIBLE INTO ORDINARY SHARES</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We are distributing transferable rights to purchase up to $50 million of U.S. dollar denominated debentures that are convertible into up to 45,454,545 of our ordinary shares to those persons that, as of 5:00 p.m., New York City time (midnight, Israel time) on the record date of _____, 2005 (two days after the date of</w:t>
      </w:r>
    </w:p>
    <w:p>
      <w:pPr>
        <w:ind w:right="80"/>
        <w:spacing w:after="0" w:line="300" w:lineRule="auto"/>
        <w:rPr>
          <w:sz w:val="20"/>
          <w:szCs w:val="20"/>
          <w:color w:val="auto"/>
        </w:rPr>
      </w:pPr>
      <w:r>
        <w:rPr>
          <w:rFonts w:ascii="Arial" w:cs="Arial" w:eastAsia="Arial" w:hAnsi="Arial"/>
          <w:sz w:val="15"/>
          <w:szCs w:val="15"/>
          <w:color w:val="auto"/>
        </w:rPr>
        <w:t>this prospectus) were either shareholders of our company or eligible employees holding options to purchase our ordinary shares under our share option plans that entitle option holders to participate in a rights offering. You will receive one right for each 138.59 ordinary shares and/or eligible employee options that you hold on the record date. If you hold 138 or fewer ordinary shares and/or eligible options on the record date, you will not receive any rights. Each right will entitle you to purchase, at a subscription price of $100.00, 100 U.S. dollar denominated debentures. The debentures will be convertible into our ordinary shares at a rate of one ordinary share per $1.10 aggregate principal amount of debentures. Each debenture is of $1.00 in principal amount, and bears annual interest at the rate of 5%. Principal, together with accrued interest, is payable in one installment on _______, 2011. The rights are exercisable during a 23-day period, beginning after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5:00 p.m., New York City time (midnight, Israel time) on _______ __, 2005 and ending on _______ __, 2005 at 5:00 p.m., New York City time (midnight, Israel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payment of the principal of and interest on the debentures is subordinated to the prior payment of all amounts payable by us to Bank Hapoalim B.M. and Bank Leumi Le-Israel Ltd. under our credit facility agreement with them. The debentures are also effectively subordinated to amounts which we might owe to the Investment Center of the Israeli Ministry of Industry, Trade and Labor and to one of our customers.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Commencing _________ __, 2005 (__ days after the date of this prospectus) and until ______ __, 2011, the debentures are convertible into our ordinary</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at a conversion rate of one ordinary share per $1.10 aggregate principal amount of debentures. The conversion rate is subject to adjustment and the debentures may be automatically converted into our ordinary shares in certain circumstances. For a detailed description of the debentures, see “Description of the Debentures.”</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purchase an aggregate of $25.5 million of the $50 million principal amount of convertible debentures issuable upon exercise of the rights being distributed. The rights to be distributed to these major shareholders,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172" w:lineRule="exact"/>
        <w:rPr>
          <w:sz w:val="20"/>
          <w:szCs w:val="20"/>
          <w:color w:val="auto"/>
        </w:rPr>
      </w:pPr>
    </w:p>
    <w:p>
      <w:pPr>
        <w:ind w:right="380" w:firstLine="351"/>
        <w:spacing w:after="0" w:line="286" w:lineRule="auto"/>
        <w:rPr>
          <w:sz w:val="20"/>
          <w:szCs w:val="20"/>
          <w:color w:val="auto"/>
        </w:rPr>
      </w:pPr>
      <w:r>
        <w:rPr>
          <w:rFonts w:ascii="Arial" w:cs="Arial" w:eastAsia="Arial" w:hAnsi="Arial"/>
          <w:sz w:val="16"/>
          <w:szCs w:val="16"/>
          <w:color w:val="auto"/>
        </w:rPr>
        <w:t>Our ordinary shares trade on the NASDAQ National Market under the symbol “TSEM” and on the Tel Aviv Stock Exchange in Israel under the symbol “TSEM.” The debentures will be listed on the NASDAQ SmallCap Market under the symbol “______” and the Tel Aviv Stock Exchange under the symbol</w:t>
      </w:r>
    </w:p>
    <w:p>
      <w:pPr>
        <w:ind w:right="60"/>
        <w:spacing w:after="0" w:line="323" w:lineRule="auto"/>
        <w:rPr>
          <w:sz w:val="20"/>
          <w:szCs w:val="20"/>
          <w:color w:val="auto"/>
        </w:rPr>
      </w:pPr>
      <w:r>
        <w:rPr>
          <w:rFonts w:ascii="Arial" w:cs="Arial" w:eastAsia="Arial" w:hAnsi="Arial"/>
          <w:sz w:val="16"/>
          <w:szCs w:val="16"/>
          <w:color w:val="auto"/>
        </w:rPr>
        <w:t>“TSEM.C2” and may be identified on the Tel Aviv Stock Exchange as Debentures (Series B). On September 20, 2005, the last reported sale price of our ordinary shares on the NASDAQ National Market was $1.24 per share and on the Tel Aviv Stock Exchange was NIS 577.20 per share.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are transferable and will be listed for trading for a single day on the NASDAQ SmallCap Market under the symbol “______” and on the Tel Aviv</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Exchange under the symbol “TSEM.R2". The trading day will be _______ __, 2005 (21 days after the date of this prospectus). If you hold your rights</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through an Israeli brokerage company that holds the rights through the nominee company of the Tel Aviv Stock Exchange, you will be considered to have instructed your broker to sell all your rights on the Tel Aviv Stock Exchange with no price limit, if you fail to give your broker instructions regarding the exercise, non-exercise or sale of the rights prior to _______ __, 2005 (21 days after the date of this prospectus).</w:t>
      </w:r>
    </w:p>
    <w:p>
      <w:pPr>
        <w:sectPr>
          <w:pgSz w:w="11900" w:h="16838" w:orient="portrait"/>
          <w:cols w:equalWidth="0" w:num="1">
            <w:col w:w="11400"/>
          </w:cols>
          <w:pgMar w:left="240" w:top="131" w:right="259" w:bottom="0" w:gutter="0" w:footer="0" w:header="0"/>
        </w:sectPr>
      </w:pPr>
    </w:p>
    <w:bookmarkStart w:id="2" w:name="page3"/>
    <w:bookmarkEnd w:id="2"/>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is not secured by an underwriting commitment.</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This is a preliminary prospectus and is subject to change. As such, all pricing terms, including the aggregate principal amount of the convertible debentures, the rate of interest and the conversion rate are subject to change.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9.</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date of this prospectus is _______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60" w:type="dxa"/>
            <w:vAlign w:val="bottom"/>
            <w:gridSpan w:val="6"/>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394"/>
        </w:trPr>
        <w:tc>
          <w:tcPr>
            <w:tcW w:w="99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RECENT DEVELOPMENTS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78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SPECIAL NOTE ON FORWARD-LOOKING STATEMENTS</w:t>
              </w:r>
            </w:hyperlink>
          </w:p>
        </w:tc>
        <w:tc>
          <w:tcPr>
            <w:tcW w:w="54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4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DILUTION; EFFECT OF THE RIGHTS OFFERING ON OUR OUTSTANDING SHARES, OPTIONS,</w:t>
              </w:r>
            </w:hyperlink>
          </w:p>
        </w:tc>
        <w:tc>
          <w:tcPr>
            <w:tcW w:w="250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WARRANTS AND CONVERTIBLE SECURITIES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USE OF PROCEEDS</w:t>
              </w:r>
            </w:hyperlink>
          </w:p>
        </w:tc>
        <w:tc>
          <w:tcPr>
            <w:tcW w:w="2120" w:type="dxa"/>
            <w:vAlign w:val="bottom"/>
            <w:tcBorders>
              <w:top w:val="single" w:sz="8" w:color="0000EE"/>
            </w:tcBorders>
            <w:gridSpan w:val="7"/>
          </w:tcPr>
          <w:p>
            <w:pPr>
              <w:spacing w:after="0"/>
              <w:rPr>
                <w:sz w:val="17"/>
                <w:szCs w:val="17"/>
                <w:color w:val="auto"/>
              </w:rPr>
            </w:pPr>
          </w:p>
        </w:tc>
        <w:tc>
          <w:tcPr>
            <w:tcW w:w="622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RIGHTS OFFERING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DEBENTURES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DIVIDEND POLICY</w:t>
              </w:r>
            </w:hyperlink>
          </w:p>
        </w:tc>
        <w:tc>
          <w:tcPr>
            <w:tcW w:w="692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MATERIAL INCOME TAX CONSIDERATIONS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SHARE CAPITAL</w:t>
              </w:r>
            </w:hyperlink>
          </w:p>
        </w:tc>
        <w:tc>
          <w:tcPr>
            <w:tcW w:w="496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UNDERTAKING TO REFRAIN FROM ACTIONS NOT DISCLOSED IN THIS PROSPECTUS</w:t>
              </w:r>
            </w:hyperlink>
          </w:p>
        </w:tc>
        <w:tc>
          <w:tcPr>
            <w:tcW w:w="300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THE ISRAEL SECURITIES AUTHORITY EXEMPTION</w:t>
              </w:r>
            </w:hyperlink>
          </w:p>
        </w:tc>
        <w:tc>
          <w:tcPr>
            <w:tcW w:w="4400" w:type="dxa"/>
            <w:vAlign w:val="bottom"/>
            <w:tcBorders>
              <w:top w:val="single" w:sz="8" w:color="0000EE"/>
            </w:tcBorders>
            <w:gridSpan w:val="6"/>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1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WHERE YOU CAN FIND MORE INFORMATION; INCORPORATION OF INFORMATION BY REFERENCE</w:t>
              </w:r>
            </w:hyperlink>
          </w:p>
        </w:tc>
        <w:tc>
          <w:tcPr>
            <w:tcW w:w="18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3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section answers in summary form some questions you may have about us and this rights offering. You should read the entire prospectus carefully. This prospectus contains figures in U.S. dollars and in New Israeli Shekels. Unless otherwise stated herein, the representative exchange rate used in this prospectus of the U.S. dollar and NIS was NIS 4.55 =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QUESTIONS AND ANSWERS ABOUT TOWER SEMICONDUCTOR LTD.</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do we do?</w:t>
      </w:r>
    </w:p>
    <w:p>
      <w:pPr>
        <w:spacing w:after="0" w:line="31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and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0.18-micron, while our 0.13-micron technology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and adjacent to our first facility, Fab 1. Depending on the process technology and product mix, as of June 30, 2005, Fab 1 is able to achieve capacity levels</w:t>
      </w:r>
    </w:p>
    <w:p>
      <w:pPr>
        <w:spacing w:after="0" w:line="290" w:lineRule="auto"/>
        <w:rPr>
          <w:sz w:val="20"/>
          <w:szCs w:val="20"/>
          <w:color w:val="auto"/>
        </w:rPr>
      </w:pPr>
      <w:r>
        <w:rPr>
          <w:rFonts w:ascii="Arial" w:cs="Arial" w:eastAsia="Arial" w:hAnsi="Arial"/>
          <w:sz w:val="16"/>
          <w:szCs w:val="16"/>
          <w:color w:val="auto"/>
        </w:rPr>
        <w:t>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June 2005 was 14,600 wafers per month. We currently expect to have production capacity of 15,400 wafers per month by the end of 2005, of which approximately 800 wafers per month are expected to be in 0.13-micron. Depending on the process technology and product mix, when fully ramped-up we estimate that Fab 2 will be able to achieve capacity levels of up to 36,000 wafers per month.</w:t>
      </w:r>
    </w:p>
    <w:p>
      <w:pPr>
        <w:spacing w:after="0" w:line="172"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w:t>
      </w:r>
    </w:p>
    <w:p>
      <w:pPr>
        <w:sectPr>
          <w:pgSz w:w="11900" w:h="16885" w:orient="portrait"/>
          <w:cols w:equalWidth="0" w:num="1">
            <w:col w:w="11420"/>
          </w:cols>
          <w:pgMar w:left="240" w:top="131" w:right="239" w:bottom="0" w:gutter="0" w:footer="0" w:header="0"/>
        </w:sectPr>
      </w:pPr>
    </w:p>
    <w:bookmarkStart w:id="3" w:name="page4"/>
    <w:bookmarkEnd w:id="3"/>
    <w:p>
      <w:pPr>
        <w:ind w:right="120"/>
        <w:spacing w:after="0" w:line="259" w:lineRule="auto"/>
        <w:rPr>
          <w:sz w:val="20"/>
          <w:szCs w:val="20"/>
          <w:color w:val="auto"/>
        </w:rPr>
      </w:pPr>
      <w:r>
        <w:rPr>
          <w:rFonts w:ascii="Arial" w:cs="Arial" w:eastAsia="Arial" w:hAnsi="Arial"/>
          <w:sz w:val="18"/>
          <w:szCs w:val="18"/>
          <w:color w:val="auto"/>
        </w:rPr>
        <w:t>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are we located?</w:t>
      </w:r>
    </w:p>
    <w:p>
      <w:pPr>
        <w:spacing w:after="0" w:line="31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can you find more information about us?</w:t>
      </w:r>
    </w:p>
    <w:p>
      <w:pPr>
        <w:spacing w:after="0" w:line="31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QUESTIONS AND ANSWERS ABOUT THE RIGHTS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is an offering of rights to purchase convertible debentures?</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offering of rights to purchase convertible debentures is an opportunity for our shareholders to purchase debentures convertible into our ordinary shares in an amount proportional to each shareholder’s existing interest in our ordinary shares. We are also distributing rights to our eligible employees who hold options under our share option plans that entitle option holders to participate in this offering.</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securities may be purchased under each right?</w:t>
      </w:r>
    </w:p>
    <w:p>
      <w:pPr>
        <w:spacing w:after="0" w:line="312"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Each right entitles the holder to purchase, at a price of $100.00, one hundred U.S. dollar denominated debentures. Each debenture is of $1.00 in principal amount. The debentures will be convertible into our ordinary shares at a rate of one ordinary share per $1.10 aggregate principal amount of debentures.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rights will you receive?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person who, at the close of business at 5:00 p.m., New York City time (midnight, Israel time), on _____ __, 2005 (the record date, two days after the</w:t>
      </w:r>
    </w:p>
    <w:p>
      <w:pPr>
        <w:spacing w:after="0" w:line="38"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date of this prospectus), owns our ordinary shares and/or options under our employee share option plans that entitle option holders to participate in this offering will receive, at no charge, one right for each 138.59 ordinary shares and/or eligible options owned on the record date. If you hold 138 or fewer ordinary shares and/or eligible options on the record date, you will not receive any rights.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securities are being offered upon exercise of the rights?</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One right entitles its holder to purchase, at a price of $100.00, one hundred debentures convertible into our ordinary shares. Each debenture is of $1.00 in principal amount. The debentures will be convertible into our ordinary shares at a rate of one ordinary share per $1.10 aggregate principal amount of debentures. Your rights will be aggregated for all the shares (and/or eligible employee options, as the case may be) that you own on the record date and then rounded down to the nearest whole number, so that you will not receive fractional rights. For example, if you own 139 shares on _________ __, 2005 (the record date, two days</w:t>
      </w:r>
    </w:p>
    <w:p>
      <w:pPr>
        <w:spacing w:after="0" w:line="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after the date of this prospectus), you will receive one right. When you exercise a right, you choose to purchase the number of debentures that the right entitles you to purchase. You may exercise all or a portion of your rights, or you may choose not to exercise any of your rights. In addition, you may sell the rights on NASDAQ and the Tel Aviv stock exchanges, during one single trading day. You may pay us the subscription price either in U.S. dollars, or if you are an Israeli resident, in New Israeli Shekels according to the U.S. dollar/NIS representative exchange rate published by the Bank of Israel on the day before payment of the subscription price.</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principal and interest be paid?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debentures will bear interest at the rate per annum of 5%. Principal of the debentures is payable, together with accrued interest, in one installment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 2011. Instruments representing the debentures will be issued in denominations of $1.00 and integral multiples thereof.</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which is 23 days after the date of this prospectus,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will be computed on the basis of a 365-day year.</w:t>
      </w:r>
    </w:p>
    <w:p>
      <w:pPr>
        <w:spacing w:after="0" w:line="219"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Accrued interest will not be payable upon conversion, mandatory or otherwise, of the debentures into our ordinary shares and you will lose your right to any accrued interest upon any conversion of the debentures into our ordinary shares.</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payment of interest on and principal of the debentures may be postponed (with interest continuing to accrue at the rate of 5% per annum) under the terms of our bank credit facility agreement (See “Description of the Debentures – Subordination of Debentures”).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may the debentures be converted?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Commencing __ days after the date of this prospectus (_____ __, 2005) and until ______ __, 2011 (inclusive), the debentures are convertible into our</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ordinary shares at a conversion rate of one ordinary share per $1.10 aggregate principal amount of debentures. 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Could the conversion rate be adjusted and under what circumstances?</w:t>
      </w:r>
    </w:p>
    <w:p>
      <w:pPr>
        <w:sectPr>
          <w:pgSz w:w="11900" w:h="16838" w:orient="portrait"/>
          <w:cols w:equalWidth="0" w:num="1">
            <w:col w:w="11420"/>
          </w:cols>
          <w:pgMar w:left="240" w:top="131" w:right="239" w:bottom="0" w:gutter="0" w:footer="0" w:header="0"/>
        </w:sectPr>
      </w:pPr>
    </w:p>
    <w:bookmarkStart w:id="4" w:name="page5"/>
    <w:bookmarkEnd w:id="4"/>
    <w:p>
      <w:pPr>
        <w:ind w:right="580" w:firstLine="345"/>
        <w:spacing w:after="0" w:line="268" w:lineRule="auto"/>
        <w:rPr>
          <w:sz w:val="20"/>
          <w:szCs w:val="20"/>
          <w:color w:val="auto"/>
        </w:rPr>
      </w:pPr>
      <w:r>
        <w:rPr>
          <w:rFonts w:ascii="Arial" w:cs="Arial" w:eastAsia="Arial" w:hAnsi="Arial"/>
          <w:sz w:val="18"/>
          <w:szCs w:val="18"/>
          <w:color w:val="auto"/>
        </w:rPr>
        <w:t>Yes. The conversion rate will be adjusted if either of the two scenarios described under “Description of the Debentures – Conversion of Debentures – Adjustment to Conversion Rate” occurs.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conversion rate is also subject to customary adjustments following certain events such as the issuance of our capital stock as a dividend (bonus shares), subdivisions, combinations and reclassifications of our ordinary shares and future rights offerings.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Must I convert the debentures I hold into ordinary shares?</w:t>
      </w:r>
    </w:p>
    <w:p>
      <w:pPr>
        <w:spacing w:after="0" w:line="31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No. However, the debentures will automatically convert into ordinary shares if either of the two scenarios described under “Description of the Debentures – Conversion of Debentures – Mandatory Conversion” occurs. Accrued interest will not be payable by us upon the conversion, mandatory or otherwise, of the debentures into our ordinary shares and you will lose your right to any accrued interest upon any conversion of the debentures into our ordinary shares.</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the debentures be redeemed prior to their maturity date?</w:t>
      </w:r>
    </w:p>
    <w:p>
      <w:pPr>
        <w:spacing w:after="0" w:line="312" w:lineRule="exact"/>
        <w:rPr>
          <w:sz w:val="20"/>
          <w:szCs w:val="20"/>
          <w:color w:val="auto"/>
        </w:rPr>
      </w:pPr>
    </w:p>
    <w:p>
      <w:pPr>
        <w:ind w:right="340" w:firstLine="345"/>
        <w:spacing w:after="0" w:line="268" w:lineRule="auto"/>
        <w:rPr>
          <w:sz w:val="20"/>
          <w:szCs w:val="20"/>
          <w:color w:val="auto"/>
        </w:rPr>
      </w:pPr>
      <w:r>
        <w:rPr>
          <w:rFonts w:ascii="Arial" w:cs="Arial" w:eastAsia="Arial" w:hAnsi="Arial"/>
          <w:sz w:val="18"/>
          <w:szCs w:val="18"/>
          <w:color w:val="auto"/>
        </w:rPr>
        <w:t>Yes. We may at our option announce the early redemption of the debentures or part thereof, subject to the conditions described under “Description of the Debentures – Optional Early Redemption of Debentures.”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Will the debentures be listed for trading?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Yes. The debentures will be listed on the NASDAQ SmallCap Market under the symbol “______” and the Tel Aviv Stock Exchange under the symbol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“TSEM.C2” and may be identified on the Tel Aviv Stock Exchange as Debentures (Series B).</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Are the debentures subordinated to our current indebtedness?</w:t>
      </w:r>
    </w:p>
    <w:p>
      <w:pPr>
        <w:spacing w:after="0" w:line="312"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Yes. The payment of the principal of and interest on the debentures is subordinated to the prior payment of all amounts payable by us to Bank Hapoalim B.M and Bank Leumi Le-Israel Ltd. under our credit facility agreement with them. As of June 30, 2005, our indebtedness to our banks was $497 million, which as of August 31, 2005 increased to $510.4 million. Payment of the principal and interest on the debentures is also effectively subordinated to our current and potential obligations to two secured creditors: the Investment Center of the Israeli Ministry of Industry, Trade and Labor, to whom we may have obligations related to $155 million in grants received through June 30, 2005 under the “Approved Enterprise” program, and one of our customers, which has a first ranking charge on certain of our Fab 1 assets. As a result, upon any distribution to our creditors in liquidation or reorganization or similar proceedings and in certain other events relating to us or our property, these senior and secured creditors will be entitled to be paid in full before any payment may be made with respect to the debentures. There may not be sufficient assets remaining to pay amounts due on any or all of the debentures then outstanding. In addition, if on a payment date of principal or interest on the debentures there exists an “Event of Default” under the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advance notice is given to us and to the banks. (See “Description of the Debentures – Subordination of Debentures”).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4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Why are we engaging in a rights offering?</w:t>
      </w:r>
    </w:p>
    <w:p>
      <w:pPr>
        <w:spacing w:after="0" w:line="299"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In July 2005, we entered into an amendment to the credit facility agreement with our banks. The amendment provides, among other things, for financing from our banks in the amount of up to an additional approximately $30 million under our credit facility agreement, subject to a similar amount being raised by us from investors through the issuance of shares or convertible debentures. Our four major shareholders have committed to invest an aggregate of $25.5 million in a rights offering, towards this funding requirement through the purchase of debentures convertible into our ordinary shares. We are engaging in this rights offering in order to afford all of our shareholders (and eligible employees) the opportunity to purchase our securities on the same terms as our four major shareholders.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is the subscription price and conversion rate to be set?</w:t>
      </w:r>
    </w:p>
    <w:p>
      <w:pPr>
        <w:spacing w:after="0" w:line="2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board of directors will set all of the terms and conditions of the rights offering, including the subscription price and conversion rate. Our board of directors’ objective in establishing the subscription price and conversion rate will be to reflect recent trading prices of our ordinary shares, raise the targeted proceeds and provide all of our shareholders with a reasonable opportunity to make an additional investment in our company. In establishing the subscription price and conversion rate, our board of directors will consider the following factors: the strategic alternatives available to us for raising capital, the market price of our ordinary shares, the pro rata nature of the offering, pricing and terms of similar transactions, our business prospects and general conditions in the securities markets. The subscription price and conversion rate, however, do not necessarily bear any relationship to our past or expected future results of operations, cash flows, current financial condition, or any other established criteria for value. We did not seek or obtain any opinion of financial advisors or investment bankers in establishing the subscription price or conversion rate.</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long will the rights offering last?</w:t>
      </w:r>
    </w:p>
    <w:p>
      <w:pPr>
        <w:spacing w:after="0" w:line="299"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You will be able to exercise your rights only during a limited period. The rights are exercisable during a 23-day period, beginning after 5:00 p.m. New York City time (midnight, Israel time) on _____ __, 2005 (the date of this prospectus) and ending at 5:00 p.m. New York City time (midnight, Israel time) on _____ __,</w:t>
      </w:r>
    </w:p>
    <w:p>
      <w:pPr>
        <w:ind w:right="120"/>
        <w:spacing w:after="0" w:line="302" w:lineRule="auto"/>
        <w:rPr>
          <w:sz w:val="20"/>
          <w:szCs w:val="20"/>
          <w:color w:val="auto"/>
        </w:rPr>
      </w:pPr>
      <w:r>
        <w:rPr>
          <w:rFonts w:ascii="Arial" w:cs="Arial" w:eastAsia="Arial" w:hAnsi="Arial"/>
          <w:sz w:val="16"/>
          <w:szCs w:val="16"/>
          <w:color w:val="auto"/>
        </w:rPr>
        <w:t>2005. If you hold your shares through a broker, dealer or other nominee (including through members of the Tel Aviv Stock Exchange), you will be required to comply with the procedural requirements of such nominee, including the procedures relating to the last time by which you may be required to provide notice of your intention to exercise your rights (which may be earlier than the final expiration date of the rights), as well as other procedural requirements described under</w:t>
      </w:r>
    </w:p>
    <w:p>
      <w:pPr>
        <w:sectPr>
          <w:pgSz w:w="11900" w:h="16838" w:orient="portrait"/>
          <w:cols w:equalWidth="0" w:num="1">
            <w:col w:w="11420"/>
          </w:cols>
          <w:pgMar w:left="240" w:top="131" w:right="239" w:bottom="0" w:gutter="0" w:footer="0" w:header="0"/>
        </w:sectPr>
      </w:pPr>
    </w:p>
    <w:bookmarkStart w:id="5" w:name="page6"/>
    <w:bookmarkEnd w:id="5"/>
    <w:p>
      <w:pPr>
        <w:jc w:val="both"/>
        <w:ind w:right="40"/>
        <w:spacing w:after="0" w:line="268" w:lineRule="auto"/>
        <w:rPr>
          <w:sz w:val="20"/>
          <w:szCs w:val="20"/>
          <w:color w:val="auto"/>
        </w:rPr>
      </w:pPr>
      <w:r>
        <w:rPr>
          <w:rFonts w:ascii="Arial" w:cs="Arial" w:eastAsia="Arial" w:hAnsi="Arial"/>
          <w:sz w:val="18"/>
          <w:szCs w:val="18"/>
          <w:color w:val="auto"/>
        </w:rPr>
        <w:t>the heading “The Rights Offering.” If you do not exercise your rights by the date and in accordance with the procedures applicable to you, your ability to exercise the rights and purchase the debentures will expire.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exercise your rights?</w:t>
      </w:r>
    </w:p>
    <w:p>
      <w:pPr>
        <w:spacing w:after="0" w:line="31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Promptly after the date of this prospectus, we will send a rights certificate to each holder of our ordinary shares that is registered on our shareholder registry maintained at American Stock Transfer &amp; Trust Co., the transfer agent for our ordinary shares. The rights certificate will evidence the number of rights applicable to each holder and will be accompanied by a copy of this prospectus.</w:t>
      </w:r>
    </w:p>
    <w:p>
      <w:pPr>
        <w:spacing w:after="0" w:line="194"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color w:val="auto"/>
        </w:rPr>
        <w:t>If you are a record holder of our ordinary shares and you wish to exercise your rights, you should complete the exercise form on the back of the rights certificate and send the certificate (or a notice of guaranteed delivery), accompanied by the subscription price, to the offices of American Stock Transfer &amp; Trust Co., as our Rights Agent, to the attention of: _____________, to be received no later than the expiration date of the rights. The rights will expire on _________</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__, 2005, at 5:00 p.m. New York time, (midnight, Israel time), which is 23 days after the date of this prospectus. You may make your payment to American Stock Transfer by wire transfer or cashier’s check or a money order drawn on a bank located in the United States payable to the order of “American Stock Transfer &amp; Trust Co., as Rights Agent.” Payment made to American Stock Transfer &amp; Trust Co. must be in U.S. dollars. We may agree to accept other forms of payment if requested and agreed to by us prior to payment.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If you are a record holder of rights that resides in Israel, you may exercise your rights by delivering the completed exercise form on the back of the rights certificate to our offices in Migdal Haemek, Israel accompanied by evidence of a wire transfer or a cashier’s check or a money order drawn on a bank located in Israel payable to Tower Semiconductor Ltd. Payment to us may be either in US dollars or in New Israeli Shekels in accordance with the representative exchange rate published by the Bank of Israel on the day before payment of the subscription price. The completed exercise form and payment must be delivered to us by midnight Israel time on _________ __, 2005 (23 days after the date of this prospectus).</w:t>
      </w:r>
    </w:p>
    <w:p>
      <w:pPr>
        <w:spacing w:after="0" w:line="170"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see “What should you do if you want to participate in this rights offering, but your shares are held in the name of your broker, dealer or other nominee?” If you are a holder of eligible employee options that entitle you to receive rights, see “What should you do if you are entitled to participate in this rights offering as holder of employee options?"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transfer your rights?</w:t>
      </w:r>
    </w:p>
    <w:p>
      <w:pPr>
        <w:spacing w:after="0" w:line="312" w:lineRule="exact"/>
        <w:rPr>
          <w:sz w:val="20"/>
          <w:szCs w:val="20"/>
          <w:color w:val="auto"/>
        </w:rPr>
      </w:pPr>
    </w:p>
    <w:p>
      <w:pPr>
        <w:ind w:right="260" w:firstLine="351"/>
        <w:spacing w:after="0" w:line="286" w:lineRule="auto"/>
        <w:rPr>
          <w:sz w:val="20"/>
          <w:szCs w:val="20"/>
          <w:color w:val="auto"/>
        </w:rPr>
      </w:pPr>
      <w:r>
        <w:rPr>
          <w:rFonts w:ascii="Arial" w:cs="Arial" w:eastAsia="Arial" w:hAnsi="Arial"/>
          <w:sz w:val="16"/>
          <w:szCs w:val="16"/>
          <w:color w:val="auto"/>
        </w:rPr>
        <w:t>If you are a record holder of our ordinary shares and wish to transfer your rights to another person, you may do so by completing the transfer form on the back of your certificate and submitting it to American Stock Transfer &amp; Trust Co., as Rights Agent, prior to _________ __, 2005 (23 days after the date of this</w:t>
      </w:r>
    </w:p>
    <w:p>
      <w:pPr>
        <w:ind w:right="240"/>
        <w:spacing w:after="0" w:line="255" w:lineRule="auto"/>
        <w:rPr>
          <w:sz w:val="20"/>
          <w:szCs w:val="20"/>
          <w:color w:val="auto"/>
        </w:rPr>
      </w:pPr>
      <w:r>
        <w:rPr>
          <w:rFonts w:ascii="Arial" w:cs="Arial" w:eastAsia="Arial" w:hAnsi="Arial"/>
          <w:sz w:val="18"/>
          <w:szCs w:val="18"/>
          <w:color w:val="auto"/>
        </w:rPr>
        <w:t>prospectus). If you wish to sell your rights on the NASDAQ SmallCap Market or the Tel Aviv Stock Exchange, you should independently engage a broker to execute this sale on your behalf. The rights will be listed for trading on these exchanges during their regular trading hours for one day only on _____, 2005 (21 days after the date of this prospectus).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After you exercise your rights, can you change your mind?</w:t>
      </w:r>
    </w:p>
    <w:p>
      <w:pPr>
        <w:spacing w:after="0" w:line="31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 You cannot revoke the exercise of your rights, even if you later learn information about us that you consider to be unfavorable. You should not exercise your rights unless you are certain that you wish to purchase the debentures.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 exercising your rights risky?</w:t>
      </w:r>
    </w:p>
    <w:p>
      <w:pPr>
        <w:spacing w:after="0" w:line="312"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Yes. The exercise of your rights involves substantial risks. Exercising your rights means buying additional securities, and you should carefully consider this purchase as you would do with respect to any other debt or equity investments. Among other things, you should carefully consider the risks described under “Risk Factors.”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Do you have to exercise your rights?</w:t>
      </w:r>
    </w:p>
    <w:p>
      <w:pPr>
        <w:spacing w:after="0" w:line="2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However, if you do not exercise your rights and other shareholders do and then convert their debentures into ordinary shares, the percentage of our ordinary shares that you own will diminish, and your voting and other rights will be diluted.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you sell or give away your rights?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Yes. You may transfer or sell, at any time prior to the expiration date (_________ __, 2005, at 5:00 p.m. New York time, (midnight, Israel time), 23 days</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after the date of this prospectus), all or a portion of the rights. You are responsible for all commissions, fees and other expenses, including brokerage commissions and transfer taxes, incurred in connection with the purchase or sale of rights. The unexercised rights will be listed for trading on the NASDAQ SmallCap Market and on the Tel Aviv Stock Exchange for one day only on ________ __, 2005 (21 days after the date of this prospectus(. For further details regarding trading in our rights, please see “The Rights Offering–Transferability of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Some of the tax consequences of selling your rights for certain U.S. and Israeli shareholders are described herein under the heading “Material Income Tax Considerations.” You are, however, advised to seek specific tax advice from your personal tax advisor, as this prospectus does not summarize all tax consequences arising under U.S state tax laws, tax laws outside of the U.S. and Israel or any tax laws relating to special tax circumstances or particular types of taxpayers.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are the federal income tax and Israeli income tax consequences of exercising your rights?</w:t>
      </w:r>
    </w:p>
    <w:p>
      <w:pPr>
        <w:sectPr>
          <w:pgSz w:w="11900" w:h="16838" w:orient="portrait"/>
          <w:cols w:equalWidth="0" w:num="1">
            <w:col w:w="11420"/>
          </w:cols>
          <w:pgMar w:left="240" w:top="131" w:right="239" w:bottom="0" w:gutter="0" w:footer="0" w:header="0"/>
        </w:sectPr>
      </w:pPr>
    </w:p>
    <w:bookmarkStart w:id="6" w:name="page7"/>
    <w:bookmarkEnd w:id="6"/>
    <w:p>
      <w:pPr>
        <w:ind w:right="120" w:firstLine="348"/>
        <w:spacing w:after="0" w:line="286" w:lineRule="auto"/>
        <w:rPr>
          <w:sz w:val="20"/>
          <w:szCs w:val="20"/>
          <w:color w:val="auto"/>
        </w:rPr>
      </w:pPr>
      <w:r>
        <w:rPr>
          <w:rFonts w:ascii="Arial" w:cs="Arial" w:eastAsia="Arial" w:hAnsi="Arial"/>
          <w:sz w:val="16"/>
          <w:szCs w:val="16"/>
          <w:color w:val="auto"/>
        </w:rPr>
        <w:t>The receipt and exercise of your rights are intended to be nontaxable and no ruling from the U.S. Internal Revenue Service or the Israeli Income Tax Authority will be sought. Therefore, you should seek specific tax advice from your personal tax advisor. The receipt of rights under our employee share option plans is not taxable in Israel, however, the sale and exercise of rights received under our employee share option plans are taxable in Israel (see “Material Income Tax Considerations–Israeli Tax Considerations”). Either the receipt of rights under our employee share option plans or the sale and exercise of rights received under our employee share option plans will be taxable in the U.S. (see “Material Income Tax Considerations–United States Tax Considerations”). We have requested a ruling from the Israeli Tax Authority providing that the exercise of rights received under our employee share option plans will not be taxed and that the employee will only be taxed upon the sale of the debentures or the sale of the shares issued pursuant to the conversion of the debentures. We cannot assure you that we will receive a favorable ruling from the Israeli Tax Authority or whether such ruling will be provided in a timely manner. Disclosure of the material income tax consequences in the United States resulting from the distribution of the rights to a U.S. holder, and related transactions by the U.S. holder, including the exercise or expiration of rights, the conversion of debentures and the disposition of rights, debentures or ordinary shares issuable upon conversion of the debentures is included under “Material Income Tax Considerations–United States Tax Considerations”. This prospectus does not conclusively summarize tax consequences arising under U.S. state tax laws, tax laws outside of the U.S. and Israel or any tax laws relating to special tax circumstances or particular types of taxpayers.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happens if you choose not to exercise your rights?</w:t>
      </w:r>
    </w:p>
    <w:p>
      <w:pPr>
        <w:spacing w:after="0" w:line="312"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color w:val="auto"/>
        </w:rPr>
        <w:t>You will retain your current number of ordinary shares even if you do not exercise your rights. However, if you do not exercise your rights and other shareholders and/or eligible employee option holders who receive rights do and then convert their debentures into ordinary shares, the percentage of our ordinary shares that you own will diminish, and your voting and other rights will be diluted. For example, if only our major shareholders – Israel Corp., SanDisk Corporation, Alliance Semiconductor Corporation and Macronix International Co. Ltd., – exercise rights which they have committed to exercise for the purchase of an aggregate of $25.5 million principal amount of convertible debentures, and assuming the conversion of the $25.5 million principal amount of debentures purchased by these shareholders into our ordinary shares at a conversion rate of $1.10 per share, the percentage of these major shareholders will increase from 63% to 72.5%, and the percentage of our ordinary shares held by our other shareholders will decrease from 37% to 27.5%. None of these major shareholders have indicated whether or not they intend to convert the debentures purchased by them in this rights offering.</w:t>
      </w:r>
    </w:p>
    <w:p>
      <w:pPr>
        <w:spacing w:after="0" w:line="172"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If you hold 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and you do not provide notice of your exercise of the rights or give any other instructions by the time determined by your broker on ____ __, 2005 (21 days after the date of this</w:t>
      </w:r>
    </w:p>
    <w:p>
      <w:pPr>
        <w:ind w:right="200"/>
        <w:spacing w:after="0" w:line="261" w:lineRule="auto"/>
        <w:rPr>
          <w:sz w:val="20"/>
          <w:szCs w:val="20"/>
          <w:color w:val="auto"/>
        </w:rPr>
      </w:pPr>
      <w:r>
        <w:rPr>
          <w:rFonts w:ascii="Arial" w:cs="Arial" w:eastAsia="Arial" w:hAnsi="Arial"/>
          <w:sz w:val="18"/>
          <w:szCs w:val="18"/>
          <w:color w:val="auto"/>
        </w:rPr>
        <w:t>prospectus), under the rules of the Tel Aviv Stock Exchange, you will be considered to have provided an instruction to sell all your rights on the Tel Aviv Stock Exchange with no price limit.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Has our board of directors made a recommendation regarding this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Our board of directors makes no recommendation to you about whether you should exercise any rights.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What should you do if you want to participate in this rights offering, but your shares are held in the name of your broker, dealer or other nominee?</w:t>
      </w:r>
    </w:p>
    <w:p>
      <w:pPr>
        <w:spacing w:after="0" w:line="266"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payable to your broker, dealer or other nominee. You should receive this form from your broker, custodian bank or other nominee. If you are a beneficial owner of our ordinary shares and hold them through a broker, dealer or other nominee (including a member of the Tel Aviv Stock Exchange), you should NOT return your exercise form or transfer the subscription payment directly to us. Your broker, dealer or other nominee will execute the exercise of your rights through the appropriate facilities. However, if you own your shares through a member of the Tel Aviv Stock Exchange, the rules of the Tel Aviv Stock Exchange provide that if no contrary instructions have been received from you by the time determined by your broker on ____ __, 2005 (21 days after the date of this prospectus), you will be considered to have instructed your broker to sell all your rights on the Tel Aviv Stock Exchange with no price limit.</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should you do if you are entitled to participate in this rights offering as a holder of eligible employee options?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you are a holder of employee options that entitle you to receive rights, you should expect to receive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procedures described under “The Rights Offering – Employee Option Holders.”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fees or charges apply if you exercise your rights?</w:t>
      </w:r>
    </w:p>
    <w:p>
      <w:pPr>
        <w:spacing w:after="0" w:line="31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not charging any fee or sales commission to issue rights to you and we are not charging any fee or sales commission, other than the subscription price, to issue the debentures if you exercise your rights. If you exercise your rights through a broker, dealer or other nominee, you are responsible for paying any fees that may be charged thereby.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this rights offering affect the price of our ordinary shares on the Tel Aviv Stock Exchange and on NASDAQ?</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NASDAQ will reduce the opening price of the ordinary shares at the opening of trading on the Ex-day, which is the first day that our ordinary shares will trade without entitlement to receive the rights, in accordance with its rules and customary practices to reflect the value of the rights that are being issued. This reduction will reflect the fact that persons purchasing our shares after the record date will not receive rights. The Ex-day will be the first trading day on NASDAQ following the record date; the Ex-day for the rights offering will, therefore, be _____ __, 2005 (3 days after the date of this prospectus). In accordance with the</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rules of the Tel Aviv Stock Exchange, the Tel Aviv Stock Exchange will not reduce the opening price of the ordinary shares at the opening of trading on the Ex-day.</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When will you receive your new securities?</w:t>
      </w:r>
    </w:p>
    <w:p>
      <w:pPr>
        <w:sectPr>
          <w:pgSz w:w="11900" w:h="16838" w:orient="portrait"/>
          <w:cols w:equalWidth="0" w:num="1">
            <w:col w:w="11400"/>
          </w:cols>
          <w:pgMar w:left="240" w:top="131" w:right="259" w:bottom="5" w:gutter="0" w:footer="0" w:header="0"/>
        </w:sectPr>
      </w:pPr>
    </w:p>
    <w:bookmarkStart w:id="7" w:name="page8"/>
    <w:bookmarkEnd w:id="7"/>
    <w:p>
      <w:pPr>
        <w:ind w:right="20" w:firstLine="351"/>
        <w:spacing w:after="0" w:line="298" w:lineRule="auto"/>
        <w:rPr>
          <w:sz w:val="20"/>
          <w:szCs w:val="20"/>
          <w:color w:val="auto"/>
        </w:rPr>
      </w:pPr>
      <w:r>
        <w:rPr>
          <w:rFonts w:ascii="Arial" w:cs="Arial" w:eastAsia="Arial" w:hAnsi="Arial"/>
          <w:sz w:val="16"/>
          <w:szCs w:val="16"/>
          <w:color w:val="auto"/>
        </w:rPr>
        <w:t>If you exercise your rights in this rights offering and purchase debentures, you will receive certificates representing the debentures purchased upon exercise of the rights as soon as practicable after the Rights Agent has received your duly completed exercise form and your payment has cleared. Brokers may be unwilling to sell your debentures until you have received certificates representing your debentures. Trading in the debentures on the Tel Aviv Stock Exchange and NASDAQ will commence on ______ __, 2005 (30 days after the date of this prospectus).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we withdraw the rights offering?</w:t>
      </w:r>
    </w:p>
    <w:p>
      <w:pPr>
        <w:spacing w:after="0" w:line="312" w:lineRule="exact"/>
        <w:rPr>
          <w:sz w:val="20"/>
          <w:szCs w:val="20"/>
          <w:color w:val="auto"/>
        </w:rPr>
      </w:pPr>
    </w:p>
    <w:p>
      <w:pPr>
        <w:jc w:val="both"/>
        <w:ind w:right="100" w:firstLine="345"/>
        <w:spacing w:after="0" w:line="259" w:lineRule="auto"/>
        <w:rPr>
          <w:sz w:val="20"/>
          <w:szCs w:val="20"/>
          <w:color w:val="auto"/>
        </w:rPr>
      </w:pPr>
      <w:r>
        <w:rPr>
          <w:rFonts w:ascii="Arial" w:cs="Arial" w:eastAsia="Arial" w:hAnsi="Arial"/>
          <w:sz w:val="18"/>
          <w:szCs w:val="18"/>
          <w:color w:val="auto"/>
        </w:rPr>
        <w:t>Yes. Our board of directors may withdraw the rights offering in its sole discretion at any time prior to 5:00 p.m. New York City time (midnight, Israel time) on _________ __, 2005 (the record date, two days after the date of this prospectus), for any reason (including, without limitation, a change in the market price of our ordinary shares).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much money will we receive from the rights offering?</w:t>
      </w:r>
    </w:p>
    <w:p>
      <w:pPr>
        <w:spacing w:after="0" w:line="31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amount of gross proceeds from the rights offering depends on the number of rights that are exercised and, consequently, on the number of debentures convertible into our ordinary shares that are purchased. We will receive gross proceeds of $25.5 million from the purchase of convertible debentures by our four major shareholders as described under “The Rights Offering – Committed Purchases.” If all the rights are exercised, we will receive gross proceeds of $50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Members of our management have not provided us with any indication as to whether they will exercise rights to be granted to them.</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we use the proceeds from the rights offering?</w:t>
      </w:r>
    </w:p>
    <w:p>
      <w:pPr>
        <w:spacing w:after="0" w:line="31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will use the proceeds generated from the exercise of rights in this rights offering towards the further ramp-up and deployment of Fab 2 and for marketing expenses for the sale of our products and services as well as for general corporate purposes, including working capital.</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shares will be outstanding after the rights offering if all the debentures are converted?</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of the date of this prospectus, 66,707,609 of our ordinary shares were issued and outstanding. The issuance of debentures under this rights offering will not directly affect the number of our outstanding ordinary shares. However, the number of ordinary shares that will be outstanding after the conversion of the debentures depends on the number of rights that are exercised, as well as the conversion rate. If all the rights are exercised in full, and assuming that all of the debentures are converted into ordinary shares at a conversion rate of one ordinary share per each $1.10 of outstanding principal of debentures, 112,162,154 of our ordinary shares will be outstanding.</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If no debentures are purchased other than the $25.5 million of debentures which our four major shareholders have committed to purchase and all such debentures are converted into ordinary shares at a conversion rate of $1.10 per share, 89,889,427 of our ordinary shares will be outstanding.</w:t>
      </w:r>
    </w:p>
    <w:p>
      <w:pPr>
        <w:spacing w:after="0" w:line="139"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above numbers do not take into account any adjustment to the conversion rate or the exercise or conversion of other outstanding options, warrants or other rights to purchase our ordinary shares.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31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July 2005, we entered into an amendment to the credit facility agreement with our banks, which closed in August 2005. The amendment provides for financing from our banks in the amount of up to approximately $30 million, subject to a similar amount being raised by us from investors through the issuance of shares or convertible debentures. In connection with the amendment, our four major shareholders have agreed to invest an aggregate of $25.5 million towards this funding requirement in a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amendment to the credit facility agreement contains the following material terms:</w:t>
      </w:r>
    </w:p>
    <w:p>
      <w:pPr>
        <w:spacing w:after="0" w:line="225" w:lineRule="exact"/>
        <w:rPr>
          <w:sz w:val="20"/>
          <w:szCs w:val="20"/>
          <w:color w:val="auto"/>
        </w:rPr>
      </w:pPr>
    </w:p>
    <w:p>
      <w:pPr>
        <w:ind w:left="1160" w:right="160" w:hanging="567"/>
        <w:spacing w:after="0" w:line="268" w:lineRule="auto"/>
        <w:rPr>
          <w:sz w:val="20"/>
          <w:szCs w:val="20"/>
          <w:color w:val="auto"/>
        </w:rPr>
      </w:pPr>
      <w:r>
        <w:rPr>
          <w:rFonts w:ascii="Arial" w:cs="Arial" w:eastAsia="Arial" w:hAnsi="Arial"/>
          <w:sz w:val="18"/>
          <w:szCs w:val="18"/>
          <w:color w:val="auto"/>
        </w:rPr>
        <w:t>—We may draw down up to $23.5 million through the end of March 2006, $13.4 million of which has been drawn down to date, provided that we raise at least $23.5 million through the issuance of shares or convertible debentures by October 31, 2005.</w:t>
      </w:r>
    </w:p>
    <w:p>
      <w:pPr>
        <w:spacing w:after="0" w:line="212"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—In order for us to draw down up to an aggregate of approximately $30 million through the end of March 2006, which includes the $23.5 million currently available to us as mentioned above, we must raise an additional $6.5 million through the issuance of shares or convertible debentures by March 31, 2006.</w:t>
      </w:r>
    </w:p>
    <w:p>
      <w:pPr>
        <w:spacing w:after="0" w:line="221" w:lineRule="exact"/>
        <w:rPr>
          <w:sz w:val="20"/>
          <w:szCs w:val="20"/>
          <w:color w:val="auto"/>
        </w:rPr>
      </w:pPr>
    </w:p>
    <w:p>
      <w:pPr>
        <w:ind w:left="1160" w:right="240" w:hanging="567"/>
        <w:spacing w:after="0" w:line="268" w:lineRule="auto"/>
        <w:rPr>
          <w:sz w:val="20"/>
          <w:szCs w:val="20"/>
          <w:color w:val="auto"/>
        </w:rPr>
      </w:pPr>
      <w:r>
        <w:rPr>
          <w:rFonts w:ascii="Arial" w:cs="Arial" w:eastAsia="Arial" w:hAnsi="Arial"/>
          <w:sz w:val="18"/>
          <w:szCs w:val="18"/>
          <w:color w:val="auto"/>
        </w:rPr>
        <w:t>—Loans under the amendment are to be repaid within 12 to 15 months from the date the loan is received by us; our banks have agreed to discuss (but without any obligation on their part to agree) longer repayment schedules.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loans under the amendment bear interest at an annual rate of three-month Libor plus 2.5%.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5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issued warrants to our banks exercisable for 8,264,464 ordinary shares with an exercise price of $1.21 per share, one-half of which are exercisable only if and when our banks agree to reschedule the repayment dates of the loans under this amendment.</w:t>
      </w:r>
    </w:p>
    <w:p>
      <w:pPr>
        <w:spacing w:after="0" w:line="166" w:lineRule="exact"/>
        <w:rPr>
          <w:sz w:val="20"/>
          <w:szCs w:val="20"/>
          <w:color w:val="auto"/>
        </w:rPr>
      </w:pPr>
    </w:p>
    <w:p>
      <w:pPr>
        <w:ind w:left="1160" w:right="30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obligation to raise $26 million from specified sources, in addition to the $30 million described above, was postponed from December 31, 2005 to June 30, 2006 (See “Description of Debentures – Subordination of Debentures – Events of Default under the Facility Agreement”).</w:t>
      </w:r>
    </w:p>
    <w:p>
      <w:pPr>
        <w:sectPr>
          <w:pgSz w:w="11900" w:h="16838" w:orient="portrait"/>
          <w:cols w:equalWidth="0" w:num="1">
            <w:col w:w="11400"/>
          </w:cols>
          <w:pgMar w:left="240" w:top="131" w:right="259" w:bottom="0" w:gutter="0" w:footer="0" w:header="0"/>
        </w:sectPr>
      </w:pPr>
    </w:p>
    <w:bookmarkStart w:id="8" w:name="page9"/>
    <w:bookmarkEnd w:id="8"/>
    <w:p>
      <w:pPr>
        <w:ind w:left="1160" w:right="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Israel Corp. invests at least $14 million through the purchase of the convertible debentures or equity, its undertaking in favor of our banks to purchase securities from us in the event we fail to raise the $26 million from specified sources by June 30, 2006 will terminate (See “Description of Debentures – Subordination of Debentures –Events of Default under the Facility Agreement”).</w:t>
      </w:r>
    </w:p>
    <w:p>
      <w:pPr>
        <w:spacing w:after="0" w:line="201"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—Israel Corp.‘s undertaking in favor of our banks to purchase securities from us in the event we fail to raise the $26 million from specified sources by June 30, 2006 was extended from June 30, 2006 to December 31, 2006.</w:t>
      </w:r>
    </w:p>
    <w:p>
      <w:pPr>
        <w:spacing w:after="0" w:line="212"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—We must comply with updated financial ratios and covenants through September 30, 2006, which relate to periodic sales and periodic earnings before interest, taxes, depreciation and amortization (EBITDA).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raise the funds required by the amendment to our credit facility agreement, we may not be able to maintain our operations.</w:t>
      </w:r>
    </w:p>
    <w:p>
      <w:pPr>
        <w:spacing w:after="0" w:line="25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accordance with the July 2005 amendment to our credit facility agreement, in addition to $26 million which we are required to raise by the end of June 2006, we are required to raise $23.5 million by October 31, 2005, and an additional $6.5 million by March 31, 2006 through sales of equity or convertible debentures. If we are unable to raise the $23.5 million amount described above, we do not expect to have adequate liquidity to meet our short-term activities and liabilities during the next three to six months and may have to cease our operations. If we raise the $23.5 million and the $6.5 million amounts in accordance with our amended facility agreement, we will still need to raise additional funds in order to finance our short-term activities and liabilities in 2006, at least until we achieve positive cash flows from our operations. (For a description of the material terms of the July 2005 amendment to our credit facility agreement, see “Recent Developments” above.)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Fab 2 production capacity at the end of June 2005 was 14,600 200-mm wafers per month and we currently expect to have production capacity of 15,400 wafers per month by the end of 2005.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do not meet conditions to receive the Israeli government grants and tax benefits approved for Fab 2, we may be required to seek alternative financing sources.</w:t>
      </w:r>
    </w:p>
    <w:p>
      <w:pPr>
        <w:spacing w:after="0" w:line="180"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June 30, 2005, we received $155 million in grants from the Investment Center. To be eligible to receive grants, we are required to invest minimum amounts on an annual basis. We notified the Investment Center of our reduced rate of annual investments and in July 2004, we received approval of our revised investment schedule from the Investment Center. In addition, we are required to complete our Fab 2 investments by the end of 2005, which we do not currently expect to satisfy since we have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We have been holding discussions with the Investment Center to achieve satisfactory arrangements to approve a new expansion program to commence on January 1, 2006. In 2005, at the Investment Center’s request, we submitted a revised business plan to the Investment Center for the period commencing on January 1, 2006. Currently, we cannot estimate when the Investment Center will conclude its review of our revised business plan, when we will receive a formal response to our request for a new expansion program to commence on January 1, 2006 or if the Investment Center will approve our request. There can be no assurance that we will obtain the Investment Center’s approval for the new expansion program. Any failure by us to meet the conditions of our grants may result in the cancellation of all or a portion of our grants to be received and tax benefits and in the Investment Center requiring us to repay all or a portion of grants already received. If this were to happen, we would be required to seek alternative financing sources to refund the grants we received and complete the ramp-up of Fab 2. If we do not succeed in finding alternative financing sources, we would be required to close our operations.</w:t>
      </w:r>
    </w:p>
    <w:p>
      <w:pPr>
        <w:sectPr>
          <w:pgSz w:w="11900" w:h="16838"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when we have liquidity problems and any postponement of payments may delay our ramp-up of Fab 2 and therefore significantly harm our financial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ectPr>
          <w:pgSz w:w="11900" w:h="16838" w:orient="portrait"/>
          <w:cols w:equalWidth="0" w:num="1">
            <w:col w:w="11420"/>
          </w:cols>
          <w:pgMar w:left="240" w:top="125" w:right="239" w:bottom="242" w:gutter="0" w:footer="0" w:header="0"/>
        </w:sectPr>
      </w:pPr>
    </w:p>
    <w:bookmarkStart w:id="10" w:name="page11"/>
    <w:bookmarkEnd w:id="10"/>
    <w:p>
      <w:pPr>
        <w:spacing w:after="0" w:line="120"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dependant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six months ended June 30, 2005, approximately 61% of our business was generated by four significant customers that contributed 29%, 16%, 10% and 6% of our revenues, respectively. We expect to continue to receive a significant portion of our revenue from a limited number of customers in 2005. Loss or cancellation of business from, or decreases in, the sales volume or sales prices to our significant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at all or in a timely manner.</w:t>
      </w:r>
    </w:p>
    <w:p>
      <w:pPr>
        <w:sectPr>
          <w:pgSz w:w="11900" w:h="16958" w:orient="portrait"/>
          <w:cols w:equalWidth="0" w:num="1">
            <w:col w:w="11420"/>
          </w:cols>
          <w:pgMar w:left="240" w:top="131"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440"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Many of our competitors may have one or more of the following competitive advantages over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a large amount of long-term debt, which could have significant negative consequences. As of August 31, 2005, we had approximately $510 million of bank debt and approximately $26 million of debt in connection with our issuance of convertible debentures in January 2002. In addition, the debentures that may be issued in connection with this rights offering will increase our amount of long-term debt. Our current and future indebtedness could have significant negative consequences, including: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credit facility, under which we have drawn down $510.4 million to date, requires that we comply with certain financial, capital raising and production milestone covenants. In the July 2005 amendment to our credit facility agreement, our banks agreed to amend our financial ratios and covenants through the third quarter of 2006. (For a description of the material terms of the July 2005 amendment to our credit facility agreement, see “Recent Developments” above.) Should we fail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$510.4 million as of August 31, 2005), which may have a material adverse effect on our business, financial condition and results of operations.</w:t>
      </w:r>
    </w:p>
    <w:p>
      <w:pPr>
        <w:spacing w:after="0" w:line="19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w:t>
      </w:r>
    </w:p>
    <w:p>
      <w:pPr>
        <w:sectPr>
          <w:pgSz w:w="11900" w:h="16838" w:orient="portrait"/>
          <w:cols w:equalWidth="0" w:num="1">
            <w:col w:w="11400"/>
          </w:cols>
          <w:pgMar w:left="240" w:top="125" w:right="259" w:bottom="0" w:gutter="0" w:footer="0" w:header="0"/>
        </w:sectPr>
      </w:pPr>
    </w:p>
    <w:bookmarkStart w:id="12" w:name="page13"/>
    <w:bookmarkEnd w:id="12"/>
    <w:p>
      <w:pPr>
        <w:ind w:right="120"/>
        <w:spacing w:after="0" w:line="332" w:lineRule="auto"/>
        <w:rPr>
          <w:sz w:val="20"/>
          <w:szCs w:val="20"/>
          <w:color w:val="auto"/>
        </w:rPr>
      </w:pPr>
      <w:r>
        <w:rPr>
          <w:rFonts w:ascii="Arial" w:cs="Arial" w:eastAsia="Arial" w:hAnsi="Arial"/>
          <w:sz w:val="16"/>
          <w:szCs w:val="16"/>
          <w:color w:val="auto"/>
        </w:rPr>
        <w:t>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3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pacing w:after="0" w:line="2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20" w:firstLine="341"/>
        <w:spacing w:after="0" w:line="370" w:lineRule="auto"/>
        <w:rPr>
          <w:sz w:val="20"/>
          <w:szCs w:val="20"/>
          <w:color w:val="auto"/>
        </w:rPr>
      </w:pPr>
      <w:r>
        <w:rPr>
          <w:rFonts w:ascii="Arial" w:cs="Arial" w:eastAsia="Arial" w:hAnsi="Arial"/>
          <w:sz w:val="15"/>
          <w:szCs w:val="15"/>
          <w:color w:val="auto"/>
        </w:rPr>
        <w:t>As of June 30, 2005, we held 53 patents worldwide. We intend to continue to file patent applications when appropriate. The process of seeking patent protection may take a long time and be expensive. We cannot assure you that patents will be issued from pending or future applications or that, if patents are</w:t>
      </w:r>
    </w:p>
    <w:p>
      <w:pPr>
        <w:sectPr>
          <w:pgSz w:w="11900" w:h="16838" w:orient="portrait"/>
          <w:cols w:equalWidth="0" w:num="1">
            <w:col w:w="11420"/>
          </w:cols>
          <w:pgMar w:left="240" w:top="131" w:right="239" w:bottom="0" w:gutter="0" w:footer="0" w:header="0"/>
        </w:sectPr>
      </w:pPr>
    </w:p>
    <w:bookmarkStart w:id="13" w:name="page14"/>
    <w:bookmarkEnd w:id="13"/>
    <w:p>
      <w:pPr>
        <w:spacing w:after="0" w:line="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new executive officers are unable to fully transition into their new positions, our company may be adversely affected.</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ectPr>
          <w:pgSz w:w="11900" w:h="16853" w:orient="portrait"/>
          <w:cols w:equalWidth="0" w:num="1">
            <w:col w:w="11400"/>
          </w:cols>
          <w:pgMar w:left="240" w:top="131" w:right="259" w:bottom="0" w:gutter="0" w:footer="0" w:header="0"/>
        </w:sectPr>
      </w:pPr>
    </w:p>
    <w:bookmarkStart w:id="14" w:name="page15"/>
    <w:bookmarkEnd w:id="14"/>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31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In connection with Fab 2, we have issued as of August 31, 2005, 54,413,600 ordinary shares to our wafer and equity partners and other shareholders. In January 2001, we issued warrants to our banks exercisable into 400,000 ordinary shares with an exercise price of $6.20.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8,264,464 ordinary shares with an exercise price of $1.21, one-half of which shall only be exercisable if our banks agree to reschedule the repayment dates of the loans to be made available to us under the July 2005 amendment. Up to approximately 8.5 million additional ordinary shares may be issued upon the conversion of our outstanding convertible debentures and upon exercise of warrants held by some of our shareholders and others, our debenture holders and our Fab 2 contractor.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as of June 30, 2005, we had outstanding employee and directors options to purchase up to approximately 13 million shares at a weighted average exercise price of $4.32 (including a grant of options to our chief executive officer to purchase up to 1,325,724 shares which was approved by our board of directors and which is subject to approval of our shareholders), of which 4.3 million options have an exercise price below $1.71.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August 31, 2005, we had issued 1,124,976 of our ordinary shares to SanDisk Corporation upon conversion of $2 million of wafer credits. As of August 31, 2005, an aggregate of $38.2 million of credits issued to our three major wafer partners were outstanding.</w:t>
      </w:r>
    </w:p>
    <w:p>
      <w:pPr>
        <w:spacing w:after="0" w:line="17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addition, we may seek to raise additional funds from other sources. The investments to be made towards the funding by investors required by our banks, or from other sources, may be for shares or for securities convertible into shares, which would dilute the holdings of our current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Of our 66,707,609 outstanding ordinary shares as of August 31, 2005, 24,589,143 are freely tradable and held by non-affiliates, and an additional 108,951 shares held by non-affiliates are eligible for sale pursuant to Rule 144 under the Securities Act of 1933, subject to the time, volume and manner of sale limitations of Rule 144. In addition, certain of our affiliates (Israel Corp., SanDisk Corporation, Alliance Semiconductor, and Macronix International) hold 42,009,515 of our shares, of which 4,086,037 are registered for resale and are therefore freely tradable and 36,810,462 are currently eligible for sale subject to the time, volume and manner of sale limitations of Rule 144. An additional 1,113,016 shares held by SanDisk Corporation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wafer partners and Israel Corp. collectively own approximately 63%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the Rights Offering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do not exercise all of your rights, you may suffer significant dilution of your percentage ownership of our ordinary shares.</w:t>
      </w:r>
    </w:p>
    <w:p>
      <w:pPr>
        <w:spacing w:after="0" w:line="231" w:lineRule="exact"/>
        <w:rPr>
          <w:sz w:val="20"/>
          <w:szCs w:val="20"/>
          <w:color w:val="auto"/>
        </w:rPr>
      </w:pPr>
    </w:p>
    <w:p>
      <w:pPr>
        <w:jc w:val="both"/>
        <w:ind w:firstLine="348"/>
        <w:spacing w:after="0" w:line="318" w:lineRule="auto"/>
        <w:rPr>
          <w:sz w:val="20"/>
          <w:szCs w:val="20"/>
          <w:color w:val="auto"/>
        </w:rPr>
      </w:pPr>
      <w:r>
        <w:rPr>
          <w:rFonts w:ascii="Arial" w:cs="Arial" w:eastAsia="Arial" w:hAnsi="Arial"/>
          <w:sz w:val="15"/>
          <w:szCs w:val="15"/>
          <w:color w:val="auto"/>
        </w:rPr>
        <w:t>This rights offering is designed to enable us to raise capital while allowing all shareholders on the record date to invest in our company. The interests of all shareholders, including those who exercise all of the rights we are distributing will be diluted to the extent that the eligible employee option holders exercise the rights being granted to them and convert the debentures purchased thereunder into our ordinary shares. In connection with the July 2005 amendment to our credit facility agreement, two of our major shareholders have committed and are obligated to exercise all or some of the rights distributed to them. Israel Corp., which as of the date of this prospectus owns approximately 21.4% of our outstanding share capital on a non-diluted basis, has committed and is obligated to exercise 100%</w:t>
      </w:r>
    </w:p>
    <w:p>
      <w:pPr>
        <w:sectPr>
          <w:pgSz w:w="11900" w:h="16924" w:orient="portrait"/>
          <w:cols w:equalWidth="0" w:num="1">
            <w:col w:w="11420"/>
          </w:cols>
          <w:pgMar w:left="240" w:top="125" w:right="239" w:bottom="0" w:gutter="0" w:footer="0" w:header="0"/>
        </w:sectPr>
      </w:pPr>
    </w:p>
    <w:bookmarkStart w:id="15" w:name="page16"/>
    <w:bookmarkEnd w:id="15"/>
    <w:p>
      <w:pPr>
        <w:ind w:right="20"/>
        <w:spacing w:after="0" w:line="288" w:lineRule="auto"/>
        <w:rPr>
          <w:sz w:val="20"/>
          <w:szCs w:val="20"/>
          <w:color w:val="auto"/>
        </w:rPr>
      </w:pPr>
      <w:r>
        <w:rPr>
          <w:rFonts w:ascii="Arial" w:cs="Arial" w:eastAsia="Arial" w:hAnsi="Arial"/>
          <w:sz w:val="16"/>
          <w:szCs w:val="16"/>
          <w:color w:val="auto"/>
        </w:rPr>
        <w:t>of its rights for the purchase of approximately $10.29 million of debentures. SanDisk Corporation, which as of the date of this prospectus owns approximately 15.1% of our outstanding share capital on a non-diluted basis, has committed and is obligated to exercise approximately 48.2% of its rights for the purchase of $3.5 million of debentures. In addition, Alliance Semiconductor and Macronix International Co. Ltd</w:t>
      </w:r>
      <w:r>
        <w:rPr>
          <w:rFonts w:ascii="Arial" w:cs="Arial" w:eastAsia="Arial" w:hAnsi="Arial"/>
          <w:sz w:val="16"/>
          <w:szCs w:val="16"/>
          <w:b w:val="1"/>
          <w:bCs w:val="1"/>
          <w:color w:val="auto"/>
        </w:rPr>
        <w:t>.</w:t>
      </w:r>
      <w:r>
        <w:rPr>
          <w:rFonts w:ascii="Arial" w:cs="Arial" w:eastAsia="Arial" w:hAnsi="Arial"/>
          <w:sz w:val="16"/>
          <w:szCs w:val="16"/>
          <w:color w:val="auto"/>
        </w:rPr>
        <w:t>, which as of the date of this prospectus own approximately 13.4% and 13.2%, respectively, of our outstanding share capital on a non-diluted basis, have committed to exercise approximately 15.6% and 15.8%, respectively, of their rights, for the purchase of $1 million each of debentures. In addition, certain of our shareholders have agreed to transfer to Israel Corp. a portion of their unexercised rights, which Israel Corp. has committed and is obligated to exercise, such that Israel Corp. will purchase an aggregate of $20 million in debentures (including the $10.29 million referred to above). To the extent that you do not exercise your rights, but rights are exercised by other shareholders and/or eligible employee option holders who receive rights in this rights offering and the debentures purchased thereunder are converted into our ordinary shares, your percentage ownership of our expanded equity and voting rights will be diluted.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$155 million in grants received through June 30, 2005 under the Investment Center’s “Approved Enterprise” program, and to a first ranking charge on certain of our Fab 1 assets in favor of one of our customers. As a result, upon any distribution to our creditors in liquidation or reorganization or similar proceedings and in certain other events relating to us or our property,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an advance notice is given to us and to the banks (see “Description of the Debentures – Subordination of Debentures”).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ordinary shares may decline after debentures are converted into our ordinary shares.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you elect to convert your debentures. If the prevailing market price were to decline below the conversion rate of our debentures then you may not be able to sell your ordinary shares at a price equal to or greater than the conversion rate.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Once you exercise your rights, you may not revoke the exercise.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Once you exercise your rights, you may not revoke the exercise, even if less than all of the rights that we are offering are actually exercised.</w:t>
      </w:r>
    </w:p>
    <w:p>
      <w:pPr>
        <w:spacing w:after="0" w:line="24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the debentures are automatically converted into our ordinary shares in accordance with their terms, the indebtedness represented by your debentures will not be repaid in cash.</w:t>
      </w:r>
    </w:p>
    <w:p>
      <w:pPr>
        <w:spacing w:after="0" w:line="18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debentures will automatically convert into our ordinary shares if, during the 12 or 18 month period after issuance of the debentures, we consummate one or more financings in which we receive aggregate proceeds that, together with the proceeds from this rights offering, equal or exceed $60 million; provided that the average closing price of our ordinary shares on NASDAQ (or such other stock exchange or quotation system on which our ordinary shares are listed in the event that they cease to be traded on NASDAQ) during the 30 consecutive trading days prior to, and on the trading day preceding, the last day of such period, is at least 10% higher than the conversion rate then applicable to the debentures being offered in this rights offering. If the debentures are automatically converted into our ordinary shares, the indebtedness represented by your debentures will not be repaid in cash and accrued interest will not be paid. For more information, see “Description of the Debentures – Mandatory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Neither the subscription price nor the conversion rate of the debentures is an indication of our present or future value.</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board of directors set all of the terms and conditions of the rights offering, including the subscription price and conversion rate. Our company’s objective in establishing the subscription price and conversion rate was to reflect recent trading prices, raise the targeted proceeds and provide all of our shareholders with a reasonable opportunity to make an additional investment in our company. In establishing the subscription price and conversion rate, our board of directors considered the following factors: the strategic alternatives available to us for raising capital, the market price of our ordinary shares, the pro rata nature of the offering, pricing of similar transactions, our business prospects and general conditions in the securities markets. The subscription price and conversion rate, however, do not necessarily bear any relationship to our past or expected future results of operations, cash flows, current financial condition, or any other established criteria for value.</w:t>
      </w:r>
    </w:p>
    <w:p>
      <w:pPr>
        <w:spacing w:after="0" w:line="20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Neither the subscription price nor the conversion rate necessarily bears any relationship to the book value of our assets, past operations, cash flow, losses or financial condition. You should not consider either the subscription price for the rights nor the conversion rate of the debentures as an indication of our present or future value. We have neither sought nor obtained a valuation opinion from an outside financial consultant or investment banker.</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ectPr>
          <w:pgSz w:w="11900" w:h="16838" w:orient="portrait"/>
          <w:cols w:equalWidth="0" w:num="1">
            <w:col w:w="11420"/>
          </w:cols>
          <w:pgMar w:left="240" w:top="131" w:right="239" w:bottom="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 may be difficult to enforce a U.S. judgment against us, our officers and directors and some of the experts named in this annual report or to assert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ectPr>
          <w:pgSz w:w="11900" w:h="16838" w:orient="portrait"/>
          <w:cols w:equalWidth="0" w:num="1">
            <w:col w:w="11400"/>
          </w:cols>
          <w:pgMar w:left="240" w:top="131" w:right="259" w:bottom="289" w:gutter="0" w:footer="0" w:header="0"/>
        </w:sectPr>
      </w:pPr>
    </w:p>
    <w:bookmarkStart w:id="17" w:name="page18"/>
    <w:bookmarkEnd w:id="17"/>
    <w:p>
      <w:pPr>
        <w:spacing w:after="0" w:line="62"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5"/>
          </w:tcPr>
          <w:p>
            <w:pPr>
              <w:ind w:left="90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1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charges</w:t>
            </w:r>
          </w:p>
        </w:tc>
        <w:tc>
          <w:tcPr>
            <w:tcW w:w="1580" w:type="dxa"/>
            <w:vAlign w:val="bottom"/>
          </w:tcPr>
          <w:p>
            <w:pPr>
              <w:jc w:val="right"/>
              <w:ind w:right="67"/>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1180" w:type="dxa"/>
            <w:vAlign w:val="bottom"/>
            <w:gridSpan w:val="2"/>
          </w:tcPr>
          <w:p>
            <w:pPr>
              <w:jc w:val="right"/>
              <w:ind w:right="9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$100.5 million for the six months ended June 30,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$3.5 million in 2000.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following table sets forth our long-term debt, convertible debentures and capitalization as of June 30, 2005 on an actual basis, on an as adjusted basis to reflect the issuance of the debentures that are convertible into our ordinary shares issuable upon exercise of the rights we are distributing (excluding the conversion of the debentures) and on an adjusted basis to reflect only the issuance of the debentures that are convertible into our ordinary shares to our four largest shareholders pursuant to their commitments to purchase an aggregate of $25.5 million principal amount of convertible debentures (excluding the conversion of the debentures).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 2005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82"/>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Actual*</w:t>
            </w: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22"/>
                <w:szCs w:val="22"/>
                <w:b w:val="1"/>
                <w:bCs w:val="1"/>
                <w:color w:val="auto"/>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4"/>
              </w:rPr>
              <w:t>As Adjusted</w:t>
            </w:r>
            <w:r>
              <w:rPr>
                <w:rFonts w:ascii="Arial" w:cs="Arial" w:eastAsia="Arial" w:hAnsi="Arial"/>
                <w:sz w:val="22"/>
                <w:szCs w:val="22"/>
                <w:b w:val="1"/>
                <w:bCs w:val="1"/>
                <w:color w:val="auto"/>
                <w:w w:val="94"/>
                <w:vertAlign w:val="superscript"/>
              </w:rPr>
              <w:t>(3)</w:t>
            </w:r>
          </w:p>
        </w:tc>
        <w:tc>
          <w:tcPr>
            <w:tcW w:w="20" w:type="dxa"/>
            <w:vAlign w:val="bottom"/>
          </w:tcPr>
          <w:p>
            <w:pPr>
              <w:spacing w:after="0"/>
              <w:rPr>
                <w:sz w:val="24"/>
                <w:szCs w:val="24"/>
                <w:color w:val="auto"/>
              </w:rPr>
            </w:pPr>
          </w:p>
        </w:tc>
      </w:tr>
      <w:tr>
        <w:trPr>
          <w:trHeight w:val="266"/>
        </w:trPr>
        <w:tc>
          <w:tcPr>
            <w:tcW w:w="7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(U.S. dollars in thousands)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36"/>
        </w:trPr>
        <w:tc>
          <w:tcPr>
            <w:tcW w:w="7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maturities of existing convertibles debentures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6,331</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6,331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500"/>
        </w:trPr>
        <w:tc>
          <w:tcPr>
            <w:tcW w:w="7580" w:type="dxa"/>
            <w:vAlign w:val="bottom"/>
            <w:gridSpan w:val="2"/>
          </w:tcPr>
          <w:p>
            <w:pPr>
              <w:ind w:left="6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497,000</w:t>
            </w:r>
          </w:p>
        </w:tc>
        <w:tc>
          <w:tcPr>
            <w:tcW w:w="1640" w:type="dxa"/>
            <w:vAlign w:val="bottom"/>
            <w:gridSpan w:val="5"/>
          </w:tcPr>
          <w:p>
            <w:pPr>
              <w:jc w:val="right"/>
              <w:ind w:right="420"/>
              <w:spacing w:after="0"/>
              <w:rPr>
                <w:sz w:val="20"/>
                <w:szCs w:val="20"/>
                <w:color w:val="auto"/>
              </w:rPr>
            </w:pPr>
            <w:r>
              <w:rPr>
                <w:rFonts w:ascii="Arial" w:cs="Arial" w:eastAsia="Arial" w:hAnsi="Arial"/>
                <w:sz w:val="18"/>
                <w:szCs w:val="18"/>
                <w:color w:val="auto"/>
              </w:rPr>
              <w:t>497,000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497,000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Convertible debentures (existing)</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18,992</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18,992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ind w:left="60"/>
              <w:spacing w:after="0"/>
              <w:rPr>
                <w:sz w:val="20"/>
                <w:szCs w:val="20"/>
                <w:color w:val="auto"/>
              </w:rPr>
            </w:pPr>
            <w:r>
              <w:rPr>
                <w:rFonts w:ascii="Arial" w:cs="Arial" w:eastAsia="Arial" w:hAnsi="Arial"/>
                <w:sz w:val="18"/>
                <w:szCs w:val="18"/>
                <w:color w:val="auto"/>
              </w:rPr>
              <w:t>Convertible debentures offered in this rights offering</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420"/>
              <w:spacing w:after="0"/>
              <w:rPr>
                <w:sz w:val="20"/>
                <w:szCs w:val="20"/>
                <w:color w:val="auto"/>
              </w:rPr>
            </w:pPr>
            <w:r>
              <w:rPr>
                <w:rFonts w:ascii="Arial" w:cs="Arial" w:eastAsia="Arial" w:hAnsi="Arial"/>
                <w:sz w:val="18"/>
                <w:szCs w:val="18"/>
                <w:color w:val="auto"/>
              </w:rPr>
              <w:t>50,000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Long-term liability in respect of customer advances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62,007</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62,007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8"/>
        </w:trPr>
        <w:tc>
          <w:tcPr>
            <w:tcW w:w="7580" w:type="dxa"/>
            <w:vAlign w:val="bottom"/>
            <w:gridSpan w:val="2"/>
          </w:tcPr>
          <w:p>
            <w:pPr>
              <w:ind w:left="60"/>
              <w:spacing w:after="0"/>
              <w:rPr>
                <w:sz w:val="20"/>
                <w:szCs w:val="20"/>
                <w:color w:val="auto"/>
              </w:rPr>
            </w:pPr>
            <w:r>
              <w:rPr>
                <w:rFonts w:ascii="Arial" w:cs="Arial" w:eastAsia="Arial" w:hAnsi="Arial"/>
                <w:sz w:val="18"/>
                <w:szCs w:val="18"/>
                <w:color w:val="auto"/>
              </w:rPr>
              <w:t>Shareholders' equity, NIS 1.00 par value per share;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250,000,000 authorized shares ***, 67,586,187 issued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shares**; 66,286,187 outstanding shares and as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758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 xml:space="preserve">adjusted </w:t>
            </w:r>
            <w:r>
              <w:rPr>
                <w:rFonts w:ascii="Arial" w:cs="Arial" w:eastAsia="Arial" w:hAnsi="Arial"/>
                <w:sz w:val="29"/>
                <w:szCs w:val="29"/>
                <w:color w:val="auto"/>
                <w:vertAlign w:val="superscript"/>
              </w:rPr>
              <w:t>(1)</w:t>
            </w:r>
            <w:r>
              <w:rPr>
                <w:rFonts w:ascii="Arial" w:cs="Arial" w:eastAsia="Arial" w:hAnsi="Arial"/>
                <w:sz w:val="18"/>
                <w:szCs w:val="18"/>
                <w:color w:val="auto"/>
              </w:rPr>
              <w:t>; 66,286,187 outstanding shares as</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7580" w:type="dxa"/>
            <w:vAlign w:val="bottom"/>
            <w:gridSpan w:val="2"/>
          </w:tcPr>
          <w:p>
            <w:pPr>
              <w:ind w:left="220"/>
              <w:spacing w:after="0" w:line="263" w:lineRule="exact"/>
              <w:rPr>
                <w:sz w:val="20"/>
                <w:szCs w:val="20"/>
                <w:color w:val="auto"/>
              </w:rPr>
            </w:pPr>
            <w:r>
              <w:rPr>
                <w:rFonts w:ascii="Arial" w:cs="Arial" w:eastAsia="Arial" w:hAnsi="Arial"/>
                <w:sz w:val="18"/>
                <w:szCs w:val="18"/>
                <w:color w:val="auto"/>
              </w:rPr>
              <w:t xml:space="preserve">further adjusted </w:t>
            </w:r>
            <w:r>
              <w:rPr>
                <w:rFonts w:ascii="Arial" w:cs="Arial" w:eastAsia="Arial" w:hAnsi="Arial"/>
                <w:sz w:val="29"/>
                <w:szCs w:val="29"/>
                <w:color w:val="auto"/>
                <w:vertAlign w:val="superscript"/>
              </w:rPr>
              <w:t>(3)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16,408</w:t>
            </w:r>
          </w:p>
        </w:tc>
        <w:tc>
          <w:tcPr>
            <w:tcW w:w="1640" w:type="dxa"/>
            <w:vAlign w:val="bottom"/>
            <w:gridSpan w:val="5"/>
          </w:tcPr>
          <w:p>
            <w:pPr>
              <w:jc w:val="right"/>
              <w:ind w:right="420"/>
              <w:spacing w:after="0"/>
              <w:rPr>
                <w:sz w:val="20"/>
                <w:szCs w:val="20"/>
                <w:color w:val="auto"/>
              </w:rPr>
            </w:pPr>
            <w:r>
              <w:rPr>
                <w:rFonts w:ascii="Arial" w:cs="Arial" w:eastAsia="Arial" w:hAnsi="Arial"/>
                <w:sz w:val="18"/>
                <w:szCs w:val="18"/>
                <w:color w:val="auto"/>
              </w:rPr>
              <w:t>16,408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16,408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518,286</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518,286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518,286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580" w:type="dxa"/>
            <w:vAlign w:val="bottom"/>
            <w:gridSpan w:val="2"/>
          </w:tcPr>
          <w:p>
            <w:pPr>
              <w:ind w:left="60"/>
              <w:spacing w:after="0"/>
              <w:rPr>
                <w:sz w:val="20"/>
                <w:szCs w:val="20"/>
                <w:color w:val="auto"/>
              </w:rPr>
            </w:pPr>
            <w:r>
              <w:rPr>
                <w:rFonts w:ascii="Arial" w:cs="Arial" w:eastAsia="Arial" w:hAnsi="Arial"/>
                <w:sz w:val="18"/>
                <w:szCs w:val="18"/>
                <w:color w:val="auto"/>
              </w:rPr>
              <w:t>Shareholders receivables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640" w:type="dxa"/>
            <w:vAlign w:val="bottom"/>
            <w:gridSpan w:val="5"/>
          </w:tcPr>
          <w:p>
            <w:pPr>
              <w:jc w:val="right"/>
              <w:ind w:right="360"/>
              <w:spacing w:after="0"/>
              <w:rPr>
                <w:sz w:val="20"/>
                <w:szCs w:val="20"/>
                <w:color w:val="auto"/>
              </w:rPr>
            </w:pPr>
            <w:r>
              <w:rPr>
                <w:rFonts w:ascii="Arial" w:cs="Arial" w:eastAsia="Arial" w:hAnsi="Arial"/>
                <w:sz w:val="18"/>
                <w:szCs w:val="18"/>
                <w:color w:val="auto"/>
              </w:rPr>
              <w:t>(26)</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r>
      <w:tr>
        <w:trPr>
          <w:trHeight w:val="110"/>
        </w:trPr>
        <w:tc>
          <w:tcPr>
            <w:tcW w:w="75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(459,232)</w:t>
            </w:r>
          </w:p>
        </w:tc>
        <w:tc>
          <w:tcPr>
            <w:tcW w:w="16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(459,232)</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(459,232)</w:t>
            </w:r>
          </w:p>
        </w:tc>
        <w:tc>
          <w:tcPr>
            <w:tcW w:w="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Treasury stock, 1,300,000 shares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(9,072)</w:t>
            </w:r>
          </w:p>
        </w:tc>
        <w:tc>
          <w:tcPr>
            <w:tcW w:w="1640" w:type="dxa"/>
            <w:vAlign w:val="bottom"/>
            <w:gridSpan w:val="5"/>
          </w:tcPr>
          <w:p>
            <w:pPr>
              <w:jc w:val="right"/>
              <w:ind w:right="360"/>
              <w:spacing w:after="0"/>
              <w:rPr>
                <w:sz w:val="20"/>
                <w:szCs w:val="20"/>
                <w:color w:val="auto"/>
              </w:rPr>
            </w:pPr>
            <w:r>
              <w:rPr>
                <w:rFonts w:ascii="Arial" w:cs="Arial" w:eastAsia="Arial" w:hAnsi="Arial"/>
                <w:sz w:val="18"/>
                <w:szCs w:val="18"/>
                <w:color w:val="auto"/>
              </w:rPr>
              <w:t>(9,072)</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24"/>
                <w:szCs w:val="24"/>
                <w:color w:val="auto"/>
              </w:rPr>
            </w:pPr>
          </w:p>
        </w:tc>
      </w:tr>
      <w:tr>
        <w:trPr>
          <w:trHeight w:val="110"/>
        </w:trPr>
        <w:tc>
          <w:tcPr>
            <w:tcW w:w="75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75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4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r>
    </w:tbl>
    <w:p>
      <w:pPr>
        <w:sectPr>
          <w:pgSz w:w="11900" w:h="16900" w:orient="portrait"/>
          <w:cols w:equalWidth="0" w:num="1">
            <w:col w:w="11420"/>
          </w:cols>
          <w:pgMar w:left="240" w:top="131"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66,364</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2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60" w:type="dxa"/>
            <w:vAlign w:val="bottom"/>
          </w:tcPr>
          <w:p>
            <w:pPr>
              <w:spacing w:after="0"/>
              <w:rPr>
                <w:sz w:val="20"/>
                <w:szCs w:val="20"/>
                <w:color w:val="auto"/>
              </w:rPr>
            </w:pPr>
            <w:r>
              <w:rPr>
                <w:rFonts w:ascii="Arial" w:cs="Arial" w:eastAsia="Arial" w:hAnsi="Arial"/>
                <w:sz w:val="18"/>
                <w:szCs w:val="18"/>
                <w:color w:val="auto"/>
              </w:rPr>
              <w:t>Total capitalization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727,976</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778,862</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754,362</w:t>
            </w:r>
          </w:p>
        </w:tc>
        <w:tc>
          <w:tcPr>
            <w:tcW w:w="220" w:type="dxa"/>
            <w:vAlign w:val="bottom"/>
          </w:tcPr>
          <w:p>
            <w:pPr>
              <w:spacing w:after="0"/>
              <w:rPr>
                <w:sz w:val="24"/>
                <w:szCs w:val="24"/>
                <w:color w:val="auto"/>
              </w:rPr>
            </w:pPr>
          </w:p>
        </w:tc>
      </w:tr>
      <w:tr>
        <w:trPr>
          <w:trHeight w:val="134"/>
        </w:trPr>
        <w:tc>
          <w:tcPr>
            <w:tcW w:w="756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financial data is derived from unaudited condensed interim consolidated financial statements.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Includes 1,300,000 treasury shares.</w:t>
      </w:r>
    </w:p>
    <w:p>
      <w:pPr>
        <w:spacing w:after="0" w:line="9" w:lineRule="exact"/>
        <w:rPr>
          <w:rFonts w:ascii="Arial" w:cs="Arial" w:eastAsia="Arial" w:hAnsi="Arial"/>
          <w:sz w:val="18"/>
          <w:szCs w:val="18"/>
          <w:color w:val="auto"/>
        </w:rPr>
      </w:pPr>
    </w:p>
    <w:p>
      <w:pPr>
        <w:ind w:left="580" w:right="240" w:hanging="581"/>
        <w:spacing w:after="0" w:line="250" w:lineRule="auto"/>
        <w:rPr>
          <w:rFonts w:ascii="Arial" w:cs="Arial" w:eastAsia="Arial" w:hAnsi="Arial"/>
          <w:sz w:val="18"/>
          <w:szCs w:val="18"/>
          <w:color w:val="auto"/>
        </w:rPr>
      </w:pPr>
      <w:r>
        <w:rPr>
          <w:rFonts w:ascii="Arial" w:cs="Arial" w:eastAsia="Arial" w:hAnsi="Arial"/>
          <w:sz w:val="18"/>
          <w:szCs w:val="18"/>
          <w:color w:val="auto"/>
        </w:rPr>
        <w:t>*** In July 2005, our board of directors approved increasing our authorized share capital to 500 million ordinary shares, par value NIS 1.00 per share. This increase is subject to approval of our shareholders.</w:t>
      </w:r>
    </w:p>
    <w:p>
      <w:pPr>
        <w:spacing w:after="0" w:line="1" w:lineRule="exact"/>
        <w:rPr>
          <w:sz w:val="20"/>
          <w:szCs w:val="20"/>
          <w:color w:val="auto"/>
        </w:rPr>
      </w:pPr>
    </w:p>
    <w:p>
      <w:pPr>
        <w:ind w:left="580" w:right="60" w:hanging="572"/>
        <w:spacing w:after="0" w:line="214" w:lineRule="auto"/>
        <w:tabs>
          <w:tab w:leader="none" w:pos="58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As adjusted to reflect our issuance of $50,000,000 in principal amount of debentures convertible into our ordinary shares, assuming the exercise in full of all the rights distributed in this rights offering. The amounts as adjusted reflect the gross proceeds to be received from this rights offering.</w:t>
      </w:r>
    </w:p>
    <w:p>
      <w:pPr>
        <w:spacing w:after="0" w:line="1" w:lineRule="exact"/>
        <w:rPr>
          <w:rFonts w:ascii="Arial" w:cs="Arial" w:eastAsia="Arial" w:hAnsi="Arial"/>
          <w:sz w:val="26"/>
          <w:szCs w:val="26"/>
          <w:color w:val="auto"/>
          <w:vertAlign w:val="superscript"/>
        </w:rPr>
      </w:pPr>
    </w:p>
    <w:p>
      <w:pPr>
        <w:ind w:left="580" w:hanging="572"/>
        <w:spacing w:after="0" w:line="180" w:lineRule="auto"/>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The indebtedness represented by long-term debt is secured by specific and floating liens on all of our assets.</w:t>
      </w:r>
    </w:p>
    <w:p>
      <w:pPr>
        <w:spacing w:after="0" w:line="8" w:lineRule="exact"/>
        <w:rPr>
          <w:rFonts w:ascii="Arial" w:cs="Arial" w:eastAsia="Arial" w:hAnsi="Arial"/>
          <w:sz w:val="25"/>
          <w:szCs w:val="25"/>
          <w:color w:val="auto"/>
          <w:vertAlign w:val="superscript"/>
        </w:rPr>
      </w:pPr>
    </w:p>
    <w:p>
      <w:pPr>
        <w:ind w:left="580" w:right="520" w:hanging="572"/>
        <w:spacing w:after="0" w:line="205" w:lineRule="auto"/>
        <w:tabs>
          <w:tab w:leader="none" w:pos="5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As adjusted to reflect the sale of $25,500,000 in principal amount of debentures convertible into our ordinary shares that Israel Corp.</w:t>
      </w:r>
      <w:r>
        <w:rPr>
          <w:rFonts w:ascii="Arial" w:cs="Arial" w:eastAsia="Arial" w:hAnsi="Arial"/>
          <w:sz w:val="18"/>
          <w:szCs w:val="18"/>
          <w:b w:val="1"/>
          <w:bCs w:val="1"/>
          <w:color w:val="auto"/>
        </w:rPr>
        <w:t>,</w:t>
      </w:r>
      <w:r>
        <w:rPr>
          <w:rFonts w:ascii="Arial" w:cs="Arial" w:eastAsia="Arial" w:hAnsi="Arial"/>
          <w:sz w:val="18"/>
          <w:szCs w:val="18"/>
          <w:color w:val="auto"/>
        </w:rPr>
        <w:t xml:space="preserve"> SanDisk Corporation, Alliance Semiconductor and Macronix International Co. Ltd. have committed to purchase. The amounts, as adjusted, reflect the gross proceeds to be received from this rights offering.</w:t>
      </w:r>
    </w:p>
    <w:p>
      <w:pPr>
        <w:spacing w:after="0" w:line="200" w:lineRule="exact"/>
        <w:rPr>
          <w:sz w:val="20"/>
          <w:szCs w:val="20"/>
          <w:color w:val="auto"/>
        </w:rPr>
      </w:pPr>
    </w:p>
    <w:p>
      <w:pPr>
        <w:spacing w:after="0" w:line="25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information set forth in the foregoing table excludes 421,422 ordinary shares that we issued in July, 2005. The information excludes as of August 31, 2005: (i) 12,998,560 ordinary shares issuable upon exercise of options granted to employees and directors at a weighted average exercise price of $4.26 (including a grant of options to our chief executive officer to purchase up to 1,325,724 shares approved by our board of directors and which is subject to approval of our shareholders); (ii) up to 2,697,068 ordinary shares issuable upon conversion of unsecured, subordinated convertible debentures, net that we issued in January 2002 in the amount of NIS 117.4 million (or $25.8 million, as of August 31, 2005), which are convertible through December 31, 2008; (iii) 2,211,596 ordinary shares issuable upon exercise of options exercisable through January 20, 2006 at an exercise price of NIS 41.9, linked to the Israeli Consumer Price Index (or $9.2, as of August 31,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(viii) 8,264,464 ordinary shares issuable upon exercise of the warrants we agreed to issue to our banks with an exercise price of $1.21 in connection with the July 2005 amendment to our facility agreement; and (ix) $13.4 million we borrowed under our credit facility agreement in August 2005.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and agreements with our major wafer partners and with Israel Corp. which cannot be calculated as of the date of this prospectus since the number of shares issuable will depend upon future transactions in which we may engage: (i) ordinary shares issuable upon conversion of up to $38.2 million in wafer prepayment credits (as of August 31, 2005) which we have issued our major wafer partners; (ii) ordinary shares issuable upon exercise of warrants issued to Israel Corp. and our banks in the event that we are required by our banks to complete a rights offering in connection with the arrangements agreed to in the November 2003 amendment to our facility agreement; and (iii) ordinary shares issuable upon conversion of securities we may be required to issue in connection with a rights offering and outside investor provisions agreed to in the November 2003 amendment to our facility agreement.</w:t>
      </w:r>
    </w:p>
    <w:p>
      <w:pPr>
        <w:spacing w:after="0" w:line="23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DILUTION; EFFECT OF THE RIGHTS OFFERING ON OUR OUTSTANDING</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SHARES, OPTIONS, WARRANTS AND CONVERTIBLE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99"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Assuming that all of the rights we are distributing are exercised and that all the debentures are converted into our ordinary shares at a conversion rate of one ordinary share per each $1.10 amount of outstanding principal, we will issue an additional 45,454,545 of our ordinary shares. This would represent a 68% increase over our 66,707,609 issued and outstanding ordinary shares as of August 31, 2005, excluding: (i) adjustments to the conversion rate, (ii) shares issuable upon exercise of our outstanding options or warrants, (iii) the conversion by our wafer partners of their wafer credits into our ordinary shares, and (iv) the conversion of our convertible debentures already traded on the TASE, including all changes in the exercise price/conversion rate of such securities as a result of this rights offering. As of August 31, 2005, we had 12,998,560 outstanding options under our employee and directors share option plans (including a grant of options to our chief executive officer to purchase up to 1,325,724 shares approved by our board of directors and which is subject to approval of our shareholders), of which 2,585,105 are options that entitle their holders to receive rights in this offering. If all the rights we are distributing to our eligible employees under our employee share option plans are exercised and all the debentures are converted into our ordinary shares at a conversion rate of one ordinary share per each $1.10 amount of outstanding principal, we will issue approximately 1,695,455 of our ordinary shares to our eligible employees, which represents 2.5% of our issued and outstanding shares as of August 31, 2005.</w:t>
      </w:r>
    </w:p>
    <w:p>
      <w:pPr>
        <w:spacing w:after="0" w:line="175"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If you do not exercise your rights or if you exercise your rights but thereafter do not convert the debentures, the percentage of ordinary shares that you hold will decrease upon the conversion of the debentures issued in this rights offering into our ordinary shares by other shareholders and eligible employees.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This Rights Offering on Our Convertible Securities</w:t>
      </w:r>
    </w:p>
    <w:p>
      <w:pPr>
        <w:spacing w:after="0" w:line="299"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Employee Share Option Plans. </w:t>
      </w:r>
      <w:r>
        <w:rPr>
          <w:rFonts w:ascii="Arial" w:cs="Arial" w:eastAsia="Arial" w:hAnsi="Arial"/>
          <w:sz w:val="16"/>
          <w:szCs w:val="16"/>
          <w:color w:val="auto"/>
        </w:rPr>
        <w:t>Under our employee share option plans that were adopted prior to July 1, 2002, in the event of a rights offering,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grant similar rights to all employees holding options on the record date (including unvested options). Accordingly, we are offering those employees holding options under these employee share option plans, one right for each 138.59 employee options held by them on the record date. Each right will entitle these persons to purchase one hundred debentures at a subscription price of $100.00. Each debenture is of $1.00 in principal amount. The debentures will be convertible into our ordinary shares at a rate of one ordinary share per $1.10 aggregate principal amount of debentures.</w:t>
      </w:r>
    </w:p>
    <w:p>
      <w:pPr>
        <w:sectPr>
          <w:pgSz w:w="11900" w:h="16838" w:orient="portrait"/>
          <w:cols w:equalWidth="0" w:num="1">
            <w:col w:w="11420"/>
          </w:cols>
          <w:pgMar w:left="240" w:top="140" w:right="239" w:bottom="117"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40" w:right="239" w:bottom="117" w:gutter="0" w:footer="0" w:header="0"/>
          <w:type w:val="continuous"/>
        </w:sectPr>
      </w:pPr>
    </w:p>
    <w:bookmarkStart w:id="19" w:name="page20"/>
    <w:bookmarkEnd w:id="19"/>
    <w:p>
      <w:pPr>
        <w:ind w:firstLine="351"/>
        <w:spacing w:after="0" w:line="289" w:lineRule="auto"/>
        <w:rPr>
          <w:sz w:val="20"/>
          <w:szCs w:val="20"/>
          <w:color w:val="auto"/>
        </w:rPr>
      </w:pPr>
      <w:r>
        <w:rPr>
          <w:rFonts w:ascii="Arial" w:cs="Arial" w:eastAsia="Arial" w:hAnsi="Arial"/>
          <w:sz w:val="16"/>
          <w:szCs w:val="16"/>
          <w:color w:val="auto"/>
        </w:rPr>
        <w:t>Our employee share option plans adopted after July 1, 2002 provide that in the event of a rights offering, new option holders will be entitled to an adjustment to the number of shares into which the options are exercisable based on the element of economic benefit of the rights offering, as such element is calculated by the Tel-Aviv Stock Exchange in accordance with its rules,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employee options as a result of this rights offering. As of June 30, 2005, we issued 10,053,436 options to our employees under these revised option plans (including a grant of options to our chief executive officer to purchase up to 1,325,724 shares approved by our board of directors and which is subject to approval of our shareholders).</w:t>
      </w:r>
    </w:p>
    <w:p>
      <w:pPr>
        <w:spacing w:after="0" w:line="172"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August 31, 2005, we had 12,998,560 outstanding options under our employee and directors share option plans (including a grant of options to our chief executive officer to purchase up to 1,325,724 shares approved by our board of directors and which is subject to approval of our shareholders), out of which 2,585,105 are options that entitle their holders to receive rights in this offering. If all the rights we are distributing to our eligible employees under our employee share option plans are exercised and all the debentures are converted into our ordinary shares at a conversion rate of one ordinary share per each $1.10 amount of outstanding principal, we will issue approximately 1,695,455 of our ordinary shares to our eligible employees, which represents 2.5% of our issued and outstanding shares as of August 31, 2005.</w:t>
      </w:r>
    </w:p>
    <w:p>
      <w:pPr>
        <w:spacing w:after="0" w:line="19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Convertible debentures and Options (Series 1)</w:t>
      </w:r>
      <w:r>
        <w:rPr>
          <w:rFonts w:ascii="Arial" w:cs="Arial" w:eastAsia="Arial" w:hAnsi="Arial"/>
          <w:sz w:val="16"/>
          <w:szCs w:val="16"/>
          <w:color w:val="auto"/>
        </w:rPr>
        <w:t>. We have a principal amount of NIS 110,579,800 ($24,175,732) in outstanding convertible debentures,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convertible into 2,697,068 ordinary shares and 2,211,596 outstanding Options (Series 1). Both securities were issued under a prospectus published in Israel on January 15, 2002 and are traded on the Tel Aviv Stock Exchange. The debentures are convertible into our ordinary shares at a conversion rate of one ordinary share per each NIS 41 principal amount of the debentures linked to the CPI. Each Option (Series 1) is exercisable into one ordinary share for an exercise price linked to the Israeli Consumer Price Index (as of August 31, 2005 NIS 41.9; $9.2). Under the terms of their issuance, in the event of a rights offering, the number of shares issuable upon conversion of the convertible debentures and upon exercise of the Options (Series 1) will be adjusted to reflect the economic benefit component in the rights offering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Options (Series 1) and in the number of ordinary shares issuable upon the conversion of the convertible debentures.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intend to use the net proceeds from this rights offering towards the further ramp-up and deployment of Fab 2 and for marketing expenses for the sale of our products and services as well as for general corporate purposes, including working capital. Our gross proceeds from the rights offering will depend on the number of rights that are exercised. Four of our major shareholders – Israel Corp., SanDisk Corporation, Alliance Semiconductor Corporation and Macronix International Co. Ltd – have committed and are obligated to purchase an aggregate of $25.5 million in principal amount of debentures. Other than pursuant to these commitments, there can be no assurance that any of the rights will be exercised. If all of the rights are exercised, then we will receive immediate proceeds from the sale of our debentures of $50 million, before deducting estimated expenses payable by us of approximately $0.9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OFFERING</w:t>
      </w:r>
    </w:p>
    <w:p>
      <w:pPr>
        <w:spacing w:after="0" w:line="3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Before exercising any rights, you should read carefully the information set forth under “Risk Factors.” For a description of the debentures issuable in this rights offering, see “Description of the Debentures”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w:t>
      </w:r>
    </w:p>
    <w:p>
      <w:pPr>
        <w:spacing w:after="0" w:line="312" w:lineRule="exact"/>
        <w:rPr>
          <w:sz w:val="20"/>
          <w:szCs w:val="20"/>
          <w:color w:val="auto"/>
        </w:rPr>
      </w:pPr>
    </w:p>
    <w:p>
      <w:pPr>
        <w:ind w:right="100" w:firstLine="348"/>
        <w:spacing w:after="0" w:line="305" w:lineRule="auto"/>
        <w:rPr>
          <w:sz w:val="20"/>
          <w:szCs w:val="20"/>
          <w:color w:val="auto"/>
        </w:rPr>
      </w:pPr>
      <w:r>
        <w:rPr>
          <w:rFonts w:ascii="Arial" w:cs="Arial" w:eastAsia="Arial" w:hAnsi="Arial"/>
          <w:sz w:val="15"/>
          <w:szCs w:val="15"/>
          <w:color w:val="auto"/>
        </w:rPr>
        <w:t>We are distributing transferable rights to shareholders who own our ordinary shares and to eligible employees who hold options to purchase our ordinary shares, granted under certain of our share option plans, at 5:00 p.m., New York time (midnight, Israel time) on _________ __, 2005, the record date, at no cost to</w:t>
      </w:r>
    </w:p>
    <w:p>
      <w:pPr>
        <w:ind w:right="220"/>
        <w:spacing w:after="0" w:line="300" w:lineRule="auto"/>
        <w:rPr>
          <w:sz w:val="20"/>
          <w:szCs w:val="20"/>
          <w:color w:val="auto"/>
        </w:rPr>
      </w:pPr>
      <w:r>
        <w:rPr>
          <w:rFonts w:ascii="Arial" w:cs="Arial" w:eastAsia="Arial" w:hAnsi="Arial"/>
          <w:sz w:val="15"/>
          <w:szCs w:val="15"/>
          <w:color w:val="auto"/>
        </w:rPr>
        <w:t>the shareholders and eligible employees. We will distribute to you one right for each 138.59 ordinary shares and/or employee options that you own at 5:00 p.m. New York time (midnight, Israel time) on the record date, _________ __, 2005 (two days after the date of this prospectus). If you hold 138 or fewer ordinary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shares and/or eligible options on the record date, you will not receive any rights. Each right will entitle you to purchase, at a subscription price of $100.00, one hundred U.S. dollar denominated debentures. Each debenture is of $1.00 in principal amount. The debentures will be convertible into our ordinary shares at a rate of one ordinary share per $1.10 aggregate principal amount of debentures.</w:t>
      </w:r>
    </w:p>
    <w:p>
      <w:pPr>
        <w:spacing w:after="0" w:line="19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subscription price must be paid to American Stock Transfer &amp; Trust Co., as Rights Agent, or directly to us under the procedures described herein. If you hold your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subscription price is to be paid in New Israeli Shekels according to the representative exchange rate that will be published by the Bank of Israel on the day before payment of the subscription price.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are exercisable during a 23-day period, beginning after 5:00 p.m. New York City time (midnight, Israel time) on _________ __, 2005 (the date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and ending at 5:00 p.m. New York City time (midnight, Israel time) on _________ __, 2005 (23 days after the date of this prospectus). We will</w:t>
      </w:r>
    </w:p>
    <w:p>
      <w:pPr>
        <w:spacing w:after="0" w:line="3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issue to you certificates representing the debentures convertible into our ordinary shares purchased in this offering as soon as practicable after the Rights Agent has received your duly completed exercise form and your payment has cleared. If you hold your shares through a broker, dealer or other nominee (including through members of the Tel Aviv Stock Exchange), your time to exercise will be subject to the timing requirements of your broker, dealer or other nominee (which may be earlier than the final expiration date of the rights), in addition to other procedural requirements of your broker, dealer or other nominee, as described below.</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Entitlements</w:t>
      </w:r>
    </w:p>
    <w:p>
      <w:pPr>
        <w:spacing w:after="0" w:line="312"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rights will be aggregated for all of the ordinary shares and eligible employee options you own on the record date and then rounded down to the nearest whole number. We will neither issue fractional rights nor pay cash in lieu thereof. Subscriptions will be accepted for a whole number of rights only.</w:t>
      </w:r>
    </w:p>
    <w:p>
      <w:pPr>
        <w:sectPr>
          <w:pgSz w:w="11900" w:h="16838" w:orient="portrait"/>
          <w:cols w:equalWidth="0" w:num="1">
            <w:col w:w="11420"/>
          </w:cols>
          <w:pgMar w:left="240" w:top="131"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Committed Purchases</w:t>
      </w:r>
    </w:p>
    <w:p>
      <w:pPr>
        <w:spacing w:after="0" w:line="299"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exercise all or some of their rights to purchase debentures. Israel Corp., which as of the date of this prospectus owns approximately 21.4% of our outstanding share capital on a non-diluted basis, and SanDisk Corporation, which as of the date of this prospectus owns approximately 15.1% of our outstanding share capital on a non-diluted basis, have committed, in connection with the July 2005 amendment to our credit facility agreement, and are obligated to exercise 100% and approximately 48.2%, of their rights, respectively, for the purchase of approximately $10.29 million and $3.5 million in debentures, respectively. In addition, Alliance and Macronix, which as of the date of this prospectus owned approximately 13.4% and 13.2%, respectively, of our outstanding share capital on a non-diluted basis, have committed to exercise approximately 15.6% and 15.8%, respectively, of their rights for the purchase by each of them of $1 million principal amount of debentures. SanDisk, Alliance and Macronix have also agreed to transfer to Israel Corp. a portion of their unexercised rights, which Israel Corp. has committed and is obligated to exercise, such that Israel Corp. will purchase an aggregate of $20 million in debentures ($10.29 million by the exercise of its own rights and approximately $9.71 million by the exercise of the rights transferred to it). Our four major shareholders together have committed and are obligated to purchase an aggregate of $25.5 million principal amount of convertible debentures.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rights to be distributed to these major shareholders,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Recommendation to Rights Holders</w:t>
      </w:r>
    </w:p>
    <w:p>
      <w:pPr>
        <w:spacing w:after="0" w:line="299"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are not making any recommendations as to whether or not you should exercise your rights. You should make your decision based on your own assessment of your best interests after reading this prospectus.</w:t>
      </w:r>
    </w:p>
    <w:p>
      <w:pPr>
        <w:spacing w:after="0" w:line="186" w:lineRule="exact"/>
        <w:rPr>
          <w:sz w:val="20"/>
          <w:szCs w:val="20"/>
          <w:color w:val="auto"/>
        </w:rPr>
      </w:pPr>
    </w:p>
    <w:p>
      <w:pPr>
        <w:ind w:right="80" w:firstLine="341"/>
        <w:spacing w:after="0" w:line="318" w:lineRule="auto"/>
        <w:rPr>
          <w:sz w:val="20"/>
          <w:szCs w:val="20"/>
          <w:color w:val="auto"/>
        </w:rPr>
      </w:pPr>
      <w:r>
        <w:rPr>
          <w:rFonts w:ascii="Arial" w:cs="Arial" w:eastAsia="Arial" w:hAnsi="Arial"/>
          <w:sz w:val="15"/>
          <w:szCs w:val="15"/>
          <w:color w:val="auto"/>
        </w:rPr>
        <w:t>As of August 31, 2005, our officers and directors as a group held an aggregate of 1,052 of our ordinary shares, held options exercisable for the purchase of 4,299,881 of our ordinary shares, (including a grant of options to our chief executive officer to purchase up to 1,325,724 shares approved by our board of directors and which is subject to approval of our shareholders) of which 235,416 options entitle their holders to receive rights in this offering. If all the rights we are distributing to our officers and directors under this rights offering are exercised and all their debentures are converted into our ordinary shares at a conversion rate of one ordinary share per each $1.10 amount of outstanding principal, we will issue approximately 1,547 of our ordinary shares to our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withdraw the rights offering in its sole discretion at any time prior to 5:00 p.m., New York City time (midnight, Israel time),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 __, 2005 (the record date, two days after the date of this prospectus) for any reason (including, without limitation, a change in the market price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Subscription Price</w:t>
      </w:r>
    </w:p>
    <w:p>
      <w:pPr>
        <w:spacing w:after="0" w:line="29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board of directors will set all of the terms and conditions of the rights offering, including the subscription price. Our company’s objective in establishing the subscription price will be to reflect recent trading prices, raise the targeted proceeds and provide all of our shareholders with a reasonable opportunity to make an additional investment in our company and minimize an involuntary dilution of their ownership and voting percentage. In establishing the subscription price, our board of directors will consider the following factors: the strategic alternatives available to us for raising capital, the market price of our ordinary shares, the pro rata nature of the offering, pricing and terms of similar transactions, our business prospects and general conditions in the securities markets. The subscription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did not seek or obtain any opinion of financial advisors or investment bankers in establishing the subscription price or conversion rate. The subscription price should not be considered an indication of our actual value, or the actual value of our ordinary shares or our debentures. We cannot assure you that the market price of our ordinary shares will not decline during the rights offering or that the market price of our ordinary shares or the debentures will not decline after the rights offering. We also cannot assure you that you will be able to sell the ordinary shares issuable upon conversion of the debentures at a price equal to or greater than the conversion rate at which your debentures may be converted. On September 20, 2005, the last reported sale price of our ordinary shares on the NASDAQ National Market was $1.24 per share and on the Tel Aviv Stock Exchange was NIS 577.20 per share. We urge you to obtain a current quote for our ordinary shares before exercising your rights or converting your debentures.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 Will be Binding on You</w:t>
      </w:r>
    </w:p>
    <w:p>
      <w:pPr>
        <w:spacing w:after="0" w:line="29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All questions concerning the timeliness, validity, form and eligibility of any exercise of rights will be determined by us in accordance with the terms of this prospectus, and our determinations will be final and binding. In our sole discretion, we may waive any defect or irregularity, or permit a defect or irregularity to be corrected within such time as we may determine, or reject the purported exercise of any right by reason of any defect or irregularity in such exercise. In determining whether to waive any such defect or irregularity regarding the exercise of the rights, we will consider the materiality of the defect or irregularity. Subscriptions will not be deemed to have been received or accepted until all irregularities have been waived or cured within such time as we determine in our sole discretion. We will not be under any duty to notify you of any defect or irregularity in connection with the exercise of your rights or incur any liability for failure to give such notification. However, liabilities under the U.S. federal securities laws and Israeli securities laws cannot be waived.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of Exercise of Rights</w:t>
      </w:r>
    </w:p>
    <w:p>
      <w:pPr>
        <w:sectPr>
          <w:pgSz w:w="11900" w:h="16838" w:orient="portrait"/>
          <w:cols w:equalWidth="0" w:num="1">
            <w:col w:w="11400"/>
          </w:cols>
          <w:pgMar w:left="240" w:top="125" w:right="259" w:bottom="0" w:gutter="0" w:footer="0" w:header="0"/>
        </w:sectPr>
      </w:pPr>
    </w:p>
    <w:bookmarkStart w:id="21" w:name="page22"/>
    <w:bookmarkEnd w:id="21"/>
    <w:p>
      <w:pPr>
        <w:spacing w:after="0" w:line="13" w:lineRule="exact"/>
        <w:rPr>
          <w:sz w:val="20"/>
          <w:szCs w:val="20"/>
          <w:color w:val="auto"/>
        </w:rPr>
      </w:pPr>
    </w:p>
    <w:p>
      <w:pPr>
        <w:ind w:right="620" w:firstLine="341"/>
        <w:spacing w:after="0" w:line="275" w:lineRule="auto"/>
        <w:rPr>
          <w:sz w:val="20"/>
          <w:szCs w:val="20"/>
          <w:color w:val="auto"/>
        </w:rPr>
      </w:pPr>
      <w:r>
        <w:rPr>
          <w:rFonts w:ascii="Arial" w:cs="Arial" w:eastAsia="Arial" w:hAnsi="Arial"/>
          <w:sz w:val="18"/>
          <w:szCs w:val="18"/>
          <w:color w:val="auto"/>
        </w:rPr>
        <w:t xml:space="preserve">After you have exercised your rights, </w:t>
      </w:r>
      <w:r>
        <w:rPr>
          <w:rFonts w:ascii="Arial" w:cs="Arial" w:eastAsia="Arial" w:hAnsi="Arial"/>
          <w:sz w:val="18"/>
          <w:szCs w:val="18"/>
          <w:b w:val="1"/>
          <w:bCs w:val="1"/>
          <w:color w:val="auto"/>
        </w:rPr>
        <w:t>you may not revoke that exercise</w:t>
      </w:r>
      <w:r>
        <w:rPr>
          <w:rFonts w:ascii="Arial" w:cs="Arial" w:eastAsia="Arial" w:hAnsi="Arial"/>
          <w:sz w:val="18"/>
          <w:szCs w:val="18"/>
          <w:color w:val="auto"/>
        </w:rPr>
        <w:t>. You should not exercise your rights unless you are certain that you wish to purchase our debentures.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Exercise of Rights for Record Holders</w:t>
      </w:r>
    </w:p>
    <w:p>
      <w:pPr>
        <w:spacing w:after="0" w:line="312"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Shortly after the date of this prospectus, we will send by registered mail or personal delivery to each holder of our ordinary shares that is registered on our shareholder registry maintained at American Stock Transfer &amp; Trust Co. a rights certificate conferring the number of rights applicable to each holder. The rights certificate will be accompanied by a copy of this prospectus, and on the back of the rights certificate will be a rights exercise form and a rights transfer form.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subscription period ending on _________ __, 2005 (23 days after the date of this prospectus), if you are a record owner of our ordinary shares,</w:t>
      </w:r>
    </w:p>
    <w:p>
      <w:pPr>
        <w:spacing w:after="0" w:line="3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you may exercise your rights by delivering a signed exercise form on the back of your rights certificate or a notice of guaranteed delivery to American Stock Transfer &amp; Trust Co., our Rights Agent, at the address noted below together with payment in full of the subscription price for each right being exercised, by 5:00 p.m., New York City time (midnight Israel time), on _________ __, 2005 (23 days after the date of this prospectus). This rights offering will not be extended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beyond the subscription period ending on _________ __, 2005 (23 days after the date of this prospectus).</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 are a record owner and reside in Israel, you may also exercise your rights by delivering a signed exercise form on the back of your rights certificate to us at the address noted below, together with payment in full of the subscription price for each right being exercised, by midnight, Israel time, on _________ __, 2005 (23 days after the date of this prospectus).</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and American Stock Transfer &amp; Trust Co., our Rights Agent, as applicable, may refuse to accept improperly completed or delivered or unexecuted exercise forms. We and American Stock Transfer &amp; Trust Co., our Rights Agent, as applicable, must receive payment in full of the subscription price for each right being exercised together with the exercise form (or notice of guaranteed delivery).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are delivering your completed exercise form (or notice of guaranteed delivery) and payment for the exercise of your rights to American Stock Transfer</w:t>
      </w:r>
    </w:p>
    <w:p>
      <w:pPr>
        <w:spacing w:after="0" w:line="38" w:lineRule="exact"/>
        <w:rPr>
          <w:sz w:val="20"/>
          <w:szCs w:val="20"/>
          <w:color w:val="auto"/>
        </w:rPr>
      </w:pPr>
    </w:p>
    <w:p>
      <w:pPr>
        <w:ind w:left="580" w:right="7500" w:hanging="572"/>
        <w:spacing w:after="0" w:line="594"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Trust Co., our Rights Agent, please do so as follows: by mail, overnight or hand delivery to:</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______</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w:t>
      </w:r>
    </w:p>
    <w:p>
      <w:pPr>
        <w:ind w:left="580"/>
        <w:spacing w:after="0" w:line="201" w:lineRule="auto"/>
        <w:rPr>
          <w:sz w:val="20"/>
          <w:szCs w:val="20"/>
          <w:color w:val="auto"/>
        </w:rPr>
      </w:pPr>
      <w:r>
        <w:rPr>
          <w:rFonts w:ascii="Arial" w:cs="Arial" w:eastAsia="Arial" w:hAnsi="Arial"/>
          <w:sz w:val="18"/>
          <w:szCs w:val="18"/>
          <w:color w:val="auto"/>
        </w:rPr>
        <w:t>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ind w:left="580"/>
        <w:spacing w:after="0"/>
        <w:rPr>
          <w:sz w:val="20"/>
          <w:szCs w:val="20"/>
          <w:color w:val="auto"/>
        </w:rPr>
      </w:pPr>
      <w:r>
        <w:rPr>
          <w:rFonts w:ascii="Arial" w:cs="Arial" w:eastAsia="Arial" w:hAnsi="Arial"/>
          <w:sz w:val="18"/>
          <w:szCs w:val="18"/>
          <w:color w:val="auto"/>
        </w:rPr>
        <w:t>Brooklyn, New York 11219</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_______</w:t>
      </w:r>
    </w:p>
    <w:p>
      <w:pPr>
        <w:spacing w:after="0" w:line="200" w:lineRule="exact"/>
        <w:rPr>
          <w:sz w:val="20"/>
          <w:szCs w:val="20"/>
          <w:color w:val="auto"/>
        </w:rPr>
      </w:pPr>
    </w:p>
    <w:p>
      <w:pPr>
        <w:spacing w:after="0" w:line="26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Record owners who reside in Israel, and who wish to deliver their completed exercise form and subscription payment for the exercise of their rights directly to us, must do so by mail, overnight courier or by hand,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Migdal Haemek 23150 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Ms. Nati Somekh Gilboa</w:t>
      </w:r>
    </w:p>
    <w:p>
      <w:pPr>
        <w:spacing w:after="0" w:line="200" w:lineRule="exact"/>
        <w:rPr>
          <w:sz w:val="20"/>
          <w:szCs w:val="20"/>
          <w:color w:val="auto"/>
        </w:rPr>
      </w:pPr>
    </w:p>
    <w:p>
      <w:pPr>
        <w:spacing w:after="0" w:line="262" w:lineRule="exact"/>
        <w:rPr>
          <w:sz w:val="20"/>
          <w:szCs w:val="20"/>
          <w:color w:val="auto"/>
        </w:rPr>
      </w:pPr>
    </w:p>
    <w:p>
      <w:pPr>
        <w:ind w:right="400" w:firstLine="341"/>
        <w:spacing w:after="0" w:line="284" w:lineRule="auto"/>
        <w:rPr>
          <w:sz w:val="20"/>
          <w:szCs w:val="20"/>
          <w:color w:val="auto"/>
        </w:rPr>
      </w:pPr>
      <w:r>
        <w:rPr>
          <w:rFonts w:ascii="Arial" w:cs="Arial" w:eastAsia="Arial" w:hAnsi="Arial"/>
          <w:sz w:val="16"/>
          <w:szCs w:val="16"/>
          <w:color w:val="auto"/>
        </w:rPr>
        <w:t>Any payments to American Stock Transfer &amp; Trust Co., as Rights Agent, must be made in U.S. Dollars by check drawn on a bank located in the United States and payable to "American Stock Transfer &amp; Trust Co., as Rights Agent,” or by wire transfer of funds to the account maintained by American Stock Transfer &amp; Trust Co., our Rights Agent, for this rights offering at ______, ABA No. ______, Account No. _______, reference Tower Semiconductor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w:t>
      </w:r>
    </w:p>
    <w:p>
      <w:pPr>
        <w:spacing w:after="0" w:line="219" w:lineRule="exact"/>
        <w:rPr>
          <w:sz w:val="20"/>
          <w:szCs w:val="20"/>
          <w:color w:val="auto"/>
        </w:rPr>
      </w:pPr>
    </w:p>
    <w:p>
      <w:pPr>
        <w:jc w:val="both"/>
        <w:ind w:right="220" w:firstLine="341"/>
        <w:spacing w:after="0" w:line="303" w:lineRule="auto"/>
        <w:rPr>
          <w:sz w:val="20"/>
          <w:szCs w:val="20"/>
          <w:color w:val="auto"/>
        </w:rPr>
      </w:pPr>
      <w:r>
        <w:rPr>
          <w:rFonts w:ascii="Arial" w:cs="Arial" w:eastAsia="Arial" w:hAnsi="Arial"/>
          <w:sz w:val="15"/>
          <w:szCs w:val="15"/>
          <w:color w:val="auto"/>
        </w:rPr>
        <w:t>Any payments to us shall be made in New Israeli Shekels according to the representative exchange rate published by the Bank of Israel on the day before payment of the subscription price and shall be by wire transfer or by check drawn on a bank located in Israel, and payable to “Tower Semiconductor Ltd.” Any wire transfer to us should be made to Bank Leumi Le Israel, Haifa Main Branch, 21 Jaffa St., Haifa, Israel, Branch # 876, Account # 130300/62, Swift Code: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 You will choose the method of delivery of exercise forms and payment of the subscription price and will bear the risk of such election. We may agree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accept other forms of payment if requested and agreed to by us.</w:t>
      </w:r>
    </w:p>
    <w:p>
      <w:pPr>
        <w:spacing w:after="0" w:line="21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IF YOU SEND YOUR COMPLETED EXERCISE FORM AND PAYMENTS BY MAIL, WE URGE YOU TO USE REGISTERED MAIL, PROPERLY INSURED, WITH RETURN RECEIPT REQUESTED, AND TO ALLOW A SUFFICIENT NUMBER OF DAYS TO ENSURE DELIVERY AND CLEARANCE OF PAYMENT PRIOR TO THE EXPIRATION DATE. WE STRONGLY URGE YOU TO PAY, OR ARRANGE FOR PAYMENT, BY MEANS OF A CHECK DRAWN ON A BANK LOCATED IN THE UNITED STATES OR IN ISRAEL. We will not consider any payment by check, other than a cashier’s check or a money order, to have been made until the check clears through the account of American Stock Transfer &amp; Trust Co., our Rights Agent, or to our account, as applicable, before the expiration date.</w:t>
      </w:r>
    </w:p>
    <w:p>
      <w:pPr>
        <w:spacing w:after="0" w:line="19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Payments for the exercise of your rights made to American Stock Transfer &amp; Trust Co., our Rights Agent, will be held in a segregated interest bearing money market account, and will be sent to us in accordance with our written instructions.</w:t>
      </w:r>
    </w:p>
    <w:p>
      <w:pPr>
        <w:sectPr>
          <w:pgSz w:w="11900" w:h="16852" w:orient="portrait"/>
          <w:cols w:equalWidth="0" w:num="1">
            <w:col w:w="11400"/>
          </w:cols>
          <w:pgMar w:left="240" w:top="125" w:right="259" w:bottom="0" w:gutter="0" w:footer="0" w:header="0"/>
        </w:sectPr>
      </w:pPr>
    </w:p>
    <w:bookmarkStart w:id="22" w:name="page23"/>
    <w:bookmarkEnd w:id="2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 in the United States</w:t>
      </w:r>
    </w:p>
    <w:p>
      <w:pPr>
        <w:spacing w:after="0" w:line="299"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If you want to exercise your rights, but time will not permit your rights certificate to reach American Stock Transfer &amp; Trust Co, our Rights Agent, prior to 5:00 p.m., New York City time (midnight, Israel time), on _________ __, 2005 (23 days after the date of this prospectus), you may exercise your subscription</w:t>
      </w:r>
    </w:p>
    <w:p>
      <w:pPr>
        <w:ind w:right="60"/>
        <w:spacing w:after="0" w:line="288" w:lineRule="auto"/>
        <w:rPr>
          <w:sz w:val="20"/>
          <w:szCs w:val="20"/>
          <w:color w:val="auto"/>
        </w:rPr>
      </w:pPr>
      <w:r>
        <w:rPr>
          <w:rFonts w:ascii="Arial" w:cs="Arial" w:eastAsia="Arial" w:hAnsi="Arial"/>
          <w:sz w:val="16"/>
          <w:szCs w:val="16"/>
          <w:color w:val="auto"/>
        </w:rPr>
        <w:t>rights if you send, and the Rights’ Agent receives, (1) payment in full for each right being exercised, (2) a notice of guaranteed delivery, substantially in the form provided to you with your rights certificate, from a member firm of a registered national securities exchange or a member of the National Association of Securities Dealers, Inc., or a commercial bank or trust company having an office or correspondent in the United States, and (3) your properly completed and duly executed rights certificate, including any required signature guarantees, within three NASDAQ National Market trading days following the date of your notice of guaranteed delivery. The notice of guaranteed delivery may be delivered to the Rights Agent in the same manner as your rights certificate as set forth herein, or may be transmitted to the Rights Agent by facsimile transmission, to facsimile number ______. You can obtain additional copies of the form of notice of guaranteed delivery by requesting them from the Rights Agent.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Rights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rights are transferable. You may sell or otherwise transfer them to others. The unexercised rights will be eligible for trading on the NASDAQ SmallCap Market and the Tel Aviv Stock Exchange for one day only on _____, 2005 (21 days after the date of this prospectus). If you are one of our affiliates, you may transfer your rights only if there is an effective registration statement or exemption covering such transfer under the United States securities laws.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Record holders wishing to transfer their rights to another person may do so by executing the rights transfer form on the back of the rights certificate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submitting it to American Stock Transfer &amp; Trust Co. prior to _________ __, 2005 (23 days after the date of this prospectus). Record holders wishing to sell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on the NASDAQ SmallCap Market or the Tel Aviv Stock Exchange, should independently engage a broker to execute this sale on their behalf.</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no contrary instructions have been received by _________ __, 2005 (23 days after the date of this prospectus) and your rights remain unexercised, your</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rights will expire. If you hold your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the rules of the Tel Aviv Stock Exchange provide that if no contrary instructions have been received from you by the time determined by your broker on ______,</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2005 (23 days after the date of this prospectus), you will be considered to have instructed your broker to sell all your rights on the Tel Aviv Stock Exchange with no price limit.</w:t>
      </w:r>
    </w:p>
    <w:p>
      <w:pPr>
        <w:spacing w:after="0" w:line="192" w:lineRule="exact"/>
        <w:rPr>
          <w:sz w:val="20"/>
          <w:szCs w:val="20"/>
          <w:color w:val="auto"/>
        </w:rPr>
      </w:pPr>
    </w:p>
    <w:p>
      <w:pPr>
        <w:ind w:right="460" w:firstLine="345"/>
        <w:spacing w:after="0" w:line="268" w:lineRule="auto"/>
        <w:rPr>
          <w:sz w:val="20"/>
          <w:szCs w:val="20"/>
          <w:color w:val="auto"/>
        </w:rPr>
      </w:pPr>
      <w:r>
        <w:rPr>
          <w:rFonts w:ascii="Arial" w:cs="Arial" w:eastAsia="Arial" w:hAnsi="Arial"/>
          <w:sz w:val="18"/>
          <w:szCs w:val="18"/>
          <w:color w:val="auto"/>
        </w:rPr>
        <w:t>You are responsible for all commissions, fees and other expenses, including brokerage commissions and transfer taxes, incurred in connection with the purchase, sale or exercise of 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Ambiguities in Exercise of Rights</w:t>
      </w:r>
    </w:p>
    <w:p>
      <w:pPr>
        <w:spacing w:after="0" w:line="2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you do not specify the number of rights being exercised, or if your payment is not sufficient to pay the total subscription price for all of the debentures that you indicated you wished to purchase, you will be deemed to have exercised the maximum number of rights that could be exercised for the amount of the payment received from you. If your payment exceeds the total subscription price for all of the rights you have elected to exercise, we will promptly refund to you the balance with no interest.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w:t>
      </w:r>
    </w:p>
    <w:p>
      <w:pPr>
        <w:spacing w:after="0" w:line="299"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issue to you certificates representing your debentures that are convertible into ordinary shares issuable upon the exercise of the rights in this offering as soon as practicable after the American Stock Transfer &amp; Trust Co., our Rights Agent, has received your duly completed exercise form and your payment has cleared. Brokers may be unwilling to sell the debentures until these holders have received certificates representing the debentures. Trading in the debentures on NASDAQ and the Tel Aviv Stock Exchange will commence on ______ __, 2005 (30 days after the date of this prospectus).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 Who Are Not Record Holders</w:t>
      </w:r>
    </w:p>
    <w:p>
      <w:pPr>
        <w:spacing w:after="0" w:line="299"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You should receive this form from your broker, custodian bank or other nominee with the other rights offering materials. You should NOT return your subscription form or transfer the subscription payment directly to us.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Summarized below are the procedures for exercising your rights if you are a beneficial owner whose ordinary shares are held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Procedures Applicable to Holders of Shares Through the Nominee Company of the Tel Aviv Stock Exchange.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you hold your ordinary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you should expect to receive a letter regarding this rights offering from the member of the Tel Aviv Stock Exchange through which you hold your shares. In that letter, you will be requested to make ONE of the following three elections:</w:t>
      </w:r>
    </w:p>
    <w:p>
      <w:pPr>
        <w:spacing w:after="0" w:line="194" w:lineRule="exact"/>
        <w:rPr>
          <w:sz w:val="20"/>
          <w:szCs w:val="20"/>
          <w:color w:val="auto"/>
        </w:rPr>
      </w:pPr>
    </w:p>
    <w:p>
      <w:pPr>
        <w:ind w:right="100" w:firstLine="359"/>
        <w:spacing w:after="0" w:line="318" w:lineRule="auto"/>
        <w:tabs>
          <w:tab w:leader="none" w:pos="9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Exercise your rights and subscribe for debentures that are convertible into our ordinary shares. If this alternative is elected, you may give a member of the Tel Aviv Stock Exchange through which you hold your shares an exercise notice commencing on _______ __, 2005 (two days after the date of this prospectus) and no later than the time determined by your broker on _______ __, 2005 (23 days after the date of this prospectus). The rules of the TASE provide that if during this period trading in our shares is halted, the rights will not be exercisable beginning on the sixth consecutive trading day during which trading in our shares is halted and until the end of the period during which trading is halted. Exercise notices received prior to the sixth consecutive trading day during</w:t>
      </w:r>
    </w:p>
    <w:p>
      <w:pPr>
        <w:sectPr>
          <w:pgSz w:w="11900" w:h="16924" w:orient="portrait"/>
          <w:cols w:equalWidth="0" w:num="1">
            <w:col w:w="11400"/>
          </w:cols>
          <w:pgMar w:left="240" w:top="125" w:right="259" w:bottom="0" w:gutter="0" w:footer="0" w:header="0"/>
        </w:sectPr>
      </w:pPr>
    </w:p>
    <w:bookmarkStart w:id="23" w:name="page24"/>
    <w:bookmarkEnd w:id="23"/>
    <w:p>
      <w:pPr>
        <w:spacing w:after="0" w:line="306" w:lineRule="auto"/>
        <w:rPr>
          <w:sz w:val="20"/>
          <w:szCs w:val="20"/>
          <w:color w:val="auto"/>
        </w:rPr>
      </w:pPr>
      <w:r>
        <w:rPr>
          <w:rFonts w:ascii="Arial" w:cs="Arial" w:eastAsia="Arial" w:hAnsi="Arial"/>
          <w:sz w:val="16"/>
          <w:szCs w:val="16"/>
          <w:color w:val="auto"/>
        </w:rPr>
        <w:t>which trading in our shares is halted and which were not executed by us will be cancelled. You must attach the subscription payment to your notice. You will need to arrange with your broker the method of payment of your subscription payment. The subscription price is to be paid in New Israeli Shekels according to the representative exchange rate published by the Bank of Israel on the day before payment of the subscription price; or</w:t>
      </w:r>
    </w:p>
    <w:p>
      <w:pPr>
        <w:spacing w:after="0" w:line="161" w:lineRule="exact"/>
        <w:rPr>
          <w:sz w:val="20"/>
          <w:szCs w:val="20"/>
          <w:color w:val="auto"/>
        </w:rPr>
      </w:pPr>
    </w:p>
    <w:p>
      <w:pPr>
        <w:ind w:right="60" w:firstLine="359"/>
        <w:spacing w:after="0" w:line="268" w:lineRule="auto"/>
        <w:tabs>
          <w:tab w:leader="none" w:pos="9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the rights or any part of them on the Tel Aviv Stock Exchange. If you select this alternative, you may give your broker price limit instructions as to the sale of the rights; or</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Refrain from exercising your rights and from selling them.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Your notice should reach the member of the Tel Aviv Stock Exchange through which you hold your shares by no later than _______ __, 2005 (23 days after</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date of this prospectus) at the time determined by your broker. If notice is not received from you by such time, you will be considered to have instructed your broker to sell your rights on the Tel Aviv Stock Exchange, with no price limit.</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hold rights and wish to transfer them to another person, you may do so by executing the rights transfer form that will be made available to you by your broker.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will trade on the Tel Aviv Stock Exchange for one trading day, _______ __, 2005 (21 days after the date of this prospectus). Pursuant to the Tel</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Aviv Stock Exchange rules, if the trading of our ordinary shares or the rights is halted for a period in excess of 45 minutes, and the trading does not resume for the remainder of that day upon which the rights are traded on the Tel Aviv Stock Exchange, an additional trading day for the rights will take place, and the last day to exercise the rights will be accordingly extended. If on the day upon which the rights are traded on the Tel Aviv Stock Exchange the trading of our ordinary shares is halted, yet the cessation of trade continues for fewer than five consecutive trading days, your instructions with respect to the rights delivered to your broker shall remain in effect unless contrary instructions have been received by your broker from you. If the trading of our ordinary shares on the day upon which the rights are traded on the Tel Aviv Stock Exchange is halted for a period of more than five consecutive trading days, all prior instructions received by your broker will be cancelled.</w:t>
      </w:r>
    </w:p>
    <w:p>
      <w:pPr>
        <w:spacing w:after="0" w:line="201"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Holders of unexercised rights following the Tel Aviv Stock Exchange rights trading day may exercise them and subscribe for debentures that are convertible into our ordinary shares by notifying their broker and transferring the subscription payment. This notice must reach the broker by no later than _________ __,</w:t>
      </w:r>
    </w:p>
    <w:p>
      <w:pPr>
        <w:ind w:right="100"/>
        <w:spacing w:after="0" w:line="261" w:lineRule="auto"/>
        <w:rPr>
          <w:sz w:val="20"/>
          <w:szCs w:val="20"/>
          <w:color w:val="auto"/>
        </w:rPr>
      </w:pPr>
      <w:r>
        <w:rPr>
          <w:rFonts w:ascii="Arial" w:cs="Arial" w:eastAsia="Arial" w:hAnsi="Arial"/>
          <w:sz w:val="18"/>
          <w:szCs w:val="18"/>
          <w:color w:val="auto"/>
        </w:rPr>
        <w:t>2005 (23 days after the date of this prospectus) at the time determined by the broker. If this notice is not received on time, it will not be possible to exercise these rights.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Under the Tel Aviv Stock Exchange rules, Tel Aviv Stock Exchange members must submit to the Tel Aviv Stock Exchange Clearing House a written rights exercise (subscription) notice on behalf of all their clients wishing to exercise rights no later than 9:00 a.m. Israel time (4:00 p.m., New York City time) on</w:t>
      </w:r>
    </w:p>
    <w:p>
      <w:pPr>
        <w:spacing w:after="0"/>
        <w:rPr>
          <w:sz w:val="20"/>
          <w:szCs w:val="20"/>
          <w:color w:val="auto"/>
        </w:rPr>
      </w:pPr>
      <w:r>
        <w:rPr>
          <w:rFonts w:ascii="Arial" w:cs="Arial" w:eastAsia="Arial" w:hAnsi="Arial"/>
          <w:sz w:val="16"/>
          <w:szCs w:val="16"/>
          <w:color w:val="auto"/>
        </w:rPr>
        <w:t>_________ __, 2005 (23 days after the date of this prospectus). The rights of holders of our ordinary shares through the nominee company of the Tel Aviv Stock</w:t>
      </w:r>
    </w:p>
    <w:p>
      <w:pPr>
        <w:spacing w:after="0" w:line="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Exchange will expire if the brokers of these holders do not provide an exercise notice as described above. The Tel Aviv Stock Exchange rules further require brokers to transfer, on the same date, to the Tel Aviv Stock Exchange Clearing House the subscription payments with respect to their clients’ exercised rights, and the Tel Aviv Stock Exchange Clearing House thereafter will transfer these payments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 Holders</w:t>
      </w:r>
    </w:p>
    <w:p>
      <w:pPr>
        <w:spacing w:after="0" w:line="31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should expect to receive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following procedures: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you wish to exercise your rights (or any part thereof), you must do so through our corporate secretary at our offices and you may not do so through our Rights Agent.</w:t>
      </w:r>
    </w:p>
    <w:p>
      <w:pPr>
        <w:spacing w:after="0" w:line="186" w:lineRule="exact"/>
        <w:rPr>
          <w:sz w:val="20"/>
          <w:szCs w:val="20"/>
          <w:color w:val="auto"/>
        </w:rPr>
      </w:pPr>
    </w:p>
    <w:p>
      <w:pPr>
        <w:ind w:right="160" w:firstLine="351"/>
        <w:spacing w:after="0" w:line="284" w:lineRule="auto"/>
        <w:rPr>
          <w:sz w:val="20"/>
          <w:szCs w:val="20"/>
          <w:color w:val="auto"/>
        </w:rPr>
      </w:pPr>
      <w:r>
        <w:rPr>
          <w:rFonts w:ascii="Arial" w:cs="Arial" w:eastAsia="Arial" w:hAnsi="Arial"/>
          <w:sz w:val="16"/>
          <w:szCs w:val="16"/>
          <w:color w:val="auto"/>
        </w:rPr>
        <w:t>If you wish to sell your rights, you may only do so in the framework of an organized selling arrangement that we are implementing for our employees. You do not have to notify us of your wish to sell your rights. If by 5:00 p.m. (Israel time) on _______ __, 2005 (23 days after the date of this prospectus), we do not receive a notice from you that you wish to exercise your rights, you will be considered to have instructed us to sell your rights and we will include your rights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organized selling arrangement. Under the organized selling arrangement, we will engage a broker to sell all the unexercised rights on the day upon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unexercised rights will trade on the Tel Aviv Stock Exchange (_______ __, 2005) (21 days after the date of this prospectus). We will instruct the broker to use his</w:t>
      </w:r>
    </w:p>
    <w:p>
      <w:pPr>
        <w:spacing w:after="0" w:line="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discretion in selling the rights with the aim of maximizing the total consideration received for the rights, but we will not specify any price limits. If the broker succeeds in selling the employees’ rights (or any part thereof), he will transfer to us the total consideration received from the sale (after deducting his fees as agreed with us). We will distribute this total consideration among the employees, pro-rata to the number of their unexercised rights. We will transfer your pro-rata share to you as soon as practicable together with your monthly salary and withhold from this amount all applicable taxes. All employees’ rights that are not sold by the broker will expire.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Holders</w:t>
      </w:r>
    </w:p>
    <w:p>
      <w:pPr>
        <w:spacing w:after="0" w:line="31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If you are a broker, a trustee or a depositary for securities who holds our ordinary shares for the account of others as a nominee holder, as soon as possible, you should notify the respective beneficial owners of such shares of the issuance of the rights to find out such beneficial owners’ intentions. You should obtain instructions from the beneficial owner with respect to the rights, as set forth in the instructions we have provided to you for your distribution to beneficial owners. If the beneficial owner so instructs, you should complete the appropriate subscription certificates. A nominee holder that holds shares for the account(s) of more than one beneficial owner may exercise the number of rights to which all such beneficial owners in the aggregate otherwise would have been entitled if they had been direct record holders of our ordinary shares on the record date, so long as the nominee submits the appropriate subscription certificates and certifications and proper payment to us. If you are a member of the Tel Aviv Stock Exchange, you must comply with the rules of the Tel Aviv Stock Exchange with respect to providing notices to and receiving instructions from your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ectPr>
          <w:pgSz w:w="11900" w:h="16838" w:orient="portrait"/>
          <w:cols w:equalWidth="0" w:num="1">
            <w:col w:w="11420"/>
          </w:cols>
          <w:pgMar w:left="240" w:top="131" w:right="239" w:bottom="5" w:gutter="0" w:footer="0" w:header="0"/>
        </w:sectPr>
      </w:pPr>
    </w:p>
    <w:bookmarkStart w:id="24" w:name="page25"/>
    <w:bookmarkEnd w:id="24"/>
    <w:p>
      <w:pPr>
        <w:ind w:left="360"/>
        <w:spacing w:after="0"/>
        <w:rPr>
          <w:sz w:val="20"/>
          <w:szCs w:val="20"/>
          <w:color w:val="auto"/>
        </w:rPr>
      </w:pPr>
      <w:r>
        <w:rPr>
          <w:rFonts w:ascii="Arial" w:cs="Arial" w:eastAsia="Arial" w:hAnsi="Arial"/>
          <w:sz w:val="18"/>
          <w:szCs w:val="18"/>
          <w:color w:val="auto"/>
        </w:rPr>
        <w:t>We have appointed American Stock Transfer &amp; Trust Company as Rights Agent for the rights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Agent’s telephone number is ______ or _______ and its facsimile number is ________; attention ___________. We will pay the fees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specified expenses of the Rights Agent.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DEBENTURES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debentures will be issued under an indenture to be dated as of _______ __, 2005 between us and _________________ and _________, as co-trustees.</w:t>
      </w:r>
    </w:p>
    <w:p>
      <w:pPr>
        <w:spacing w:after="0" w:line="50" w:lineRule="exact"/>
        <w:rPr>
          <w:sz w:val="20"/>
          <w:szCs w:val="20"/>
          <w:color w:val="auto"/>
        </w:rPr>
      </w:pPr>
    </w:p>
    <w:p>
      <w:pPr>
        <w:jc w:val="both"/>
        <w:ind w:right="60"/>
        <w:spacing w:after="0" w:line="361" w:lineRule="auto"/>
        <w:rPr>
          <w:sz w:val="20"/>
          <w:szCs w:val="20"/>
          <w:color w:val="auto"/>
        </w:rPr>
      </w:pPr>
      <w:r>
        <w:rPr>
          <w:rFonts w:ascii="Arial" w:cs="Arial" w:eastAsia="Arial" w:hAnsi="Arial"/>
          <w:sz w:val="15"/>
          <w:szCs w:val="15"/>
          <w:color w:val="auto"/>
        </w:rPr>
        <w:t>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23"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will be filed with the Israel Securities Authority (ISA), the Securities and Exchange Commission (SEC) and the Israeli Registrar of Companies and will be available for review at our registered office. You should read the entire indenture for provisions that may be important to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Redemption, Interest</w:t>
      </w:r>
    </w:p>
    <w:p>
      <w:pPr>
        <w:spacing w:after="0" w:line="312"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debentures will be general unsecured obligations. The debentures will bear interest at the rate per annum of 5%. Principal of the debentures is payable, together with accrued interest, in one installment (in the aggregate maximum amount of approximately $65 million, assuming the exercise of all of the rights being distributed) on _______, 2011. Instruments representing the debentures will be issued in denominations of $1.00 and integral multiples thereof.</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which is 23 days after the date of this prospectus,</w:t>
      </w:r>
    </w:p>
    <w:p>
      <w:pPr>
        <w:spacing w:after="0" w:line="38"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and will be computed on the basis of a 365-day year. Thereafter, interest will be computed on an annual basis. Accrued interest will not be payable by us upon conversion of the debentures into our ordinary shares and you will lose your right to any accrued interest upon conversion of the debentures into our ordinary shares.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Commencing __ days after the date of this prospectus (_____ __, 2005) and until ______ __, 2011 (inclusive) (16 days prior to the maturity date of the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debentures), the debentures are convertible into our ordinary shares at a conversion rate of one ordinary share per each $1.10 amount of outstanding principal of the debentures. Debentures may only be converted in whole and not in part.</w:t>
      </w:r>
    </w:p>
    <w:p>
      <w:pPr>
        <w:spacing w:after="0" w:line="19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Accrued interest will not be payable by us upon conversion of the debentures into our ordinary shares and you will lose your right to any accrued interest upon conversion of the debentures into our ordinary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Rate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will be adjusted if either of the following two scenarios occurs:</w:t>
      </w:r>
    </w:p>
    <w:p>
      <w:pPr>
        <w:spacing w:after="0" w:line="225" w:lineRule="exact"/>
        <w:rPr>
          <w:sz w:val="20"/>
          <w:szCs w:val="20"/>
          <w:color w:val="auto"/>
        </w:rPr>
      </w:pPr>
    </w:p>
    <w:p>
      <w:pPr>
        <w:ind w:left="1720" w:right="4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date of this prospectus), we consummate one or more financings in which we receive gross proceeds from each such financing of at least $5 million (excluding the proceeds from this rights offering), the conversion rate of the debentures will be adjusted within fourteen days of ______ __, 2006 (12 months after the date of this prospectus) to 90% of the lowest price per share (as calculated below) at which we sold securities in any one of these financings, if the adjusted conversion rate would be lower than the original conversion rate. We will issue a press release to announce the adjusted conversion rate seven days prior to the date that the adjustment takes effect.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7"/>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date of this prospectus), we do not receive in any one financing gross proceeds of at least $5 million (excluding the proceeds from this rights offering), but execute prior to ______ __, 2006 (12 months after the date of this prospectus) one or more letters of intent, memorandums of understanding or similar agreements or understandings, for a proposed financing or financings, which have not been abandoned prior to ______ __, 2006 (12 months after the date of this prospectus), and we receive in any one of these financings gross proceeds of at least $5 million by ______ __, 2007 (18 months after the date of this prospectus), then, the conversion rate will be adjusted within fourteen days of ______ __, 2007 (18 months after the date of this prospectus) to 90% of the lowest price per share (as calculated below) at which we sold securities in any of these financings, if the adjusted conversion rate would be lower than the original conversion rate. We will issue a press release to announce the adjusted conversion rate seven days prior to the date that the adjustment takes effect.</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rate means:</w:t>
      </w:r>
    </w:p>
    <w:p>
      <w:pPr>
        <w:spacing w:after="0" w:line="225" w:lineRule="exact"/>
        <w:rPr>
          <w:sz w:val="20"/>
          <w:szCs w:val="20"/>
          <w:color w:val="auto"/>
        </w:rPr>
      </w:pPr>
    </w:p>
    <w:p>
      <w:pPr>
        <w:ind w:left="2300" w:right="6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2300" w:right="50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ectPr>
          <w:pgSz w:w="11900" w:h="16838" w:orient="portrait"/>
          <w:cols w:equalWidth="0" w:num="1">
            <w:col w:w="11380"/>
          </w:cols>
          <w:pgMar w:left="240" w:top="131" w:right="279" w:bottom="0" w:gutter="0" w:footer="0" w:header="0"/>
        </w:sectPr>
      </w:pPr>
    </w:p>
    <w:bookmarkStart w:id="25" w:name="page26"/>
    <w:bookmarkEnd w:id="25"/>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the price per share for the purposes of the adjustment to the conversion rate as follows:</w:t>
      </w:r>
    </w:p>
    <w:p>
      <w:pPr>
        <w:spacing w:after="0" w:line="225" w:lineRule="exact"/>
        <w:rPr>
          <w:sz w:val="20"/>
          <w:szCs w:val="20"/>
          <w:color w:val="auto"/>
        </w:rPr>
      </w:pPr>
    </w:p>
    <w:p>
      <w:pPr>
        <w:ind w:left="2300" w:right="18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2300" w:right="360" w:hanging="567"/>
        <w:spacing w:after="0" w:line="259" w:lineRule="auto"/>
        <w:rPr>
          <w:sz w:val="20"/>
          <w:szCs w:val="20"/>
          <w:color w:val="auto"/>
        </w:rPr>
      </w:pPr>
      <w:r>
        <w:rPr>
          <w:rFonts w:ascii="Arial" w:cs="Arial" w:eastAsia="Arial" w:hAnsi="Arial"/>
          <w:sz w:val="18"/>
          <w:szCs w:val="18"/>
          <w:color w:val="auto"/>
        </w:rPr>
        <w:t>—If, in the financing or financings we issue only convertible debentures, the price per share for the purposes of calculating the adjustment will be the net present value of the (i) purchase price of the debentures issued in the financing or financings, (ii) conversion rate of the debentures and (iii) interest payment schedule.</w:t>
      </w:r>
    </w:p>
    <w:p>
      <w:pPr>
        <w:spacing w:after="0" w:line="221" w:lineRule="exact"/>
        <w:rPr>
          <w:sz w:val="20"/>
          <w:szCs w:val="20"/>
          <w:color w:val="auto"/>
        </w:rPr>
      </w:pPr>
    </w:p>
    <w:p>
      <w:pPr>
        <w:ind w:left="2300" w:right="20" w:hanging="567"/>
        <w:spacing w:after="0" w:line="268" w:lineRule="auto"/>
        <w:rPr>
          <w:sz w:val="20"/>
          <w:szCs w:val="20"/>
          <w:color w:val="auto"/>
        </w:rPr>
      </w:pPr>
      <w:r>
        <w:rPr>
          <w:rFonts w:ascii="Arial" w:cs="Arial" w:eastAsia="Arial" w:hAnsi="Arial"/>
          <w:sz w:val="18"/>
          <w:szCs w:val="18"/>
          <w:color w:val="auto"/>
        </w:rPr>
        <w:t>—If, in the financing or financings we issue only warrants, the price per share for the purposes of calculating the adjustment will be the economic value of the warrants as calculated by the Black and Scholes model.</w:t>
      </w:r>
    </w:p>
    <w:p>
      <w:pPr>
        <w:spacing w:after="0" w:line="212" w:lineRule="exact"/>
        <w:rPr>
          <w:sz w:val="20"/>
          <w:szCs w:val="20"/>
          <w:color w:val="auto"/>
        </w:rPr>
      </w:pPr>
    </w:p>
    <w:p>
      <w:pPr>
        <w:ind w:left="2300" w:right="220" w:hanging="567"/>
        <w:spacing w:after="0" w:line="259" w:lineRule="auto"/>
        <w:rPr>
          <w:sz w:val="20"/>
          <w:szCs w:val="20"/>
          <w:color w:val="auto"/>
        </w:rPr>
      </w:pPr>
      <w:r>
        <w:rPr>
          <w:rFonts w:ascii="Arial" w:cs="Arial" w:eastAsia="Arial" w:hAnsi="Arial"/>
          <w:sz w:val="18"/>
          <w:szCs w:val="18"/>
          <w:color w:val="auto"/>
        </w:rPr>
        <w:t>—If, in the financing or financings we issue units consisting of shares and warrants, the price per share for the purposes of calculating the adjustment will be the price per share in the financing or financings, less the economic value of the warrants as calculated by the Black and Scholes model.</w:t>
      </w:r>
    </w:p>
    <w:p>
      <w:pPr>
        <w:spacing w:after="0" w:line="221" w:lineRule="exact"/>
        <w:rPr>
          <w:sz w:val="20"/>
          <w:szCs w:val="20"/>
          <w:color w:val="auto"/>
        </w:rPr>
      </w:pPr>
    </w:p>
    <w:p>
      <w:pPr>
        <w:ind w:left="2300" w:hanging="567"/>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units consisting of convertible debentures and warrants, the price per share for the purposes of calculating the adjustment will be the net present value of the (i) purchase price of the units issued in the financing or financings, (ii) purchase price of the debentures issued in the financing or financings, (iii) conversion rate of the debentures and</w:t>
      </w:r>
    </w:p>
    <w:p>
      <w:pPr>
        <w:spacing w:after="0" w:line="1" w:lineRule="exact"/>
        <w:rPr>
          <w:sz w:val="20"/>
          <w:szCs w:val="20"/>
          <w:color w:val="auto"/>
        </w:rPr>
      </w:pPr>
    </w:p>
    <w:p>
      <w:pPr>
        <w:ind w:left="2300" w:right="100" w:hanging="10"/>
        <w:spacing w:after="0" w:line="261" w:lineRule="auto"/>
        <w:tabs>
          <w:tab w:leader="none" w:pos="25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interest payment schedule of the debentures, less the economic value of the warrants as calculated by the Black and Scholes model.</w:t>
      </w:r>
    </w:p>
    <w:p>
      <w:pPr>
        <w:spacing w:after="0" w:line="218" w:lineRule="exact"/>
        <w:rPr>
          <w:rFonts w:ascii="Arial" w:cs="Arial" w:eastAsia="Arial" w:hAnsi="Arial"/>
          <w:sz w:val="18"/>
          <w:szCs w:val="18"/>
          <w:color w:val="auto"/>
        </w:rPr>
      </w:pPr>
    </w:p>
    <w:p>
      <w:pPr>
        <w:ind w:left="2300" w:right="120" w:hanging="567"/>
        <w:spacing w:after="0" w:line="30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units consisting of shares and convertible debentures, the price per share for the purposes of calculating the adjustment will be the price per share in the financing or financings, less the net present value of the</w:t>
      </w:r>
    </w:p>
    <w:p>
      <w:pPr>
        <w:ind w:left="2300" w:hanging="10"/>
        <w:spacing w:after="0" w:line="323" w:lineRule="auto"/>
        <w:tabs>
          <w:tab w:leader="none" w:pos="25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purchase price of the units issued in the financing or financings, (ii) purchase price of the debentures issued in the financing or financings, (iii) conversion rate of the debentures and (iv) interest payment schedule of the debentures.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100" w:hanging="567"/>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convertible debentures and warrants, the price per share for the purposes of calculating the adjustment will be the price per share in the financing or financings, less the net present value of the (i) purchase price of the units issued in the financing or financings, (ii) purchase price of the debentures issued in the financing or financings, (iii) conversion rate of the debentures and (iv) interest payment schedule of the debentures and less the economic value of the warrants as calculated by the Black and Scholes model.</w:t>
      </w:r>
    </w:p>
    <w:p>
      <w:pPr>
        <w:spacing w:after="0" w:line="200" w:lineRule="exact"/>
        <w:rPr>
          <w:sz w:val="20"/>
          <w:szCs w:val="20"/>
          <w:color w:val="auto"/>
        </w:rPr>
      </w:pPr>
    </w:p>
    <w:p>
      <w:pPr>
        <w:spacing w:after="0" w:line="213"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conversion rate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Mandatory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debentures will automatically convert into our ordinary shares if either of the following two scenarios occurs:</w:t>
      </w:r>
    </w:p>
    <w:p>
      <w:pPr>
        <w:spacing w:after="0" w:line="225" w:lineRule="exact"/>
        <w:rPr>
          <w:sz w:val="20"/>
          <w:szCs w:val="20"/>
          <w:color w:val="auto"/>
        </w:rPr>
      </w:pPr>
    </w:p>
    <w:p>
      <w:pPr>
        <w:ind w:left="1720" w:right="40" w:hanging="567"/>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no later than ______ __, 2006 (12 months after the date of this prospectus) we consummate one or more financings in which we receive gross proceeds from each such financing of at least $5 million (excluding the proceeds from this rights offering), and the sum of the aggregate gross proceeds we receive in such financings together with the proceeds we receive from this rights offering equals or exceeds $60 million, we will cause the conversion of all the outstanding debentures being offered hereby within fourteen days of ______</w:t>
      </w:r>
    </w:p>
    <w:p>
      <w:pPr>
        <w:spacing w:after="0" w:line="2" w:lineRule="exact"/>
        <w:rPr>
          <w:sz w:val="20"/>
          <w:szCs w:val="20"/>
          <w:color w:val="auto"/>
        </w:rPr>
      </w:pPr>
    </w:p>
    <w:p>
      <w:pPr>
        <w:ind w:left="1720" w:right="120"/>
        <w:spacing w:after="0" w:line="292" w:lineRule="auto"/>
        <w:rPr>
          <w:sz w:val="20"/>
          <w:szCs w:val="20"/>
          <w:color w:val="auto"/>
        </w:rPr>
      </w:pPr>
      <w:r>
        <w:rPr>
          <w:rFonts w:ascii="Arial" w:cs="Arial" w:eastAsia="Arial" w:hAnsi="Arial"/>
          <w:sz w:val="16"/>
          <w:szCs w:val="16"/>
          <w:color w:val="auto"/>
        </w:rPr>
        <w:t>__, 2006 (12 months after the date of this prospectus), provided that the average closing price of our ordinary shares on NASDAQ (or such other stock exchange or quotation system on which our ordinary shares are listed in the event that they cease to be traded on NASDAQ) during the 30 consecutive trading days immediately prior to, and on the trading day preceding, ______ __, 2006 (12 months after the date of this prospectus) is at least 10% higher than the conversion rate then applicable to the debentures being offered in this rights offering. (See “Description of the Debentures –Conversion of Debentures – Adjustment to Conversion Rate.”)</w:t>
      </w:r>
    </w:p>
    <w:p>
      <w:pPr>
        <w:spacing w:after="0" w:line="197" w:lineRule="exact"/>
        <w:rPr>
          <w:sz w:val="20"/>
          <w:szCs w:val="20"/>
          <w:color w:val="auto"/>
        </w:rPr>
      </w:pPr>
    </w:p>
    <w:p>
      <w:pPr>
        <w:ind w:left="1720" w:right="20" w:hanging="567"/>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date of this prospectus), we do not receive aggregate gross proceeds of at least $5 million from one or more financings (excluding the proceeds from this rights offering), but execute prior to ______ __, 2006 (12 months after the date of this prospectus) one or more letters of intent, memorandums of understanding or similar agreements or understandings, for one or more proposed financings, which have not been abandoned prior to ______ __, 2006 (12 months after the date of this prospectus) and by ______ __, 2007 (18 months after the date of this prospectus) we receive in any such financings aggregate gross proceeds of at least $5 million and the sum of the aggregate gross proceeds we receive in such financings together with the proceeds we receive from this rights offering equals or exceeds $60 million, we will cause the conversion of all the outstanding debentures being offered hereby within fourteen days of ______ __, 2007 (18 months after the date of this prospectus), provided that the average closing price of our ordinary shares on NASDAQ (or such other stock exchange or quotation system on which our ordinary shares are listed in the event that they cease to be traded on NASDAQ) during the 30 consecutive trading days immediately prior to, and on the trading day preceding, ______ __, 2007 (18 months after the date of this prospectus) is at least 10% higher than the conversion rate then applicable to the debentures being offered in this rights offering. (See “Description of the Debentures – Conversion of Debentures – Adjustment to Conversion Rate.”)</w:t>
      </w:r>
    </w:p>
    <w:p>
      <w:pPr>
        <w:sectPr>
          <w:pgSz w:w="11900" w:h="16944" w:orient="portrait"/>
          <w:cols w:equalWidth="0" w:num="1">
            <w:col w:w="11380"/>
          </w:cols>
          <w:pgMar w:left="240" w:top="590" w:right="279" w:bottom="0" w:gutter="0" w:footer="0" w:header="0"/>
        </w:sectPr>
      </w:pPr>
    </w:p>
    <w:bookmarkStart w:id="26" w:name="page27"/>
    <w:bookmarkEnd w:id="26"/>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announce adjustments to the conversion rate of the debentures and the mandatory conversion of the debentures on Form 6-K, in an immediate report in Israel as well as a notice to be published in two Israeli newspapers as well as providing notice to the Co-Trustees.</w:t>
      </w:r>
    </w:p>
    <w:p>
      <w:pPr>
        <w:spacing w:after="0" w:line="186"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Accrued interest will not be payable by us upon the mandatory conversion of the debentures into our ordinary shares and you will lose your right to any accrued interest upon conversion of the debentures into our ordinary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Early Redemption of Debentures</w:t>
      </w:r>
    </w:p>
    <w:p>
      <w:pPr>
        <w:spacing w:after="0" w:line="31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may at our option announce the early redemption of the debentures or part thereof, provided that the outstanding aggregate balance of principal on account of the debentures is equal to or less than $500,000. In accordance with the rules of the Tel Aviv Stock Exchange, we may not announce the early redemption of the debentures if the aggregate outstanding balance of principal on account of the last payment to be made equals or is less than NIS 3.2 million (approximately $700,000 at current exchange rates). Therefore, unless the U.S. dollar/NIS exchange rate changes such that one U.S. dollar will equal or be greater than NIS 6.4, we will not announce the early redemption of the debentures.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7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the event the debentures are delisted by the TASE due to the value of the public’s holdings in the debentures falling below the value set forth in the rules of the TASE, subject to the approval of our banks, we will redeem the debentures and we will notify the debenture holders within 45 days of the delisting of the debentures of the redemption date of the debentures, which will be between 30 to 45 days after the date of our notification. The redemption date will not be during the period between the record date for the purposes of the receipt of interest payments and the actual date of the payment of such interest. On the redemption date, we will pay the debenture holders the principal of the debentures together with interest accrued as of such date.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our facility agreement, we are not permitted to redeem any debentures prior to January 1, 2008.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312"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Postponement of Payments under the Debentures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and the record date for payment will be cancelled and we will announce a new record date as applicable.</w:t>
      </w:r>
    </w:p>
    <w:p>
      <w:pPr>
        <w:spacing w:after="0" w:line="17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Under the facility agreement, the payment dates of interest and principal to the banks fall on the last business day of each calendar quarter (a “Bank Payment Date”). The payment date of principal and interest on the debentures falls on _____, 2011, namely ___ months following a Bank Payment Date.</w:t>
      </w:r>
    </w:p>
    <w:p>
      <w:pPr>
        <w:spacing w:after="0" w:line="139"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on _____, 2011 (which is a Bank Payment Date)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 Event of Default exists, the Six Month Period applicable to the payment to be made on the debentures on _______, 200____will be calculated beginning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 2011. For a description of additional events of default contained in our facility agreement, see “Events of Default under the Facility Agreement.”</w:t>
      </w:r>
    </w:p>
    <w:p>
      <w:pPr>
        <w:spacing w:after="0" w:line="242"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of interest) shall apply pro rata also to payments of principal and/or interest, as the case may be, in respect of the debentures and the holders of the debentures shall be bound by such rescheduling agreement. It is agreed with the banks that such rescheduling agreement will apply only to payments (principal and interest) scheduled to be made on the debentures during the period of 12 (twelve) months beginning on the</w:t>
      </w:r>
    </w:p>
    <w:p>
      <w:pPr>
        <w:sectPr>
          <w:pgSz w:w="11900" w:h="16953" w:orient="portrait"/>
          <w:cols w:equalWidth="0" w:num="1">
            <w:col w:w="11420"/>
          </w:cols>
          <w:pgMar w:left="240" w:top="590" w:right="239" w:bottom="0" w:gutter="0" w:footer="0" w:header="0"/>
        </w:sectPr>
      </w:pPr>
    </w:p>
    <w:bookmarkStart w:id="27" w:name="page28"/>
    <w:bookmarkEnd w:id="27"/>
    <w:p>
      <w:pPr>
        <w:ind w:right="20"/>
        <w:spacing w:after="0" w:line="282" w:lineRule="auto"/>
        <w:rPr>
          <w:sz w:val="20"/>
          <w:szCs w:val="20"/>
          <w:color w:val="auto"/>
        </w:rPr>
      </w:pPr>
      <w:r>
        <w:rPr>
          <w:rFonts w:ascii="Arial" w:cs="Arial" w:eastAsia="Arial" w:hAnsi="Arial"/>
          <w:sz w:val="16"/>
          <w:szCs w:val="16"/>
          <w:color w:val="auto"/>
        </w:rPr>
        <w:t>applicable Bank Payment Date, and shall postpone each payment on the debentures for no longer than 12 months. Pursuant to any such rescheduling agreement, we shall, in such 12 month period commencing from the effective date of such rescheduling agreement,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w:t>
      </w:r>
    </w:p>
    <w:p>
      <w:pPr>
        <w:spacing w:after="0" w:line="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the date of this prospectus, in addition to the first ranking charge which we granted to the banks under the facility agreement (see “Risk Factors – Risks Related to the Rights Offering –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of principal and interest on the debentures is subordinated to our indebtedness to our banks and obligations to secured creditors</w:t>
      </w:r>
      <w:r>
        <w:rPr>
          <w:rFonts w:ascii="Arial" w:cs="Arial" w:eastAsia="Arial" w:hAnsi="Arial"/>
          <w:sz w:val="16"/>
          <w:szCs w:val="16"/>
          <w:color w:val="auto"/>
        </w:rPr>
        <w:t>.”), our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 second ranking floating charge in favor of the government of the State of Israel, which secures our compliance with the terms of our grants in connection with our government “Approved Enterprise” programs for Fab 1 and Fab 2 (approximately $260 million received and approximately $7.9 million receivables, as of June 30, 2005). The indenture will not limit the amount of additional indebtedness which we can create, incur, assume or guarantee nor our ability to create any security to secure our obligations to any third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 under the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80" w:firstLine="8"/>
        <w:spacing w:after="0" w:line="268" w:lineRule="auto"/>
        <w:tabs>
          <w:tab w:leader="none" w:pos="56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obligated to raise $26 million by June 30, 2006 from specified sources. The sources of this $26 million of funding are limited to: (i) investments in our equity; (ii) investments in excess of the $23.5 million and $6.5 million which are to be made by October 31, 2005 and March 31, 2006, respectively, as described below; (iii) proceeds, net of taxes paid and related expenses, from the sale of securities we own in Azalea Microelectronics Corporation; and (iv) wafer prepayments under certain prepayment contracts.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we fail to raise an aggregate of $26 million from the specified sources by June 30, 2006, our banks have the option to demand that we consummate a rights offering for convertible debentures for the amount that we failed to raise. If our banks exercise this option, Israel Corp., has undertaken to our banks to exercise all of the rights Israel Corp. receives in such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such rights offering, if any (and less any amounts invested in the rights offering in connection with Israel Corp.‘s exercise of its own rights). An event of default under the facility agreement will occur if Israel Corp.‘s undertaking shall cease to be in full force and effect, if steps are taken for its liquidation, winding up or similar events or if Israel Corp. repudiates its undertaking. In connection with the July 2005 amendment to our facility agreement, our banks agreed that if Israel Corp. invests at least $14 million in this rights offering, its undertaking described above will be deemed to have been fulfilled.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In addition, pursuant to the July 2005 amendment to the facility agreement, we are obligated to raise $23.5 million dollars by October 31, 2005 and an additional $6.5 million by March 31, 2006. We must raise these funds by way of either paid-in equity as defined in the facility agreement or convertible debentures. In connection with the July 2005 amendment to our facility agreement, Israel Corp. and SanDisk Corporation have undertaken to invest $20 million and $3.5 million, respectively, in a rights offering. An event of default under the facility agreement will also occur if Israel Corp.‘s or SanDisk’s undertakings shall cease to be in full force and effect, if steps are taken for their liquidation, winding up or similar events or if they repudiate their respective undertaking.</w:t>
      </w:r>
    </w:p>
    <w:p>
      <w:pPr>
        <w:sectPr>
          <w:pgSz w:w="11900" w:h="16838" w:orient="portrait"/>
          <w:cols w:equalWidth="0" w:num="1">
            <w:col w:w="11420"/>
          </w:cols>
          <w:pgMar w:left="240" w:top="131" w:right="239" w:bottom="63" w:gutter="0" w:footer="0" w:header="0"/>
        </w:sectPr>
      </w:pPr>
    </w:p>
    <w:bookmarkStart w:id="28" w:name="page29"/>
    <w:bookmarkEnd w:id="28"/>
    <w:p>
      <w:pPr>
        <w:ind w:right="100" w:firstLine="8"/>
        <w:spacing w:after="0" w:line="30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60" w:firstLine="8"/>
        <w:spacing w:after="0" w:line="290"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As of today, we are in full compliance with our financial ratios and covenants. Under the terms of the July 2005 amendment to our credit facility agreement, our banks agreed to amend our financial ratios and covenants through the third quarter of 2006. See “Risk Factors – If we fail to satisfy the covenants set forth in our amended credit facility, our banks will be able to call our loans.”</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20" w:firstLine="8"/>
        <w:spacing w:after="0" w:line="306" w:lineRule="auto"/>
        <w:tabs>
          <w:tab w:leader="none" w:pos="746"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one of our customers.</w:t>
      </w:r>
    </w:p>
    <w:p>
      <w:pPr>
        <w:spacing w:after="0" w:line="160" w:lineRule="exact"/>
        <w:rPr>
          <w:rFonts w:ascii="Arial" w:cs="Arial" w:eastAsia="Arial" w:hAnsi="Arial"/>
          <w:sz w:val="16"/>
          <w:szCs w:val="16"/>
          <w:color w:val="auto"/>
        </w:rPr>
      </w:pPr>
    </w:p>
    <w:p>
      <w:pPr>
        <w:ind w:firstLine="8"/>
        <w:spacing w:after="0" w:line="291"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being offered herein)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7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right="100" w:firstLine="8"/>
        <w:spacing w:after="0" w:line="255"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Incurrence of financial indebtedness: </w:t>
      </w:r>
      <w:r>
        <w:rPr>
          <w:rFonts w:ascii="Arial" w:cs="Arial" w:eastAsia="Arial" w:hAnsi="Arial"/>
          <w:sz w:val="18"/>
          <w:szCs w:val="18"/>
          <w:color w:val="auto"/>
        </w:rPr>
        <w:t>We may not incur any financial indebtedness, unless we are specifically permitted to do so under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September 2002 and the debt we are incurring in connection with the issuance of the debentures being offered herein.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8"/>
        <w:spacing w:after="0" w:line="332"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80" w:firstLine="8"/>
        <w:spacing w:after="0" w:line="306" w:lineRule="auto"/>
        <w:tabs>
          <w:tab w:leader="none" w:pos="697"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right="20" w:firstLine="8"/>
        <w:spacing w:after="0" w:line="306" w:lineRule="auto"/>
        <w:tabs>
          <w:tab w:leader="none" w:pos="74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our ownership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60" w:lineRule="exact"/>
        <w:rPr>
          <w:rFonts w:ascii="Arial" w:cs="Arial" w:eastAsia="Arial" w:hAnsi="Arial"/>
          <w:sz w:val="16"/>
          <w:szCs w:val="16"/>
          <w:color w:val="auto"/>
        </w:rPr>
      </w:pPr>
    </w:p>
    <w:p>
      <w:pPr>
        <w:ind w:left="1720" w:right="160" w:hanging="567"/>
        <w:spacing w:after="0" w:line="268" w:lineRule="auto"/>
        <w:rPr>
          <w:rFonts w:ascii="Arial" w:cs="Arial" w:eastAsia="Arial" w:hAnsi="Arial"/>
          <w:sz w:val="16"/>
          <w:szCs w:val="16"/>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 and</w:t>
      </w:r>
    </w:p>
    <w:p>
      <w:pPr>
        <w:spacing w:after="0" w:line="212" w:lineRule="exact"/>
        <w:rPr>
          <w:rFonts w:ascii="Arial" w:cs="Arial" w:eastAsia="Arial" w:hAnsi="Arial"/>
          <w:sz w:val="16"/>
          <w:szCs w:val="16"/>
          <w:color w:val="auto"/>
        </w:rPr>
      </w:pPr>
    </w:p>
    <w:p>
      <w:pPr>
        <w:ind w:left="1720" w:right="160" w:hanging="567"/>
        <w:spacing w:after="0" w:line="268" w:lineRule="auto"/>
        <w:rPr>
          <w:rFonts w:ascii="Arial" w:cs="Arial" w:eastAsia="Arial" w:hAnsi="Arial"/>
          <w:sz w:val="16"/>
          <w:szCs w:val="16"/>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12" w:lineRule="exact"/>
        <w:rPr>
          <w:rFonts w:ascii="Arial" w:cs="Arial" w:eastAsia="Arial" w:hAnsi="Arial"/>
          <w:sz w:val="16"/>
          <w:szCs w:val="16"/>
          <w:color w:val="auto"/>
        </w:rPr>
      </w:pPr>
    </w:p>
    <w:p>
      <w:pPr>
        <w:ind w:left="1720" w:right="60" w:hanging="567"/>
        <w:spacing w:after="0" w:line="37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Until January 29, 2006, SanDisk Corporation, Alliance Semiconductor Corporation and Macronix Co. Ltd. cannot sell more than 30% of the number of our shares held by them on January 29, 2004 which were purchased pursuant to the 2000 investment agreements with us.</w:t>
      </w:r>
    </w:p>
    <w:p>
      <w:pPr>
        <w:spacing w:after="0" w:line="143" w:lineRule="exact"/>
        <w:rPr>
          <w:rFonts w:ascii="Arial" w:cs="Arial" w:eastAsia="Arial" w:hAnsi="Arial"/>
          <w:sz w:val="16"/>
          <w:szCs w:val="16"/>
          <w:color w:val="auto"/>
        </w:rPr>
      </w:pPr>
    </w:p>
    <w:p>
      <w:pPr>
        <w:ind w:left="1720" w:right="100" w:hanging="567"/>
        <w:spacing w:after="0" w:line="256" w:lineRule="auto"/>
        <w:rPr>
          <w:rFonts w:ascii="Arial" w:cs="Arial" w:eastAsia="Arial" w:hAnsi="Arial"/>
          <w:sz w:val="16"/>
          <w:szCs w:val="16"/>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rFonts w:ascii="Arial" w:cs="Arial" w:eastAsia="Arial" w:hAnsi="Arial"/>
          <w:sz w:val="16"/>
          <w:szCs w:val="16"/>
          <w:color w:val="auto"/>
        </w:rPr>
      </w:pPr>
    </w:p>
    <w:p>
      <w:pPr>
        <w:ind w:left="1720" w:right="20" w:hanging="567"/>
        <w:spacing w:after="0" w:line="259" w:lineRule="auto"/>
        <w:rPr>
          <w:rFonts w:ascii="Arial" w:cs="Arial" w:eastAsia="Arial" w:hAnsi="Arial"/>
          <w:sz w:val="16"/>
          <w:szCs w:val="16"/>
          <w:color w:val="auto"/>
        </w:rPr>
      </w:pPr>
      <w:r>
        <w:rPr>
          <w:rFonts w:ascii="Arial" w:cs="Arial" w:eastAsia="Arial" w:hAnsi="Arial"/>
          <w:sz w:val="18"/>
          <w:szCs w:val="18"/>
          <w:color w:val="auto"/>
        </w:rPr>
        <w:t>—The maximum number of directors that Israel Corp. may nominate may not exceed the number of directors nominated by SanDisk Corporation, Alliance Semiconductor Corporation, Macronix Co. Ltd. For the purpose of this calculation external directors and our office holders that are also directors are not taken into account as members of our board of directors.</w:t>
      </w:r>
    </w:p>
    <w:p>
      <w:pPr>
        <w:spacing w:after="0" w:line="221" w:lineRule="exact"/>
        <w:rPr>
          <w:rFonts w:ascii="Arial" w:cs="Arial" w:eastAsia="Arial" w:hAnsi="Arial"/>
          <w:sz w:val="16"/>
          <w:szCs w:val="16"/>
          <w:color w:val="auto"/>
        </w:rPr>
      </w:pPr>
    </w:p>
    <w:p>
      <w:pPr>
        <w:ind w:left="1720" w:right="220" w:hanging="567"/>
        <w:spacing w:after="0" w:line="37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w:t>
      </w:r>
    </w:p>
    <w:p>
      <w:pPr>
        <w:sectPr>
          <w:pgSz w:w="11900" w:h="16838" w:orient="portrait"/>
          <w:cols w:equalWidth="0" w:num="1">
            <w:col w:w="11400"/>
          </w:cols>
          <w:pgMar w:left="240" w:top="131" w:right="259" w:bottom="0" w:gutter="0" w:footer="0" w:header="0"/>
        </w:sectPr>
      </w:pPr>
    </w:p>
    <w:bookmarkStart w:id="29" w:name="page30"/>
    <w:bookmarkEnd w:id="29"/>
    <w:p>
      <w:pPr>
        <w:spacing w:after="0" w:line="15" w:lineRule="exact"/>
        <w:rPr>
          <w:sz w:val="20"/>
          <w:szCs w:val="20"/>
          <w:color w:val="auto"/>
        </w:rPr>
      </w:pPr>
    </w:p>
    <w:p>
      <w:pPr>
        <w:ind w:left="1720" w:right="580"/>
        <w:spacing w:after="0" w:line="268" w:lineRule="auto"/>
        <w:rPr>
          <w:sz w:val="20"/>
          <w:szCs w:val="20"/>
          <w:color w:val="auto"/>
        </w:rPr>
      </w:pPr>
      <w:r>
        <w:rPr>
          <w:rFonts w:ascii="Arial" w:cs="Arial" w:eastAsia="Arial" w:hAnsi="Arial"/>
          <w:sz w:val="18"/>
          <w:szCs w:val="18"/>
          <w:color w:val="auto"/>
        </w:rPr>
        <w:t>2001 (the date the facility agreement was signed) and the number of our ordinary shares purchased by Israel Corp. pursuant to its December 2000 investment agreements with us.</w:t>
      </w:r>
    </w:p>
    <w:p>
      <w:pPr>
        <w:spacing w:after="0" w:line="213" w:lineRule="exact"/>
        <w:rPr>
          <w:sz w:val="20"/>
          <w:szCs w:val="20"/>
          <w:color w:val="auto"/>
        </w:rPr>
      </w:pPr>
    </w:p>
    <w:p>
      <w:pPr>
        <w:ind w:left="1720" w:right="20" w:hanging="567"/>
        <w:spacing w:after="0" w:line="259" w:lineRule="auto"/>
        <w:rPr>
          <w:sz w:val="20"/>
          <w:szCs w:val="20"/>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37" w:lineRule="exact"/>
        <w:rPr>
          <w:sz w:val="20"/>
          <w:szCs w:val="20"/>
          <w:color w:val="auto"/>
        </w:rPr>
      </w:pPr>
    </w:p>
    <w:p>
      <w:pPr>
        <w:ind w:right="60" w:firstLine="8"/>
        <w:spacing w:after="0" w:line="268" w:lineRule="auto"/>
        <w:tabs>
          <w:tab w:leader="none" w:pos="73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268"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firstLine="8"/>
        <w:spacing w:after="0" w:line="255" w:lineRule="auto"/>
        <w:tabs>
          <w:tab w:leader="none" w:pos="73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All of our properties and assets must be insured with reputable insurance companies or underwriters approved by the banks. We must also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insurance which is generally and customarily maintained by companies carrying on a business similar to ours. The proceeds payable under the insurance polices in the event of loss of Fab 2 or the Fab 2 project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96" w:lineRule="exact"/>
        <w:rPr>
          <w:rFonts w:ascii="Arial" w:cs="Arial" w:eastAsia="Arial" w:hAnsi="Arial"/>
          <w:sz w:val="18"/>
          <w:szCs w:val="18"/>
          <w:color w:val="auto"/>
        </w:rPr>
      </w:pPr>
    </w:p>
    <w:p>
      <w:pPr>
        <w:ind w:right="320" w:firstLine="8"/>
        <w:spacing w:after="0" w:line="259" w:lineRule="auto"/>
        <w:tabs>
          <w:tab w:leader="none" w:pos="78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We may not terminate or exercise any right or suspension under our agreement with our Fab 2 contractor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94" w:lineRule="exact"/>
        <w:rPr>
          <w:rFonts w:ascii="Arial" w:cs="Arial" w:eastAsia="Arial" w:hAnsi="Arial"/>
          <w:sz w:val="18"/>
          <w:szCs w:val="18"/>
          <w:color w:val="auto"/>
        </w:rPr>
      </w:pPr>
    </w:p>
    <w:p>
      <w:pPr>
        <w:ind w:firstLine="8"/>
        <w:spacing w:after="0" w:line="306" w:lineRule="auto"/>
        <w:tabs>
          <w:tab w:leader="none" w:pos="83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right="80" w:firstLine="8"/>
        <w:spacing w:after="0" w:line="298" w:lineRule="auto"/>
        <w:tabs>
          <w:tab w:leader="none" w:pos="73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Representation and warranties</w:t>
      </w:r>
      <w:r>
        <w:rPr>
          <w:rFonts w:ascii="Arial" w:cs="Arial" w:eastAsia="Arial" w:hAnsi="Arial"/>
          <w:sz w:val="16"/>
          <w:szCs w:val="16"/>
          <w:color w:val="auto"/>
        </w:rPr>
        <w:t>: Prior to the closing of the facility agreement with the banks, we made certain representations and warranties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When made, the representations and warranties must have been correct and not misleading in a material manner.</w:t>
      </w:r>
    </w:p>
    <w:p>
      <w:pPr>
        <w:spacing w:after="0" w:line="166" w:lineRule="exact"/>
        <w:rPr>
          <w:rFonts w:ascii="Arial" w:cs="Arial" w:eastAsia="Arial" w:hAnsi="Arial"/>
          <w:sz w:val="16"/>
          <w:szCs w:val="16"/>
          <w:color w:val="auto"/>
        </w:rPr>
      </w:pPr>
    </w:p>
    <w:p>
      <w:pPr>
        <w:ind w:right="20" w:firstLine="8"/>
        <w:spacing w:after="0" w:line="268"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right="40" w:firstLine="8"/>
        <w:spacing w:after="0" w:line="306" w:lineRule="auto"/>
        <w:tabs>
          <w:tab w:leader="none" w:pos="73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right="120" w:firstLine="8"/>
        <w:spacing w:after="0" w:line="332" w:lineRule="auto"/>
        <w:tabs>
          <w:tab w:leader="none" w:pos="78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right="280" w:firstLine="8"/>
        <w:spacing w:after="0" w:line="306" w:lineRule="auto"/>
        <w:tabs>
          <w:tab w:leader="none" w:pos="83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2002 or the convertible debentures being offered hereunder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firstLine="8"/>
        <w:spacing w:after="0" w:line="268" w:lineRule="auto"/>
        <w:tabs>
          <w:tab w:leader="none" w:pos="8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pacing w:after="0" w:line="185" w:lineRule="exact"/>
        <w:rPr>
          <w:rFonts w:ascii="Arial" w:cs="Arial" w:eastAsia="Arial" w:hAnsi="Arial"/>
          <w:sz w:val="18"/>
          <w:szCs w:val="18"/>
          <w:color w:val="auto"/>
        </w:rPr>
      </w:pPr>
    </w:p>
    <w:p>
      <w:pPr>
        <w:ind w:right="260" w:firstLine="8"/>
        <w:spacing w:after="0" w:line="268" w:lineRule="auto"/>
        <w:tabs>
          <w:tab w:leader="none" w:pos="77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pacing w:after="0" w:line="185" w:lineRule="exact"/>
        <w:rPr>
          <w:rFonts w:ascii="Arial" w:cs="Arial" w:eastAsia="Arial" w:hAnsi="Arial"/>
          <w:sz w:val="18"/>
          <w:szCs w:val="18"/>
          <w:color w:val="auto"/>
        </w:rPr>
      </w:pPr>
    </w:p>
    <w:p>
      <w:pPr>
        <w:ind w:right="520" w:firstLine="8"/>
        <w:spacing w:after="0" w:line="268" w:lineRule="auto"/>
        <w:tabs>
          <w:tab w:leader="none" w:pos="8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pacing w:after="0" w:line="185" w:lineRule="exact"/>
        <w:rPr>
          <w:rFonts w:ascii="Arial" w:cs="Arial" w:eastAsia="Arial" w:hAnsi="Arial"/>
          <w:sz w:val="18"/>
          <w:szCs w:val="18"/>
          <w:color w:val="auto"/>
        </w:rPr>
      </w:pPr>
    </w:p>
    <w:p>
      <w:pPr>
        <w:ind w:right="380" w:firstLine="8"/>
        <w:spacing w:after="0" w:line="268" w:lineRule="auto"/>
        <w:tabs>
          <w:tab w:leader="none" w:pos="87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280" w:firstLine="8"/>
        <w:spacing w:after="0" w:line="268" w:lineRule="auto"/>
        <w:tabs>
          <w:tab w:leader="none" w:pos="92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hanging="832"/>
        <w:spacing w:after="0"/>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ectPr>
          <w:pgSz w:w="11900" w:h="16853" w:orient="portrait"/>
          <w:cols w:equalWidth="0" w:num="1">
            <w:col w:w="11380"/>
          </w:cols>
          <w:pgMar w:left="240" w:top="131" w:right="279" w:bottom="0" w:gutter="0" w:footer="0" w:header="0"/>
        </w:sectPr>
      </w:pPr>
    </w:p>
    <w:bookmarkStart w:id="30" w:name="page31"/>
    <w:bookmarkEnd w:id="30"/>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sz w:val="20"/>
          <w:szCs w:val="20"/>
          <w:color w:val="auto"/>
        </w:rPr>
      </w:pPr>
    </w:p>
    <w:p>
      <w:pPr>
        <w:ind w:left="1720" w:right="420" w:hanging="567"/>
        <w:spacing w:after="0" w:line="268" w:lineRule="auto"/>
        <w:rPr>
          <w:sz w:val="20"/>
          <w:szCs w:val="20"/>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sz w:val="20"/>
          <w:szCs w:val="20"/>
          <w:color w:val="auto"/>
        </w:rPr>
      </w:pPr>
    </w:p>
    <w:p>
      <w:pPr>
        <w:ind w:left="1720" w:right="80" w:hanging="567"/>
        <w:spacing w:after="0" w:line="256" w:lineRule="auto"/>
        <w:rPr>
          <w:sz w:val="20"/>
          <w:szCs w:val="20"/>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sz w:val="20"/>
          <w:szCs w:val="20"/>
          <w:color w:val="auto"/>
        </w:rPr>
      </w:pPr>
    </w:p>
    <w:p>
      <w:pPr>
        <w:ind w:left="1720" w:right="20" w:hanging="567"/>
        <w:spacing w:after="0" w:line="268" w:lineRule="auto"/>
        <w:rPr>
          <w:sz w:val="20"/>
          <w:szCs w:val="20"/>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29" w:lineRule="exact"/>
        <w:rPr>
          <w:sz w:val="20"/>
          <w:szCs w:val="20"/>
          <w:color w:val="auto"/>
        </w:rPr>
      </w:pPr>
    </w:p>
    <w:p>
      <w:pPr>
        <w:jc w:val="both"/>
        <w:ind w:right="22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 is:</w:t>
      </w:r>
    </w:p>
    <w:p>
      <w:pPr>
        <w:spacing w:after="0" w:line="225" w:lineRule="exact"/>
        <w:rPr>
          <w:sz w:val="20"/>
          <w:szCs w:val="20"/>
          <w:color w:val="auto"/>
        </w:rPr>
      </w:pPr>
    </w:p>
    <w:p>
      <w:pPr>
        <w:ind w:left="1720" w:right="160" w:hanging="567"/>
        <w:spacing w:after="0" w:line="255" w:lineRule="auto"/>
        <w:rPr>
          <w:sz w:val="20"/>
          <w:szCs w:val="20"/>
          <w:color w:val="auto"/>
        </w:rPr>
      </w:pPr>
      <w:r>
        <w:rPr>
          <w:rFonts w:ascii="Arial" w:cs="Arial" w:eastAsia="Arial" w:hAnsi="Arial"/>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3" w:lineRule="exact"/>
        <w:rPr>
          <w:sz w:val="20"/>
          <w:szCs w:val="20"/>
          <w:color w:val="auto"/>
        </w:rPr>
      </w:pPr>
    </w:p>
    <w:p>
      <w:pPr>
        <w:ind w:left="1720" w:right="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accordance with the terms of the facility agreement, the debenture provides that no action may be taken by the debenture holders and/or the Co-Trustees with respect to an Event of Default under the debenture unless we have not remedied such Event of Default within 39 days after the date of our receipt of a demand to cure such default, a copy of which must be sent to our banks that are or become a party to the facility agreement on the same day as we receive service.</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Holders of the debentures and the Co-Trustees on their behalf may not enforce the indenture or the debentures except as provided in the indenture. Subject to certain limitations, a duly convened meeting of the holders of the debentures may resolve to direct a trustee or both the Co-Trustees in its or their exercise of any trust or power. In addition to other documents that we are required to deliver to the co-trustees under the Securities Law, we undertook in the indenture to provide the Co-Trustees annually a statement regarding compliance with the indenture, and upon becoming aware of any Event of Default, a statement specifying such Event of Default.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31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Subject to certain exceptions, the indenture or the debentures may be amended or supplemented subject to the consent of the banks, and any existing default or compliance with any provision may be waived only if: (a) at least 75% of the debenture holders participating in a duly convened meeting of the debenture holders vote in favor of such amendment, supplement or waiver, provided that at least a majority in principal amount of such then outstanding debentures is present in the meeting (including by proxy); or (b) with the approval of the Co-Trustees, after being convinced that the proposed amendment, supplement or waiver will not adversely affect the rights of the debenture holders. We may not amend the conversion price, interest rate, or maturity date of the debentures except as disclosed in this prospectus.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w:t>
      </w:r>
    </w:p>
    <w:p>
      <w:pPr>
        <w:sectPr>
          <w:pgSz w:w="11900" w:h="16838" w:orient="portrait"/>
          <w:cols w:equalWidth="0" w:num="1">
            <w:col w:w="11420"/>
          </w:cols>
          <w:pgMar w:left="240" w:top="374" w:right="239" w:bottom="0" w:gutter="0" w:footer="0" w:header="0"/>
        </w:sectPr>
      </w:pPr>
    </w:p>
    <w:bookmarkStart w:id="31" w:name="page32"/>
    <w:bookmarkEnd w:id="31"/>
    <w:p>
      <w:pPr>
        <w:spacing w:after="0" w:line="1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charged such deposit in favor of our banks, and we must have complied with financial ratios and covenants. In addition, we may only declare and pay a dividend provided that:</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INCOME TAX CONSIDERATIONS</w:t>
      </w:r>
    </w:p>
    <w:p>
      <w:pPr>
        <w:spacing w:after="0" w:line="31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following is a summary of the material tax consequences in Israel and the United States to individual and corporate residents of Israel and the United States resulting from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2005, the Israeli parliament approved an amendment to the Israeli tax regime, to become effective on January 1, 2006 (“the 2006 Tax Reform”).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Some applicable provisions of the 2006 Tax Reform will be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31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distribution of the rights we are distributing, the exercise of the rights we are distributing and the conversion of the debentures into ordinary shares will not be subject to Israeli tax (different rules may apply to employees – see below).</w:t>
      </w:r>
    </w:p>
    <w:p>
      <w:pPr>
        <w:spacing w:after="0" w:line="194"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Israeli Capital Gains Tax on Sales Before January 1, 2006</w:t>
      </w:r>
    </w:p>
    <w:p>
      <w:pPr>
        <w:spacing w:after="0" w:line="200" w:lineRule="exact"/>
        <w:rPr>
          <w:sz w:val="20"/>
          <w:szCs w:val="20"/>
          <w:color w:val="auto"/>
        </w:rPr>
      </w:pPr>
    </w:p>
    <w:p>
      <w:pPr>
        <w:spacing w:after="0" w:line="268"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Before January 1, 2006, any gains from the sale of the rights we are distributing, the debentures convertible into ordinary shares issuable pursuant to the exercise of the rights and/or the ordinary shares issued pursuant to the conversion of the debentures are, in general, liable to capital gains tax of 15%. This will be the case so long as: our securities remain listed for trading on the Tel Aviv Stock Exchange or NASDAQ; the shareholder did not claim financial expenses related to the purchase of the securities; and these securities are not sold to a “relative” as defined under section 105k of the Israeli Income Tax Ordinance. In those cases where the 15% rate does not apply, the real capital gain from the sale of the securities will be subject to capital gains tax of 25%. Non-residents of Israel will be exempt from any capital gains tax from the sale of our securities, including those associated with this rights offering,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section 105k of the Israeli Income Tax Ordinance, or (2) directly or indirectly eligible to receive or are beneficial owners of 25% or more of the income or the profits of our corporation.</w:t>
      </w:r>
    </w:p>
    <w:p>
      <w:pPr>
        <w:spacing w:after="0" w:line="16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(“Dollar Regulations”). In such cases, a regular rate on capital gains will apply, as follows: for corporations – 34% and for individuals – a tax rate of up to 49%.</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Israeli Tax on Interest Income and on Original Issuance Discount Earned Before January 1, 2006</w:t>
      </w:r>
    </w:p>
    <w:p>
      <w:pPr>
        <w:spacing w:after="0" w:line="200" w:lineRule="exact"/>
        <w:rPr>
          <w:sz w:val="20"/>
          <w:szCs w:val="20"/>
          <w:color w:val="auto"/>
        </w:rPr>
      </w:pPr>
    </w:p>
    <w:p>
      <w:pPr>
        <w:spacing w:after="0" w:line="268"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Interest and Original Issuance Discount (OID) earned before January 1, 2006 on our convertible debentures issued under this rights offering,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w:t>
      </w:r>
    </w:p>
    <w:p>
      <w:pPr>
        <w:sectPr>
          <w:pgSz w:w="11900" w:h="16963" w:orient="portrait"/>
          <w:cols w:equalWidth="0" w:num="1">
            <w:col w:w="11400"/>
          </w:cols>
          <w:pgMar w:left="240" w:top="131" w:right="259" w:bottom="0" w:gutter="0" w:footer="0" w:header="0"/>
        </w:sectPr>
      </w:pPr>
    </w:p>
    <w:bookmarkStart w:id="32" w:name="page33"/>
    <w:bookmarkEnd w:id="32"/>
    <w:p>
      <w:pPr>
        <w:spacing w:after="0" w:line="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individual in the calculation of the individual’s Israeli taxable income. In such cases the regular rate of tax on Interest and OID will apply – for corporations a rate of 34%and for individuals a tax rate of up to 49%.</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subject to any relevant tax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94" w:lineRule="exact"/>
        <w:rPr>
          <w:sz w:val="20"/>
          <w:szCs w:val="20"/>
          <w:color w:val="auto"/>
        </w:rPr>
      </w:pPr>
    </w:p>
    <w:p>
      <w:pPr>
        <w:ind w:left="1160" w:hanging="571"/>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2006 Tax Reform</w:t>
      </w:r>
    </w:p>
    <w:p>
      <w:pPr>
        <w:spacing w:after="0" w:line="200" w:lineRule="exact"/>
        <w:rPr>
          <w:sz w:val="20"/>
          <w:szCs w:val="20"/>
          <w:color w:val="auto"/>
        </w:rPr>
      </w:pPr>
    </w:p>
    <w:p>
      <w:pPr>
        <w:spacing w:after="0" w:line="268"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following are the major changes regarding an Israeli resident included in the 2006 Tax Reform which are applicable to the distributions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Individuals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According to the 2006 Tax Reform, an individual will be subject to a 20% tax on real capital gains and real interest, so long the individual is not a controlling shareholder (generally a shareholder with 10% or more in the right to profits, right to nominate a director and voting rights) in the company constituting the origin of this income. This implies a lower tax rate for individuals on income deriving from the sale of securities not traded on a stock exchange and a reduction in the tax rate to 20% (from 25%) on dividends, with a concurrent increase in the tax on the gains from publicly traded securities and on certain interest income as explained above from 15% to 20%.</w:t>
      </w:r>
    </w:p>
    <w:p>
      <w:pPr>
        <w:spacing w:after="0" w:line="19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controlling shareholder will be subject to a tax of 25% in respect of real capital gains derived from the sale of securities issued by the controlled company. Interest received by an individual from such a company will be taxed based on the recipient’s marginal tax rates which will be reduced gradually from the current 49% rate to 44% in 2010. The determination of whether the individual is a controlling shareholder will be made on the date the shares are sold. Nevertheless, the individual will be viewed as a controlling shareholder even if at any time during the 12 months preceding this date he had been a controlling shareholder. The 2006 Tax Reform does not specify the date in which a controlling shareholder should be determined as such if that controlling shareholder receives interest.</w:t>
      </w:r>
    </w:p>
    <w:p>
      <w:pPr>
        <w:spacing w:after="0" w:line="17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(iii) special relations exist between the payer of the interest and its recipient (for example: that of supplier/customer/employee/relative).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Corporations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and interest, with the corporate tax rate reduced gradually from 34% in 2005 to 25% in 2010. However, between 2006 and 2009, taxable income that was taxed prior to the effective date of this Reform at a tax rate up to 25%, will be taxed at a rate of 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Eligible Employees with Options Entitling Participation In This Rights Offering</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majority of our pre-2003 employees’ share option plans, we are also offering rights to our employees who hold options under these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applies to Israeli resident employees only.</w:t>
      </w:r>
    </w:p>
    <w:p>
      <w:pPr>
        <w:spacing w:after="0" w:line="219"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Eligible employees who sell the rights received by virtue of their employee options issued to them under either section 102 or section 3(i) of the Israeli Income Tax Ordinance, will have taxable employment income equal to the consideration received from the sale of the rights. If the eligible employees exercise their rights, the amount by which the fair market value of the debentures convertible into ordinary shares received upon exercise of the rights exceeds the subscription price of the rights will be taxable employment income at the date in which such event occurs.</w:t>
      </w:r>
    </w:p>
    <w:p>
      <w:pPr>
        <w:spacing w:after="0" w:line="167"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Any future sale of the debentures or the shares issued upon conversion of the debentures will be subject to capital gains tax, as discussed above. The cost basis of the debentures will then be equal to the amount which was considered, for tax purposes, the fair market value of the debentures received upon the exercise of the rights. With respect to future sales of shares deriving from the conversion of the debentures, the cost basis will include any expenses, if any, associated with the conversion of the debentures.</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advise our eligible employees to consult their own professional tax advisers with respect to the tax consequences of the exercise or sale of the rights relating to the particular circumstances of each eligible employee.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Considerations</w:t>
      </w:r>
    </w:p>
    <w:p>
      <w:pPr>
        <w:spacing w:after="0" w:line="312"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discussion of material United States federal income tax considerations below (other than statements as to whether we are a “passive foreign investment company.” statements regarding our earnings and profits, and statements regarding the value of the rights) is based on an opinion of special U.S. tax counsel, Roberts &amp; Holland, LLP. Subject to the limitations described in the next paragraph, the following describes the material United States federal income tax consequences resulting from the distribution to a “U.S. Holder” and related transactions by the U.S. Holder, including the exercise or expiration of rights, the conversion of debentures and the disposition of rights, debentures or ordinary shares. For purposes of this discussion, a U.S. Holder means any U.S. person who receives a distribution of rights pursuant to this rights offering and who holds such rights, debentures issued upon exercise of such rights, or ordinary shares issued upon the conversion of such debentures. For purposes of our discussion, a U.S. person is: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ectPr>
          <w:pgSz w:w="11900" w:h="16853" w:orient="portrait"/>
          <w:cols w:equalWidth="0" w:num="1">
            <w:col w:w="11420"/>
          </w:cols>
          <w:pgMar w:left="240" w:top="131" w:right="239" w:bottom="0" w:gutter="0" w:footer="0" w:header="0"/>
        </w:sectPr>
      </w:pPr>
    </w:p>
    <w:bookmarkStart w:id="33" w:name="page34"/>
    <w:bookmarkEnd w:id="33"/>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720" w:right="4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rights,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pacing w:after="0" w:line="200" w:lineRule="exact"/>
        <w:rPr>
          <w:sz w:val="20"/>
          <w:szCs w:val="20"/>
          <w:color w:val="auto"/>
        </w:rPr>
      </w:pPr>
    </w:p>
    <w:p>
      <w:pPr>
        <w:spacing w:after="0" w:line="262"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rights,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Certain characteristics of the debentures that may be received upon exercise of the rights raise an issue of whether such debentures should be treated as debt or equity for U.S. income tax purposes. Such characteristics include subordination, the absence of interest payments prior to maturity, provisions for optional and mandatory conversion into our ordinary shares, and the absence, in certain circumstances, of a fixed maturity date. Tower intends to take the position that the debentures are characterized as debt for U.S. income tax purposes, but we have not obtained an opinion of counsel and this conclusion is not free of doubt. The discussion below assumes that the debentures are characterized as debt for such purposes.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Receipt of the Distribution; Allocation of Basis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discussion under this subheading is qualified by the special rules for “U.S. Option Holders,” described below.</w:t>
      </w:r>
    </w:p>
    <w:p>
      <w:pPr>
        <w:spacing w:after="0" w:line="225"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 U.S. Holder will not be taxed on the distribution of rights, provided that Tower has no current or accumulated earnings and profits, as determined for U.S. income tax purposes, at any time during the taxable year in which the distribution is made, and provided that the U.S. Holder’s tax basis in the ordinary shares with respect to which the rights are distributed exceeds the fair market value of the rights. Tower considers it highly unlikely that it will have current or accumulated earnings and profits during the above-referenced period, and anticipates that the fair market value of the rights will be nominal and will in any event be unlikely to exceed a U.S. Holder’s tax basis in the ordinary shares. If, contrary to our expectations, we were to have current or accumulated earnings and profits, then a U.S. Holder would recognize ordinary income (as a dividend) equal to the fair market value of the rights received (or, if less, the amount of such current and accumulated earnings and profits allocable to the distribution), unless the distribution is excluded from gross income under Section 305(a) of the Code. As discussed below, it is unclear whether the distribution will be excluded from gross income under Section 305(a). In any event, as stated above, we expect the fair market value of the rights to be zero or nominal.</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have no current or accumulated earnings and profits, but the fair market value of the rights received by a U.S. Holder exceeds the U.S. Holder’s tax basis in the ordinary shares with respect to which the rights are distributed, and Section 305(a) of the Code does not exclude the distribution from gross income, the U.S. Holder will recognize capital gain in an amount equal to such excess.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distribution is excluded from the gross income of each recipient under Section 305(a) of the Code, then a U.S. Holder’s tax basis in the rights so received will be zero unless (a) the fair market value of the rights distributed to the U.S. Holder is at least 15% of the fair market value of the ordinary shares with respect to which such rights are distributed or (b) the U.S. Holder elects to allocate the basis of the U.S. Holder’s ordinary shares between the ordinary shares and the rights in proportion to their relative fair market values on the date of distribution. Any allocation of basis under the preceding sentence will be given effect only if a U.S. Holder exercises or sells the rights. To make the election, a U.S. Holder must attach a statement to the U.S. Holder’s U.S. federal income tax return for the taxable year in which the rights are received. If the distribution is tax-free under Section 305(a), then the holding period of the rights received will include the holding period of the shares with respect which such rights were distributed.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distribution does not satisfy the requirements of Section 305(a) of the Code, then a U.S. Holder’s tax basis in any rights received in the distribution will be their fair market value on the date of distribution. In that event, the holding period of such rights will begin on the date of the distribution.</w:t>
      </w:r>
    </w:p>
    <w:p>
      <w:pPr>
        <w:spacing w:after="0" w:line="139"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distribution of stock or stock rights to shareholders with respect to their stock in a corporation generally is excluded from gross income under Section 305(a) of the Code. It is unclear, however, whether this exclusion will apply to rights received pursuant to this rights offering. First, it is uncertain whether such rights constitute stock rights for this purpose, since the rights permit a holder to purchase convertible debentures, not shares. If the rights are not considered stock rights for this purpose, then Section 305(a) will not apply.</w:t>
      </w:r>
    </w:p>
    <w:p>
      <w:pPr>
        <w:sectPr>
          <w:pgSz w:w="11900" w:h="16838" w:orient="portrait"/>
          <w:cols w:equalWidth="0" w:num="1">
            <w:col w:w="11420"/>
          </w:cols>
          <w:pgMar w:left="240" w:top="131" w:right="239" w:bottom="0" w:gutter="0" w:footer="0" w:header="0"/>
        </w:sectPr>
      </w:pPr>
    </w:p>
    <w:bookmarkStart w:id="34" w:name="page35"/>
    <w:bookmarkEnd w:id="34"/>
    <w:p>
      <w:pPr>
        <w:ind w:right="100" w:firstLine="351"/>
        <w:spacing w:after="0" w:line="298" w:lineRule="auto"/>
        <w:rPr>
          <w:sz w:val="20"/>
          <w:szCs w:val="20"/>
          <w:color w:val="auto"/>
        </w:rPr>
      </w:pPr>
      <w:r>
        <w:rPr>
          <w:rFonts w:ascii="Arial" w:cs="Arial" w:eastAsia="Arial" w:hAnsi="Arial"/>
          <w:sz w:val="16"/>
          <w:szCs w:val="16"/>
          <w:color w:val="auto"/>
        </w:rPr>
        <w:t>In addition, Section 305(a) does not apply if a distribution is, at the election of any of the shareholders (whether exercised before or after the declaration thereof), payable in either stock or property. A U.S. Holder who exercises rights to purchase our debentures generally can choose either to retain such debentures or to convert them into our ordinary shares. This right to convert or not to convert may cause the distribution to be considered payable, at the election of the shareholders, in either stock or property. In that event, Section 305(a) would not apply to the distribution.</w:t>
      </w:r>
    </w:p>
    <w:p>
      <w:pPr>
        <w:spacing w:after="0" w:line="167"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Further, Section 305(a) does not apply in the case of a distribution (or series of distributions) that has the result of a (1) the receipt of property by some shareholders and (2) an increase in the proportionate interests of other shareholders in the assets or earnings and profits of the corporation. This may be the effect here if, for example, some holders exercise their rights and retain their debentures while other holders exercise their rights and covert their debentures. Moreover, even if all holders who exercise their rights convert their debentures, we have other convertible debentures outstanding and, for purposes of Section 305, holders of convertible debentures are treated as shareholders. As a result, the receipt of interest payments by holders of our outstanding convertible debentures satisfies condition (1) above. Therefore, the distribution will be ineligible for tax-free treatment under Section 305(a) if holders who receive a distribution of rights with respect to their ordinary shares pursuant to this rights offering are considered to have an increased proportionate interest in our assets or earnings and profits.</w:t>
      </w:r>
    </w:p>
    <w:p>
      <w:pPr>
        <w:spacing w:after="0" w:line="15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applicable Treasury regulations provide that, if a corporation has convertible securities outstanding (such as our outstanding convertible debentures) and distributes stock or stock rights with respect to the stock into which such convertible securities may be converted (such as our ordinary shares), then the holders of such stock are considered to have an increased proportionate interest in the assets or earnings and profits of the corporation unless a “full adjustment” in the conversion ratio of the convertible securities is made. The Treasury regulations give examples of a qualifying “full adjustment” in conversion ratio but do not define this term. The anti-dilution provision of our outstanding convertible debentures differs from the formulas described in examples in the Treasury regulations, and it is therefore unclear whether the provision in our outstanding convertible debentures would qualify as providing for a “full adjustment” within the meaning of the Treasury regulations. There exists a similar concern with respect to outstanding rights to purchase our ordinary shares, such as the Options (Series 1). Thus, U.S. Holders who receive a distribution of rights with respect to their ordinary shares may be considered to have an increased proportionate interest in our assets or earnings and profits. In that event, Section 305(a) would not apply to the distribution.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Exercise or Expiration of Rights; Purchase of Debentures Convertible into Ordinary Shares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will not recognize gain or loss on the exercise of rights. If a U.S. Holder receives our rights in a distribution that satisfies the requirements of Section 305(a) of the Code, such U.S. Holder will not recognize gain or loss on the expiration (without exercise) of rights. Any other U.S. Holder will recognize a capital loss upon the expiration (without exercise) of rights in an amount equal to the U.S. Holder’s basis in such rights. The deductibility of capital losses is subject to limitations.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U.S. Holder exercises rights, the U.S. Holder’s basis in the convertible debentures received upon such exercise will be determined by adding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basis (if any) in the rights to the purchase price paid upon exercise of the rights.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will begin on the date of conversion.</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Rights, Debentures, or Ordinary Shares Issued Upon the Conversion of Debentures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is qualified by the discussion below under the subheading “Tax Consequences if We Are a Passive Foreign Investment Company.”</w:t>
      </w:r>
    </w:p>
    <w:p>
      <w:pPr>
        <w:spacing w:after="0" w:line="24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Upon the sale, exchange or other disposition (other than by means of exercise or expiration) of rights, debentures, or ordinary shares issued upon the conversion of debentures, a U.S. Holder will recognize capital gain or loss in an amount equal to the difference between the amount realized and such U.S. Holder’s basis in the rights, debentures, or ordinary shares. Capital gain from the sale, exchange or other disposition of rights,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recognized by a U.S. Holder on a sale, exchange or other disposition of rights, debentures, or ordinary shares generally will have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source for foreign tax credit purposes.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 Option Holders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U.S. federal income tax consequences to U.S. Holders who receive rights in their capacity as holders of compensatory stock options (“U.S. Option Holders”) differ from those of other U.S. Holders.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the rights are considered to have a readily ascertainable fair market value, then a U.S. Option Holder will recognize ordinary income in the nature of compensation in an amount equal to the fair market value, if any, of the rights received. In that event, the U.S. Option Holder will have a tax basis in such rights equal to the amount of compensation included in ordinary income, and will not recognize income upon a subsequent exercise of the rights or conversion of the debentures.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the rights are not considered to have a readily ascertainable fair market value, then a U.S. Option Holder will not recognize income upon receipt of the rights. In that event, a U.S. Option Holder’s subsequent exercise of the rights will cause the U.S. Option Holder to recognize ordinary income in the nature of compensation in an amount equal to the excess, if any, of the fair market value of the debentures over the purchase price paid for such debentures. No additional income or gain will be recognized upon a subsequent conversion of the debentures.</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the applicable Treasury regulations, whether an option (such as the rights) has a readily ascertainable fair market value depends primarily upon whether the option is actively traded on an established market; however, an option that is not actively traded may have a readily ascertainable fair market value if all of the following conditions exist:</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option is transferable by the optionee;</w:t>
      </w:r>
    </w:p>
    <w:p>
      <w:pPr>
        <w:sectPr>
          <w:pgSz w:w="11900" w:h="16838" w:orient="portrait"/>
          <w:cols w:equalWidth="0" w:num="1">
            <w:col w:w="11420"/>
          </w:cols>
          <w:pgMar w:left="240" w:top="131" w:right="239" w:bottom="0" w:gutter="0" w:footer="0" w:header="0"/>
        </w:sectPr>
      </w:pPr>
    </w:p>
    <w:bookmarkStart w:id="35" w:name="page36"/>
    <w:bookmarkEnd w:id="35"/>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is exercisable immediately in full by the optionee;</w:t>
      </w:r>
    </w:p>
    <w:p>
      <w:pPr>
        <w:spacing w:after="0" w:line="15" w:lineRule="exact"/>
        <w:rPr>
          <w:sz w:val="20"/>
          <w:szCs w:val="20"/>
          <w:color w:val="auto"/>
        </w:rPr>
      </w:pPr>
    </w:p>
    <w:p>
      <w:pPr>
        <w:ind w:left="1720" w:right="4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or the property subject to the option is not subject to any restriction or condition (other than a lien or other condition to secure payment of the purchase price) that has a significant effect upon the fair market value of the option; and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fair market value of the option privilege is considered readily ascertainable.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Treasury regulations provide that, in determining whether the fair market value of the option privilege is readily ascertainable, it is necessary to consider</w:t>
      </w:r>
    </w:p>
    <w:p>
      <w:pPr>
        <w:spacing w:after="0" w:line="38" w:lineRule="exact"/>
        <w:rPr>
          <w:sz w:val="20"/>
          <w:szCs w:val="20"/>
          <w:color w:val="auto"/>
        </w:rPr>
      </w:pPr>
    </w:p>
    <w:p>
      <w:pPr>
        <w:ind w:right="620"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value of the property subject to the option can be ascertained, (2) the probability of any ascertainable value of such property increasing or decreasing, and (3) the length of the period during which the option can be exercised.</w:t>
      </w:r>
    </w:p>
    <w:p>
      <w:pPr>
        <w:spacing w:after="0" w:line="192"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At present it is not possible to predict whether the rights will be actively traded or satisfy the alternative requirements set forth above for having a readily ascertainable fair market value. Inasmuch as the rights will trade for only one day, however, we consider it unlikely that the rights will be actively traded. It is not possible to predict whether the above-described alternative requirements for having a readily ascertainable fair market value will be satisfied with respect to the rights or the debentures, because the Treasury regulations provide insufficient guidance to determine whether the fair market value of the option privilege of either the rights or the debentures will be readily ascertainable.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Original Issue Discount</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 on the Debentures</w:t>
      </w:r>
    </w:p>
    <w:p>
      <w:pPr>
        <w:spacing w:after="0" w:line="231"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As noted above, the conversion rate of the debentures is subject to adjustment under certain circumstances. Under Section 305 of the Code and applicable Treasury regulations, an adjustment to the conversion rate, or a failure to adjust the conversion rate, may in certain circumstances result in a constructive distribution to a U.S. Holder if, and to the extent that, such adjustment to the conversion rate, or failure to adjust the conversion rate, increases the proportionate interest of a U.S. Holder in our earnings and profits or assets, whether or not such U.S. Holder ever converts his, her or its debentures into ordinary shares. Any such constructive distribution would be taxable as a dividend to such U.S. Holder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20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Dividends generally are taxed as ordinary income. In the case of a noncorporate U.S. Holder, certain “qualified dividends” are taxable at the same reduced rates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720" w:right="6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720" w:right="10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720" w:right="10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 w:lineRule="exact"/>
        <w:rPr>
          <w:sz w:val="20"/>
          <w:szCs w:val="20"/>
          <w:color w:val="auto"/>
        </w:rPr>
      </w:pPr>
    </w:p>
    <w:p>
      <w:pPr>
        <w:ind w:left="1720" w:right="100" w:hanging="567"/>
        <w:spacing w:after="0" w:line="261" w:lineRule="auto"/>
        <w:rPr>
          <w:sz w:val="20"/>
          <w:szCs w:val="20"/>
          <w:color w:val="auto"/>
        </w:rPr>
      </w:pPr>
      <w:r>
        <w:rPr>
          <w:rFonts w:ascii="Arial" w:cs="Arial" w:eastAsia="Arial" w:hAnsi="Arial"/>
          <w:sz w:val="18"/>
          <w:szCs w:val="18"/>
          <w:color w:val="auto"/>
        </w:rPr>
        <w:t>—Under proposed Treasury regulations, a U.S. Holder of a convertible debenture (or right) would be treated as owning ordinary shares for purposes of the PFIC rules above.</w:t>
      </w:r>
    </w:p>
    <w:p>
      <w:pPr>
        <w:sectPr>
          <w:pgSz w:w="11900" w:h="16838" w:orient="portrait"/>
          <w:cols w:equalWidth="0" w:num="1">
            <w:col w:w="11400"/>
          </w:cols>
          <w:pgMar w:left="240" w:top="131" w:right="259" w:bottom="0" w:gutter="0" w:footer="0" w:header="0"/>
        </w:sectPr>
      </w:pPr>
    </w:p>
    <w:bookmarkStart w:id="36" w:name="page37"/>
    <w:bookmarkEnd w:id="36"/>
    <w:p>
      <w:pPr>
        <w:ind w:right="2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(or right) as if the holder held ordinary shares for purposes of the PFIC rules. A convertible debenture (or right) holder, however, may not make a QEF election. If we are considered a PFIC (presently or in the future), a U.S. Holder of a convertible debenture (or right) might be unable to make a timely QEF election for our shares or for shares of any lower-tier PFIC.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authorized share capital consists of 250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In July 2005, our board of directors approved increasing our authorized share capital to 500 million ordinary shares, par value NIS 1.00 per share. This increase is subject to approval of our shareholders. All ordinary shares are registered shares, rather than bearer shares.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ectPr>
          <w:pgSz w:w="11900" w:h="16838" w:orient="portrait"/>
          <w:cols w:equalWidth="0" w:num="1">
            <w:col w:w="11400"/>
          </w:cols>
          <w:pgMar w:left="240" w:top="590" w:right="259" w:bottom="211"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590" w:right="259" w:bottom="211" w:gutter="0" w:footer="0" w:header="0"/>
          <w:type w:val="continuous"/>
        </w:sectPr>
      </w:pPr>
    </w:p>
    <w:bookmarkStart w:id="37" w:name="page38"/>
    <w:bookmarkEnd w:id="37"/>
    <w:p>
      <w:pPr>
        <w:spacing w:after="0" w:line="2"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2004, 65,699,796 of our ordinary shares were outstanding. As of June 30, 2005, 66,286,187 of our ordinary shares were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above numbers of outstanding ordinary shares do not include 1.3 million treasury shares held by us as of such dates in an account with Bear Stearns &amp; Co.</w:t>
      </w:r>
    </w:p>
    <w:p>
      <w:pPr>
        <w:spacing w:after="0" w:line="24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UNDERTAKING TO REFRAIN FROM ACTIONS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 DISCLOSED IN THIS PROSPECTUS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signing this prospectus, we and our directors undertake as follows:</w:t>
      </w:r>
    </w:p>
    <w:p>
      <w:pPr>
        <w:spacing w:after="0" w:line="225" w:lineRule="exact"/>
        <w:rPr>
          <w:sz w:val="20"/>
          <w:szCs w:val="20"/>
          <w:color w:val="auto"/>
        </w:rPr>
      </w:pPr>
    </w:p>
    <w:p>
      <w:pPr>
        <w:ind w:left="1160" w:right="480" w:hanging="571"/>
        <w:spacing w:after="0" w:line="286" w:lineRule="auto"/>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to take any action which is not disclosed in the prospectus concerning this rights offering and distributing or dispersing of the securities offered hereunder to the public, not to grant to purchasers of these securities rights which are not referred to in the prospectus;</w:t>
      </w:r>
    </w:p>
    <w:p>
      <w:pPr>
        <w:ind w:left="1160" w:right="380" w:hanging="571"/>
        <w:spacing w:after="0" w:line="250"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to enter into any agreement with any third party that to the best of our knowledge has entered into arrangements which conflict with sub-paragraph (a); and</w:t>
      </w:r>
    </w:p>
    <w:p>
      <w:pPr>
        <w:ind w:left="1160" w:hanging="571"/>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inform the Israel Securities Authority if we become aware of any arrangement with a third party, which conflicts with sub-paragraph (a).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Yigal Arnon &amp; Co., our Israeli counsel. Certain legal matters in connection with this offering with respect to United States law will be passed upon for us by Eilenberg &amp; Krause LLP, New York, New York, our United States counsel. Certain matters set forth herein under “Material Income Tax Considerations – United States Tax Considerations” will be passed upon for us by Roberts &amp; Holland LLP, our special United States tax counsel.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170"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accordance with the requirements of the Israel Securities Authority, the consent of Brightman Almagor &amp; Co., which is filed as Exhibit 23.2 to the registration statement of which this prospectus forms a part, will be attached as an annex to the copies of this prospectus that will be distributed in Israel.</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w:t>
      </w:r>
    </w:p>
    <w:p>
      <w:pPr>
        <w:sectPr>
          <w:pgSz w:w="11900" w:h="16840" w:orient="portrait"/>
          <w:cols w:equalWidth="0" w:num="1">
            <w:col w:w="11420"/>
          </w:cols>
          <w:pgMar w:left="240" w:top="131" w:right="239" w:bottom="0" w:gutter="0" w:footer="0" w:header="0"/>
        </w:sectPr>
      </w:pPr>
    </w:p>
    <w:bookmarkStart w:id="38" w:name="page39"/>
    <w:bookmarkEnd w:id="38"/>
    <w:p>
      <w:pPr>
        <w:spacing w:after="0" w:line="6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against us and other persons, see “Risk Factors– It may be difficult to enforce a U.S. judgment against us, our officers and directors and some of the experts named in this rights offering or to assert U.S. securities law claims in Israel.”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ISRAEL SECURITIES AUTHORITY EXEMPTION</w:t>
      </w:r>
    </w:p>
    <w:p>
      <w:pPr>
        <w:spacing w:after="0" w:line="31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Section 35-29 of the Israeli Securities Law authorizes the Israel Securities Authority to grant an exemption to companies whose shares are dually-listed on the Tel Aviv Stock Exchange and certain U.S. stock exchanges, including the NASDAQ National Market (under Chapter E3 of the Israeli Securities Law), that offer their securities to the public in Israel under a prospectus, from the requirements of the Securities Regulations (Prospectus Details, Format and Form), 1969. We applied to the Israel Securities Authority to grant us such an exemption in connection with the offering under this prospectus. With respect to the format of this prospectus, if received, the Israel Securities Authority exemption will permit us to present the information contained herein in the English language and in the format applicable to prospectuses published in the U.S. under the Securities Act of 1933, as amended. If received, we will be permitted to include as an integral part of this prospectus, copies of the documents previously filed and/or published by us in accordance with the informational requirements of the Securities Exchange Act of 1934, as amended, which apply to us as a foreign private issuer.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firstLine="348"/>
        <w:spacing w:after="0" w:line="323" w:lineRule="auto"/>
        <w:rPr>
          <w:sz w:val="20"/>
          <w:szCs w:val="20"/>
          <w:color w:val="auto"/>
        </w:rPr>
      </w:pPr>
      <w:r>
        <w:rPr>
          <w:rFonts w:ascii="Arial" w:cs="Arial" w:eastAsia="Arial" w:hAnsi="Arial"/>
          <w:sz w:val="15"/>
          <w:szCs w:val="15"/>
          <w:color w:val="auto"/>
        </w:rPr>
        <w:t>This prospectus has been prepared in accordance with the requirements of the Securities Act 1933 and in accordance with the requirements of the Israel Securities Authority assuming we receive the exemption. Since Israeli securities laws do not permit incorporation of certain documents by reference, copies of two of the exhibits (Opinion of Yigal Arnon &amp; Co., our Israeli legal counsel and the Consent of Brightman Almagor &amp; Co., a member firm of Deloitte Touche Tohmatsu, and an independent registered public accounting firm) will be attached as annexes to the copies of this prospectus that will be distributed in Israel.</w:t>
      </w:r>
    </w:p>
    <w:p>
      <w:pPr>
        <w:spacing w:after="0" w:line="15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apply to list the debentures and ordinary shares issuable upon the conversion of the debentures on the Tel Aviv Stock Exchange and NASDAQ and will apply to the Tel Aviv Stock Exchange and NASDAQ to list the rights for trade for only one day on both the NASDAQ Small Cap Market and the Tel Aviv Stock Exchange. Nothing in these approvals should be interpreted as a verification of the information contained herein, an approval of the accuracy or completeness of such information or an expression of any view as to the quality of the securities we are distributing.</w:t>
      </w:r>
    </w:p>
    <w:p>
      <w:pPr>
        <w:spacing w:after="0" w:line="167"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will seek to obtain all the approvals and permits required under applicable law for the distribution of the debentures and for the publication of this prospectus. The debentures are not being distributed in any jurisdiction where the offer is not permitted.</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the first business day in Israel following the date of this prospectus, we will file a copy of this prospectus and a copy of the Israel Securities Authority permit with the Israeli Registrar of Companies.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We have filed a registration statement on Form F-2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6-K/A filed on September 22, 2005 (which amends our Form 6-K filed on August 3, 2005).</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Copies of these filings are annexed to this prospectus.</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may request a copy of these filings, at no cost, by contacting us at: Ramat Gavriel Industrial Park, Post Office Box 619, Migdal Haemek, 23105 Israel,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 telephone number: 972-4-650-6611.</w:t>
      </w:r>
    </w:p>
    <w:p>
      <w:pPr>
        <w:spacing w:after="0" w:line="219"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copy of this registration statement,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 copy of this prospectus, the Israel Securities Authority permit pursuant to which this prospectus has been published, our memorandum of association, our articles of association and the documents filed as exhibits, are available for inspection at our offices at Hamada Avenue, Ramat Gavriel Industrial Park, Migdal</w:t>
      </w:r>
    </w:p>
    <w:p>
      <w:pPr>
        <w:sectPr>
          <w:pgSz w:w="11900" w:h="16908" w:orient="portrait"/>
          <w:cols w:equalWidth="0" w:num="1">
            <w:col w:w="11420"/>
          </w:cols>
          <w:pgMar w:left="240" w:top="131" w:right="239" w:bottom="0" w:gutter="0" w:footer="0" w:header="0"/>
        </w:sectPr>
      </w:pPr>
    </w:p>
    <w:bookmarkStart w:id="39" w:name="page40"/>
    <w:bookmarkEnd w:id="39"/>
    <w:p>
      <w:pPr>
        <w:ind w:right="380"/>
        <w:spacing w:after="0" w:line="306" w:lineRule="auto"/>
        <w:rPr>
          <w:sz w:val="20"/>
          <w:szCs w:val="20"/>
          <w:color w:val="auto"/>
        </w:rPr>
      </w:pPr>
      <w:r>
        <w:rPr>
          <w:rFonts w:ascii="Arial" w:cs="Arial" w:eastAsia="Arial" w:hAnsi="Arial"/>
          <w:sz w:val="16"/>
          <w:szCs w:val="16"/>
          <w:color w:val="auto"/>
        </w:rPr>
        <w:t>Haemek, Israel. As mentioned above, two of the documents filed as exhibits to the registration statement filed with the Securities and Exchange Commission (Exhibit 5.1 – Opinion of Yigal Arnon &amp; Co. and Exhibit 23.2 – consent of Brightman Almagor &amp; Co., a member firm of Deloitte Touche Tohmatsu, an independent registered public accounting firm), will be attached as annexes to the copies of this prospectus distributed in Israel.</w:t>
      </w:r>
    </w:p>
    <w:p>
      <w:pPr>
        <w:spacing w:after="0" w:line="16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Form F-2 Registration Statement. </w:t>
      </w:r>
      <w:r>
        <w:rPr>
          <w:rFonts w:ascii="Arial" w:cs="Arial" w:eastAsia="Arial" w:hAnsi="Arial"/>
          <w:sz w:val="16"/>
          <w:szCs w:val="16"/>
          <w:color w:val="auto"/>
        </w:rPr>
        <w:t>We have filed with the Securities and Exchange Commission a registration statement on Form F-2 under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with respect to the debentures offered in this prospectus. This prospectus, which is part of the registration statement, does not contain all of the information that you can find in the registration statement. Some parts of the registration statement are omitted from the prospectus in accordance with the rules and regulations of the Securities and Exchange Commission. The statements we make in this prospectus as to the contents of any contract, agreement or other document referred to are not necessarily complete. With respect to each such document filed as an exhibit to the registration statement, you should refer to the exhibit for a more complete description of the matter involved. The registration statement may be read and copied at the Securities and Exchange Commission’s public reference rooms as indicated above. In accordance with the requirements of the Israeli Securities Authority, those parts of the Form F-2 that are not part of the prospectus, will be attached as annexes to the copies of this prospectus that will be distributed in Israel.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1529080</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294005</wp:posOffset>
            </wp:positionV>
            <wp:extent cx="1715135"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203835</wp:posOffset>
            </wp:positionV>
            <wp:extent cx="11061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DISTRIBUTION OF RIGHTS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TO PURCHASE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DEBENTURES CONVERTIBLE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INTO ORDINARY SHARES</w:t>
      </w:r>
    </w:p>
    <w:p>
      <w:pPr>
        <w:spacing w:after="0" w:line="2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jc w:val="both"/>
        <w:ind w:left="1160" w:hanging="571"/>
        <w:spacing w:after="0" w:line="33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w:t>
      </w:r>
    </w:p>
    <w:p>
      <w:pPr>
        <w:sectPr>
          <w:pgSz w:w="11900" w:h="16838" w:orient="portrait"/>
          <w:cols w:equalWidth="0" w:num="1">
            <w:col w:w="11420"/>
          </w:cols>
          <w:pgMar w:left="240" w:top="131" w:right="239" w:bottom="0" w:gutter="0" w:footer="0" w:header="0"/>
        </w:sectPr>
      </w:pPr>
    </w:p>
    <w:bookmarkStart w:id="40" w:name="page41"/>
    <w:bookmarkEnd w:id="40"/>
    <w:p>
      <w:pPr>
        <w:ind w:left="1160" w:right="540"/>
        <w:spacing w:after="0" w:line="268" w:lineRule="auto"/>
        <w:rPr>
          <w:sz w:val="20"/>
          <w:szCs w:val="20"/>
          <w:color w:val="auto"/>
        </w:rPr>
      </w:pPr>
      <w:r>
        <w:rPr>
          <w:rFonts w:ascii="Arial" w:cs="Arial" w:eastAsia="Arial" w:hAnsi="Arial"/>
          <w:sz w:val="18"/>
          <w:szCs w:val="18"/>
          <w:color w:val="auto"/>
        </w:rPr>
        <w:t>or in connection with a criminal action which does not require criminal intent in which he was convicted, in each case by reason of acts or omissions of such person in his capacity as an office holder; and</w:t>
      </w:r>
    </w:p>
    <w:p>
      <w:pPr>
        <w:spacing w:after="0" w:line="213" w:lineRule="exact"/>
        <w:rPr>
          <w:sz w:val="20"/>
          <w:szCs w:val="20"/>
          <w:color w:val="auto"/>
        </w:rPr>
      </w:pPr>
    </w:p>
    <w:p>
      <w:pPr>
        <w:jc w:val="both"/>
        <w:ind w:left="1160" w:hanging="571"/>
        <w:spacing w:after="0" w:line="294" w:lineRule="auto"/>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60" w:hanging="571"/>
        <w:spacing w:after="0" w:line="306" w:lineRule="auto"/>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6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0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Prior to the March 2005 amendments to the Companies Law, our Articles of Association provided for indemnification of, and procurement of insurance coverage for our officers and directors to the maximum extent then provided for by the Companies Law. We intend to propose to our shareholders to amend our Articles of Association to reflect the March 2005 changes to the Companies Law.</w:t>
      </w:r>
    </w:p>
    <w:p>
      <w:pPr>
        <w:spacing w:after="0" w:line="19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0"/>
        </w:trPr>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40" w:type="dxa"/>
            <w:vAlign w:val="bottom"/>
          </w:tcPr>
          <w:p>
            <w:pPr>
              <w:spacing w:after="0"/>
              <w:rPr>
                <w:sz w:val="16"/>
                <w:szCs w:val="16"/>
                <w:color w:val="auto"/>
              </w:rPr>
            </w:pPr>
          </w:p>
        </w:tc>
      </w:tr>
      <w:tr>
        <w:trPr>
          <w:trHeight w:val="47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Form of Rights Letter*</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Exercise Notice Form*</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Transfer of Rights Form*</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Indenture*</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70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Opinion of Roberts and Holland LLP*</w:t>
            </w:r>
          </w:p>
        </w:tc>
      </w:tr>
    </w:tbl>
    <w:p>
      <w:pPr>
        <w:sectPr>
          <w:pgSz w:w="11900" w:h="16838" w:orient="portrait"/>
          <w:cols w:equalWidth="0" w:num="1">
            <w:col w:w="11400"/>
          </w:cols>
          <w:pgMar w:left="240" w:top="131" w:right="259" w:bottom="0" w:gutter="0" w:footer="0" w:header="0"/>
        </w:sectPr>
      </w:pPr>
    </w:p>
    <w:bookmarkStart w:id="41" w:name="page42"/>
    <w:bookmarkEnd w:id="41"/>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12.1</w:t>
            </w:r>
          </w:p>
        </w:tc>
        <w:tc>
          <w:tcPr>
            <w:tcW w:w="6600" w:type="dxa"/>
            <w:vAlign w:val="bottom"/>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23.1</w:t>
            </w:r>
          </w:p>
        </w:tc>
        <w:tc>
          <w:tcPr>
            <w:tcW w:w="6600" w:type="dxa"/>
            <w:vAlign w:val="bottom"/>
          </w:tcPr>
          <w:p>
            <w:pPr>
              <w:ind w:left="340"/>
              <w:spacing w:after="0"/>
              <w:rPr>
                <w:sz w:val="20"/>
                <w:szCs w:val="20"/>
                <w:color w:val="auto"/>
              </w:rPr>
            </w:pPr>
            <w:r>
              <w:rPr>
                <w:rFonts w:ascii="Arial" w:cs="Arial" w:eastAsia="Arial" w:hAnsi="Arial"/>
                <w:sz w:val="18"/>
                <w:szCs w:val="18"/>
                <w:color w:val="auto"/>
                <w:w w:val="96"/>
              </w:rPr>
              <w:t>Consent of Yigal Arnon &amp; Co. (contained in their opinion constituting Exhibit 5.1)*</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23.2</w:t>
            </w:r>
          </w:p>
        </w:tc>
        <w:tc>
          <w:tcPr>
            <w:tcW w:w="6600" w:type="dxa"/>
            <w:vAlign w:val="bottom"/>
          </w:tcPr>
          <w:p>
            <w:pPr>
              <w:ind w:left="34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23.3</w:t>
            </w:r>
          </w:p>
        </w:tc>
        <w:tc>
          <w:tcPr>
            <w:tcW w:w="6600" w:type="dxa"/>
            <w:vAlign w:val="bottom"/>
          </w:tcPr>
          <w:p>
            <w:pPr>
              <w:ind w:left="340"/>
              <w:spacing w:after="0"/>
              <w:rPr>
                <w:sz w:val="20"/>
                <w:szCs w:val="20"/>
                <w:color w:val="auto"/>
              </w:rPr>
            </w:pPr>
            <w:r>
              <w:rPr>
                <w:rFonts w:ascii="Arial" w:cs="Arial" w:eastAsia="Arial" w:hAnsi="Arial"/>
                <w:sz w:val="18"/>
                <w:szCs w:val="18"/>
                <w:color w:val="auto"/>
                <w:w w:val="91"/>
              </w:rPr>
              <w:t>Consent of Roberts &amp; Holland LLP (contained in their opinion constituting Exhibit 5.2)*</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24.1</w:t>
            </w:r>
          </w:p>
        </w:tc>
        <w:tc>
          <w:tcPr>
            <w:tcW w:w="6600" w:type="dxa"/>
            <w:vAlign w:val="bottom"/>
          </w:tcPr>
          <w:p>
            <w:pPr>
              <w:ind w:left="340"/>
              <w:spacing w:after="0"/>
              <w:rPr>
                <w:sz w:val="20"/>
                <w:szCs w:val="20"/>
                <w:color w:val="auto"/>
              </w:rPr>
            </w:pPr>
            <w:r>
              <w:rPr>
                <w:rFonts w:ascii="Arial" w:cs="Arial" w:eastAsia="Arial" w:hAnsi="Arial"/>
                <w:sz w:val="18"/>
                <w:szCs w:val="18"/>
                <w:color w:val="auto"/>
              </w:rPr>
              <w:t>Power of Attorney**</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25.1</w:t>
            </w:r>
          </w:p>
        </w:tc>
        <w:tc>
          <w:tcPr>
            <w:tcW w:w="6600" w:type="dxa"/>
            <w:vAlign w:val="bottom"/>
          </w:tcPr>
          <w:p>
            <w:pPr>
              <w:ind w:left="340"/>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right="8820" w:firstLine="9"/>
        <w:spacing w:after="0" w:line="407" w:lineRule="auto"/>
        <w:tabs>
          <w:tab w:leader="none" w:pos="712"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60" w:firstLine="184"/>
        <w:spacing w:after="0" w:line="291" w:lineRule="auto"/>
        <w:tabs>
          <w:tab w:leader="none" w:pos="1318" w:val="left"/>
        </w:tabs>
        <w:numPr>
          <w:ilvl w:val="1"/>
          <w:numId w:val="5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420" w:firstLine="184"/>
        <w:spacing w:after="0" w:line="268" w:lineRule="auto"/>
        <w:tabs>
          <w:tab w:leader="none" w:pos="13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jc w:val="both"/>
        <w:ind w:right="240" w:firstLine="184"/>
        <w:spacing w:after="0" w:line="259" w:lineRule="auto"/>
        <w:tabs>
          <w:tab w:leader="none" w:pos="7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53" w:lineRule="auto"/>
        <w:tabs>
          <w:tab w:leader="none" w:pos="7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9" w:lineRule="exact"/>
        <w:rPr>
          <w:rFonts w:ascii="Arial" w:cs="Arial" w:eastAsia="Arial" w:hAnsi="Arial"/>
          <w:sz w:val="18"/>
          <w:szCs w:val="18"/>
          <w:color w:val="auto"/>
        </w:rPr>
      </w:pPr>
    </w:p>
    <w:p>
      <w:pPr>
        <w:ind w:left="5700" w:hanging="162"/>
        <w:spacing w:after="0"/>
        <w:tabs>
          <w:tab w:leader="none" w:pos="5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184"/>
        <w:spacing w:after="0" w:line="294" w:lineRule="auto"/>
        <w:tabs>
          <w:tab w:leader="none" w:pos="7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9" w:lineRule="exact"/>
        <w:rPr>
          <w:rFonts w:ascii="Arial" w:cs="Arial" w:eastAsia="Arial" w:hAnsi="Arial"/>
          <w:sz w:val="16"/>
          <w:szCs w:val="16"/>
          <w:color w:val="auto"/>
        </w:rPr>
      </w:pPr>
    </w:p>
    <w:p>
      <w:pPr>
        <w:ind w:right="180" w:firstLine="184"/>
        <w:spacing w:after="0" w:line="294" w:lineRule="auto"/>
        <w:tabs>
          <w:tab w:leader="none" w:pos="7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w:t>
      </w:r>
    </w:p>
    <w:p>
      <w:pPr>
        <w:sectPr>
          <w:pgSz w:w="11900" w:h="16838" w:orient="portrait"/>
          <w:cols w:equalWidth="0" w:num="1">
            <w:col w:w="11420"/>
          </w:cols>
          <w:pgMar w:left="240" w:top="131" w:right="239" w:bottom="0" w:gutter="0" w:footer="0" w:header="0"/>
        </w:sectPr>
      </w:pPr>
    </w:p>
    <w:bookmarkStart w:id="42" w:name="page43"/>
    <w:bookmarkEnd w:id="42"/>
    <w:p>
      <w:pPr>
        <w:ind w:right="140"/>
        <w:spacing w:after="0" w:line="332" w:lineRule="auto"/>
        <w:rPr>
          <w:sz w:val="20"/>
          <w:szCs w:val="20"/>
          <w:color w:val="auto"/>
        </w:rPr>
      </w:pPr>
      <w:r>
        <w:rPr>
          <w:rFonts w:ascii="Arial" w:cs="Arial" w:eastAsia="Arial" w:hAnsi="Arial"/>
          <w:sz w:val="16"/>
          <w:szCs w:val="16"/>
          <w:color w:val="auto"/>
        </w:rPr>
        <w:t>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39" w:lineRule="exact"/>
        <w:rPr>
          <w:sz w:val="20"/>
          <w:szCs w:val="20"/>
          <w:color w:val="auto"/>
        </w:rPr>
      </w:pPr>
    </w:p>
    <w:p>
      <w:pPr>
        <w:ind w:left="720" w:hanging="536"/>
        <w:spacing w:after="0"/>
        <w:tabs>
          <w:tab w:leader="none" w:pos="7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of section 310 of the Trust Indenture Act (“Act”) in accordance with the rules and regulations prescribed by the Commission under Section 305(b)2 of the Act.</w:t>
      </w:r>
    </w:p>
    <w:p>
      <w:pPr>
        <w:spacing w:after="0" w:line="241" w:lineRule="exact"/>
        <w:rPr>
          <w:rFonts w:ascii="Arial" w:cs="Arial" w:eastAsia="Arial" w:hAnsi="Arial"/>
          <w:sz w:val="16"/>
          <w:szCs w:val="16"/>
          <w:color w:val="auto"/>
        </w:rPr>
      </w:pPr>
    </w:p>
    <w:p>
      <w:pPr>
        <w:ind w:right="180" w:firstLine="184"/>
        <w:spacing w:after="0" w:line="332" w:lineRule="auto"/>
        <w:tabs>
          <w:tab w:leader="none" w:pos="6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which the prospectus is sent or given, the registrant’s latest filing on Form 20-F and any filing on Form 6-K incorporated by reference into the prospectus.</w:t>
      </w:r>
    </w:p>
    <w:p>
      <w:pPr>
        <w:spacing w:after="0" w:line="139" w:lineRule="exact"/>
        <w:rPr>
          <w:rFonts w:ascii="Arial" w:cs="Arial" w:eastAsia="Arial" w:hAnsi="Arial"/>
          <w:sz w:val="16"/>
          <w:szCs w:val="16"/>
          <w:color w:val="auto"/>
        </w:rPr>
      </w:pPr>
    </w:p>
    <w:p>
      <w:pPr>
        <w:ind w:left="5700" w:hanging="162"/>
        <w:spacing w:after="0"/>
        <w:tabs>
          <w:tab w:leader="none" w:pos="57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F-2 and has duly caused this Amendment No. 1 to the Registration Statement on Form F-2 to be signed on its behalf by the undersigned, thereunto duly authorized, in the City of Migdal Haemek, Israel, on September 22,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71"/>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N.D. Reddy</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ind w:left="1420"/>
              <w:spacing w:after="0"/>
              <w:rPr>
                <w:sz w:val="20"/>
                <w:szCs w:val="20"/>
                <w:color w:val="auto"/>
              </w:rPr>
            </w:pPr>
            <w:r>
              <w:rPr>
                <w:rFonts w:ascii="Arial" w:cs="Arial" w:eastAsia="Arial" w:hAnsi="Arial"/>
                <w:sz w:val="18"/>
                <w:szCs w:val="18"/>
                <w:color w:val="auto"/>
              </w:rPr>
              <w:t>II - 6</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r>
      <w:tr>
        <w:trPr>
          <w:trHeight w:val="31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September 22,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43" w:name="page44"/>
    <w:bookmarkEnd w:id="43"/>
    <w:p>
      <w:pPr>
        <w:ind w:left="378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Kalman Kaufman</w:t>
      </w:r>
    </w:p>
    <w:p>
      <w:pPr>
        <w:spacing w:after="0" w:line="246" w:lineRule="exact"/>
        <w:rPr>
          <w:sz w:val="20"/>
          <w:szCs w:val="20"/>
          <w:color w:val="auto"/>
        </w:rPr>
      </w:pPr>
    </w:p>
    <w:p>
      <w:pPr>
        <w:ind w:right="1139"/>
        <w:spacing w:after="0" w:line="268" w:lineRule="auto"/>
        <w:rPr>
          <w:sz w:val="20"/>
          <w:szCs w:val="20"/>
          <w:color w:val="auto"/>
        </w:rPr>
      </w:pPr>
      <w:r>
        <w:rPr>
          <w:rFonts w:ascii="Arial" w:cs="Arial" w:eastAsia="Arial" w:hAnsi="Arial"/>
          <w:sz w:val="18"/>
          <w:szCs w:val="18"/>
          <w:color w:val="auto"/>
        </w:rPr>
        <w:t>AUTHORIZED REPRESENTATIVE IN THE UNITED STATES September 22, 2005 Tower Semiconductor USA,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46"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/s/ RUSSELL C. ELLWANGER</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Russell C. Ellwanger, Attorney-in-Fact</w:t>
      </w: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652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6"/>
              </w:rPr>
              <w:t>Exhibit</w:t>
            </w:r>
          </w:p>
        </w:tc>
        <w:tc>
          <w:tcPr>
            <w:tcW w:w="6520" w:type="dxa"/>
            <w:vAlign w:val="bottom"/>
          </w:tcPr>
          <w:p>
            <w:pPr>
              <w:spacing w:after="0"/>
              <w:rPr>
                <w:sz w:val="24"/>
                <w:szCs w:val="24"/>
                <w:color w:val="auto"/>
              </w:rPr>
            </w:pPr>
          </w:p>
        </w:tc>
      </w:tr>
      <w:tr>
        <w:trPr>
          <w:trHeight w:val="222"/>
        </w:trPr>
        <w:tc>
          <w:tcPr>
            <w:tcW w:w="920" w:type="dxa"/>
            <w:vAlign w:val="bottom"/>
          </w:tcPr>
          <w:p>
            <w:pPr>
              <w:jc w:val="center"/>
              <w:ind w:right="192"/>
              <w:spacing w:after="0"/>
              <w:rPr>
                <w:sz w:val="20"/>
                <w:szCs w:val="20"/>
                <w:color w:val="auto"/>
              </w:rPr>
            </w:pPr>
            <w:r>
              <w:rPr>
                <w:rFonts w:ascii="Arial" w:cs="Arial" w:eastAsia="Arial" w:hAnsi="Arial"/>
                <w:sz w:val="18"/>
                <w:szCs w:val="18"/>
                <w:color w:val="auto"/>
                <w:w w:val="87"/>
              </w:rPr>
              <w:t>Numbers</w:t>
            </w:r>
          </w:p>
        </w:tc>
        <w:tc>
          <w:tcPr>
            <w:tcW w:w="6520" w:type="dxa"/>
            <w:vAlign w:val="bottom"/>
          </w:tcPr>
          <w:p>
            <w:pPr>
              <w:ind w:left="260"/>
              <w:spacing w:after="0"/>
              <w:rPr>
                <w:sz w:val="20"/>
                <w:szCs w:val="20"/>
                <w:color w:val="auto"/>
              </w:rPr>
            </w:pPr>
            <w:r>
              <w:rPr>
                <w:rFonts w:ascii="Arial" w:cs="Arial" w:eastAsia="Arial" w:hAnsi="Arial"/>
                <w:sz w:val="18"/>
                <w:szCs w:val="18"/>
                <w:color w:val="auto"/>
              </w:rPr>
              <w:t>Description of Document</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4.1</w:t>
            </w:r>
          </w:p>
        </w:tc>
        <w:tc>
          <w:tcPr>
            <w:tcW w:w="6520" w:type="dxa"/>
            <w:vAlign w:val="bottom"/>
          </w:tcPr>
          <w:p>
            <w:pPr>
              <w:ind w:left="260"/>
              <w:spacing w:after="0"/>
              <w:rPr>
                <w:sz w:val="20"/>
                <w:szCs w:val="20"/>
                <w:color w:val="auto"/>
              </w:rPr>
            </w:pPr>
            <w:r>
              <w:rPr>
                <w:rFonts w:ascii="Arial" w:cs="Arial" w:eastAsia="Arial" w:hAnsi="Arial"/>
                <w:sz w:val="18"/>
                <w:szCs w:val="18"/>
                <w:color w:val="auto"/>
              </w:rPr>
              <w:t>Form of Rights Letter*</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4.2</w:t>
            </w:r>
          </w:p>
        </w:tc>
        <w:tc>
          <w:tcPr>
            <w:tcW w:w="6520" w:type="dxa"/>
            <w:vAlign w:val="bottom"/>
          </w:tcPr>
          <w:p>
            <w:pPr>
              <w:ind w:left="260"/>
              <w:spacing w:after="0"/>
              <w:rPr>
                <w:sz w:val="20"/>
                <w:szCs w:val="20"/>
                <w:color w:val="auto"/>
              </w:rPr>
            </w:pPr>
            <w:r>
              <w:rPr>
                <w:rFonts w:ascii="Arial" w:cs="Arial" w:eastAsia="Arial" w:hAnsi="Arial"/>
                <w:sz w:val="18"/>
                <w:szCs w:val="18"/>
                <w:color w:val="auto"/>
              </w:rPr>
              <w:t>Exercise Notice Form*</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4.3</w:t>
            </w:r>
          </w:p>
        </w:tc>
        <w:tc>
          <w:tcPr>
            <w:tcW w:w="6520" w:type="dxa"/>
            <w:vAlign w:val="bottom"/>
          </w:tcPr>
          <w:p>
            <w:pPr>
              <w:ind w:left="260"/>
              <w:spacing w:after="0"/>
              <w:rPr>
                <w:sz w:val="20"/>
                <w:szCs w:val="20"/>
                <w:color w:val="auto"/>
              </w:rPr>
            </w:pPr>
            <w:r>
              <w:rPr>
                <w:rFonts w:ascii="Arial" w:cs="Arial" w:eastAsia="Arial" w:hAnsi="Arial"/>
                <w:sz w:val="18"/>
                <w:szCs w:val="18"/>
                <w:color w:val="auto"/>
              </w:rPr>
              <w:t>Transfer of Rights Form*</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4.4</w:t>
            </w:r>
          </w:p>
        </w:tc>
        <w:tc>
          <w:tcPr>
            <w:tcW w:w="6520" w:type="dxa"/>
            <w:vAlign w:val="bottom"/>
          </w:tcPr>
          <w:p>
            <w:pPr>
              <w:ind w:left="260"/>
              <w:spacing w:after="0"/>
              <w:rPr>
                <w:sz w:val="20"/>
                <w:szCs w:val="20"/>
                <w:color w:val="auto"/>
              </w:rPr>
            </w:pPr>
            <w:r>
              <w:rPr>
                <w:rFonts w:ascii="Arial" w:cs="Arial" w:eastAsia="Arial" w:hAnsi="Arial"/>
                <w:sz w:val="18"/>
                <w:szCs w:val="18"/>
                <w:color w:val="auto"/>
              </w:rPr>
              <w:t>Indenture*</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5.1</w:t>
            </w:r>
          </w:p>
        </w:tc>
        <w:tc>
          <w:tcPr>
            <w:tcW w:w="6520" w:type="dxa"/>
            <w:vAlign w:val="bottom"/>
          </w:tcPr>
          <w:p>
            <w:pPr>
              <w:ind w:left="260"/>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5.2</w:t>
            </w:r>
          </w:p>
        </w:tc>
        <w:tc>
          <w:tcPr>
            <w:tcW w:w="6520" w:type="dxa"/>
            <w:vAlign w:val="bottom"/>
          </w:tcPr>
          <w:p>
            <w:pPr>
              <w:ind w:left="260"/>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12.1</w:t>
            </w:r>
          </w:p>
        </w:tc>
        <w:tc>
          <w:tcPr>
            <w:tcW w:w="6520" w:type="dxa"/>
            <w:vAlign w:val="bottom"/>
          </w:tcPr>
          <w:p>
            <w:pPr>
              <w:ind w:left="2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23.1</w:t>
            </w:r>
          </w:p>
        </w:tc>
        <w:tc>
          <w:tcPr>
            <w:tcW w:w="6520" w:type="dxa"/>
            <w:vAlign w:val="bottom"/>
          </w:tcPr>
          <w:p>
            <w:pPr>
              <w:ind w:left="260"/>
              <w:spacing w:after="0"/>
              <w:rPr>
                <w:sz w:val="20"/>
                <w:szCs w:val="20"/>
                <w:color w:val="auto"/>
              </w:rPr>
            </w:pPr>
            <w:r>
              <w:rPr>
                <w:rFonts w:ascii="Arial" w:cs="Arial" w:eastAsia="Arial" w:hAnsi="Arial"/>
                <w:sz w:val="18"/>
                <w:szCs w:val="18"/>
                <w:color w:val="auto"/>
                <w:w w:val="96"/>
              </w:rPr>
              <w:t>Consent of Yigal Arnon &amp; Co. (contained in their opinion constituting Exhibit 5.1)*</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23.2</w:t>
            </w:r>
          </w:p>
        </w:tc>
        <w:tc>
          <w:tcPr>
            <w:tcW w:w="6520" w:type="dxa"/>
            <w:vAlign w:val="bottom"/>
          </w:tcPr>
          <w:p>
            <w:pPr>
              <w:ind w:left="26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23.3</w:t>
            </w:r>
          </w:p>
        </w:tc>
        <w:tc>
          <w:tcPr>
            <w:tcW w:w="6520" w:type="dxa"/>
            <w:vAlign w:val="bottom"/>
          </w:tcPr>
          <w:p>
            <w:pPr>
              <w:ind w:left="260"/>
              <w:spacing w:after="0"/>
              <w:rPr>
                <w:sz w:val="20"/>
                <w:szCs w:val="20"/>
                <w:color w:val="auto"/>
              </w:rPr>
            </w:pPr>
            <w:r>
              <w:rPr>
                <w:rFonts w:ascii="Arial" w:cs="Arial" w:eastAsia="Arial" w:hAnsi="Arial"/>
                <w:sz w:val="18"/>
                <w:szCs w:val="18"/>
                <w:color w:val="auto"/>
                <w:w w:val="91"/>
              </w:rPr>
              <w:t>Consent of Roberts &amp; Holland LLP (contained in their opinion constituting Exhibit 5.2)*</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24.1</w:t>
            </w:r>
          </w:p>
        </w:tc>
        <w:tc>
          <w:tcPr>
            <w:tcW w:w="6520" w:type="dxa"/>
            <w:vAlign w:val="bottom"/>
          </w:tcPr>
          <w:p>
            <w:pPr>
              <w:ind w:left="260"/>
              <w:spacing w:after="0"/>
              <w:rPr>
                <w:sz w:val="20"/>
                <w:szCs w:val="20"/>
                <w:color w:val="auto"/>
              </w:rPr>
            </w:pPr>
            <w:r>
              <w:rPr>
                <w:rFonts w:ascii="Arial" w:cs="Arial" w:eastAsia="Arial" w:hAnsi="Arial"/>
                <w:sz w:val="18"/>
                <w:szCs w:val="18"/>
                <w:color w:val="auto"/>
              </w:rPr>
              <w:t>Power of Attorney**</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25.1</w:t>
            </w:r>
          </w:p>
        </w:tc>
        <w:tc>
          <w:tcPr>
            <w:tcW w:w="6520" w:type="dxa"/>
            <w:vAlign w:val="bottom"/>
          </w:tcPr>
          <w:p>
            <w:pPr>
              <w:ind w:left="260"/>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right="7619" w:firstLine="9"/>
        <w:spacing w:after="0" w:line="407" w:lineRule="auto"/>
        <w:tabs>
          <w:tab w:leader="none" w:pos="712"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2367280</wp:posOffset>
            </wp:positionV>
            <wp:extent cx="726757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Amendment No. 1 to Form F-2, of our report dated February 3, 2005 (May 30, 2005 as for Note 20), relating to the financial statements of Tower Semiconductor Ltd. appearing in the Annual Report on Form 20-F of Tower Semiconductor Ltd. for the year ended December 31, 2004, and to the references to us under the headings “Selected Financial Data” and “Experts” in the prospectus, which is part of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8194675</wp:posOffset>
            </wp:positionV>
            <wp:extent cx="726757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Eilenberg &amp; Krause llp</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Peggy A. Fisher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Amendment No. 1 to Registration Statement on Form F-2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Registration No. 333-126909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Form 20-F for the year ended December 31, 2004</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Forms 6-K Filed May 26, 2005 and August 3, 2005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 No. 0-24790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Dear Ms. Fisher:</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This letter is submitted on behalf of Tower Semiconductor Ltd. (“Tower” or the “Company”), in response to the comments of the Staff of the Division of Corporation Finance of the Securities and Exchange Commission regarding the Registration Statement on Form F-2 (Registration No. 333-126909), the Annual Report on Form 20-F for the year ended December 31, 2004 and Forms 6-K filed on May 26, 2005 and August 3, 2005 (File No. 0-24790). With a courtesy copy of this letter, we are including a copy of Amendment No. 1 to the Registration Statement on Form F-2 as filed with the Securities and Exchange Commission on the date hereof. The Amendment reflects Tower’s responses to the comments contained in your letter of August 22, 2005, as well as updated information. We have also enclosed copies of Amendment No. 1 which have been marked to show changes from the initial filing.</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numbered responses correlate to the numbers in your August 22, 2005 letter, and we have set forth in full the text of the comments included in your letter for convenience purposes. All references in our responses to page numbers are to the pages in the unmarked copies of the documents. For the convenience of the Staff, we have annotated the margins of the marked copies with the comment numbers to indicate where changes were made in response to comments in your letter.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respond to the Staff’s comments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Form F-2</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 Table</w:t>
      </w:r>
    </w:p>
    <w:p>
      <w:pPr>
        <w:spacing w:after="0" w:line="225" w:lineRule="exact"/>
        <w:rPr>
          <w:sz w:val="20"/>
          <w:szCs w:val="20"/>
          <w:color w:val="auto"/>
        </w:rPr>
      </w:pPr>
    </w:p>
    <w:p>
      <w:pPr>
        <w:ind w:left="1160" w:right="3100" w:hanging="571"/>
        <w:spacing w:after="0" w:line="544" w:lineRule="auto"/>
        <w:tabs>
          <w:tab w:leader="none" w:pos="11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 appears that the rights should be registered and included in the fee table. Please revise or advise. </w:t>
      </w:r>
      <w:r>
        <w:rPr>
          <w:rFonts w:ascii="Arial" w:cs="Arial" w:eastAsia="Arial" w:hAnsi="Arial"/>
          <w:sz w:val="18"/>
          <w:szCs w:val="18"/>
          <w:color w:val="auto"/>
        </w:rPr>
        <w:t>We have revised the fee table to reflect the registration of the rights.</w:t>
      </w:r>
    </w:p>
    <w:p>
      <w:pPr>
        <w:spacing w:after="0" w:line="7" w:lineRule="exact"/>
        <w:rPr>
          <w:rFonts w:ascii="Arial" w:cs="Arial" w:eastAsia="Arial" w:hAnsi="Arial"/>
          <w:sz w:val="18"/>
          <w:szCs w:val="18"/>
          <w:b w:val="1"/>
          <w:bCs w:val="1"/>
          <w:color w:val="auto"/>
        </w:rPr>
      </w:pPr>
    </w:p>
    <w:p>
      <w:pPr>
        <w:ind w:left="1160" w:right="60" w:hanging="571"/>
        <w:spacing w:after="0" w:line="332" w:lineRule="auto"/>
        <w:tabs>
          <w:tab w:leader="none" w:pos="11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 are registering $25.5 million in securities to be issued upon exercise of the rights, yet the cover page of the prospectus states that you are distributing transferable rights to purchase up to $50 million of debentures. Please reconcile.</w:t>
      </w:r>
    </w:p>
    <w:p>
      <w:pPr>
        <w:spacing w:after="0" w:line="166" w:lineRule="exact"/>
        <w:rPr>
          <w:rFonts w:ascii="Arial" w:cs="Arial" w:eastAsia="Arial" w:hAnsi="Arial"/>
          <w:sz w:val="16"/>
          <w:szCs w:val="16"/>
          <w:b w:val="1"/>
          <w:bCs w:val="1"/>
          <w:color w:val="auto"/>
        </w:rPr>
      </w:pPr>
    </w:p>
    <w:p>
      <w:pPr>
        <w:ind w:left="1160" w:right="120"/>
        <w:spacing w:after="0" w:line="318" w:lineRule="auto"/>
        <w:rPr>
          <w:rFonts w:ascii="Arial" w:cs="Arial" w:eastAsia="Arial" w:hAnsi="Arial"/>
          <w:sz w:val="16"/>
          <w:szCs w:val="16"/>
          <w:b w:val="1"/>
          <w:bCs w:val="1"/>
          <w:color w:val="auto"/>
        </w:rPr>
      </w:pPr>
      <w:r>
        <w:rPr>
          <w:rFonts w:ascii="Arial" w:cs="Arial" w:eastAsia="Arial" w:hAnsi="Arial"/>
          <w:sz w:val="15"/>
          <w:szCs w:val="15"/>
          <w:color w:val="auto"/>
        </w:rPr>
        <w:t>As described in the prospectus at the disclosure referenced in our response to Comment 10, Tower is offering all of its shareholders the opportunity to purchase convertible debentures through the rights distribution. We have excluded from the registration statement the securities issuable to our four major shareholders, including those issuable pursuant to their commitments to the Company and its banks to purchase an aggregate of $25.5 million of debentures in connection with the amendment to Tower’s bank credit facility. These securities are not covered by the registration statement and are being issued pursuant to a transaction exempt from the registration requirements of the Securities Act of 1933.</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Cover Page</w:t>
      </w:r>
    </w:p>
    <w:p>
      <w:pPr>
        <w:spacing w:after="0" w:line="225" w:lineRule="exact"/>
        <w:rPr>
          <w:sz w:val="20"/>
          <w:szCs w:val="20"/>
          <w:color w:val="auto"/>
        </w:rPr>
      </w:pPr>
    </w:p>
    <w:p>
      <w:pPr>
        <w:ind w:left="1160" w:right="60" w:hanging="571"/>
        <w:spacing w:after="0" w:line="323" w:lineRule="auto"/>
        <w:tabs>
          <w:tab w:leader="none" w:pos="116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the fourth paragraph, where you disclose that Israel Corp., SanDisk Corporation, and Alliance Semiconductor Corporation have already committed to exercise rights to be issued to them. We also note that “certain of our shareholders” have agreed to transfer their unexercised rights to Israel Corp. Provide a thorough legal analysis of why you believe the simultaneous public and private offerings and the communications related thereto are consistent with Section 5 of the 1933 Act. We will have further comments.</w:t>
      </w:r>
    </w:p>
    <w:p>
      <w:pPr>
        <w:spacing w:after="0" w:line="178"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8"/>
          <w:szCs w:val="18"/>
          <w:color w:val="auto"/>
        </w:rPr>
        <w:t>The following discussion responds to Staff Comments 3 and 11.</w:t>
      </w:r>
    </w:p>
    <w:p>
      <w:pPr>
        <w:spacing w:after="0" w:line="279" w:lineRule="exact"/>
        <w:rPr>
          <w:rFonts w:ascii="Arial" w:cs="Arial" w:eastAsia="Arial" w:hAnsi="Arial"/>
          <w:sz w:val="15"/>
          <w:szCs w:val="15"/>
          <w:b w:val="1"/>
          <w:bCs w:val="1"/>
          <w:color w:val="auto"/>
        </w:rPr>
      </w:pPr>
    </w:p>
    <w:p>
      <w:pPr>
        <w:ind w:left="1160" w:right="60"/>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We believe that analysis of the facts and circumstances surrounding the purchase commitments by the Company’s major shareholders, who have appointed a majority of the Company’s directors and who together own in excess of 63% of the outstanding shares of the Company, and the proposed registered rights offering to public investors, supports our determination that the two transactions are separate and distinct and need not be integrated with one another.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0"/>
        <w:spacing w:after="0" w:line="288" w:lineRule="auto"/>
        <w:rPr>
          <w:sz w:val="20"/>
          <w:szCs w:val="20"/>
          <w:color w:val="auto"/>
        </w:rPr>
      </w:pPr>
      <w:r>
        <w:rPr>
          <w:rFonts w:ascii="Arial" w:cs="Arial" w:eastAsia="Arial" w:hAnsi="Arial"/>
          <w:sz w:val="16"/>
          <w:szCs w:val="16"/>
          <w:color w:val="auto"/>
        </w:rPr>
        <w:t>Under the July 2005 credit facility amendment, Tower’s banks committed to providing up to approximately $30 million in additional funding, subject to a similar amount being raised by the Company from investors in the form of equity or convertible debt. The banks conditioned their commitment to provide this additional funding on the Company securing minimum commitments to invest at least $23.5 million. In connection therewith, Israel Corp., SanDisk, Macronix and Alliance, Tower’s four major and controlling shareholders were asked to provide commitments to invest. Israel Corp. and SanDisk provided commitments to the Company’s banks to invest $20 million and $3.5 million, respectively. Each of the four major shareholders provided commitments to the Company to invest as follows – Israel Corp. – $20 million; SanDisk – $3.5 million; Alliance – $1 million and Macronix – $1 million. For the reasons explained below, these commitments were to invest through a distribution of rights to all of Tower’s shareholders. In August 2005, the banks, in reliance on the initial $23.5 million of commitments to them by Israel Corp. and SanDisk, made advances of $13.4 million.</w:t>
      </w:r>
    </w:p>
    <w:p>
      <w:pPr>
        <w:spacing w:after="0" w:line="201" w:lineRule="exact"/>
        <w:rPr>
          <w:sz w:val="20"/>
          <w:szCs w:val="20"/>
          <w:color w:val="auto"/>
        </w:rPr>
      </w:pPr>
    </w:p>
    <w:p>
      <w:pPr>
        <w:ind w:left="1160" w:right="100"/>
        <w:spacing w:after="0" w:line="254" w:lineRule="auto"/>
        <w:rPr>
          <w:sz w:val="20"/>
          <w:szCs w:val="20"/>
          <w:color w:val="auto"/>
        </w:rPr>
      </w:pPr>
      <w:r>
        <w:rPr>
          <w:rFonts w:ascii="Arial" w:cs="Arial" w:eastAsia="Arial" w:hAnsi="Arial"/>
          <w:sz w:val="18"/>
          <w:szCs w:val="18"/>
          <w:color w:val="auto"/>
        </w:rPr>
        <w:t>Tower’s four major shareholders together own approximately 63% of the Company’s outstanding shares. One of these shareholders–Israel Corp. –owns 21% of the Company’s outstanding shares, SanDisk owns 15% and each of the other two shareholders owns 13% of Tower’s outstanding shares. To date, these shareholders have invested over $300 million in the Company, exclusive of the new purchase commitments. These shareholders are also parties to a shareholders agreement, under which they have the power to elect the entire board of directors (other than the two independent directors). Under the Agreement, Israel Corp. elects two directors while each of the other three major shareholders designates one.</w:t>
      </w:r>
    </w:p>
    <w:p>
      <w:pPr>
        <w:spacing w:after="0" w:line="225" w:lineRule="exact"/>
        <w:rPr>
          <w:sz w:val="20"/>
          <w:szCs w:val="20"/>
          <w:color w:val="auto"/>
        </w:rPr>
      </w:pPr>
    </w:p>
    <w:p>
      <w:pPr>
        <w:ind w:left="1160" w:right="20"/>
        <w:spacing w:after="0" w:line="298" w:lineRule="auto"/>
        <w:rPr>
          <w:sz w:val="20"/>
          <w:szCs w:val="20"/>
          <w:color w:val="auto"/>
        </w:rPr>
      </w:pPr>
      <w:r>
        <w:rPr>
          <w:rFonts w:ascii="Arial" w:cs="Arial" w:eastAsia="Arial" w:hAnsi="Arial"/>
          <w:sz w:val="16"/>
          <w:szCs w:val="16"/>
          <w:color w:val="auto"/>
        </w:rPr>
        <w:t>As noted in the Q &amp; A in the prospectus (page 4) under “Why are we engaging in a rights offering?” Tower is engaged in the rights offering to raise up to $50 million which Tower is required to raise under its credit facility agreement. The investment commitments of the four major shareholders are being effected through the framework of an offering of rights to all its shareholders, so that all shareholders of Tower will have a full and fair opportunity to purchase the convertible debentures on the same terms as the controlling shareholders.</w:t>
      </w:r>
    </w:p>
    <w:p>
      <w:pPr>
        <w:spacing w:after="0" w:line="194"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Company solicited and obtained the purchase commitments from the major shareholders in reliance on Section 4(2) of the Securities Act of 1933. We believe that this exemption is available in view of the following facts: (i) the commitments were offered to and obtained from only four shareholders, each of which is a publicly-traded company and each of which is a sophisticated and “accredited investor” (as defined in the Regulation D); (ii) these four shareholders together control more than a majority of Tower’s voting power and are parties to a voting agreement through which they elect a majority of the Board; and (iii) each such shareholder has a representative on the Board and has full and complete access to corporate information.</w:t>
      </w:r>
    </w:p>
    <w:p>
      <w:pPr>
        <w:spacing w:after="0" w:line="225" w:lineRule="exact"/>
        <w:rPr>
          <w:sz w:val="20"/>
          <w:szCs w:val="20"/>
          <w:color w:val="auto"/>
        </w:rPr>
      </w:pPr>
    </w:p>
    <w:p>
      <w:pPr>
        <w:ind w:left="1160"/>
        <w:spacing w:after="0" w:line="289" w:lineRule="auto"/>
        <w:rPr>
          <w:sz w:val="20"/>
          <w:szCs w:val="20"/>
          <w:color w:val="auto"/>
        </w:rPr>
      </w:pPr>
      <w:r>
        <w:rPr>
          <w:rFonts w:ascii="Arial" w:cs="Arial" w:eastAsia="Arial" w:hAnsi="Arial"/>
          <w:sz w:val="16"/>
          <w:szCs w:val="16"/>
          <w:color w:val="auto"/>
        </w:rPr>
        <w:t>We believe the purchase commitments by the major shareholders should not be integrated with the proposed registered rights offering based on the following: (i) the involvement of each of the major shareholders arose by virtue of the pre-existing relationship of the shareholder with Tower as one of its major shareholders and the representation that each such shareholder has on the Board and not by virtue of the solicitation of the other shareholders of the Company to be made by the registration statement; and (ii) the convertible debentures committed to be purchased by the major shareholders, as well as the underlying shares issuable upon conversion thereof, are not covered by the registration statement, will be deemed “restricted” securities and cannot not be resold absent registration or availability of an applicable exemption. Furthermore, we believe that the policy set forth in paragraph 3 of the Staff’s response to the Black Box Incorporated no-action letter (dated June 26, 1990) supports our position.</w:t>
      </w:r>
    </w:p>
    <w:p>
      <w:pPr>
        <w:sectPr>
          <w:pgSz w:w="11900" w:h="16838" w:orient="portrait"/>
          <w:cols w:equalWidth="0" w:num="1">
            <w:col w:w="11400"/>
          </w:cols>
          <w:pgMar w:left="240" w:top="409" w:right="259" w:bottom="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160"/>
        <w:spacing w:after="0" w:line="298" w:lineRule="auto"/>
        <w:rPr>
          <w:sz w:val="20"/>
          <w:szCs w:val="20"/>
          <w:color w:val="auto"/>
        </w:rPr>
      </w:pPr>
      <w:r>
        <w:rPr>
          <w:rFonts w:ascii="Arial" w:cs="Arial" w:eastAsia="Arial" w:hAnsi="Arial"/>
          <w:sz w:val="16"/>
          <w:szCs w:val="16"/>
          <w:color w:val="auto"/>
        </w:rPr>
        <w:t>Israel Corp.‘s commitment to purchase debentures in excess of its pro rata share, includes a portion of the entitlement of the other major shareholders which they elected not to purchase. The assignment by the three other major shareholders of a portion of the rights which they will not be exercising is what is meant by the language on the prospectus cover page referenced in the Staff’s Comment 3 regarding other shareholders agreeing to transfer a portion of their unexercised rights to Israel Corp.</w:t>
      </w:r>
    </w:p>
    <w:p>
      <w:pPr>
        <w:spacing w:after="0" w:line="194" w:lineRule="exact"/>
        <w:rPr>
          <w:sz w:val="20"/>
          <w:szCs w:val="20"/>
          <w:color w:val="auto"/>
        </w:rPr>
      </w:pPr>
    </w:p>
    <w:p>
      <w:pPr>
        <w:ind w:left="1160" w:right="240"/>
        <w:spacing w:after="0" w:line="268" w:lineRule="auto"/>
        <w:rPr>
          <w:sz w:val="20"/>
          <w:szCs w:val="20"/>
          <w:color w:val="auto"/>
        </w:rPr>
      </w:pPr>
      <w:r>
        <w:rPr>
          <w:rFonts w:ascii="Arial" w:cs="Arial" w:eastAsia="Arial" w:hAnsi="Arial"/>
          <w:sz w:val="18"/>
          <w:szCs w:val="18"/>
          <w:color w:val="auto"/>
        </w:rPr>
        <w:t>For the foregoing reasons, we believe these simultaneous offerings and the communications related thereto are consistent with Section 5 of the 1933 Act.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Questions and Answers About the Rights Offering</w:t>
      </w:r>
    </w:p>
    <w:p>
      <w:pPr>
        <w:spacing w:after="0" w:line="225" w:lineRule="exact"/>
        <w:rPr>
          <w:sz w:val="20"/>
          <w:szCs w:val="20"/>
          <w:color w:val="auto"/>
        </w:rPr>
      </w:pPr>
    </w:p>
    <w:p>
      <w:pPr>
        <w:ind w:left="1160" w:right="280" w:hanging="571"/>
        <w:spacing w:after="0" w:line="370" w:lineRule="auto"/>
        <w:tabs>
          <w:tab w:leader="none" w:pos="116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Explain the business reasons for structuring this as a rights offering for convertible debentures in the principal amount of $1 per share. If your intent was to reduce the dilution of your existing shareholders, why are they not given rights to purchase additional shares?</w:t>
      </w:r>
    </w:p>
    <w:p>
      <w:pPr>
        <w:spacing w:after="0" w:line="143" w:lineRule="exact"/>
        <w:rPr>
          <w:rFonts w:ascii="Arial" w:cs="Arial" w:eastAsia="Arial" w:hAnsi="Arial"/>
          <w:sz w:val="15"/>
          <w:szCs w:val="15"/>
          <w:b w:val="1"/>
          <w:bCs w:val="1"/>
          <w:color w:val="auto"/>
        </w:rPr>
      </w:pPr>
    </w:p>
    <w:p>
      <w:pPr>
        <w:ind w:left="1160" w:right="80"/>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We have revised the description of the reasons Tower is engaging in a rights offering of convertible debentures (page 4). The $1 minimum denomination affords the debenture holders with choices. As the debentures will be listed for trading, a $1 minimum denomination allows debenture holders to choose to convert a relatively small portion of their aggregate investment into shares, to sell another relatively small portion of their debentures on the market and to continue to hold debentures.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will principal and interest be paid</w:t>
      </w:r>
    </w:p>
    <w:p>
      <w:pPr>
        <w:spacing w:after="0" w:line="225" w:lineRule="exact"/>
        <w:rPr>
          <w:sz w:val="20"/>
          <w:szCs w:val="20"/>
          <w:color w:val="auto"/>
        </w:rPr>
      </w:pPr>
    </w:p>
    <w:p>
      <w:pPr>
        <w:ind w:left="1160" w:hanging="571"/>
        <w:spacing w:after="0"/>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Explain in more detail the last sentence regarding the non-payment of accrued interest.</w:t>
      </w:r>
    </w:p>
    <w:p>
      <w:pPr>
        <w:spacing w:after="0" w:line="25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We have revised the filing to clarify the language regarding the payment of accrued interest (page 2).</w:t>
      </w:r>
    </w:p>
    <w:p>
      <w:pPr>
        <w:spacing w:after="0" w:line="279" w:lineRule="exact"/>
        <w:rPr>
          <w:rFonts w:ascii="Arial" w:cs="Arial" w:eastAsia="Arial" w:hAnsi="Arial"/>
          <w:sz w:val="18"/>
          <w:szCs w:val="18"/>
          <w:b w:val="1"/>
          <w:bCs w:val="1"/>
          <w:color w:val="auto"/>
        </w:rPr>
      </w:pPr>
    </w:p>
    <w:p>
      <w:pPr>
        <w:ind w:left="1160" w:hanging="571"/>
        <w:spacing w:after="0" w:line="268" w:lineRule="auto"/>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Expand to describe the possible postponement of payments under the debentures, and supplementally explain why you believe this provision is consistent with the requirements of the Trust Indenture Act of 1939.</w:t>
      </w:r>
    </w:p>
    <w:p>
      <w:pPr>
        <w:spacing w:after="0" w:line="212" w:lineRule="exact"/>
        <w:rPr>
          <w:rFonts w:ascii="Arial" w:cs="Arial" w:eastAsia="Arial" w:hAnsi="Arial"/>
          <w:sz w:val="18"/>
          <w:szCs w:val="18"/>
          <w:b w:val="1"/>
          <w:bCs w:val="1"/>
          <w:color w:val="auto"/>
        </w:rPr>
      </w:pPr>
    </w:p>
    <w:p>
      <w:pPr>
        <w:ind w:left="1160" w:right="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We have revised the disclosure to more fully describe the postponement (page 2). From our conversations with the Staff we understand that the concern raised by the Staff relates to Section 316(b) which provides in relevant part that “the right of any holder of any indenture security to receive payment of the principal of and interest on such indenture security, on or after the respective due dates expressed in such indenture security, or to institute suit for the enforcement of any such payment on or after such respective dates, shall not be impaired or affected without the consent of such holder.” We believe that the possible six month postponement of payments under the debentures in the event of a default on senior indebtedness (often called a “six month stopper”) is typical for subordinated debt issues, including debt issued under indentures qualified under the Trust Indenture Act. The six month stopper provision is described at great length in the prospectus disclosure and will be set forth fully in the indenture and referenced on the face of the form of the debenture. By their purchase of the debentures in those circumstances, holders will have consented to the possible postponement within the meaning of TIA 316(b).</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0" w:hanging="571"/>
        <w:spacing w:after="0" w:line="268" w:lineRule="auto"/>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 a separate Q &amp; A to discuss the current and future subordination of the debentures and the dollar amount of indebtedness outstanding to which they are subordinated.</w:t>
      </w:r>
    </w:p>
    <w:p>
      <w:pPr>
        <w:spacing w:after="0" w:line="212" w:lineRule="exact"/>
        <w:rPr>
          <w:rFonts w:ascii="Arial" w:cs="Arial" w:eastAsia="Arial" w:hAnsi="Arial"/>
          <w:sz w:val="18"/>
          <w:szCs w:val="18"/>
          <w:b w:val="1"/>
          <w:bCs w:val="1"/>
          <w:color w:val="auto"/>
        </w:rPr>
      </w:pPr>
    </w:p>
    <w:p>
      <w:pPr>
        <w:ind w:left="11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added a Q &amp; A to discuss the current and future subordination of the debentures and of the dollar amount of indebtedness outstanding to which they are subordinated (page 3).</w:t>
      </w:r>
    </w:p>
    <w:p>
      <w:pPr>
        <w:spacing w:after="0" w:line="21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 a separate Q &amp; A to disclose whether the debentures will be listed for trading.</w:t>
      </w:r>
    </w:p>
    <w:p>
      <w:pPr>
        <w:spacing w:after="0" w:line="25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We have added a Q &amp; A to disclose that the debentures will be listed for trading (page 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Must I convert the debentures I hold into ordinary shares</w:t>
      </w:r>
    </w:p>
    <w:p>
      <w:pPr>
        <w:spacing w:after="0" w:line="225" w:lineRule="exact"/>
        <w:rPr>
          <w:sz w:val="20"/>
          <w:szCs w:val="20"/>
          <w:color w:val="auto"/>
        </w:rPr>
      </w:pPr>
    </w:p>
    <w:p>
      <w:pPr>
        <w:ind w:left="1160" w:right="160" w:hanging="571"/>
        <w:spacing w:after="0" w:line="268" w:lineRule="auto"/>
        <w:tabs>
          <w:tab w:leader="none" w:pos="11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specifically state under this heading that accrued interest will not be paid if mandatory conversion of the debentures occurs. We refer you to your disclosure in the last sentence on page 35.</w:t>
      </w:r>
    </w:p>
    <w:p>
      <w:pPr>
        <w:spacing w:after="0" w:line="21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We have revised the filing to state that accrued interest will not be paid if mandatory conversion of the debentures occurs (page 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Why are we engaging in the rights offering</w:t>
      </w:r>
    </w:p>
    <w:p>
      <w:pPr>
        <w:spacing w:after="0" w:line="225" w:lineRule="exact"/>
        <w:rPr>
          <w:sz w:val="20"/>
          <w:szCs w:val="20"/>
          <w:color w:val="auto"/>
        </w:rPr>
      </w:pPr>
    </w:p>
    <w:p>
      <w:pPr>
        <w:ind w:left="1160" w:right="480" w:hanging="571"/>
        <w:spacing w:after="0" w:line="612" w:lineRule="auto"/>
        <w:tabs>
          <w:tab w:leader="none" w:pos="11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Revise the answer to this question to explain more concisely why you are engaging in this offering. The current disclosure is confusing. </w:t>
      </w:r>
      <w:r>
        <w:rPr>
          <w:rFonts w:ascii="Arial" w:cs="Arial" w:eastAsia="Arial" w:hAnsi="Arial"/>
          <w:sz w:val="16"/>
          <w:szCs w:val="16"/>
          <w:color w:val="auto"/>
        </w:rPr>
        <w:t>We have revised the filing to explain more concisely why we are engaging in the rights offering (page 4).</w:t>
      </w:r>
    </w:p>
    <w:p>
      <w:pPr>
        <w:spacing w:after="0" w:line="7" w:lineRule="exact"/>
        <w:rPr>
          <w:rFonts w:ascii="Arial" w:cs="Arial" w:eastAsia="Arial" w:hAnsi="Arial"/>
          <w:sz w:val="16"/>
          <w:szCs w:val="16"/>
          <w:b w:val="1"/>
          <w:bCs w:val="1"/>
          <w:color w:val="auto"/>
        </w:rPr>
      </w:pPr>
    </w:p>
    <w:p>
      <w:pPr>
        <w:ind w:left="1160" w:hanging="571"/>
        <w:spacing w:after="0"/>
        <w:tabs>
          <w:tab w:leader="none" w:pos="116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disclosure in the penultimate sentence that you are raising the financing required by the credit facility amendment from Israel</w:t>
      </w:r>
    </w:p>
    <w:p>
      <w:pPr>
        <w:sectPr>
          <w:pgSz w:w="11900" w:h="16838" w:orient="portrait"/>
          <w:cols w:equalWidth="0" w:num="1">
            <w:col w:w="11420"/>
          </w:cols>
          <w:pgMar w:left="240" w:top="590" w:right="239" w:bottom="0" w:gutter="0" w:footer="0" w:header="0"/>
        </w:sectPr>
      </w:pPr>
    </w:p>
    <w:bookmarkStart w:id="48" w:name="page49"/>
    <w:bookmarkEnd w:id="48"/>
    <w:p>
      <w:pPr>
        <w:spacing w:after="0" w:line="42" w:lineRule="exact"/>
        <w:rPr>
          <w:sz w:val="20"/>
          <w:szCs w:val="20"/>
          <w:color w:val="auto"/>
        </w:rPr>
      </w:pPr>
    </w:p>
    <w:p>
      <w:pPr>
        <w:ind w:left="1160"/>
        <w:spacing w:after="0" w:line="323" w:lineRule="auto"/>
        <w:rPr>
          <w:sz w:val="20"/>
          <w:szCs w:val="20"/>
          <w:color w:val="auto"/>
        </w:rPr>
      </w:pPr>
      <w:r>
        <w:rPr>
          <w:rFonts w:ascii="Arial" w:cs="Arial" w:eastAsia="Arial" w:hAnsi="Arial"/>
          <w:sz w:val="15"/>
          <w:szCs w:val="15"/>
          <w:b w:val="1"/>
          <w:bCs w:val="1"/>
          <w:i w:val="1"/>
          <w:iCs w:val="1"/>
          <w:color w:val="auto"/>
        </w:rPr>
        <w:t>Corp. and SanDisk “through this rights offering in order to allow other shareholders to participate.” Please explain this in more detail since your cover page states that Israel and SanDisk are not receiving securities pursuant to this registered rights offering. Discuss supplementally the integration issues that arise with this transaction, which you appear to have structured as a combined public/private offering, and why you believe it is consistent with Section 5 of the 1933 Act, as we noted in our previous comment. We may have further comments.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have revised the disclosure to clarify the penultimate sentence of this paragraph (page 4).</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regard to the integration issues, please see our response to Comment 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do you transfer your rights</w:t>
      </w:r>
    </w:p>
    <w:p>
      <w:pPr>
        <w:spacing w:after="0" w:line="225" w:lineRule="exact"/>
        <w:rPr>
          <w:sz w:val="20"/>
          <w:szCs w:val="20"/>
          <w:color w:val="auto"/>
        </w:rPr>
      </w:pPr>
    </w:p>
    <w:p>
      <w:pPr>
        <w:ind w:left="1160" w:right="280" w:hanging="571"/>
        <w:spacing w:after="0" w:line="268" w:lineRule="auto"/>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Explain in more detail the very unusual one-day NASDAQ listing of the rights. Are you aware of other registered offerings that have done this?</w:t>
      </w:r>
    </w:p>
    <w:p>
      <w:pPr>
        <w:spacing w:after="0" w:line="212" w:lineRule="exact"/>
        <w:rPr>
          <w:rFonts w:ascii="Arial" w:cs="Arial" w:eastAsia="Arial" w:hAnsi="Arial"/>
          <w:sz w:val="18"/>
          <w:szCs w:val="18"/>
          <w:b w:val="1"/>
          <w:bCs w:val="1"/>
          <w:color w:val="auto"/>
        </w:rPr>
      </w:pPr>
    </w:p>
    <w:p>
      <w:pPr>
        <w:ind w:left="1160" w:right="10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As disclosed in Tower’s filing, it is anticipated that the rights offering will be conducted simultaneously on NASDAQ and the Tel Aviv Stock Exchange. The rules of the Tel Aviv Stock Exchange require that there be a one-day trading of the rights being issued in connection with a rights offering, two days prior to the expiration date of the rights. In an effort to afford Tower’s United States and Israeli shareholders with an equal opportunity to trade their rights, Tower intends to seek to list the rights for one-day trading on NASDAQ SmallCap Market. In connection with Tower’s rights offering in 2002, which was conducted simultaneously on NASDAQ and the Tel Aviv Stock Exchange, the rights were listed for trading on NASDAQ, although we understand that no bid or asked prices were ever quoted by any market makers and that there was no trading.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 you sell or give away your rights</w:t>
      </w:r>
    </w:p>
    <w:p>
      <w:pPr>
        <w:spacing w:after="0" w:line="225" w:lineRule="exact"/>
        <w:rPr>
          <w:sz w:val="20"/>
          <w:szCs w:val="20"/>
          <w:color w:val="auto"/>
        </w:rPr>
      </w:pPr>
    </w:p>
    <w:p>
      <w:pPr>
        <w:ind w:left="1160" w:right="100" w:hanging="571"/>
        <w:spacing w:after="0" w:line="298" w:lineRule="auto"/>
        <w:tabs>
          <w:tab w:leader="none" w:pos="11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Because there are no dates filled in, we are unable to determine the order in which these events will take place. For example, when will the trading day be relative to the expiration date? Revise the disclosure here to clearly explain the sequence of this offering. Also tell us how a new investor who purchases the unexercised rights on NASDAQ will have enough information to decide whether or not to exercise the right. We may have further comments when the disclosure is revised.</w:t>
      </w:r>
    </w:p>
    <w:p>
      <w:pPr>
        <w:spacing w:after="0" w:line="193" w:lineRule="exact"/>
        <w:rPr>
          <w:rFonts w:ascii="Arial" w:cs="Arial" w:eastAsia="Arial" w:hAnsi="Arial"/>
          <w:sz w:val="16"/>
          <w:szCs w:val="16"/>
          <w:b w:val="1"/>
          <w:bCs w:val="1"/>
          <w:color w:val="auto"/>
        </w:rPr>
      </w:pPr>
    </w:p>
    <w:p>
      <w:pPr>
        <w:ind w:left="1160" w:right="2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We have revised the disclosure in the filing to clearly explain the sequence of this rights offering (page 5). For the convenience of the Staff, the timeline is as follows:</w:t>
      </w:r>
    </w:p>
    <w:p>
      <w:pPr>
        <w:spacing w:after="0" w:line="212"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5"/>
          <w:szCs w:val="15"/>
          <w:color w:val="auto"/>
        </w:rPr>
        <w:t>Day 1: Effectiveness of registration statement</w:t>
      </w:r>
    </w:p>
    <w:p>
      <w:pPr>
        <w:spacing w:after="0" w:line="252"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5"/>
          <w:szCs w:val="15"/>
          <w:color w:val="auto"/>
        </w:rPr>
        <w:t>Day 2: Record Date</w:t>
      </w:r>
    </w:p>
    <w:p>
      <w:pPr>
        <w:spacing w:after="0" w:line="252"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color w:val="auto"/>
        </w:rPr>
        <w:t>Day 3: Ex-day</w:t>
      </w:r>
    </w:p>
    <w:p>
      <w:pPr>
        <w:spacing w:after="0" w:line="252"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6"/>
          <w:szCs w:val="16"/>
          <w:color w:val="auto"/>
        </w:rPr>
        <w:t>Day 21: Rights trading day</w:t>
      </w:r>
    </w:p>
    <w:p>
      <w:pPr>
        <w:spacing w:after="0" w:line="252"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5"/>
          <w:szCs w:val="15"/>
          <w:color w:val="auto"/>
        </w:rPr>
        <w:t>Day 23: Rights expiration date</w:t>
      </w:r>
    </w:p>
    <w:p>
      <w:pPr>
        <w:spacing w:after="0" w:line="252"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5"/>
          <w:szCs w:val="15"/>
          <w:color w:val="auto"/>
        </w:rPr>
        <w:t>Day 30: Debentures begin to trade</w:t>
      </w:r>
    </w:p>
    <w:p>
      <w:pPr>
        <w:spacing w:after="0" w:line="252" w:lineRule="exact"/>
        <w:rPr>
          <w:sz w:val="20"/>
          <w:szCs w:val="20"/>
          <w:color w:val="auto"/>
        </w:rPr>
      </w:pPr>
    </w:p>
    <w:p>
      <w:pPr>
        <w:ind w:left="1160" w:right="180"/>
        <w:spacing w:after="0" w:line="294" w:lineRule="auto"/>
        <w:rPr>
          <w:sz w:val="20"/>
          <w:szCs w:val="20"/>
          <w:color w:val="auto"/>
        </w:rPr>
      </w:pPr>
      <w:r>
        <w:rPr>
          <w:rFonts w:ascii="Arial" w:cs="Arial" w:eastAsia="Arial" w:hAnsi="Arial"/>
          <w:sz w:val="16"/>
          <w:szCs w:val="16"/>
          <w:color w:val="auto"/>
        </w:rPr>
        <w:t>The rights, the convertible debentures and the underlying ordinary shares will all be registered under the Securities Act and the Securities Exchange Act. Information regarding the terms of the securities to be purchased upon exercise of the rights will be publicly available for the 21 days prior to the rights trading day, through the website of the SEC, the website of the Tel Aviv Stock Exchange and the website of the Israel Securities Authority. In addition, the Company will issue a press release announcing that the prospectus has been declared effective. New investors will have access to the same information as do Tower’s shareholders.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are the federal income tax and Israeli income tax consequences</w:t>
      </w:r>
    </w:p>
    <w:p>
      <w:pPr>
        <w:spacing w:after="0" w:line="225" w:lineRule="exact"/>
        <w:rPr>
          <w:sz w:val="20"/>
          <w:szCs w:val="20"/>
          <w:color w:val="auto"/>
        </w:rPr>
      </w:pPr>
    </w:p>
    <w:p>
      <w:pPr>
        <w:ind w:left="1160" w:right="100" w:hanging="571"/>
        <w:spacing w:after="0" w:line="370" w:lineRule="auto"/>
        <w:tabs>
          <w:tab w:leader="none" w:pos="11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You state under this heading that rights received under employee share option plans “may be” taxable. However, on page 6, you disclose that the transfer and exercise of rights granted under the employee option plans “are” taxable. Please clarify your disclosure.</w:t>
      </w:r>
    </w:p>
    <w:p>
      <w:pPr>
        <w:spacing w:after="0" w:line="143" w:lineRule="exact"/>
        <w:rPr>
          <w:rFonts w:ascii="Arial" w:cs="Arial" w:eastAsia="Arial" w:hAnsi="Arial"/>
          <w:sz w:val="15"/>
          <w:szCs w:val="15"/>
          <w:b w:val="1"/>
          <w:bCs w:val="1"/>
          <w:color w:val="auto"/>
        </w:rPr>
      </w:pPr>
    </w:p>
    <w:p>
      <w:pPr>
        <w:ind w:left="1160" w:right="26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We have reconciled the disclosure by amending the disclosure regarding federal income tax and Israeli income tax consequences on the rights exercise to indicate that (i) the receipt of rights under our employee share option plans is not taxable in Israel, (ii) the sale and exercise of the rights received under our employee share option plans is taxable in Israel, and (iii) either the receipt of rights under our employee share option plans or the sale and exercise of rights received under our employee share option plans will be taxable in the U.S. (page 6).</w:t>
      </w:r>
    </w:p>
    <w:p>
      <w:pPr>
        <w:spacing w:after="0" w:line="193" w:lineRule="exact"/>
        <w:rPr>
          <w:rFonts w:ascii="Arial" w:cs="Arial" w:eastAsia="Arial" w:hAnsi="Arial"/>
          <w:sz w:val="15"/>
          <w:szCs w:val="15"/>
          <w:b w:val="1"/>
          <w:bCs w:val="1"/>
          <w:color w:val="auto"/>
        </w:rPr>
      </w:pPr>
    </w:p>
    <w:p>
      <w:pPr>
        <w:ind w:left="1160" w:right="340" w:hanging="571"/>
        <w:spacing w:after="0" w:line="259" w:lineRule="auto"/>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note you will need to file an opinion of counsel which describes the material federal income tax consequences as an exhibit. You should also revise the disclosure here and elsewhere in the prospectus to clearly describe counsel’s opinion regarding the material federal income tax consequences.</w:t>
      </w:r>
    </w:p>
    <w:p>
      <w:pPr>
        <w:spacing w:after="0" w:line="221" w:lineRule="exact"/>
        <w:rPr>
          <w:rFonts w:ascii="Arial" w:cs="Arial" w:eastAsia="Arial" w:hAnsi="Arial"/>
          <w:sz w:val="18"/>
          <w:szCs w:val="18"/>
          <w:b w:val="1"/>
          <w:bCs w:val="1"/>
          <w:color w:val="auto"/>
        </w:rPr>
      </w:pPr>
    </w:p>
    <w:p>
      <w:pPr>
        <w:ind w:left="1160" w:right="10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We have revised the filing to clearly describe counsel’s opinion of the material federal income tax consequences of exercising the rights (pages 6 and 48). In addition, we will file by amendment as an exhibit to the registration statement an opinion of counsel which expresses such counsel’s</w:t>
      </w:r>
    </w:p>
    <w:p>
      <w:pPr>
        <w:sectPr>
          <w:pgSz w:w="11900" w:h="16881" w:orient="portrait"/>
          <w:cols w:equalWidth="0" w:num="1">
            <w:col w:w="11420"/>
          </w:cols>
          <w:pgMar w:left="240" w:top="131" w:right="239" w:bottom="0" w:gutter="0" w:footer="0" w:header="0"/>
        </w:sectPr>
      </w:pPr>
    </w:p>
    <w:bookmarkStart w:id="49" w:name="page50"/>
    <w:bookmarkEnd w:id="49"/>
    <w:p>
      <w:pPr>
        <w:ind w:left="1160" w:right="120"/>
        <w:spacing w:after="0" w:line="268" w:lineRule="auto"/>
        <w:rPr>
          <w:sz w:val="20"/>
          <w:szCs w:val="20"/>
          <w:color w:val="auto"/>
        </w:rPr>
      </w:pPr>
      <w:r>
        <w:rPr>
          <w:rFonts w:ascii="Arial" w:cs="Arial" w:eastAsia="Arial" w:hAnsi="Arial"/>
          <w:sz w:val="18"/>
          <w:szCs w:val="18"/>
          <w:color w:val="auto"/>
        </w:rPr>
        <w:t>opinion on the disclosure of the federal income tax consequences. We have supplementally provided the form of such opinion to the Staff for its review.</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happens if you choose not to exercise your rights</w:t>
      </w:r>
    </w:p>
    <w:p>
      <w:pPr>
        <w:spacing w:after="0" w:line="225" w:lineRule="exact"/>
        <w:rPr>
          <w:sz w:val="20"/>
          <w:szCs w:val="20"/>
          <w:color w:val="auto"/>
        </w:rPr>
      </w:pPr>
    </w:p>
    <w:p>
      <w:pPr>
        <w:ind w:left="1160" w:right="180" w:hanging="571"/>
        <w:spacing w:after="0" w:line="259" w:lineRule="auto"/>
        <w:tabs>
          <w:tab w:leader="none" w:pos="11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Expand to disclose the extent to which current shareholders will be diluted, assuming all rights are exercised and all debentures are converted. Also disclose the percentage of shares SanDisk, Alliance, and Israel Corp. will hold if they convert their debentures and whether they have expressed their intent to do so.</w:t>
      </w:r>
    </w:p>
    <w:p>
      <w:pPr>
        <w:spacing w:after="0" w:line="221" w:lineRule="exact"/>
        <w:rPr>
          <w:rFonts w:ascii="Arial" w:cs="Arial" w:eastAsia="Arial" w:hAnsi="Arial"/>
          <w:sz w:val="18"/>
          <w:szCs w:val="18"/>
          <w:b w:val="1"/>
          <w:bCs w:val="1"/>
          <w:color w:val="auto"/>
        </w:rPr>
      </w:pPr>
    </w:p>
    <w:p>
      <w:pPr>
        <w:ind w:left="11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If all of the rights are exercised, and all of the convertible debentures purchased are converted into our ordinary shares, none of our shareholders will experience dilution (other than to the extent that eligible employees exercise their rights). We have therefore revised the disclosure to disclose the dilutive effect of the exercise of rights and conversion of debentures by our four major shareholders that committed to exercise rights–Israel Corp., SanDisk Corporation, Alliance Semiconductor Corporation and Macronix International Co. Ltd. We have further revised the disclosure to note that none of these shareholders have expressed any intention to convert their debentures (page 6).</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Affecting Our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the amendment to our credit facility</w:t>
      </w:r>
    </w:p>
    <w:p>
      <w:pPr>
        <w:spacing w:after="0" w:line="225" w:lineRule="exact"/>
        <w:rPr>
          <w:sz w:val="20"/>
          <w:szCs w:val="20"/>
          <w:color w:val="auto"/>
        </w:rPr>
      </w:pPr>
    </w:p>
    <w:p>
      <w:pPr>
        <w:ind w:left="1160" w:hanging="571"/>
        <w:spacing w:after="0" w:line="294" w:lineRule="auto"/>
        <w:tabs>
          <w:tab w:leader="none" w:pos="116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the reference to “other things” for which the amendment provides. Please describe all material terms of the amendment. Describe the “certain financial ratios and covenants” to which you refer and any material risk to your satisfying the amended terms with regard to them. Revise the narrative to explain any known impediments to the consummation of the amendment to your credit facility agreement. The revised narrative should also state the date by which the amendment must be consummated to avoid the threat to your operations. Include a reference to more detailed disclosure of the amended credit facility elsewhere in the prospectus.</w:t>
      </w:r>
    </w:p>
    <w:p>
      <w:pPr>
        <w:spacing w:after="0" w:line="196" w:lineRule="exact"/>
        <w:rPr>
          <w:rFonts w:ascii="Arial" w:cs="Arial" w:eastAsia="Arial" w:hAnsi="Arial"/>
          <w:sz w:val="16"/>
          <w:szCs w:val="16"/>
          <w:b w:val="1"/>
          <w:bCs w:val="1"/>
          <w:color w:val="auto"/>
        </w:rPr>
      </w:pPr>
    </w:p>
    <w:p>
      <w:pPr>
        <w:jc w:val="both"/>
        <w:ind w:left="1160" w:right="4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We have added a section entitled “Recent Developments” to clarify the terms of the amendment to Tower’s facility agreement, including the financial ratios and covenants (page 8). We have conformed the risk factor relating to Tower’s facility agreement in light of this new section (page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we do not meet conditions to receive the Israeli government grants</w:t>
      </w:r>
    </w:p>
    <w:p>
      <w:pPr>
        <w:spacing w:after="0" w:line="225" w:lineRule="exact"/>
        <w:rPr>
          <w:sz w:val="20"/>
          <w:szCs w:val="20"/>
          <w:color w:val="auto"/>
        </w:rPr>
      </w:pPr>
    </w:p>
    <w:p>
      <w:pPr>
        <w:jc w:val="both"/>
        <w:ind w:left="1160" w:right="240" w:hanging="571"/>
        <w:spacing w:after="0" w:line="298" w:lineRule="auto"/>
        <w:tabs>
          <w:tab w:leader="none" w:pos="11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Explain the specific reasons for which you do not expect to satisfy the requirement that you complete your Fab 2 investment. Give the time frame by which you will learn whether the Investment Center will approve your new expansion program. Describe concretely the “adverse effect on [your] operations” as referenced in the last sentence. Describe any external political, economic or other considerations that may impact your receipt of grants and benefits from the Israeli government.</w:t>
      </w:r>
    </w:p>
    <w:p>
      <w:pPr>
        <w:spacing w:after="0" w:line="193" w:lineRule="exact"/>
        <w:rPr>
          <w:rFonts w:ascii="Arial" w:cs="Arial" w:eastAsia="Arial" w:hAnsi="Arial"/>
          <w:sz w:val="16"/>
          <w:szCs w:val="16"/>
          <w:b w:val="1"/>
          <w:bCs w:val="1"/>
          <w:color w:val="auto"/>
        </w:rPr>
      </w:pPr>
    </w:p>
    <w:p>
      <w:pPr>
        <w:ind w:left="1160" w:right="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We have revised the filing to explain the specific reasons that Tower does not expect to satisfy the requirement that it complete its Fab 2 investments by the end of 2005, including the time frame in which Tower expects to learn whether the Investment Center will approve its request for a new expansion program. We also provided a concrete description of the “adverse effect on our operations” as referenced in the last sentence (page 10). We have no basis to measure the extent of any potential external political or economic considerations that may impact, whether positively or negatively, receipt of grants and benefits from the Israeli government in connection with our Fab 2 grants, and believe that any speculation to such effect would be misleading.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we are considered to be a passive foreign investment company</w:t>
      </w:r>
    </w:p>
    <w:p>
      <w:pPr>
        <w:spacing w:after="0" w:line="225" w:lineRule="exact"/>
        <w:rPr>
          <w:sz w:val="20"/>
          <w:szCs w:val="20"/>
          <w:color w:val="auto"/>
        </w:rPr>
      </w:pPr>
    </w:p>
    <w:p>
      <w:pPr>
        <w:ind w:left="1160" w:right="280" w:hanging="571"/>
        <w:spacing w:after="0" w:line="268" w:lineRule="auto"/>
        <w:tabs>
          <w:tab w:leader="none" w:pos="11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State whether you have been found to be a PFIC in past years or other reasons why you believe there to be a material risk that you may be found to be a PFIC presently or in the future.</w:t>
      </w:r>
    </w:p>
    <w:p>
      <w:pPr>
        <w:spacing w:after="0" w:line="212" w:lineRule="exact"/>
        <w:rPr>
          <w:rFonts w:ascii="Arial" w:cs="Arial" w:eastAsia="Arial" w:hAnsi="Arial"/>
          <w:sz w:val="18"/>
          <w:szCs w:val="18"/>
          <w:b w:val="1"/>
          <w:bCs w:val="1"/>
          <w:color w:val="auto"/>
        </w:rPr>
      </w:pPr>
    </w:p>
    <w:p>
      <w:pPr>
        <w:ind w:left="11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Tower has not been found to be a PFIC in prior years. However, for the reasons set forth in the referenced disclosure and in the later disclosure of federal tax consequences, the tests for determining PFIC status are not clear. Tower’s belief that it is not a PFIC is supported by a private letter ruling, but such ruling is not binding on the IRS. While we do not believe that it is likely that the IRS would take a different position with respect to us, there is no assurance that it will not. In addition, the PFIC test is an annual one and our circumstances in the future may change. We have therefore provided the referenced disclosure and the additional disclosure under United States Tax Considerations.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This Rights Offering on Our Convertible Securities</w:t>
      </w:r>
    </w:p>
    <w:p>
      <w:pPr>
        <w:spacing w:after="0" w:line="231" w:lineRule="exact"/>
        <w:rPr>
          <w:sz w:val="20"/>
          <w:szCs w:val="20"/>
          <w:color w:val="auto"/>
        </w:rPr>
      </w:pPr>
    </w:p>
    <w:p>
      <w:pPr>
        <w:ind w:left="1160" w:right="120" w:hanging="571"/>
        <w:spacing w:after="0" w:line="332" w:lineRule="auto"/>
        <w:tabs>
          <w:tab w:leader="none" w:pos="11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disclose the approximate number of shares that will be sold to employees assuming all rights offered pursuant to the Employee Share Option Plans are exercised and all debentures issued in the rights offering are converted into your ordinary shares.</w:t>
      </w:r>
    </w:p>
    <w:p>
      <w:pPr>
        <w:spacing w:after="0" w:line="166" w:lineRule="exact"/>
        <w:rPr>
          <w:rFonts w:ascii="Arial" w:cs="Arial" w:eastAsia="Arial" w:hAnsi="Arial"/>
          <w:sz w:val="16"/>
          <w:szCs w:val="16"/>
          <w:b w:val="1"/>
          <w:bCs w:val="1"/>
          <w:color w:val="auto"/>
        </w:rPr>
      </w:pPr>
    </w:p>
    <w:p>
      <w:pPr>
        <w:ind w:left="1160" w:right="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We have revised the filing to disclose the number of shares that will be sold to Tower eligible employees assuming all rights offered pursuant to Tower’s Employee Share Option Plans under this rights offering are exercised and all underlying debentures are converted into Tower’s ordinary shares (page 26).</w:t>
      </w:r>
    </w:p>
    <w:p>
      <w:pPr>
        <w:sectPr>
          <w:pgSz w:w="11900" w:h="16838" w:orient="portrait"/>
          <w:cols w:equalWidth="0" w:num="1">
            <w:col w:w="11400"/>
          </w:cols>
          <w:pgMar w:left="240" w:top="131" w:right="259" w:bottom="0" w:gutter="0" w:footer="0" w:header="0"/>
        </w:sectPr>
      </w:pPr>
    </w:p>
    <w:bookmarkStart w:id="50" w:name="page51"/>
    <w:bookmarkEnd w:id="50"/>
    <w:p>
      <w:pPr>
        <w:spacing w:after="0" w:line="15" w:lineRule="exact"/>
        <w:rPr>
          <w:sz w:val="20"/>
          <w:szCs w:val="20"/>
          <w:color w:val="auto"/>
        </w:rPr>
      </w:pPr>
    </w:p>
    <w:p>
      <w:pPr>
        <w:ind w:left="1160" w:right="80" w:hanging="571"/>
        <w:spacing w:after="0" w:line="259" w:lineRule="auto"/>
        <w:tabs>
          <w:tab w:leader="none" w:pos="11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explain in greater detail the calculation of the “economic benefit” component of your employee share options, convertible debentures and Series 1 Options and how the share conversion will be adjusted to reflect this benefit. We refer you to your disclosure in the last paragraph on page 25 and the first full paragraph on page 26.</w:t>
      </w:r>
    </w:p>
    <w:p>
      <w:pPr>
        <w:spacing w:after="0" w:line="221" w:lineRule="exact"/>
        <w:rPr>
          <w:rFonts w:ascii="Arial" w:cs="Arial" w:eastAsia="Arial" w:hAnsi="Arial"/>
          <w:sz w:val="18"/>
          <w:szCs w:val="18"/>
          <w:b w:val="1"/>
          <w:bCs w:val="1"/>
          <w:color w:val="auto"/>
        </w:rPr>
      </w:pPr>
    </w:p>
    <w:p>
      <w:pPr>
        <w:ind w:left="11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revised the filing to include a more detailed explanation regarding the calculation of the “economic benefit” component of Tower’s employee share options, convertible debentures and Series 1 Options and how the share conversion will be adjusted to reflect this benefit (page 27).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Rights Offering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Recommendation to Rights Holders</w:t>
      </w:r>
    </w:p>
    <w:p>
      <w:pPr>
        <w:spacing w:after="0" w:line="225" w:lineRule="exact"/>
        <w:rPr>
          <w:sz w:val="20"/>
          <w:szCs w:val="20"/>
          <w:color w:val="auto"/>
        </w:rPr>
      </w:pPr>
    </w:p>
    <w:p>
      <w:pPr>
        <w:ind w:left="1160" w:right="220" w:hanging="571"/>
        <w:spacing w:after="0" w:line="256" w:lineRule="auto"/>
        <w:tabs>
          <w:tab w:leader="none" w:pos="11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the aggregate percentage of your outstanding common stock currently held by your officers and directors, and quantify the approximate number of shares that will be sold to these parties assuming all rights are exercised and all debentures issued in the rights offering are converted into your ordinary shares. Please include options granted to your executive officers and directors that entitle their holders to receive rights in this offering.</w:t>
      </w:r>
    </w:p>
    <w:p>
      <w:pPr>
        <w:spacing w:after="0" w:line="224" w:lineRule="exact"/>
        <w:rPr>
          <w:rFonts w:ascii="Arial" w:cs="Arial" w:eastAsia="Arial" w:hAnsi="Arial"/>
          <w:sz w:val="18"/>
          <w:szCs w:val="18"/>
          <w:b w:val="1"/>
          <w:bCs w:val="1"/>
          <w:color w:val="auto"/>
        </w:rPr>
      </w:pPr>
    </w:p>
    <w:p>
      <w:pPr>
        <w:ind w:left="1160" w:right="3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We have revised the prospectus to disclose the aggregate percentage of Tower’s outstanding ordinary shares currently held by its officers and directors, and have quantified the approximate number of shares that will be sold to these parties assuming all rights are exercised and the underlying debentures are converted into Tower’s ordinary shares, including options granted to Tower’s executive officers and directors that entitle their holders to receive rights in this offering (page 29).</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340" w:hanging="571"/>
        <w:spacing w:after="0" w:line="332" w:lineRule="auto"/>
        <w:tabs>
          <w:tab w:leader="none" w:pos="11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disclosure that you, in your sole discretion, may waive any defect or irregularity regarding the exercise of the rights. Please disclose the factors you may consider in determining whether to waive any such defect or irregularity.</w:t>
      </w:r>
    </w:p>
    <w:p>
      <w:pPr>
        <w:spacing w:after="0" w:line="166" w:lineRule="exact"/>
        <w:rPr>
          <w:rFonts w:ascii="Arial" w:cs="Arial" w:eastAsia="Arial" w:hAnsi="Arial"/>
          <w:sz w:val="16"/>
          <w:szCs w:val="16"/>
          <w:b w:val="1"/>
          <w:bCs w:val="1"/>
          <w:color w:val="auto"/>
        </w:rPr>
      </w:pPr>
    </w:p>
    <w:p>
      <w:pPr>
        <w:ind w:left="1160" w:right="2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We have revised the filing to disclose that Tower will consider the materiality of the defect or irregularity in determining whether to waive any such defect or irregularity regarding the exercise of the rights (page 30).</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Exercise of Rights for Record Holders</w:t>
      </w:r>
    </w:p>
    <w:p>
      <w:pPr>
        <w:spacing w:after="0" w:line="225" w:lineRule="exact"/>
        <w:rPr>
          <w:sz w:val="20"/>
          <w:szCs w:val="20"/>
          <w:color w:val="auto"/>
        </w:rPr>
      </w:pPr>
    </w:p>
    <w:p>
      <w:pPr>
        <w:ind w:left="1160" w:hanging="571"/>
        <w:spacing w:after="0"/>
        <w:tabs>
          <w:tab w:leader="none" w:pos="11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State, if true, that the rights offering will not be extended beyond the subscription period.</w:t>
      </w:r>
    </w:p>
    <w:p>
      <w:pPr>
        <w:spacing w:after="0" w:line="25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We have revised the disclosure to state that the rights offering will not be extended beyond the subscription period (page 30).</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Income Tax Considerations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 Tax Considerations</w:t>
      </w:r>
    </w:p>
    <w:p>
      <w:pPr>
        <w:spacing w:after="0" w:line="225" w:lineRule="exact"/>
        <w:rPr>
          <w:sz w:val="20"/>
          <w:szCs w:val="20"/>
          <w:color w:val="auto"/>
        </w:rPr>
      </w:pPr>
    </w:p>
    <w:p>
      <w:pPr>
        <w:jc w:val="both"/>
        <w:ind w:left="1160" w:right="400" w:hanging="571"/>
        <w:spacing w:after="0" w:line="306" w:lineRule="auto"/>
        <w:tabs>
          <w:tab w:leader="none" w:pos="116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file a tax opinion as an exhibit, and revise the disclosure to describe counsel’s opinion regarding the material federal income tax consequences. Counsel should clearly opine on each material issue. If counsel is unable to opine on any issue, so state, and explain why counsel cannot opine. We may have further comments after the disclosure is revised.</w:t>
      </w:r>
    </w:p>
    <w:p>
      <w:pPr>
        <w:spacing w:after="0" w:line="187" w:lineRule="exact"/>
        <w:rPr>
          <w:rFonts w:ascii="Arial" w:cs="Arial" w:eastAsia="Arial" w:hAnsi="Arial"/>
          <w:sz w:val="16"/>
          <w:szCs w:val="16"/>
          <w:b w:val="1"/>
          <w:bCs w:val="1"/>
          <w:color w:val="auto"/>
        </w:rPr>
      </w:pPr>
    </w:p>
    <w:p>
      <w:pPr>
        <w:ind w:left="1160"/>
        <w:spacing w:after="0"/>
        <w:rPr>
          <w:rFonts w:ascii="Arial" w:cs="Arial" w:eastAsia="Arial" w:hAnsi="Arial"/>
          <w:sz w:val="16"/>
          <w:szCs w:val="16"/>
          <w:b w:val="1"/>
          <w:bCs w:val="1"/>
          <w:color w:val="auto"/>
        </w:rPr>
      </w:pPr>
      <w:r>
        <w:rPr>
          <w:rFonts w:ascii="Arial" w:cs="Arial" w:eastAsia="Arial" w:hAnsi="Arial"/>
          <w:sz w:val="18"/>
          <w:szCs w:val="18"/>
          <w:color w:val="auto"/>
        </w:rPr>
        <w:t>The disclosure has been revised to describe the opinion (page 48), and the opinion will be filed as an exhibit.</w:t>
      </w:r>
    </w:p>
    <w:p>
      <w:pPr>
        <w:spacing w:after="0" w:line="279" w:lineRule="exact"/>
        <w:rPr>
          <w:rFonts w:ascii="Arial" w:cs="Arial" w:eastAsia="Arial" w:hAnsi="Arial"/>
          <w:sz w:val="16"/>
          <w:szCs w:val="16"/>
          <w:b w:val="1"/>
          <w:bCs w:val="1"/>
          <w:color w:val="auto"/>
        </w:rPr>
      </w:pPr>
    </w:p>
    <w:p>
      <w:pPr>
        <w:ind w:left="1160" w:right="40" w:hanging="571"/>
        <w:spacing w:after="0" w:line="268" w:lineRule="auto"/>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Remove the ‘‘No Reliance” bold paragraph on page 47, or explain why you believe it is appropriate to include it. What is the second sentence supposed to mean?</w:t>
      </w:r>
    </w:p>
    <w:p>
      <w:pPr>
        <w:spacing w:after="0" w:line="212" w:lineRule="exact"/>
        <w:rPr>
          <w:rFonts w:ascii="Arial" w:cs="Arial" w:eastAsia="Arial" w:hAnsi="Arial"/>
          <w:sz w:val="18"/>
          <w:szCs w:val="18"/>
          <w:b w:val="1"/>
          <w:bCs w:val="1"/>
          <w:color w:val="auto"/>
        </w:rPr>
      </w:pPr>
    </w:p>
    <w:p>
      <w:pPr>
        <w:ind w:left="1160" w:right="8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paragraph has been removed. For the Staff’s information, we note the qualification in the second sentence was intended to track language in the Treasury Department’s recently-issued Circular 230 which governs the rendering of tax opinions and advice. Counsel which will render the opinion does not currently believe that the qualification is required in connection with the disclosures included in a filed registration statement.</w:t>
      </w:r>
    </w:p>
    <w:p>
      <w:pPr>
        <w:spacing w:after="0" w:line="169" w:lineRule="exact"/>
        <w:rPr>
          <w:rFonts w:ascii="Arial" w:cs="Arial" w:eastAsia="Arial" w:hAnsi="Arial"/>
          <w:sz w:val="18"/>
          <w:szCs w:val="18"/>
          <w:b w:val="1"/>
          <w:bCs w:val="1"/>
          <w:color w:val="auto"/>
        </w:rPr>
      </w:pPr>
    </w:p>
    <w:p>
      <w:pPr>
        <w:ind w:left="1160" w:hanging="571"/>
        <w:spacing w:after="0" w:line="268" w:lineRule="auto"/>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statement at the bottom of page 47 that you expect the fair market value of the rights to be zero. How is this consistent with your intent to list unexercised rights on NASDAQ to give holders a chance to sell them?</w:t>
      </w:r>
    </w:p>
    <w:p>
      <w:pPr>
        <w:spacing w:after="0" w:line="212" w:lineRule="exact"/>
        <w:rPr>
          <w:rFonts w:ascii="Arial" w:cs="Arial" w:eastAsia="Arial" w:hAnsi="Arial"/>
          <w:sz w:val="18"/>
          <w:szCs w:val="18"/>
          <w:b w:val="1"/>
          <w:bCs w:val="1"/>
          <w:color w:val="auto"/>
        </w:rPr>
      </w:pPr>
    </w:p>
    <w:p>
      <w:pPr>
        <w:ind w:left="1160" w:right="1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We have revised the statement to reflect our belief that the fair market value of the rights will be nominal and that it is unlikely to exceed the holder’s tax basis in the ordinary shares (page 49). We intend to list the rights for trading on NASDAQ because, as required by Israeli law, they will be listed on the Tel Aviv Stock Exchange. We do not know whether the rights will actually trade.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Experts</w:t>
      </w:r>
    </w:p>
    <w:p>
      <w:pPr>
        <w:spacing w:after="0" w:line="225" w:lineRule="exact"/>
        <w:rPr>
          <w:sz w:val="20"/>
          <w:szCs w:val="20"/>
          <w:color w:val="auto"/>
        </w:rPr>
      </w:pPr>
    </w:p>
    <w:p>
      <w:pPr>
        <w:ind w:left="1160" w:right="100" w:hanging="571"/>
        <w:spacing w:after="0" w:line="370" w:lineRule="auto"/>
        <w:tabs>
          <w:tab w:leader="none" w:pos="116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reference to the limited procedures performed in accordance with those prescribed by the Institute of Certified Public Accountants in Israel by Brightman A1magor &amp; Co. for the interim financial statements for the periods ended March 31, 2004 and 2005. In</w:t>
      </w:r>
    </w:p>
    <w:p>
      <w:pPr>
        <w:sectPr>
          <w:pgSz w:w="11900" w:h="16854" w:orient="portrait"/>
          <w:cols w:equalWidth="0" w:num="1">
            <w:col w:w="11380"/>
          </w:cols>
          <w:pgMar w:left="240" w:top="131" w:right="279" w:bottom="0" w:gutter="0" w:footer="0" w:header="0"/>
        </w:sectPr>
      </w:pPr>
    </w:p>
    <w:bookmarkStart w:id="51" w:name="page52"/>
    <w:bookmarkEnd w:id="51"/>
    <w:p>
      <w:pPr>
        <w:spacing w:after="0" w:line="44" w:lineRule="exact"/>
        <w:rPr>
          <w:sz w:val="20"/>
          <w:szCs w:val="20"/>
          <w:color w:val="auto"/>
        </w:rPr>
      </w:pPr>
    </w:p>
    <w:p>
      <w:pPr>
        <w:ind w:left="1160"/>
        <w:spacing w:after="0" w:line="294" w:lineRule="auto"/>
        <w:rPr>
          <w:sz w:val="20"/>
          <w:szCs w:val="20"/>
          <w:color w:val="auto"/>
        </w:rPr>
      </w:pPr>
      <w:r>
        <w:rPr>
          <w:rFonts w:ascii="Arial" w:cs="Arial" w:eastAsia="Arial" w:hAnsi="Arial"/>
          <w:sz w:val="16"/>
          <w:szCs w:val="16"/>
          <w:b w:val="1"/>
          <w:bCs w:val="1"/>
          <w:i w:val="1"/>
          <w:iCs w:val="1"/>
          <w:color w:val="auto"/>
        </w:rPr>
        <w:t>Exhibit 15.1, the letter from Brightman A1magor &amp; Co. also refers to these periods. We note that you incorporate by reference your Form 6-K filed on May 26, 2005. That Form 6-K includes the review report of Brightman Almagor &amp; Co. dated May 26, 2005 for the March 31, 2005 financial statements, but not the review report dated April 28, 2004 on the March 31, 2004 financial statements. If you continue to include these references, please also include, or incorporate by reference, each of the review reports. Please also refer to our comment below with respect to your presentation of Israeli GAAS review reports.</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Please see our response to Comment 37.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Where You Can Find More Information; Incorporation of Information by Reference</w:t>
      </w:r>
    </w:p>
    <w:p>
      <w:pPr>
        <w:spacing w:after="0" w:line="225" w:lineRule="exact"/>
        <w:rPr>
          <w:sz w:val="20"/>
          <w:szCs w:val="20"/>
          <w:color w:val="auto"/>
        </w:rPr>
      </w:pPr>
    </w:p>
    <w:p>
      <w:pPr>
        <w:ind w:left="1160" w:right="4000" w:hanging="571"/>
        <w:spacing w:after="0" w:line="550" w:lineRule="auto"/>
        <w:tabs>
          <w:tab w:leader="none" w:pos="11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Please correct the reference to a Form 6-K filed on July 24, 2005 at the top of page 57. </w:t>
      </w:r>
      <w:r>
        <w:rPr>
          <w:rFonts w:ascii="Arial" w:cs="Arial" w:eastAsia="Arial" w:hAnsi="Arial"/>
          <w:sz w:val="18"/>
          <w:szCs w:val="18"/>
          <w:color w:val="auto"/>
        </w:rPr>
        <w:t>We have deleted the reference (page 58).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1160" w:right="240" w:hanging="571"/>
        <w:spacing w:after="0" w:line="550" w:lineRule="auto"/>
        <w:tabs>
          <w:tab w:leader="none" w:pos="11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Note that when you file all exhibits relating to this transaction, we may have further comments after we have had a chance to review them. </w:t>
      </w:r>
      <w:r>
        <w:rPr>
          <w:rFonts w:ascii="Arial" w:cs="Arial" w:eastAsia="Arial" w:hAnsi="Arial"/>
          <w:sz w:val="18"/>
          <w:szCs w:val="18"/>
          <w:color w:val="auto"/>
        </w:rPr>
        <w:t>We note the Staff’s comment.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Year Ended December 31, 2004</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Controls and Procedures</w:t>
      </w:r>
    </w:p>
    <w:p>
      <w:pPr>
        <w:spacing w:after="0" w:line="225" w:lineRule="exact"/>
        <w:rPr>
          <w:sz w:val="20"/>
          <w:szCs w:val="20"/>
          <w:color w:val="auto"/>
        </w:rPr>
      </w:pPr>
    </w:p>
    <w:p>
      <w:pPr>
        <w:ind w:left="1160" w:right="40" w:hanging="571"/>
        <w:spacing w:after="0" w:line="335" w:lineRule="auto"/>
        <w:tabs>
          <w:tab w:leader="none" w:pos="116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Under Item 15(a) of Form 20-F, your officers should disclose their conclusions regarding the effectiveness of your disclosure controls and procedures (as defined in Rules 13a-15(e) or 15d-15(e)) as of the end of the period covered by the report. Please give us your conclusion as of that date and based upon the applicable definition and provide the conclusion required by Item 15(a) of Form 20-F in future filings.</w:t>
      </w:r>
    </w:p>
    <w:p>
      <w:pPr>
        <w:spacing w:after="0" w:line="169" w:lineRule="exact"/>
        <w:rPr>
          <w:rFonts w:ascii="Arial" w:cs="Arial" w:eastAsia="Arial" w:hAnsi="Arial"/>
          <w:sz w:val="15"/>
          <w:szCs w:val="15"/>
          <w:b w:val="1"/>
          <w:bCs w:val="1"/>
          <w:color w:val="auto"/>
        </w:rPr>
      </w:pPr>
    </w:p>
    <w:p>
      <w:pPr>
        <w:ind w:left="1160" w:right="54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As disclosed in our Form 20-F filed with the SEC on June 29, 2005, as of December 31, 2004, our chief executive officer and acting chief financial officer concluded that our disclosure controls and procedures were effective.</w:t>
      </w:r>
    </w:p>
    <w:p>
      <w:pPr>
        <w:spacing w:after="0" w:line="212"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8"/>
          <w:szCs w:val="18"/>
          <w:color w:val="auto"/>
        </w:rPr>
        <w:t>We shall provide the conclusion required by Item 15(a) of Form 20-F in future filings.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140" w:hanging="571"/>
        <w:spacing w:after="0" w:line="318" w:lineRule="auto"/>
        <w:tabs>
          <w:tab w:leader="none" w:pos="1160"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provide, and include in future filings, the disclosures required by Item 15(d) of Form 20-F. Please note that the disclosure relates to any changes in your internal control over financial reporting identified in connection with the evaluation required by paragraph (d) of Rule 13a-15 or 15d-15 that occurred during the period covered by the annual report that has materially affected, or is reasonably likely to materially affect, your internal control over financial reporting. Your current disclosure appears to only address significant changes in disclosure controls that could significantly affect those controls subsequent to the date of your evaluation.</w:t>
      </w:r>
    </w:p>
    <w:p>
      <w:pPr>
        <w:spacing w:after="0" w:line="180"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6"/>
          <w:szCs w:val="16"/>
          <w:color w:val="auto"/>
        </w:rPr>
        <w:t>There were no changes in our internal control over financial reporting identified in connection with the evaluation performed pursuant to Rule</w:t>
      </w:r>
    </w:p>
    <w:p>
      <w:pPr>
        <w:spacing w:after="0" w:line="38" w:lineRule="exact"/>
        <w:rPr>
          <w:rFonts w:ascii="Arial" w:cs="Arial" w:eastAsia="Arial" w:hAnsi="Arial"/>
          <w:sz w:val="15"/>
          <w:szCs w:val="15"/>
          <w:b w:val="1"/>
          <w:bCs w:val="1"/>
          <w:color w:val="auto"/>
        </w:rPr>
      </w:pPr>
    </w:p>
    <w:p>
      <w:pPr>
        <w:ind w:left="1160"/>
        <w:spacing w:after="0" w:line="323" w:lineRule="auto"/>
        <w:rPr>
          <w:rFonts w:ascii="Arial" w:cs="Arial" w:eastAsia="Arial" w:hAnsi="Arial"/>
          <w:sz w:val="15"/>
          <w:szCs w:val="15"/>
          <w:b w:val="1"/>
          <w:bCs w:val="1"/>
          <w:color w:val="auto"/>
        </w:rPr>
      </w:pPr>
      <w:r>
        <w:rPr>
          <w:rFonts w:ascii="Arial" w:cs="Arial" w:eastAsia="Arial" w:hAnsi="Arial"/>
          <w:sz w:val="16"/>
          <w:szCs w:val="16"/>
          <w:color w:val="auto"/>
        </w:rPr>
        <w:t>13a-15(d) that occurred during the fiscal year ending December 31, 2004 that materially affected, or are reasonably likely to materially affect, our internal control over financial reporting. We will include the disclosures required by Item 15(d) of Form 20-F in future filings.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jc w:val="both"/>
        <w:ind w:left="1160" w:right="20" w:hanging="571"/>
        <w:spacing w:after="0" w:line="259" w:lineRule="auto"/>
        <w:tabs>
          <w:tab w:leader="none" w:pos="11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why the audit opinion refers only to a U.S. GAAP reconciliation with respect to your financial position and results of operations for the period presented and does not include your statements of cash flows. Please explain how you complied with Item 17(c)(2)(iii) of Form 20-F.</w:t>
      </w:r>
    </w:p>
    <w:p>
      <w:pPr>
        <w:spacing w:after="0" w:line="221" w:lineRule="exact"/>
        <w:rPr>
          <w:rFonts w:ascii="Arial" w:cs="Arial" w:eastAsia="Arial" w:hAnsi="Arial"/>
          <w:sz w:val="18"/>
          <w:szCs w:val="18"/>
          <w:b w:val="1"/>
          <w:bCs w:val="1"/>
          <w:color w:val="auto"/>
        </w:rPr>
      </w:pPr>
    </w:p>
    <w:p>
      <w:pPr>
        <w:ind w:left="11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accordance with item 17(c)(2)(iii) of Form 20-F, the Company elected to disclose material GAAP differences in connection with the cash flow statements. Since no material differences between Israeli GAAP and U.S. GAAP related to the Company’s cash flow statements for all periods presented were identified, there were none disclosed. Therefore, the Company’s auditors did not address GAAP differences related to the Company’s cash flow statements in the explanatory paragraph of their report of independent registered public accounting firm.</w:t>
      </w:r>
    </w:p>
    <w:p>
      <w:pPr>
        <w:spacing w:after="0" w:line="193" w:lineRule="exact"/>
        <w:rPr>
          <w:rFonts w:ascii="Arial" w:cs="Arial" w:eastAsia="Arial" w:hAnsi="Arial"/>
          <w:sz w:val="18"/>
          <w:szCs w:val="18"/>
          <w:b w:val="1"/>
          <w:bCs w:val="1"/>
          <w:color w:val="auto"/>
        </w:rPr>
      </w:pPr>
    </w:p>
    <w:p>
      <w:pPr>
        <w:ind w:left="116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future filings, we will make an express statement that no GAAP differences connected with cash flow statements exist, if such is the case, and we understand that the Company’s auditors will include a reference to the cash flow statements in their future reports.</w:t>
      </w:r>
    </w:p>
    <w:p>
      <w:pPr>
        <w:spacing w:after="0" w:line="166" w:lineRule="exact"/>
        <w:rPr>
          <w:rFonts w:ascii="Arial" w:cs="Arial" w:eastAsia="Arial" w:hAnsi="Arial"/>
          <w:sz w:val="18"/>
          <w:szCs w:val="18"/>
          <w:b w:val="1"/>
          <w:bCs w:val="1"/>
          <w:color w:val="auto"/>
        </w:rPr>
      </w:pPr>
    </w:p>
    <w:p>
      <w:pPr>
        <w:ind w:left="1160" w:right="340" w:hanging="571"/>
        <w:spacing w:after="0" w:line="268" w:lineRule="auto"/>
        <w:tabs>
          <w:tab w:leader="none" w:pos="11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about any evaluations and conclusions with respect to your ability to continue as a going concern as of December 31, 2004. Please see AU Section 341.</w:t>
      </w:r>
    </w:p>
    <w:p>
      <w:pPr>
        <w:spacing w:after="0" w:line="212" w:lineRule="exact"/>
        <w:rPr>
          <w:rFonts w:ascii="Arial" w:cs="Arial" w:eastAsia="Arial" w:hAnsi="Arial"/>
          <w:sz w:val="18"/>
          <w:szCs w:val="18"/>
          <w:b w:val="1"/>
          <w:bCs w:val="1"/>
          <w:color w:val="auto"/>
        </w:rPr>
      </w:pPr>
    </w:p>
    <w:p>
      <w:pPr>
        <w:ind w:left="1160" w:right="4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During the preparation of Tower’s 2004 annual financial statements, the Company considered conditions and events having potential affect on its ability to continue as a going concern for a reasonable period of time. Based on the process detailed below, the Company reached a conclusion that its continuation as a going concern was an appropriate assumption for the purpose of its financial reporting as reflected in its 2004 annual</w:t>
      </w:r>
    </w:p>
    <w:p>
      <w:pPr>
        <w:sectPr>
          <w:pgSz w:w="11900" w:h="16882" w:orient="portrait"/>
          <w:cols w:equalWidth="0" w:num="1">
            <w:col w:w="11400"/>
          </w:cols>
          <w:pgMar w:left="240" w:top="131" w:right="259" w:bottom="0" w:gutter="0" w:footer="0" w:header="0"/>
        </w:sectPr>
      </w:pPr>
    </w:p>
    <w:bookmarkStart w:id="52" w:name="page53"/>
    <w:bookmarkEnd w:id="52"/>
    <w:p>
      <w:pPr>
        <w:ind w:left="571" w:right="40"/>
        <w:spacing w:after="0" w:line="259" w:lineRule="auto"/>
        <w:rPr>
          <w:sz w:val="20"/>
          <w:szCs w:val="20"/>
          <w:color w:val="auto"/>
        </w:rPr>
      </w:pPr>
      <w:r>
        <w:rPr>
          <w:rFonts w:ascii="Arial" w:cs="Arial" w:eastAsia="Arial" w:hAnsi="Arial"/>
          <w:sz w:val="18"/>
          <w:szCs w:val="18"/>
          <w:color w:val="auto"/>
        </w:rPr>
        <w:t>financial statements. In the course of their audit of Tower’s 2004 annual financial statements Tower’s auditors, Brightman Almagor &amp; Co., evaluated, based on the guidance in AU Section 341, whether a substantial doubt existed about Tower’s ability to continue as a going concern for a reasonable period of time.</w:t>
      </w:r>
    </w:p>
    <w:p>
      <w:pPr>
        <w:spacing w:after="0" w:line="200" w:lineRule="exact"/>
        <w:rPr>
          <w:sz w:val="20"/>
          <w:szCs w:val="20"/>
          <w:color w:val="auto"/>
        </w:rPr>
      </w:pPr>
    </w:p>
    <w:p>
      <w:pPr>
        <w:spacing w:after="0" w:line="237"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120650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71" w:right="140"/>
        <w:spacing w:after="0" w:line="291" w:lineRule="auto"/>
        <w:rPr>
          <w:sz w:val="20"/>
          <w:szCs w:val="20"/>
          <w:color w:val="auto"/>
        </w:rPr>
      </w:pPr>
      <w:r>
        <w:rPr>
          <w:rFonts w:ascii="Arial" w:cs="Arial" w:eastAsia="Arial" w:hAnsi="Arial"/>
          <w:sz w:val="16"/>
          <w:szCs w:val="16"/>
          <w:color w:val="auto"/>
        </w:rPr>
        <w:t>Tower’s auditors informed it that while performing their audit procedures, they had identified information about certain conditions and events that, when considered by them in the aggregate, indicated, in their opinion, that there could potentially have been substantial doubt about the Company’s ability to continue as a going concern for a reasonable period of time. Tower presented its auditors with its management’s plans for dealing with those conditions and events, and also held discussions with its auditors regarding those plans, for the purpose of their evaluation of the likelihood that such plans would effectively mitigate for a reasonable period of time the doubt about Tower’s ability to continue as a going concern, as it had concluded.</w:t>
      </w:r>
    </w:p>
    <w:p>
      <w:pPr>
        <w:spacing w:after="0" w:line="201" w:lineRule="exact"/>
        <w:rPr>
          <w:sz w:val="20"/>
          <w:szCs w:val="20"/>
          <w:color w:val="auto"/>
        </w:rPr>
      </w:pPr>
    </w:p>
    <w:p>
      <w:pPr>
        <w:ind w:left="571" w:right="80"/>
        <w:spacing w:after="0" w:line="259" w:lineRule="auto"/>
        <w:rPr>
          <w:sz w:val="20"/>
          <w:szCs w:val="20"/>
          <w:color w:val="auto"/>
        </w:rPr>
      </w:pPr>
      <w:r>
        <w:rPr>
          <w:rFonts w:ascii="Arial" w:cs="Arial" w:eastAsia="Arial" w:hAnsi="Arial"/>
          <w:sz w:val="18"/>
          <w:szCs w:val="18"/>
          <w:color w:val="auto"/>
        </w:rPr>
        <w:t>After evaluating the presentations and explanations the Company provided to them, Tower’s auditors came to a conclusion that substantial doubt about the Company’s ability to continue as a going concern for a reasonable period of time did not exist at the time the 2004 annual financial statements were approved.</w:t>
      </w:r>
    </w:p>
    <w:p>
      <w:pPr>
        <w:spacing w:after="0" w:line="221" w:lineRule="exact"/>
        <w:rPr>
          <w:sz w:val="20"/>
          <w:szCs w:val="20"/>
          <w:color w:val="auto"/>
        </w:rPr>
      </w:pPr>
    </w:p>
    <w:p>
      <w:pPr>
        <w:ind w:left="571" w:right="80"/>
        <w:spacing w:after="0" w:line="298" w:lineRule="auto"/>
        <w:rPr>
          <w:sz w:val="20"/>
          <w:szCs w:val="20"/>
          <w:color w:val="auto"/>
        </w:rPr>
      </w:pPr>
      <w:r>
        <w:rPr>
          <w:rFonts w:ascii="Arial" w:cs="Arial" w:eastAsia="Arial" w:hAnsi="Arial"/>
          <w:sz w:val="16"/>
          <w:szCs w:val="16"/>
          <w:color w:val="auto"/>
        </w:rPr>
        <w:t>Tower considered the need for disclosure in the notes to the 2004 annual financial statements of the conditions and events in connection with its ability to continue as a going concern for a reasonable period of time. Tower came to a conclusion that the disclosure in the notes to the financial statements, as presented in notes 1B and 12A (primarily paragraphs (5), (6) and (8) thereto) appropriately addressed those matters. Tower’s auditors agreed with the appropriateness and adequacy of the disclosures.</w:t>
      </w:r>
    </w:p>
    <w:p>
      <w:pPr>
        <w:spacing w:after="0" w:line="194" w:lineRule="exact"/>
        <w:rPr>
          <w:sz w:val="20"/>
          <w:szCs w:val="20"/>
          <w:color w:val="auto"/>
        </w:rPr>
      </w:pPr>
    </w:p>
    <w:p>
      <w:pPr>
        <w:ind w:left="571" w:right="280"/>
        <w:spacing w:after="0" w:line="259" w:lineRule="auto"/>
        <w:rPr>
          <w:sz w:val="20"/>
          <w:szCs w:val="20"/>
          <w:color w:val="auto"/>
        </w:rPr>
      </w:pPr>
      <w:r>
        <w:rPr>
          <w:rFonts w:ascii="Arial" w:cs="Arial" w:eastAsia="Arial" w:hAnsi="Arial"/>
          <w:sz w:val="18"/>
          <w:szCs w:val="18"/>
          <w:color w:val="auto"/>
        </w:rPr>
        <w:t>The following summarizes the conditions and events identified, the plans which the Company presented to its auditors, and the Company’s estimate, at the date of approval of its 2004 annual financial statements, of the likelihood of such plans to occur and to effectively mitigate the going concern issue.</w:t>
      </w:r>
    </w:p>
    <w:p>
      <w:pPr>
        <w:spacing w:after="0" w:line="221" w:lineRule="exact"/>
        <w:rPr>
          <w:sz w:val="20"/>
          <w:szCs w:val="20"/>
          <w:color w:val="auto"/>
        </w:rPr>
      </w:pPr>
    </w:p>
    <w:p>
      <w:pPr>
        <w:ind w:left="571"/>
        <w:spacing w:after="0" w:line="254" w:lineRule="auto"/>
        <w:rPr>
          <w:sz w:val="20"/>
          <w:szCs w:val="20"/>
          <w:color w:val="auto"/>
        </w:rPr>
      </w:pPr>
      <w:r>
        <w:rPr>
          <w:rFonts w:ascii="Arial" w:cs="Arial" w:eastAsia="Arial" w:hAnsi="Arial"/>
          <w:sz w:val="18"/>
          <w:szCs w:val="18"/>
          <w:color w:val="auto"/>
        </w:rPr>
        <w:t>In 2004 and in recent years, Tower experienced significant recurring losses from operations and recurring negative cash flows from operating activities and an increasing accumulated deficit. In addition, according to the Company’s approved short-term working plan, based on the semiconductor market conditions prevailing as of the approval date of the 2004 annual financial statements, it had a need to raise additional funds in order to finance its short-term activities and liabilities in 2005. Tower also had to be in compliance in 2005 with financial ratios and covenants under its amended facility agreement with its banks and to obtain a waiver for its non-compliance with such financial ratios and covenants for the fourth quarter of 2004.</w:t>
      </w:r>
    </w:p>
    <w:p>
      <w:pPr>
        <w:spacing w:after="0" w:line="225" w:lineRule="exact"/>
        <w:rPr>
          <w:sz w:val="20"/>
          <w:szCs w:val="20"/>
          <w:color w:val="auto"/>
        </w:rPr>
      </w:pPr>
    </w:p>
    <w:p>
      <w:pPr>
        <w:ind w:left="571" w:right="100"/>
        <w:spacing w:after="0" w:line="286" w:lineRule="auto"/>
        <w:rPr>
          <w:sz w:val="20"/>
          <w:szCs w:val="20"/>
          <w:color w:val="auto"/>
        </w:rPr>
      </w:pPr>
      <w:r>
        <w:rPr>
          <w:rFonts w:ascii="Arial" w:cs="Arial" w:eastAsia="Arial" w:hAnsi="Arial"/>
          <w:sz w:val="16"/>
          <w:szCs w:val="16"/>
          <w:color w:val="auto"/>
        </w:rPr>
        <w:t>In addressing the above issue, the Company took into consideration the following: (i) the proactive comprehensive measures being taken to obtain the needed funds for its near-term ongoing operations, as well as to reduce its short-term liabilities; (ii) the implementation of cost reduction measures, including measures to reduce expenses, cost structure and cash burn, and a workforce cutback of approximately 170 jobs in November 2004, as part of an across-the-board savings plan, targeted to adjust the Company’s operational expenses level to its forecasted sales level; (iii) the execution of a waiver letter agreement with its banks in January 2005, before the 2004 annual financial statements were approved, to revise the financial ratios and covenants for 2005, as well as to waive Tower’s non-compliance with the financial ratios and covenants for the fourth quarter of 2004; (iv) the examination of alternatives for additional funding sources, including from Tower’s existing major shareholders and banks; (v) the existence of a safety net mechanism to provide the Company with up to $28 million, as of the approval date of the financial statements, from Israel Corp. and its banks, as described in note 12A(6) to the financial statements; and (vi) the investment grants from the Investment Center having been granted when due, and the Company’s estimation that future 2005 grant payments would be similarly granted when due.</w:t>
      </w:r>
    </w:p>
    <w:p>
      <w:pPr>
        <w:spacing w:after="0" w:line="200" w:lineRule="exact"/>
        <w:rPr>
          <w:sz w:val="20"/>
          <w:szCs w:val="20"/>
          <w:color w:val="auto"/>
        </w:rPr>
      </w:pPr>
    </w:p>
    <w:p>
      <w:pPr>
        <w:spacing w:after="0" w:line="224"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120650</wp:posOffset>
            </wp:positionV>
            <wp:extent cx="72504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71" w:right="200"/>
        <w:spacing w:after="0" w:line="306" w:lineRule="auto"/>
        <w:rPr>
          <w:sz w:val="20"/>
          <w:szCs w:val="20"/>
          <w:color w:val="auto"/>
        </w:rPr>
      </w:pPr>
      <w:r>
        <w:rPr>
          <w:rFonts w:ascii="Arial" w:cs="Arial" w:eastAsia="Arial" w:hAnsi="Arial"/>
          <w:sz w:val="16"/>
          <w:szCs w:val="16"/>
          <w:color w:val="auto"/>
        </w:rPr>
        <w:t>Based on all the above described matters Tower’s management estimated that it was probable that the additional funding the Company would need in 2005 would be achieved. All these considerations led the Company, as of the approval date of the financial statements, to conclude that there was no substantial doubt about the Company’s ability to continue its operations as a going concern for a reasonable period of time.</w:t>
      </w:r>
    </w:p>
    <w:p>
      <w:pPr>
        <w:spacing w:after="0" w:line="182" w:lineRule="exact"/>
        <w:rPr>
          <w:sz w:val="20"/>
          <w:szCs w:val="20"/>
          <w:color w:val="auto"/>
        </w:rPr>
      </w:pPr>
    </w:p>
    <w:p>
      <w:pPr>
        <w:ind w:left="571" w:hanging="571"/>
        <w:spacing w:after="0"/>
        <w:tabs>
          <w:tab w:leader="none" w:pos="571"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Note 12. Commitments and Contingencies</w:t>
      </w:r>
    </w:p>
    <w:p>
      <w:pPr>
        <w:spacing w:after="0" w:line="258" w:lineRule="exact"/>
        <w:rPr>
          <w:rFonts w:ascii="Arial" w:cs="Arial" w:eastAsia="Arial" w:hAnsi="Arial"/>
          <w:sz w:val="18"/>
          <w:szCs w:val="18"/>
          <w:color w:val="auto"/>
        </w:rPr>
      </w:pPr>
    </w:p>
    <w:p>
      <w:pPr>
        <w:ind w:left="571"/>
        <w:spacing w:after="0"/>
        <w:rPr>
          <w:rFonts w:ascii="Arial" w:cs="Arial" w:eastAsia="Arial" w:hAnsi="Arial"/>
          <w:sz w:val="18"/>
          <w:szCs w:val="18"/>
          <w:color w:val="auto"/>
        </w:rPr>
      </w:pPr>
      <w:r>
        <w:rPr>
          <w:rFonts w:ascii="Arial" w:cs="Arial" w:eastAsia="Arial" w:hAnsi="Arial"/>
          <w:sz w:val="18"/>
          <w:szCs w:val="18"/>
          <w:u w:val="single" w:color="auto"/>
          <w:color w:val="auto"/>
        </w:rPr>
        <w:t>A. Commitments and Contingencies Relating to FAB 2</w:t>
      </w:r>
    </w:p>
    <w:p>
      <w:pPr>
        <w:spacing w:after="0" w:line="279" w:lineRule="exact"/>
        <w:rPr>
          <w:sz w:val="20"/>
          <w:szCs w:val="20"/>
          <w:color w:val="auto"/>
        </w:rPr>
      </w:pPr>
    </w:p>
    <w:p>
      <w:pPr>
        <w:ind w:left="1131" w:hanging="564"/>
        <w:spacing w:after="0"/>
        <w:tabs>
          <w:tab w:leader="none" w:pos="1131"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Facility Agreement</w:t>
      </w:r>
    </w:p>
    <w:p>
      <w:pPr>
        <w:spacing w:after="0" w:line="252" w:lineRule="exact"/>
        <w:rPr>
          <w:rFonts w:ascii="Arial" w:cs="Arial" w:eastAsia="Arial" w:hAnsi="Arial"/>
          <w:sz w:val="18"/>
          <w:szCs w:val="18"/>
          <w:color w:val="auto"/>
        </w:rPr>
      </w:pPr>
    </w:p>
    <w:p>
      <w:pPr>
        <w:ind w:left="571" w:right="380" w:hanging="571"/>
        <w:spacing w:after="0" w:line="370" w:lineRule="auto"/>
        <w:tabs>
          <w:tab w:leader="none" w:pos="571"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tell us how you will account for the indemnification agreement with TIC discussed in the last paragraph on page F-24 under U.S. GAAP. Please cite the accounting literature upon which you will rely and explain how you will apply that literature to your situation.</w:t>
      </w:r>
    </w:p>
    <w:p>
      <w:pPr>
        <w:spacing w:after="0" w:line="143" w:lineRule="exact"/>
        <w:rPr>
          <w:rFonts w:ascii="Arial" w:cs="Arial" w:eastAsia="Arial" w:hAnsi="Arial"/>
          <w:sz w:val="15"/>
          <w:szCs w:val="15"/>
          <w:b w:val="1"/>
          <w:bCs w:val="1"/>
          <w:color w:val="auto"/>
        </w:rPr>
      </w:pPr>
    </w:p>
    <w:p>
      <w:pPr>
        <w:ind w:left="571"/>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The undertaking agreement between the Company and TIC provides that the indemnification clause may become effective only when investments are made by TIC towards the undertaking described in Note 12A(6) to the 2004 annual financial statements. As of December 31, 2004 and the date of this letter, TIC has not made any investments towards its undertaking, and accordingly the indemnification clause has not come into effect. Therefore, as of such dates, the Company had only a loss contingency (as this term is used in SFAS-5), requiring only disclosure in the notes to the financial statements.</w:t>
      </w:r>
    </w:p>
    <w:p>
      <w:pPr>
        <w:spacing w:after="0" w:line="223" w:lineRule="exact"/>
        <w:rPr>
          <w:rFonts w:ascii="Arial" w:cs="Arial" w:eastAsia="Arial" w:hAnsi="Arial"/>
          <w:sz w:val="15"/>
          <w:szCs w:val="15"/>
          <w:b w:val="1"/>
          <w:bCs w:val="1"/>
          <w:color w:val="auto"/>
        </w:rPr>
      </w:pPr>
    </w:p>
    <w:p>
      <w:pPr>
        <w:ind w:left="571" w:right="8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As of December 31, 2004 and as of the date of this letter, TIC had and has not made any investments towards the undertaking. The Company therefore was and is not contingently required “… to make any payments to [TIC] based on changes in an underlying that is related to an asset, a liability, or an equity securities of …” TIC. Accordingly the provisions of FIN-45 (paragraph 3.c. thereto) were not applicable, as TIC had no liability or contingent liability to any third party related to the undertaking.</w:t>
      </w:r>
    </w:p>
    <w:p>
      <w:pPr>
        <w:sectPr>
          <w:pgSz w:w="11900" w:h="16838" w:orient="portrait"/>
          <w:cols w:equalWidth="0" w:num="1">
            <w:col w:w="10811"/>
          </w:cols>
          <w:pgMar w:left="829" w:top="131" w:right="259" w:bottom="0" w:gutter="0" w:footer="0" w:header="0"/>
        </w:sectPr>
      </w:pPr>
    </w:p>
    <w:bookmarkStart w:id="53" w:name="page54"/>
    <w:bookmarkEnd w:id="53"/>
    <w:p>
      <w:pPr>
        <w:ind w:left="1160"/>
        <w:spacing w:after="0" w:line="254" w:lineRule="auto"/>
        <w:rPr>
          <w:sz w:val="20"/>
          <w:szCs w:val="20"/>
          <w:color w:val="auto"/>
        </w:rPr>
      </w:pPr>
      <w:r>
        <w:rPr>
          <w:rFonts w:ascii="Arial" w:cs="Arial" w:eastAsia="Arial" w:hAnsi="Arial"/>
          <w:sz w:val="18"/>
          <w:szCs w:val="18"/>
          <w:color w:val="auto"/>
        </w:rPr>
        <w:t>Since the indemnification clause can be potentially effective only following investments made by TIC towards its undertaking, then only if and when such investments are made in the future, should the indemnification clause be considered for the accounting prescribed under the provisions of FIN-45 (paragraph 3.c. thereto). Assuming that following TIC’s investment in the Company under the undertaking the Company were to become contingently liable to TIC as a result of TIC’s potential exposure in connection with losses associated with those investments (which can be considered as a liability of TIC under paragraph 3.c.), the Company would then consider reflecting a liability under FIN-45 in its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80"/>
        <w:spacing w:after="0" w:line="332" w:lineRule="auto"/>
        <w:rPr>
          <w:sz w:val="20"/>
          <w:szCs w:val="20"/>
          <w:color w:val="auto"/>
        </w:rPr>
      </w:pPr>
      <w:r>
        <w:rPr>
          <w:rFonts w:ascii="Arial" w:cs="Arial" w:eastAsia="Arial" w:hAnsi="Arial"/>
          <w:sz w:val="16"/>
          <w:szCs w:val="16"/>
          <w:color w:val="auto"/>
        </w:rPr>
        <w:t>The liability, if and when appropriate to be recorded in the Company’s financial statements, should be the greater of: the amount that satisfies the fair value objective as discussed in FIN-45; or the contingent liability amount required to be recognized under SFAS-5.</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Forms 6-K filed May 26, 2005 and August 3, 2005</w:t>
      </w:r>
    </w:p>
    <w:p>
      <w:pPr>
        <w:spacing w:after="0" w:line="225" w:lineRule="exact"/>
        <w:rPr>
          <w:sz w:val="20"/>
          <w:szCs w:val="20"/>
          <w:color w:val="auto"/>
        </w:rPr>
      </w:pPr>
    </w:p>
    <w:p>
      <w:pPr>
        <w:ind w:left="1160" w:right="60" w:hanging="571"/>
        <w:spacing w:after="0" w:line="254" w:lineRule="auto"/>
        <w:tabs>
          <w:tab w:leader="none" w:pos="11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that you have incorporated by reference into all effective registration statements your financial statements for the periods ended March 31, and June 30, 2005. In addition, the financial statements for the period ended March 31, 2005 were incorporated by reference into your Form F-2 filed on July 27, 2005. It appears that these statements were included under Item 8.A.5 of Form 20-F. Please update your Form F-2 to include the June 30, 2005 financial statements required by Item 8.5.A of Form 20-F. Please also amend to include in the registration statements, or incorporate by reference, an MD&amp;A discussion of the most recent comparative interim periods in your registration statements.</w:t>
      </w:r>
    </w:p>
    <w:p>
      <w:pPr>
        <w:spacing w:after="0" w:line="225" w:lineRule="exact"/>
        <w:rPr>
          <w:rFonts w:ascii="Arial" w:cs="Arial" w:eastAsia="Arial" w:hAnsi="Arial"/>
          <w:sz w:val="18"/>
          <w:szCs w:val="18"/>
          <w:b w:val="1"/>
          <w:bCs w:val="1"/>
          <w:color w:val="auto"/>
        </w:rPr>
      </w:pPr>
    </w:p>
    <w:p>
      <w:pPr>
        <w:ind w:left="11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amended our Form 6-K which included our June 30, 2005 results to include an MD&amp;A discussion and have incorporated by reference this filing into the registration statement. We are no longer incorporating by reference into the Form F-2 the Form 6-K for the three months ended March 31, 2005.</w:t>
      </w:r>
    </w:p>
    <w:p>
      <w:pPr>
        <w:spacing w:after="0" w:line="221" w:lineRule="exact"/>
        <w:rPr>
          <w:rFonts w:ascii="Arial" w:cs="Arial" w:eastAsia="Arial" w:hAnsi="Arial"/>
          <w:sz w:val="18"/>
          <w:szCs w:val="18"/>
          <w:b w:val="1"/>
          <w:bCs w:val="1"/>
          <w:color w:val="auto"/>
        </w:rPr>
      </w:pPr>
    </w:p>
    <w:p>
      <w:pPr>
        <w:ind w:left="1160" w:right="40" w:hanging="571"/>
        <w:spacing w:after="0" w:line="288" w:lineRule="auto"/>
        <w:tabs>
          <w:tab w:leader="none" w:pos="116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Under Item 8.A.5 of Form 20-F, you are encouraged, but not required, to have your interim financial statements reviewed by an independent auditor in accordance with the standards of the PCAOB (U.S.). We note that you include review reports of Brightman Almagor &amp; Co. in accordance with standards prescribed by the Institute of Certified Public Accountants in Israel for interim financial statements. Since the review was not conducted in accordance with the standards of the PCAOB (U.S.), you should remove the references to those review reports in your Form F-2 and not include or incorporate by reference those review reports from your Forms 6-K. Alternatively, if you believe that inclusion of those review reports is required or necessary, then we believe that you should include cautionary language where you refer to those reports and immediately prior to the reports to inform investors that the reviews were not conducted in accordance with the standards of the PCAOB (U.S.) and describe the differences between a review conducted in accordance with the standards of the Institute of Certified Public Accountants in Israel.</w:t>
      </w:r>
    </w:p>
    <w:p>
      <w:pPr>
        <w:spacing w:after="0" w:line="200" w:lineRule="exact"/>
        <w:rPr>
          <w:rFonts w:ascii="Arial" w:cs="Arial" w:eastAsia="Arial" w:hAnsi="Arial"/>
          <w:sz w:val="16"/>
          <w:szCs w:val="16"/>
          <w:b w:val="1"/>
          <w:bCs w:val="1"/>
          <w:color w:val="auto"/>
        </w:rPr>
      </w:pPr>
    </w:p>
    <w:p>
      <w:pPr>
        <w:ind w:left="1160" w:right="30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We have removed any references to the review reports from the F-2. We amended the Form 6-K which included our June 30, 2005 results to remove the review reports. We will amend the Form 6-K which included our March 31, 2005 results to revise the incorporation by reference language to no longer provide for the incorporation of the review report included therein into the Company’s effective registration statements. This response also relates to Comment 28.</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6-K Filed August 3, 2005</w:t>
      </w:r>
    </w:p>
    <w:p>
      <w:pPr>
        <w:spacing w:after="0" w:line="225" w:lineRule="exact"/>
        <w:rPr>
          <w:sz w:val="20"/>
          <w:szCs w:val="20"/>
          <w:color w:val="auto"/>
        </w:rPr>
      </w:pPr>
    </w:p>
    <w:p>
      <w:pPr>
        <w:ind w:left="1160" w:right="460" w:hanging="571"/>
        <w:spacing w:after="0" w:line="268" w:lineRule="auto"/>
        <w:tabs>
          <w:tab w:leader="none" w:pos="11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 future filings please provide all of the disclosures required by Item 10(e) of Regulation S-K with respect to each non-GAAP financial measure you disclose.</w:t>
      </w:r>
    </w:p>
    <w:p>
      <w:pPr>
        <w:spacing w:after="0" w:line="212" w:lineRule="exact"/>
        <w:rPr>
          <w:rFonts w:ascii="Arial" w:cs="Arial" w:eastAsia="Arial" w:hAnsi="Arial"/>
          <w:sz w:val="18"/>
          <w:szCs w:val="18"/>
          <w:b w:val="1"/>
          <w:bCs w:val="1"/>
          <w:color w:val="auto"/>
        </w:rPr>
      </w:pPr>
    </w:p>
    <w:p>
      <w:pPr>
        <w:ind w:left="11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Tower’s future filings will provide all of the disclosures required by Item 10(e) of Regulation S-K with respect to each non-GAAP financial measure that it discloses.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208915</wp:posOffset>
            </wp:positionV>
            <wp:extent cx="11061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any questions, please feel free to call the undersigned at (212) 986-9700 (extension 17), or Ted Chastain of this office (extension 27).</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Sheldon Krause</w:t>
      </w:r>
    </w:p>
    <w:p>
      <w:pPr>
        <w:spacing w:after="0" w:line="252" w:lineRule="exact"/>
        <w:rPr>
          <w:sz w:val="20"/>
          <w:szCs w:val="20"/>
          <w:color w:val="auto"/>
        </w:rPr>
      </w:pPr>
    </w:p>
    <w:p>
      <w:pPr>
        <w:ind w:left="580" w:right="9340" w:hanging="572"/>
        <w:spacing w:after="0" w:line="306"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Adelaja K. Heyliger Mr. Thomas Dyer David Schapiro, Esq.</w:t>
      </w:r>
    </w:p>
    <w:p>
      <w:pPr>
        <w:sectPr>
          <w:pgSz w:w="11900" w:h="16838" w:orient="portrait"/>
          <w:cols w:equalWidth="0" w:num="1">
            <w:col w:w="11420"/>
          </w:cols>
          <w:pgMar w:left="240" w:top="131" w:right="239" w:bottom="954"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emdash "/>
      <w:numFmt w:val="bullet"/>
      <w:start w:val="1"/>
    </w:lvl>
  </w:abstractNum>
  <w:abstractNum w:abstractNumId="2">
    <w:nsid w:val="684A481A"/>
    <w:multiLevelType w:val="hybridMultilevel"/>
    <w:lvl w:ilvl="0">
      <w:lvlJc w:val="left"/>
      <w:lvlText w:val="\emdash "/>
      <w:numFmt w:val="bullet"/>
      <w:start w:val="1"/>
    </w:lvl>
  </w:abstractNum>
  <w:abstractNum w:abstractNumId="3">
    <w:nsid w:val="579478FE"/>
    <w:multiLevelType w:val="hybridMultilevel"/>
    <w:lvl w:ilvl="0">
      <w:lvlJc w:val="left"/>
      <w:lvlText w:val="\emdash "/>
      <w:numFmt w:val="bullet"/>
      <w:start w:val="1"/>
    </w:lvl>
  </w:abstractNum>
  <w:abstractNum w:abstractNumId="4">
    <w:nsid w:val="749ABB43"/>
    <w:multiLevelType w:val="hybridMultilevel"/>
    <w:lvl w:ilvl="0">
      <w:lvlJc w:val="left"/>
      <w:lvlText w:val="\emdash "/>
      <w:numFmt w:val="bullet"/>
      <w:start w:val="1"/>
    </w:lvl>
  </w:abstractNum>
  <w:abstractNum w:abstractNumId="5">
    <w:nsid w:val="3DC240FB"/>
    <w:multiLevelType w:val="hybridMultilevel"/>
    <w:lvl w:ilvl="0">
      <w:lvlJc w:val="left"/>
      <w:lvlText w:val="\emdash "/>
      <w:numFmt w:val="bullet"/>
      <w:start w:val="1"/>
    </w:lvl>
  </w:abstractNum>
  <w:abstractNum w:abstractNumId="6">
    <w:nsid w:val="1BA026FA"/>
    <w:multiLevelType w:val="hybridMultilevel"/>
    <w:lvl w:ilvl="0">
      <w:lvlJc w:val="left"/>
      <w:lvlText w:val="\emdash "/>
      <w:numFmt w:val="bullet"/>
      <w:start w:val="1"/>
    </w:lvl>
  </w:abstractNum>
  <w:abstractNum w:abstractNumId="7">
    <w:nsid w:val="79A1DEAA"/>
    <w:multiLevelType w:val="hybridMultilevel"/>
    <w:lvl w:ilvl="0">
      <w:lvlJc w:val="left"/>
      <w:lvlText w:val="\emdash "/>
      <w:numFmt w:val="bullet"/>
      <w:start w:val="1"/>
    </w:lvl>
  </w:abstractNum>
  <w:abstractNum w:abstractNumId="8">
    <w:nsid w:val="75C6C33A"/>
    <w:multiLevelType w:val="hybridMultilevel"/>
    <w:lvl w:ilvl="0">
      <w:lvlJc w:val="left"/>
      <w:lvlText w:val="\emdash "/>
      <w:numFmt w:val="bullet"/>
      <w:start w:val="1"/>
    </w:lvl>
  </w:abstractNum>
  <w:abstractNum w:abstractNumId="9">
    <w:nsid w:val="12E685FB"/>
    <w:multiLevelType w:val="hybridMultilevel"/>
    <w:lvl w:ilvl="0">
      <w:lvlJc w:val="left"/>
      <w:lvlText w:val="\emdash "/>
      <w:numFmt w:val="bullet"/>
      <w:start w:val="1"/>
    </w:lvl>
  </w:abstractNum>
  <w:abstractNum w:abstractNumId="10">
    <w:nsid w:val="70C6A529"/>
    <w:multiLevelType w:val="hybridMultilevel"/>
    <w:lvl w:ilvl="0">
      <w:lvlJc w:val="left"/>
      <w:lvlText w:val="\emdash "/>
      <w:numFmt w:val="bullet"/>
      <w:start w:val="1"/>
    </w:lvl>
  </w:abstractNum>
  <w:abstractNum w:abstractNumId="11">
    <w:nsid w:val="520EEDD1"/>
    <w:multiLevelType w:val="hybridMultilevel"/>
    <w:lvl w:ilvl="0">
      <w:lvlJc w:val="left"/>
      <w:lvlText w:val="\emdash "/>
      <w:numFmt w:val="bullet"/>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amp;"/>
      <w:numFmt w:val="bullet"/>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decimal"/>
      <w:start w:val="2"/>
    </w:lvl>
  </w:abstractNum>
  <w:abstractNum w:abstractNumId="18">
    <w:nsid w:val="1CF10FD8"/>
    <w:multiLevelType w:val="hybridMultilevel"/>
    <w:lvl w:ilvl="0">
      <w:lvlJc w:val="left"/>
      <w:lvlText w:val="\emdash "/>
      <w:numFmt w:val="bullet"/>
      <w:start w:val="1"/>
    </w:lvl>
  </w:abstractNum>
  <w:abstractNum w:abstractNumId="19">
    <w:nsid w:val="180115BE"/>
    <w:multiLevelType w:val="hybridMultilevel"/>
    <w:lvl w:ilvl="0">
      <w:lvlJc w:val="left"/>
      <w:lvlText w:val="\emdash "/>
      <w:numFmt w:val="bullet"/>
      <w:start w:val="1"/>
    </w:lvl>
  </w:abstractNum>
  <w:abstractNum w:abstractNumId="20">
    <w:nsid w:val="235BA861"/>
    <w:multiLevelType w:val="hybridMultilevel"/>
    <w:lvl w:ilvl="0">
      <w:lvlJc w:val="left"/>
      <w:lvlText w:val="\emdash "/>
      <w:numFmt w:val="bullet"/>
      <w:start w:val="1"/>
    </w:lvl>
  </w:abstractNum>
  <w:abstractNum w:abstractNumId="21">
    <w:nsid w:val="47398C89"/>
    <w:multiLevelType w:val="hybridMultilevel"/>
    <w:lvl w:ilvl="0">
      <w:lvlJc w:val="left"/>
      <w:lvlText w:val="\emdash "/>
      <w:numFmt w:val="bullet"/>
      <w:start w:val="1"/>
    </w:lvl>
    <w:lvl w:ilvl="1">
      <w:lvlJc w:val="left"/>
      <w:lvlText w:val="(%2)"/>
      <w:numFmt w:val="lowerRoman"/>
      <w:start w:val="4"/>
    </w:lvl>
  </w:abstractNum>
  <w:abstractNum w:abstractNumId="22">
    <w:nsid w:val="354FE9F9"/>
    <w:multiLevelType w:val="hybridMultilevel"/>
    <w:lvl w:ilvl="0">
      <w:lvlJc w:val="left"/>
      <w:lvlText w:val="\emdash "/>
      <w:numFmt w:val="bullet"/>
      <w:start w:val="1"/>
    </w:lvl>
    <w:lvl w:ilvl="1">
      <w:lvlJc w:val="left"/>
      <w:lvlText w:val="(%2)"/>
      <w:numFmt w:val="lowerRoman"/>
      <w:start w:val="1"/>
    </w:lvl>
  </w:abstractNum>
  <w:abstractNum w:abstractNumId="23">
    <w:nsid w:val="15B5AF5C"/>
    <w:multiLevelType w:val="hybridMultilevel"/>
    <w:lvl w:ilvl="0">
      <w:lvlJc w:val="left"/>
      <w:lvlText w:val="\emdash "/>
      <w:numFmt w:val="bullet"/>
      <w:start w:val="1"/>
    </w:lvl>
  </w:abstractNum>
  <w:abstractNum w:abstractNumId="24">
    <w:nsid w:val="741226BB"/>
    <w:multiLevelType w:val="hybridMultilevel"/>
    <w:lvl w:ilvl="0">
      <w:lvlJc w:val="left"/>
      <w:lvlText w:val="\emdash "/>
      <w:numFmt w:val="bullet"/>
      <w:start w:val="1"/>
    </w:lvl>
  </w:abstractNum>
  <w:abstractNum w:abstractNumId="25">
    <w:nsid w:val="D34B6A8"/>
    <w:multiLevelType w:val="hybridMultilevel"/>
    <w:lvl w:ilvl="0">
      <w:lvlJc w:val="left"/>
      <w:lvlText w:val="(%1)"/>
      <w:numFmt w:val="lowerRoman"/>
      <w:start w:val="1"/>
    </w:lvl>
  </w:abstractNum>
  <w:abstractNum w:abstractNumId="26">
    <w:nsid w:val="10233C99"/>
    <w:multiLevelType w:val="hybridMultilevel"/>
    <w:lvl w:ilvl="0">
      <w:lvlJc w:val="left"/>
      <w:lvlText w:val="(%1)"/>
      <w:numFmt w:val="lowerRoman"/>
      <w:start w:val="4"/>
    </w:lvl>
    <w:lvl w:ilvl="1">
      <w:lvlJc w:val="left"/>
      <w:lvlText w:val="\emdash "/>
      <w:numFmt w:val="bullet"/>
      <w:start w:val="1"/>
    </w:lvl>
  </w:abstractNum>
  <w:abstractNum w:abstractNumId="27">
    <w:nsid w:val="3F6AB60F"/>
    <w:multiLevelType w:val="hybridMultilevel"/>
    <w:lvl w:ilvl="0">
      <w:lvlJc w:val="left"/>
      <w:lvlText w:val="(%1)"/>
      <w:numFmt w:val="lowerRoman"/>
      <w:start w:val="11"/>
    </w:lvl>
    <w:lvl w:ilvl="1">
      <w:lvlJc w:val="left"/>
      <w:lvlText w:val="\emdash "/>
      <w:numFmt w:val="bullet"/>
      <w:start w:val="1"/>
    </w:lvl>
  </w:abstractNum>
  <w:abstractNum w:abstractNumId="28">
    <w:nsid w:val="61574095"/>
    <w:multiLevelType w:val="hybridMultilevel"/>
    <w:lvl w:ilvl="0">
      <w:lvlJc w:val="left"/>
      <w:lvlText w:val="(%1)"/>
      <w:numFmt w:val="lowerRoman"/>
      <w:start w:val="14"/>
    </w:lvl>
    <w:lvl w:ilvl="1">
      <w:lvlJc w:val="left"/>
      <w:lvlText w:val="\emdash "/>
      <w:numFmt w:val="bullet"/>
      <w:start w:val="1"/>
    </w:lvl>
  </w:abstractNum>
  <w:abstractNum w:abstractNumId="29">
    <w:nsid w:val="7E0C57B1"/>
    <w:multiLevelType w:val="hybridMultilevel"/>
    <w:lvl w:ilvl="0">
      <w:lvlJc w:val="left"/>
      <w:lvlText w:val="(%1)"/>
      <w:numFmt w:val="lowerRoman"/>
      <w:start w:val="15"/>
    </w:lvl>
  </w:abstractNum>
  <w:abstractNum w:abstractNumId="30">
    <w:nsid w:val="77AE35EB"/>
    <w:multiLevelType w:val="hybridMultilevel"/>
    <w:lvl w:ilvl="0">
      <w:lvlJc w:val="left"/>
      <w:lvlText w:val="(%1)"/>
      <w:numFmt w:val="lowerRoman"/>
      <w:start w:val="29"/>
    </w:lvl>
  </w:abstractNum>
  <w:abstractNum w:abstractNumId="31">
    <w:nsid w:val="579BE4F1"/>
    <w:multiLevelType w:val="hybridMultilevel"/>
    <w:lvl w:ilvl="0">
      <w:lvlJc w:val="left"/>
      <w:lvlText w:val="(%1)"/>
      <w:numFmt w:val="lowerRoman"/>
      <w:start w:val="32"/>
    </w:lvl>
    <w:lvl w:ilvl="1">
      <w:lvlJc w:val="left"/>
      <w:lvlText w:val="\emdash "/>
      <w:numFmt w:val="bullet"/>
      <w:start w:val="1"/>
    </w:lvl>
  </w:abstractNum>
  <w:abstractNum w:abstractNumId="32">
    <w:nsid w:val="310C50B3"/>
    <w:multiLevelType w:val="hybridMultilevel"/>
    <w:lvl w:ilvl="0">
      <w:lvlJc w:val="left"/>
      <w:lvlText w:val="\emdash "/>
      <w:numFmt w:val="bullet"/>
      <w:start w:val="1"/>
    </w:lvl>
  </w:abstractNum>
  <w:abstractNum w:abstractNumId="33">
    <w:nsid w:val="5FF87E05"/>
    <w:multiLevelType w:val="hybridMultilevel"/>
    <w:lvl w:ilvl="0">
      <w:lvlJc w:val="left"/>
      <w:lvlText w:val="\emdash "/>
      <w:numFmt w:val="bullet"/>
      <w:start w:val="1"/>
    </w:lvl>
  </w:abstractNum>
  <w:abstractNum w:abstractNumId="34">
    <w:nsid w:val="2F305DEF"/>
    <w:multiLevelType w:val="hybridMultilevel"/>
    <w:lvl w:ilvl="0">
      <w:lvlJc w:val="left"/>
      <w:lvlText w:val="\emdash "/>
      <w:numFmt w:val="bullet"/>
      <w:start w:val="1"/>
    </w:lvl>
  </w:abstractNum>
  <w:abstractNum w:abstractNumId="35">
    <w:nsid w:val="25A70BF7"/>
    <w:multiLevelType w:val="hybridMultilevel"/>
    <w:lvl w:ilvl="0">
      <w:lvlJc w:val="left"/>
      <w:lvlText w:val="%1."/>
      <w:numFmt w:val="upperLetter"/>
      <w:start w:val="1"/>
    </w:lvl>
  </w:abstractNum>
  <w:abstractNum w:abstractNumId="36">
    <w:nsid w:val="1DBABF00"/>
    <w:multiLevelType w:val="hybridMultilevel"/>
    <w:lvl w:ilvl="0">
      <w:lvlJc w:val="left"/>
      <w:lvlText w:val="%1."/>
      <w:numFmt w:val="upperLetter"/>
      <w:start w:val="2"/>
    </w:lvl>
  </w:abstractNum>
  <w:abstractNum w:abstractNumId="37">
    <w:nsid w:val="4AD084E9"/>
    <w:multiLevelType w:val="hybridMultilevel"/>
    <w:lvl w:ilvl="0">
      <w:lvlJc w:val="left"/>
      <w:lvlText w:val="%1."/>
      <w:numFmt w:val="upperLetter"/>
      <w:start w:val="3"/>
    </w:lvl>
  </w:abstractNum>
  <w:abstractNum w:abstractNumId="38">
    <w:nsid w:val="1F48EAA1"/>
    <w:multiLevelType w:val="hybridMultilevel"/>
    <w:lvl w:ilvl="0">
      <w:lvlJc w:val="left"/>
      <w:lvlText w:val="%1."/>
      <w:numFmt w:val="upperLetter"/>
      <w:start w:val="4"/>
    </w:lvl>
  </w:abstractNum>
  <w:abstractNum w:abstractNumId="39">
    <w:nsid w:val="1381823A"/>
    <w:multiLevelType w:val="hybridMultilevel"/>
    <w:lvl w:ilvl="0">
      <w:lvlJc w:val="left"/>
      <w:lvlText w:val="\emdash "/>
      <w:numFmt w:val="bullet"/>
      <w:start w:val="1"/>
    </w:lvl>
  </w:abstractNum>
  <w:abstractNum w:abstractNumId="40">
    <w:nsid w:val="5DB70AE5"/>
    <w:multiLevelType w:val="hybridMultilevel"/>
    <w:lvl w:ilvl="0">
      <w:lvlJc w:val="left"/>
      <w:lvlText w:val="\emdash "/>
      <w:numFmt w:val="bullet"/>
      <w:start w:val="1"/>
    </w:lvl>
  </w:abstractNum>
  <w:abstractNum w:abstractNumId="41">
    <w:nsid w:val="100F8FCA"/>
    <w:multiLevelType w:val="hybridMultilevel"/>
    <w:lvl w:ilvl="0">
      <w:lvlJc w:val="left"/>
      <w:lvlText w:val="\emdash "/>
      <w:numFmt w:val="bullet"/>
      <w:start w:val="1"/>
    </w:lvl>
  </w:abstractNum>
  <w:abstractNum w:abstractNumId="42">
    <w:nsid w:val="6590700B"/>
    <w:multiLevelType w:val="hybridMultilevel"/>
    <w:lvl w:ilvl="0">
      <w:lvlJc w:val="left"/>
      <w:lvlText w:val="\emdash "/>
      <w:numFmt w:val="bullet"/>
      <w:start w:val="1"/>
    </w:lvl>
  </w:abstractNum>
  <w:abstractNum w:abstractNumId="43">
    <w:nsid w:val="15014ACB"/>
    <w:multiLevelType w:val="hybridMultilevel"/>
    <w:lvl w:ilvl="0">
      <w:lvlJc w:val="left"/>
      <w:lvlText w:val="\emdash "/>
      <w:numFmt w:val="bullet"/>
      <w:start w:val="1"/>
    </w:lvl>
  </w:abstractNum>
  <w:abstractNum w:abstractNumId="44">
    <w:nsid w:val="5F5E7FD0"/>
    <w:multiLevelType w:val="hybridMultilevel"/>
    <w:lvl w:ilvl="0">
      <w:lvlJc w:val="left"/>
      <w:lvlText w:val="\emdash "/>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emdash "/>
      <w:numFmt w:val="bullet"/>
      <w:start w:val="1"/>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emdash "/>
      <w:numFmt w:val="bullet"/>
      <w:start w:val="1"/>
    </w:lvl>
  </w:abstractNum>
  <w:abstractNum w:abstractNumId="49">
    <w:nsid w:val="168E121F"/>
    <w:multiLevelType w:val="hybridMultilevel"/>
    <w:lvl w:ilvl="0">
      <w:lvlJc w:val="left"/>
      <w:lvlText w:val="\emdash "/>
      <w:numFmt w:val="bullet"/>
      <w:start w:val="1"/>
    </w:lvl>
  </w:abstractNum>
  <w:abstractNum w:abstractNumId="50">
    <w:nsid w:val="1EBA5D23"/>
    <w:multiLevelType w:val="hybridMultilevel"/>
    <w:lvl w:ilvl="0">
      <w:lvlJc w:val="left"/>
      <w:lvlText w:val="%1."/>
      <w:numFmt w:val="decimal"/>
      <w:start w:val="1"/>
    </w:lvl>
    <w:lvl w:ilvl="1">
      <w:lvlJc w:val="left"/>
      <w:lvlText w:val="(%2)"/>
      <w:numFmt w:val="lowerLetter"/>
      <w:start w:val="1"/>
    </w:lvl>
  </w:abstractNum>
  <w:abstractNum w:abstractNumId="51">
    <w:nsid w:val="661E3F1E"/>
    <w:multiLevelType w:val="hybridMultilevel"/>
    <w:lvl w:ilvl="0">
      <w:lvlJc w:val="left"/>
      <w:lvlText w:val="(%1)"/>
      <w:numFmt w:val="lowerLetter"/>
      <w:start w:val="3"/>
    </w:lvl>
  </w:abstractNum>
  <w:abstractNum w:abstractNumId="52">
    <w:nsid w:val="5DC79EA8"/>
    <w:multiLevelType w:val="hybridMultilevel"/>
    <w:lvl w:ilvl="0">
      <w:lvlJc w:val="left"/>
      <w:lvlText w:val="%1."/>
      <w:numFmt w:val="lowerRoman"/>
      <w:start w:val="1"/>
    </w:lvl>
  </w:abstractNum>
  <w:abstractNum w:abstractNumId="53">
    <w:nsid w:val="540A471C"/>
    <w:multiLevelType w:val="hybridMultilevel"/>
    <w:lvl w:ilvl="0">
      <w:lvlJc w:val="left"/>
      <w:lvlText w:val="\emdash "/>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decimal"/>
      <w:start w:val="1"/>
    </w:lvl>
    <w:lvl w:ilvl="1">
      <w:lvlJc w:val="left"/>
      <w:lvlText w:val="(%2)"/>
      <w:numFmt w:val="lowerRoman"/>
      <w:start w:val="1"/>
    </w:lvl>
  </w:abstractNum>
  <w:abstractNum w:abstractNumId="57">
    <w:nsid w:val="BF72B14"/>
    <w:multiLevelType w:val="hybridMultilevel"/>
    <w:lvl w:ilvl="0">
      <w:lvlJc w:val="left"/>
      <w:lvlText w:val="(%1)"/>
      <w:numFmt w:val="decimal"/>
      <w:start w:val="2"/>
    </w:lvl>
    <w:lvl w:ilvl="1">
      <w:lvlJc w:val="left"/>
      <w:lvlText w:val="%2"/>
      <w:numFmt w:val="upperLetter"/>
      <w:start w:val="35"/>
    </w:lvl>
  </w:abstractNum>
  <w:abstractNum w:abstractNumId="58">
    <w:nsid w:val="11447B73"/>
    <w:multiLevelType w:val="hybridMultilevel"/>
    <w:lvl w:ilvl="0">
      <w:lvlJc w:val="left"/>
      <w:lvlText w:val="(%1)"/>
      <w:numFmt w:val="lowerLetter"/>
      <w:start w:val="3"/>
    </w:lvl>
  </w:abstractNum>
  <w:abstractNum w:abstractNumId="59">
    <w:nsid w:val="42963E5A"/>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60">
    <w:nsid w:val="A0382C5"/>
    <w:multiLevelType w:val="hybridMultilevel"/>
    <w:lvl w:ilvl="0">
      <w:lvlJc w:val="left"/>
      <w:lvlText w:val="(%1)"/>
      <w:numFmt w:val="lowerLetter"/>
      <w:start w:val="1"/>
    </w:lvl>
    <w:lvl w:ilvl="1">
      <w:lvlJc w:val="left"/>
      <w:lvlText w:val="(%2)"/>
      <w:numFmt w:val="lowerLetter"/>
      <w:start w:val="6"/>
    </w:lvl>
    <w:lvl w:ilvl="2">
      <w:lvlJc w:val="left"/>
      <w:lvlText w:val="%3"/>
      <w:numFmt w:val="upperLetter"/>
      <w:start w:val="35"/>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3"/>
    </w:lvl>
  </w:abstractNum>
  <w:abstractNum w:abstractNumId="65">
    <w:nsid w:val="4962813B"/>
    <w:multiLevelType w:val="hybridMultilevel"/>
    <w:lvl w:ilvl="0">
      <w:lvlJc w:val="left"/>
      <w:lvlText w:val="%1."/>
      <w:numFmt w:val="decimal"/>
      <w:start w:val="4"/>
    </w:lvl>
  </w:abstractNum>
  <w:abstractNum w:abstractNumId="66">
    <w:nsid w:val="60B6DF70"/>
    <w:multiLevelType w:val="hybridMultilevel"/>
    <w:lvl w:ilvl="0">
      <w:lvlJc w:val="left"/>
      <w:lvlText w:val="%1."/>
      <w:numFmt w:val="decimal"/>
      <w:start w:val="5"/>
    </w:lvl>
  </w:abstractNum>
  <w:abstractNum w:abstractNumId="67">
    <w:nsid w:val="6A5EE64"/>
    <w:multiLevelType w:val="hybridMultilevel"/>
    <w:lvl w:ilvl="0">
      <w:lvlJc w:val="left"/>
      <w:lvlText w:val="%1."/>
      <w:numFmt w:val="decimal"/>
      <w:start w:val="7"/>
    </w:lvl>
  </w:abstractNum>
  <w:abstractNum w:abstractNumId="68">
    <w:nsid w:val="14330624"/>
    <w:multiLevelType w:val="hybridMultilevel"/>
    <w:lvl w:ilvl="0">
      <w:lvlJc w:val="left"/>
      <w:lvlText w:val="%1."/>
      <w:numFmt w:val="decimal"/>
      <w:start w:val="9"/>
    </w:lvl>
  </w:abstractNum>
  <w:abstractNum w:abstractNumId="69">
    <w:nsid w:val="7FFFCA11"/>
    <w:multiLevelType w:val="hybridMultilevel"/>
    <w:lvl w:ilvl="0">
      <w:lvlJc w:val="left"/>
      <w:lvlText w:val="%1."/>
      <w:numFmt w:val="decimal"/>
      <w:start w:val="10"/>
    </w:lvl>
  </w:abstractNum>
  <w:abstractNum w:abstractNumId="70">
    <w:nsid w:val="1A27709E"/>
    <w:multiLevelType w:val="hybridMultilevel"/>
    <w:lvl w:ilvl="0">
      <w:lvlJc w:val="left"/>
      <w:lvlText w:val="%1."/>
      <w:numFmt w:val="decimal"/>
      <w:start w:val="12"/>
    </w:lvl>
  </w:abstractNum>
  <w:abstractNum w:abstractNumId="71">
    <w:nsid w:val="71EA1109"/>
    <w:multiLevelType w:val="hybridMultilevel"/>
    <w:lvl w:ilvl="0">
      <w:lvlJc w:val="left"/>
      <w:lvlText w:val="%1."/>
      <w:numFmt w:val="decimal"/>
      <w:start w:val="13"/>
    </w:lvl>
    <w:lvl w:ilvl="1">
      <w:lvlJc w:val="left"/>
      <w:lvlText w:val="\emdash "/>
      <w:numFmt w:val="bullet"/>
      <w:start w:val="1"/>
    </w:lvl>
  </w:abstractNum>
  <w:abstractNum w:abstractNumId="72">
    <w:nsid w:val="100F59DC"/>
    <w:multiLevelType w:val="hybridMultilevel"/>
    <w:lvl w:ilvl="0">
      <w:lvlJc w:val="left"/>
      <w:lvlText w:val="%1."/>
      <w:numFmt w:val="decimal"/>
      <w:start w:val="14"/>
    </w:lvl>
  </w:abstractNum>
  <w:abstractNum w:abstractNumId="73">
    <w:nsid w:val="7FB7E0AA"/>
    <w:multiLevelType w:val="hybridMultilevel"/>
    <w:lvl w:ilvl="0">
      <w:lvlJc w:val="left"/>
      <w:lvlText w:val="%1."/>
      <w:numFmt w:val="decimal"/>
      <w:start w:val="16"/>
    </w:lvl>
  </w:abstractNum>
  <w:abstractNum w:abstractNumId="74">
    <w:nsid w:val="6EB5BD4"/>
    <w:multiLevelType w:val="hybridMultilevel"/>
    <w:lvl w:ilvl="0">
      <w:lvlJc w:val="left"/>
      <w:lvlText w:val="%1."/>
      <w:numFmt w:val="decimal"/>
      <w:start w:val="17"/>
    </w:lvl>
  </w:abstractNum>
  <w:abstractNum w:abstractNumId="75">
    <w:nsid w:val="6F6DD9AC"/>
    <w:multiLevelType w:val="hybridMultilevel"/>
    <w:lvl w:ilvl="0">
      <w:lvlJc w:val="left"/>
      <w:lvlText w:val="%1."/>
      <w:numFmt w:val="decimal"/>
      <w:start w:val="18"/>
    </w:lvl>
  </w:abstractNum>
  <w:abstractNum w:abstractNumId="76">
    <w:nsid w:val="94211F2"/>
    <w:multiLevelType w:val="hybridMultilevel"/>
    <w:lvl w:ilvl="0">
      <w:lvlJc w:val="left"/>
      <w:lvlText w:val="%1."/>
      <w:numFmt w:val="decimal"/>
      <w:start w:val="19"/>
    </w:lvl>
  </w:abstractNum>
  <w:abstractNum w:abstractNumId="77">
    <w:nsid w:val="885E1B"/>
    <w:multiLevelType w:val="hybridMultilevel"/>
    <w:lvl w:ilvl="0">
      <w:lvlJc w:val="left"/>
      <w:lvlText w:val="%1."/>
      <w:numFmt w:val="decimal"/>
      <w:start w:val="20"/>
    </w:lvl>
  </w:abstractNum>
  <w:abstractNum w:abstractNumId="78">
    <w:nsid w:val="76272110"/>
    <w:multiLevelType w:val="hybridMultilevel"/>
    <w:lvl w:ilvl="0">
      <w:lvlJc w:val="left"/>
      <w:lvlText w:val="%1."/>
      <w:numFmt w:val="decimal"/>
      <w:start w:val="21"/>
    </w:lvl>
  </w:abstractNum>
  <w:abstractNum w:abstractNumId="79">
    <w:nsid w:val="4C04A8AF"/>
    <w:multiLevelType w:val="hybridMultilevel"/>
    <w:lvl w:ilvl="0">
      <w:lvlJc w:val="left"/>
      <w:lvlText w:val="%1."/>
      <w:numFmt w:val="decimal"/>
      <w:start w:val="22"/>
    </w:lvl>
  </w:abstractNum>
  <w:abstractNum w:abstractNumId="80">
    <w:nsid w:val="1716703B"/>
    <w:multiLevelType w:val="hybridMultilevel"/>
    <w:lvl w:ilvl="0">
      <w:lvlJc w:val="left"/>
      <w:lvlText w:val="%1."/>
      <w:numFmt w:val="decimal"/>
      <w:start w:val="23"/>
    </w:lvl>
  </w:abstractNum>
  <w:abstractNum w:abstractNumId="81">
    <w:nsid w:val="14E17E33"/>
    <w:multiLevelType w:val="hybridMultilevel"/>
    <w:lvl w:ilvl="0">
      <w:lvlJc w:val="left"/>
      <w:lvlText w:val="%1."/>
      <w:numFmt w:val="decimal"/>
      <w:start w:val="24"/>
    </w:lvl>
  </w:abstractNum>
  <w:abstractNum w:abstractNumId="82">
    <w:nsid w:val="3222E7CD"/>
    <w:multiLevelType w:val="hybridMultilevel"/>
    <w:lvl w:ilvl="0">
      <w:lvlJc w:val="left"/>
      <w:lvlText w:val="%1."/>
      <w:numFmt w:val="decimal"/>
      <w:start w:val="25"/>
    </w:lvl>
  </w:abstractNum>
  <w:abstractNum w:abstractNumId="83">
    <w:nsid w:val="74DE0EE3"/>
    <w:multiLevelType w:val="hybridMultilevel"/>
    <w:lvl w:ilvl="0">
      <w:lvlJc w:val="left"/>
      <w:lvlText w:val="%1."/>
      <w:numFmt w:val="decimal"/>
      <w:start w:val="28"/>
    </w:lvl>
  </w:abstractNum>
  <w:abstractNum w:abstractNumId="84">
    <w:nsid w:val="68EBC550"/>
    <w:multiLevelType w:val="hybridMultilevel"/>
    <w:lvl w:ilvl="0">
      <w:lvlJc w:val="left"/>
      <w:lvlText w:val="%1."/>
      <w:numFmt w:val="decimal"/>
      <w:start w:val="29"/>
    </w:lvl>
  </w:abstractNum>
  <w:abstractNum w:abstractNumId="85">
    <w:nsid w:val="2DF6D648"/>
    <w:multiLevelType w:val="hybridMultilevel"/>
    <w:lvl w:ilvl="0">
      <w:lvlJc w:val="left"/>
      <w:lvlText w:val="%1."/>
      <w:numFmt w:val="decimal"/>
      <w:start w:val="30"/>
    </w:lvl>
  </w:abstractNum>
  <w:abstractNum w:abstractNumId="86">
    <w:nsid w:val="46B7D447"/>
    <w:multiLevelType w:val="hybridMultilevel"/>
    <w:lvl w:ilvl="0">
      <w:lvlJc w:val="left"/>
      <w:lvlText w:val="%1."/>
      <w:numFmt w:val="decimal"/>
      <w:start w:val="31"/>
    </w:lvl>
  </w:abstractNum>
  <w:abstractNum w:abstractNumId="87">
    <w:nsid w:val="4A2AC315"/>
    <w:multiLevelType w:val="hybridMultilevel"/>
    <w:lvl w:ilvl="0">
      <w:lvlJc w:val="left"/>
      <w:lvlText w:val="%1."/>
      <w:numFmt w:val="decimal"/>
      <w:start w:val="32"/>
    </w:lvl>
  </w:abstractNum>
  <w:abstractNum w:abstractNumId="88">
    <w:nsid w:val="39EE015C"/>
    <w:multiLevelType w:val="hybridMultilevel"/>
    <w:lvl w:ilvl="0">
      <w:lvlJc w:val="left"/>
      <w:lvlText w:val="%1."/>
      <w:numFmt w:val="decimal"/>
      <w:start w:val="33"/>
    </w:lvl>
  </w:abstractNum>
  <w:abstractNum w:abstractNumId="89">
    <w:nsid w:val="57FC4FBB"/>
    <w:multiLevelType w:val="hybridMultilevel"/>
    <w:lvl w:ilvl="0">
      <w:lvlJc w:val="left"/>
      <w:lvlText w:val="(%1)"/>
      <w:numFmt w:val="decimal"/>
      <w:start w:val="6"/>
    </w:lvl>
  </w:abstractNum>
  <w:abstractNum w:abstractNumId="90">
    <w:nsid w:val="CC1016F"/>
    <w:multiLevelType w:val="hybridMultilevel"/>
    <w:lvl w:ilvl="0">
      <w:lvlJc w:val="left"/>
      <w:lvlText w:val="%1"/>
      <w:numFmt w:val="decimal"/>
      <w:start w:val="1"/>
    </w:lvl>
    <w:lvl w:ilvl="1">
      <w:lvlJc w:val="left"/>
      <w:lvlText w:val="(%2)"/>
      <w:numFmt w:val="decimal"/>
      <w:start w:val="6"/>
    </w:lvl>
  </w:abstractNum>
  <w:abstractNum w:abstractNumId="91">
    <w:nsid w:val="43F18422"/>
    <w:multiLevelType w:val="hybridMultilevel"/>
    <w:lvl w:ilvl="0">
      <w:lvlJc w:val="left"/>
      <w:lvlText w:val="%1."/>
      <w:numFmt w:val="decimal"/>
      <w:start w:val="35"/>
    </w:lvl>
    <w:lvl w:ilvl="1">
      <w:lvlJc w:val="left"/>
      <w:lvlText w:val="%2"/>
      <w:numFmt w:val="decimal"/>
      <w:start w:val="1"/>
    </w:lvl>
  </w:abstractNum>
  <w:abstractNum w:abstractNumId="92">
    <w:nsid w:val="60EF0119"/>
    <w:multiLevelType w:val="hybridMultilevel"/>
    <w:lvl w:ilvl="0">
      <w:lvlJc w:val="left"/>
      <w:lvlText w:val="%1."/>
      <w:numFmt w:val="decimal"/>
      <w:start w:val="36"/>
    </w:lvl>
  </w:abstractNum>
  <w:abstractNum w:abstractNumId="93">
    <w:nsid w:val="26F324BA"/>
    <w:multiLevelType w:val="hybridMultilevel"/>
    <w:lvl w:ilvl="0">
      <w:lvlJc w:val="left"/>
      <w:lvlText w:val="%1."/>
      <w:numFmt w:val="decimal"/>
      <w:start w:val="38"/>
    </w:lvl>
  </w:abstractNum>
  <w:abstractNum w:abstractNumId="94">
    <w:nsid w:val="7F01579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2019-12-14T04:23:51Z</dcterms:created>
  <dcterms:modified xsi:type="dcterms:W3CDTF">2019-12-14T04:23:51Z</dcterms:modified>
</cp:coreProperties>
</file>