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center"/>
        <w:rPr/>
      </w:pPr>
      <w:r>
        <w:rPr/>
      </w:r>
      <w:bookmarkStart w:id="0" w:name="zk2635926.htm"/>
      <w:bookmarkStart w:id="1" w:name="kszk2635926"/>
      <w:bookmarkStart w:id="2" w:name="zk2635926.htm"/>
      <w:bookmarkStart w:id="3" w:name="kszk2635926"/>
      <w:bookmarkEnd w:id="2"/>
      <w:bookmarkEnd w:id="3"/>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UNITED STATES</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SECURITIES AND EXCHANGE COMMISSION</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W</w:t>
      </w:r>
      <w:r>
        <w:rPr>
          <w:rFonts w:ascii="Times New Roman;Times;serif" w:hAnsi="Times New Roman;Times;serif"/>
          <w:color w:val="000000"/>
          <w:sz w:val="20"/>
        </w:rPr>
        <w:t xml:space="preserve">ashington, D.C. </w:t>
      </w:r>
      <w:r>
        <w:rPr>
          <w:rFonts w:ascii="Times New Roman;Times;serif" w:hAnsi="Times New Roman;Times;serif"/>
          <w:smallCaps/>
          <w:color w:val="000000"/>
          <w:sz w:val="20"/>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FORM 6-K</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REPORT OF FOREIGN PRIVATE ISSUER PURSUANT TO RULE 13a-16 OR 15d-16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OF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of August 2026 No.2</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Commission File Number 0-24790</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z w:val="32"/>
          <w:shd w:fill="FFFFFF" w:val="clear"/>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of Form 20-F or Form 40-F.</w:t>
      </w:r>
    </w:p>
    <w:p>
      <w:pPr>
        <w:pStyle w:val="TextBody"/>
        <w:bidi w:val="0"/>
        <w:spacing w:lineRule="auto" w:line="300" w:before="0" w:after="0"/>
        <w:ind w:left="0" w:right="0" w:firstLine="2662"/>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On August 11, 2026, the Registrant and OpenLight Expanding PH18DA Photonics Ecosystem to Accelerate Photonic IC Development</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tbl>
      <w:tblPr>
        <w:tblW w:w="6099" w:type="dxa"/>
        <w:jc w:val="left"/>
        <w:tblInd w:w="0" w:type="dxa"/>
        <w:tblLayout w:type="fixed"/>
        <w:tblCellMar>
          <w:top w:w="0" w:type="dxa"/>
          <w:left w:w="0" w:type="dxa"/>
          <w:bottom w:w="0" w:type="dxa"/>
          <w:right w:w="0" w:type="dxa"/>
        </w:tblCellMar>
      </w:tblPr>
      <w:tblGrid>
        <w:gridCol w:w="2180"/>
        <w:gridCol w:w="545"/>
        <w:gridCol w:w="3314"/>
        <w:gridCol w:w="60"/>
      </w:tblGrid>
      <w:tr>
        <w:trPr/>
        <w:tc>
          <w:tcPr>
            <w:tcW w:w="2180" w:type="dxa"/>
            <w:tcBorders/>
          </w:tcPr>
          <w:p>
            <w:pPr>
              <w:pStyle w:val="TableContents"/>
              <w:bidi w:val="0"/>
              <w:spacing w:before="0" w:after="283"/>
              <w:jc w:val="left"/>
              <w:rPr/>
            </w:pPr>
            <w:r>
              <w:rPr/>
              <w:t> </w:t>
            </w:r>
          </w:p>
        </w:tc>
        <w:tc>
          <w:tcPr>
            <w:tcW w:w="3859" w:type="dxa"/>
            <w:gridSpan w:val="2"/>
            <w:tcBorders/>
          </w:tcPr>
          <w:p>
            <w:pPr>
              <w:pStyle w:val="TableContents"/>
              <w:bidi w:val="0"/>
              <w:spacing w:lineRule="auto" w:line="300" w:before="0" w:after="0"/>
              <w:jc w:val="left"/>
              <w:rPr>
                <w:rFonts w:ascii="Times New Roman;Times;serif" w:hAnsi="Times New Roman;Times;serif"/>
                <w:b/>
              </w:rPr>
            </w:pPr>
            <w:r>
              <w:rPr>
                <w:rFonts w:ascii="Times New Roman;Times;serif" w:hAnsi="Times New Roman;Times;serif"/>
                <w:b/>
              </w:rPr>
              <w:t>TOWER SEMICONDUCTOR LTD.</w:t>
            </w:r>
          </w:p>
        </w:tc>
        <w:tc>
          <w:tcPr>
            <w:tcW w:w="60" w:type="dxa"/>
            <w:tcBorders/>
          </w:tcPr>
          <w:p>
            <w:pPr>
              <w:pStyle w:val="TableContents"/>
              <w:bidi w:val="0"/>
              <w:spacing w:before="0" w:after="283"/>
              <w:jc w:val="left"/>
              <w:rPr/>
            </w:pPr>
            <w:r>
              <w:rPr/>
              <w:t> </w:t>
            </w:r>
          </w:p>
        </w:tc>
      </w:tr>
      <w:tr>
        <w:trPr/>
        <w:tc>
          <w:tcPr>
            <w:tcW w:w="2180" w:type="dxa"/>
            <w:tcBorders/>
          </w:tcPr>
          <w:p>
            <w:pPr>
              <w:pStyle w:val="TableContents"/>
              <w:bidi w:val="0"/>
              <w:spacing w:before="0" w:after="283"/>
              <w:jc w:val="left"/>
              <w:rPr/>
            </w:pPr>
            <w:r>
              <w:rPr/>
              <w:t> </w:t>
            </w:r>
          </w:p>
        </w:tc>
        <w:tc>
          <w:tcPr>
            <w:tcW w:w="545" w:type="dxa"/>
            <w:tcBorders/>
          </w:tcPr>
          <w:p>
            <w:pPr>
              <w:pStyle w:val="TableContents"/>
              <w:bidi w:val="0"/>
              <w:spacing w:before="0" w:after="283"/>
              <w:jc w:val="left"/>
              <w:rPr/>
            </w:pPr>
            <w:r>
              <w:rPr/>
              <w:t> </w:t>
            </w:r>
          </w:p>
        </w:tc>
        <w:tc>
          <w:tcPr>
            <w:tcW w:w="3314"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2180" w:type="dxa"/>
            <w:tcBorders/>
          </w:tcPr>
          <w:p>
            <w:pPr>
              <w:pStyle w:val="TableContents"/>
              <w:bidi w:val="0"/>
              <w:spacing w:before="0" w:after="0"/>
              <w:ind w:left="0" w:right="0" w:hanging="0"/>
              <w:jc w:val="left"/>
              <w:rPr/>
            </w:pPr>
            <w:r>
              <w:rPr/>
              <w:t>Date: August 11, 2026</w:t>
            </w:r>
          </w:p>
        </w:tc>
        <w:tc>
          <w:tcPr>
            <w:tcW w:w="545" w:type="dxa"/>
            <w:tcBorders/>
          </w:tcPr>
          <w:p>
            <w:pPr>
              <w:pStyle w:val="TableContents"/>
              <w:bidi w:val="0"/>
              <w:spacing w:before="0" w:after="0"/>
              <w:ind w:left="0" w:right="0" w:hanging="0"/>
              <w:jc w:val="left"/>
              <w:rPr/>
            </w:pPr>
            <w:r>
              <w:rPr/>
              <w:t xml:space="preserve">By: </w:t>
            </w:r>
          </w:p>
        </w:tc>
        <w:tc>
          <w:tcPr>
            <w:tcW w:w="3314" w:type="dxa"/>
            <w:tcBorders>
              <w:bottom w:val="single" w:sz="12" w:space="0" w:color="000000"/>
            </w:tcBorders>
            <w:tcMar>
              <w:bottom w:w="28" w:type="dxa"/>
            </w:tcMar>
          </w:tcPr>
          <w:p>
            <w:pPr>
              <w:pStyle w:val="TableContents"/>
              <w:bidi w:val="0"/>
              <w:spacing w:before="0" w:after="283"/>
              <w:jc w:val="left"/>
              <w:rPr/>
            </w:pPr>
            <w:r>
              <w:rPr/>
              <w:t>/s/ Nati Somekh</w:t>
            </w:r>
          </w:p>
        </w:tc>
        <w:tc>
          <w:tcPr>
            <w:tcW w:w="60" w:type="dxa"/>
            <w:tcBorders/>
          </w:tcPr>
          <w:p>
            <w:pPr>
              <w:pStyle w:val="TableContents"/>
              <w:bidi w:val="0"/>
              <w:spacing w:before="0" w:after="283"/>
              <w:jc w:val="left"/>
              <w:rPr/>
            </w:pPr>
            <w:r>
              <w:rPr/>
              <w:t> </w:t>
            </w:r>
          </w:p>
        </w:tc>
      </w:tr>
      <w:tr>
        <w:trPr/>
        <w:tc>
          <w:tcPr>
            <w:tcW w:w="2180" w:type="dxa"/>
            <w:tcBorders/>
          </w:tcPr>
          <w:p>
            <w:pPr>
              <w:pStyle w:val="TableContents"/>
              <w:bidi w:val="0"/>
              <w:spacing w:before="0" w:after="283"/>
              <w:jc w:val="left"/>
              <w:rPr/>
            </w:pPr>
            <w:r>
              <w:rPr/>
              <w:t> </w:t>
            </w:r>
          </w:p>
        </w:tc>
        <w:tc>
          <w:tcPr>
            <w:tcW w:w="545" w:type="dxa"/>
            <w:tcBorders/>
          </w:tcPr>
          <w:p>
            <w:pPr>
              <w:pStyle w:val="TableContents"/>
              <w:bidi w:val="0"/>
              <w:spacing w:before="0" w:after="283"/>
              <w:jc w:val="left"/>
              <w:rPr/>
            </w:pPr>
            <w:r>
              <w:rPr/>
              <w:t> </w:t>
            </w:r>
          </w:p>
        </w:tc>
        <w:tc>
          <w:tcPr>
            <w:tcW w:w="3314" w:type="dxa"/>
            <w:tcBorders/>
            <w:vAlign w:val="bottom"/>
          </w:tcPr>
          <w:p>
            <w:pPr>
              <w:pStyle w:val="TableContents"/>
              <w:bidi w:val="0"/>
              <w:spacing w:before="0" w:after="283"/>
              <w:jc w:val="left"/>
              <w:rPr/>
            </w:pPr>
            <w:r>
              <w:rPr/>
              <w:t>Name: Nati Somekh</w:t>
            </w:r>
          </w:p>
        </w:tc>
        <w:tc>
          <w:tcPr>
            <w:tcW w:w="60" w:type="dxa"/>
            <w:tcBorders/>
          </w:tcPr>
          <w:p>
            <w:pPr>
              <w:pStyle w:val="TableContents"/>
              <w:bidi w:val="0"/>
              <w:spacing w:before="0" w:after="283"/>
              <w:jc w:val="left"/>
              <w:rPr/>
            </w:pPr>
            <w:r>
              <w:rPr/>
              <w:t> </w:t>
            </w:r>
          </w:p>
        </w:tc>
      </w:tr>
      <w:tr>
        <w:trPr/>
        <w:tc>
          <w:tcPr>
            <w:tcW w:w="2180" w:type="dxa"/>
            <w:tcBorders/>
          </w:tcPr>
          <w:p>
            <w:pPr>
              <w:pStyle w:val="TableContents"/>
              <w:bidi w:val="0"/>
              <w:spacing w:before="0" w:after="283"/>
              <w:jc w:val="left"/>
              <w:rPr/>
            </w:pPr>
            <w:r>
              <w:rPr/>
              <w:t> </w:t>
            </w:r>
          </w:p>
        </w:tc>
        <w:tc>
          <w:tcPr>
            <w:tcW w:w="545" w:type="dxa"/>
            <w:tcBorders/>
          </w:tcPr>
          <w:p>
            <w:pPr>
              <w:pStyle w:val="TableContents"/>
              <w:bidi w:val="0"/>
              <w:spacing w:before="0" w:after="283"/>
              <w:jc w:val="left"/>
              <w:rPr/>
            </w:pPr>
            <w:r>
              <w:rPr/>
              <w:t> </w:t>
            </w:r>
          </w:p>
        </w:tc>
        <w:tc>
          <w:tcPr>
            <w:tcW w:w="3314" w:type="dxa"/>
            <w:tcBorders/>
          </w:tcPr>
          <w:p>
            <w:pPr>
              <w:pStyle w:val="TableContents"/>
              <w:bidi w:val="0"/>
              <w:spacing w:before="0" w:after="283"/>
              <w:jc w:val="left"/>
              <w:rPr/>
            </w:pPr>
            <w:r>
              <w:rPr/>
              <w:t>Title:   Corporate Secretary</w:t>
            </w:r>
          </w:p>
        </w:tc>
        <w:tc>
          <w:tcPr>
            <w:tcW w:w="60" w:type="dxa"/>
            <w:tcBorders/>
          </w:tcPr>
          <w:p>
            <w:pPr>
              <w:pStyle w:val="TableContents"/>
              <w:bidi w:val="0"/>
              <w:spacing w:before="0" w:after="283"/>
              <w:jc w:val="left"/>
              <w:rPr/>
            </w:pPr>
            <w:r>
              <w:rPr/>
              <w:t> </w:t>
            </w:r>
          </w:p>
        </w:tc>
      </w:tr>
      <w:tr>
        <w:trPr/>
        <w:tc>
          <w:tcPr>
            <w:tcW w:w="2180" w:type="dxa"/>
            <w:tcBorders/>
          </w:tcPr>
          <w:p>
            <w:pPr>
              <w:pStyle w:val="TableContents"/>
              <w:bidi w:val="0"/>
              <w:spacing w:before="0" w:after="283"/>
              <w:jc w:val="left"/>
              <w:rPr/>
            </w:pPr>
            <w:r>
              <w:rPr/>
              <w:t> </w:t>
            </w:r>
          </w:p>
        </w:tc>
        <w:tc>
          <w:tcPr>
            <w:tcW w:w="545" w:type="dxa"/>
            <w:tcBorders/>
          </w:tcPr>
          <w:p>
            <w:pPr>
              <w:pStyle w:val="TableContents"/>
              <w:bidi w:val="0"/>
              <w:spacing w:before="0" w:after="283"/>
              <w:jc w:val="left"/>
              <w:rPr/>
            </w:pPr>
            <w:r>
              <w:rPr/>
              <w:t> </w:t>
            </w:r>
          </w:p>
        </w:tc>
        <w:tc>
          <w:tcPr>
            <w:tcW w:w="3314"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0"/>
              <w:jc w:val="left"/>
              <w:rPr/>
            </w:pPr>
            <w:r>
              <w:rPr/>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fe9017da01d746adab43dae22d66703a"/>
      <w:bookmarkStart w:id="5" w:name="zfe9017da01d746adab43dae22d66703a"/>
      <w:bookmarkEnd w:id="5"/>
    </w:p>
    <w:tbl>
      <w:tblPr>
        <w:tblW w:w="2160" w:type="dxa"/>
        <w:jc w:val="left"/>
        <w:tblInd w:w="0" w:type="dxa"/>
        <w:tblLayout w:type="fixed"/>
        <w:tblCellMar>
          <w:top w:w="0" w:type="dxa"/>
          <w:left w:w="0" w:type="dxa"/>
          <w:bottom w:w="0" w:type="dxa"/>
          <w:right w:w="0" w:type="dxa"/>
        </w:tblCellMar>
      </w:tblPr>
      <w:tblGrid>
        <w:gridCol w:w="810"/>
        <w:gridCol w:w="1350"/>
      </w:tblGrid>
      <w:tr>
        <w:trPr/>
        <w:tc>
          <w:tcPr>
            <w:tcW w:w="810" w:type="dxa"/>
            <w:tcBorders/>
            <w:vAlign w:val="center"/>
          </w:tcPr>
          <w:p>
            <w:pPr>
              <w:pStyle w:val="TableContents"/>
              <w:bidi w:val="0"/>
              <w:spacing w:lineRule="auto" w:line="300" w:before="0" w:after="0"/>
              <w:jc w:val="left"/>
              <w:rPr/>
            </w:pPr>
            <w:r>
              <w:rPr/>
              <w:drawing>
                <wp:inline distT="0" distB="0" distL="0" distR="0">
                  <wp:extent cx="514350"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4350" cy="295275"/>
                          </a:xfrm>
                          <a:prstGeom prst="rect">
                            <a:avLst/>
                          </a:prstGeom>
                        </pic:spPr>
                      </pic:pic>
                    </a:graphicData>
                  </a:graphic>
                </wp:inline>
              </w:drawing>
            </w:r>
          </w:p>
        </w:tc>
        <w:tc>
          <w:tcPr>
            <w:tcW w:w="1350" w:type="dxa"/>
            <w:tcBorders/>
            <w:vAlign w:val="center"/>
          </w:tcPr>
          <w:p>
            <w:pPr>
              <w:pStyle w:val="TableContents"/>
              <w:bidi w:val="0"/>
              <w:spacing w:lineRule="auto" w:line="300" w:before="0" w:after="0"/>
              <w:jc w:val="right"/>
              <w:rPr/>
            </w:pPr>
            <w:r>
              <w:rPr/>
              <w:drawing>
                <wp:inline distT="0" distB="0" distL="0" distR="0">
                  <wp:extent cx="85725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 cy="447675"/>
                          </a:xfrm>
                          <a:prstGeom prst="rect">
                            <a:avLst/>
                          </a:prstGeom>
                        </pic:spPr>
                      </pic:pic>
                    </a:graphicData>
                  </a:graphic>
                </wp:inline>
              </w:drawing>
            </w:r>
          </w:p>
        </w:tc>
      </w:tr>
    </w:tbl>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z w:val="24"/>
          <w:shd w:fill="FFFFFF" w:val="clear"/>
        </w:rPr>
        <w:t>OpenLight and Tower Semiconductor Expand PH18DA Photonics Ecosystem to Accelerate</w:t>
      </w:r>
    </w:p>
    <w:p>
      <w:pPr>
        <w:pStyle w:val="TextBody"/>
        <w:bidi w:val="0"/>
        <w:spacing w:lineRule="auto" w:line="300"/>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z w:val="24"/>
          <w:shd w:fill="FFFFFF" w:val="clear"/>
        </w:rPr>
        <w:t>Photonic IC Development</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OpenLight’s PDK is now available on Cadence’s EDA tools, enabling PIC development on Tower’s PH18DA InP-on-silicon</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photonics platform</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SANTA BARBARA, Calif., and MIGDAL HAEMEK, Israel, - August 11, 2026 </w:t>
      </w:r>
      <w:r>
        <w:rPr>
          <w:rFonts w:ascii="Times New Roman;Times;serif" w:hAnsi="Times New Roman;Times;serif"/>
          <w:color w:val="000000"/>
          <w:sz w:val="20"/>
        </w:rPr>
        <w:t xml:space="preserve">- </w:t>
      </w:r>
      <w:r>
        <w:rPr>
          <w:rFonts w:ascii="Times New Roman;Times;serif" w:hAnsi="Times New Roman;Times;serif"/>
          <w:color w:val="000000"/>
          <w:sz w:val="20"/>
          <w:u w:val="single"/>
        </w:rPr>
        <w:t>OpenLight</w:t>
      </w:r>
      <w:r>
        <w:rPr>
          <w:rFonts w:ascii="Times New Roman;Times;serif" w:hAnsi="Times New Roman;Times;serif"/>
          <w:color w:val="000000"/>
          <w:sz w:val="20"/>
        </w:rPr>
        <w:t>, a leader in heterogeneous III</w:t>
        <w:noBreakHyphen/>
        <w:t>V</w:t>
        <w:noBreakHyphen/>
        <w:t>on</w:t>
        <w:noBreakHyphen/>
        <w:t>silicon photonic integration and custom Photonic Application</w:t>
        <w:noBreakHyphen/>
        <w:t xml:space="preserve">Specific Integrated Circuits (PASICs),  and </w:t>
      </w:r>
      <w:r>
        <w:rPr>
          <w:rFonts w:ascii="Times New Roman;Times;serif" w:hAnsi="Times New Roman;Times;serif"/>
          <w:color w:val="000000"/>
          <w:sz w:val="20"/>
          <w:u w:val="single"/>
        </w:rPr>
        <w:t>Tower Semiconductor</w:t>
      </w:r>
      <w:r>
        <w:rPr>
          <w:rFonts w:ascii="Times New Roman;Times;serif" w:hAnsi="Times New Roman;Times;serif"/>
          <w:color w:val="000000"/>
          <w:sz w:val="20"/>
        </w:rPr>
        <w:t> (NASDAQ/TASE: TSEM), the leading foundry for high-value analog semiconductor solutions, today announced the availability of OpenLight’s photonic Process Design Kit (PDK) for Tower Semiconductor’s PH18DA indium phosphide (InP)-on-silicon photonics platform in Cadence’s electronic design automation (EDA) tools. Developed through close technical collaboration between the companies, the PDK now enables customers to design advanced photonic integrated circuits (PICs) within a widely adopted IC design environment and accelerate development toward production.</w:t>
        <w:br/>
        <w:br/>
        <w:t>The PH18DA ecosystem brings together OpenLight’s photonics IP, Tower’s process and manufacturing expertise, and Cadence’s leading EDA tools, enabling a streamlined path for developing advanced photonic ICs while bringing photonics design closer to established electronic IC workflows and manufacturing.</w:t>
        <w:br/>
        <w:br/>
        <w:t xml:space="preserve">“By making our PDK available on Cadence tools, we enable customers to design photonic integrated circuits within the same environment they rely on for advanced IC development,” </w:t>
      </w:r>
      <w:r>
        <w:rPr>
          <w:rFonts w:ascii="Times New Roman;Times;serif" w:hAnsi="Times New Roman;Times;serif"/>
          <w:b/>
          <w:color w:val="000000"/>
          <w:sz w:val="20"/>
        </w:rPr>
        <w:t>said Dr. Adam Carter, CEO at OpenLight.</w:t>
      </w:r>
      <w:r>
        <w:rPr>
          <w:rFonts w:ascii="Times New Roman;Times;serif" w:hAnsi="Times New Roman;Times;serif"/>
          <w:color w:val="000000"/>
          <w:sz w:val="20"/>
        </w:rPr>
        <w:t xml:space="preserve"> “This integration simplifies adoption and strengthens the path from design to production on the PH18DA platform.”</w:t>
        <w:br/>
        <w:br/>
        <w:t>Designs created using OpenLight‘s PDK support fabrication on Tower’s PH18DA InP-on-silicon photonics platform, which enables the integration of active photonic components - including lasers, modulators, and amplifiers - into a single monolithic PIC. The platform supports advanced optical systems for applications such as optical interconnects, AI infrastructure, and sensing.</w:t>
        <w:br/>
        <w:br/>
        <w:t xml:space="preserve">“In collaboration with Cadence and OpenLight, we are advancing design capabilities on the PH18DA platform through a new capability that integrates expertise across technology, IP, and EDA,” </w:t>
      </w:r>
      <w:r>
        <w:rPr>
          <w:rFonts w:ascii="Times New Roman;Times;serif" w:hAnsi="Times New Roman;Times;serif"/>
          <w:b/>
          <w:color w:val="000000"/>
          <w:sz w:val="20"/>
        </w:rPr>
        <w:t>said Dr. Samir Chaudhry, Vice President of Customer Design Enablement and Reliability</w:t>
      </w:r>
      <w:r>
        <w:rPr>
          <w:rFonts w:ascii="Times New Roman;Times;serif" w:hAnsi="Times New Roman;Times;serif"/>
          <w:color w:val="000000"/>
          <w:sz w:val="20"/>
        </w:rPr>
        <w:t> </w:t>
      </w:r>
      <w:r>
        <w:rPr>
          <w:rFonts w:ascii="Times New Roman;Times;serif" w:hAnsi="Times New Roman;Times;serif"/>
          <w:b/>
          <w:color w:val="000000"/>
          <w:sz w:val="20"/>
        </w:rPr>
        <w:t>at Tower Semiconductor</w:t>
      </w:r>
      <w:r>
        <w:rPr>
          <w:rFonts w:ascii="Times New Roman;Times;serif" w:hAnsi="Times New Roman;Times;serif"/>
          <w:color w:val="000000"/>
          <w:sz w:val="20"/>
        </w:rPr>
        <w:t>. “This approach enables customers to streamline development of 400G and 1.6T laser-integrated photonic integrated circuits, while achieving co-optimized PIC and EIC designs for improved performance, power efficiency, and scalability necessary for next-generation near- and co-packaged optics (NPO/CPO) solutions.”</w:t>
        <w:br/>
        <w:br/>
        <w:t xml:space="preserve">"Adding the OpenLight PDK PH18DA manufactured by Tower Semiconductor to the rich portfolio of photonics processes supported by the Cadence Photonics ecosystem is a key milestone because it marks the introduction of integrated active devices for high-performance, co-optimized electro-optical designs," said </w:t>
      </w:r>
      <w:r>
        <w:rPr>
          <w:rFonts w:ascii="Times New Roman;Times;serif" w:hAnsi="Times New Roman;Times;serif"/>
          <w:b/>
          <w:color w:val="000000"/>
          <w:sz w:val="20"/>
        </w:rPr>
        <w:t>Gilles Lamant, Distinguished Engineer, Cadence</w:t>
      </w:r>
      <w:r>
        <w:rPr>
          <w:rFonts w:ascii="Times New Roman;Times;serif" w:hAnsi="Times New Roman;Times;serif"/>
          <w:color w:val="000000"/>
          <w:sz w:val="20"/>
        </w:rPr>
        <w:t>.</w:t>
        <w:br/>
        <w:br/>
        <w:t>For additional information about Tower Semiconductor’s SiPho technology platform, </w:t>
      </w:r>
      <w:r>
        <w:rPr>
          <w:rFonts w:ascii="Times New Roman;Times;serif" w:hAnsi="Times New Roman;Times;serif"/>
          <w:color w:val="000000"/>
          <w:sz w:val="20"/>
          <w:u w:val="single"/>
        </w:rPr>
        <w:t>visit here</w:t>
      </w:r>
      <w:r>
        <w:rPr>
          <w:rFonts w:ascii="Times New Roman;Times;serif" w:hAnsi="Times New Roman;Times;serif"/>
          <w:color w:val="000000"/>
          <w:sz w:val="20"/>
        </w:rPr>
        <w:t>.</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For additional information about OpenLight, </w:t>
      </w:r>
      <w:r>
        <w:rPr>
          <w:rFonts w:ascii="Times New Roman;Times;serif" w:hAnsi="Times New Roman;Times;serif"/>
          <w:color w:val="000000"/>
          <w:sz w:val="20"/>
          <w:u w:val="single"/>
        </w:rPr>
        <w:t>visit here</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OpenLight</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OpenLight is a leader in the heterogeneous integration of III-V devices in silicon photonics. OpenLight’s world-leading PASIC technology, supported by its process design kit (PDK), integrates all active and passive components of silicon photonics devices into a single chip, enabling high-performance, energy-efficient photonics solutions across datacom, telecom, automotive, AI, and quantum computing applications and markets. The company’s recent $50 million Series A-1 funding round, bringing total funding to $84 million, reflects growing commercial momentum and accelerating customer adoption across next-generation photonics applications. The company is headquartered in Santa Barbara, California, with offices in Silicon Valley. Read more at </w:t>
      </w:r>
      <w:r>
        <w:rPr>
          <w:rFonts w:ascii="Times New Roman;Times;serif" w:hAnsi="Times New Roman;Times;serif"/>
          <w:color w:val="000000"/>
          <w:sz w:val="20"/>
          <w:u w:val="single"/>
        </w:rPr>
        <w:t>www.openlightphotonics.com</w:t>
      </w:r>
      <w:r>
        <w:rPr>
          <w:rFonts w:ascii="Times New Roman;Times;serif" w:hAnsi="Times New Roman;Times;serif"/>
          <w:color w:val="000000"/>
          <w:sz w:val="20"/>
        </w:rPr>
        <w:t>.</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br/>
        <w:t>About Tower Semiconductor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i/>
          <w:color w:val="000000"/>
          <w:sz w:val="20"/>
        </w:rPr>
      </w:pPr>
      <w:r>
        <w:rPr>
          <w:rFonts w:ascii="Times New Roman;Times;serif" w:hAnsi="Times New Roman;Times;serif"/>
          <w:b/>
          <w:i/>
          <w:color w:val="000000"/>
          <w:sz w:val="20"/>
        </w:rPr>
        <w:t>Safe Harbor Regarding Forward-Looking Statements</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 </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t>
      </w:r>
    </w:p>
    <w:p>
      <w:pPr>
        <w:pStyle w:val="TextBody"/>
        <w:bidi w:val="0"/>
        <w:spacing w:lineRule="auto" w:line="300" w:before="0" w:after="0"/>
        <w:jc w:val="center"/>
        <w:rPr>
          <w:rFonts w:ascii="Times New Roman;Times;serif" w:hAnsi="Times New Roman;Times;serif"/>
          <w:b/>
        </w:rPr>
      </w:pPr>
      <w:r>
        <w:rPr>
          <w:rFonts w:ascii="Times New Roman;Times;serif" w:hAnsi="Times New Roman;Times;serif"/>
          <w:b/>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Tower Semiconductor Company Contact:  </w:t>
      </w:r>
      <w:r>
        <w:rPr>
          <w:rFonts w:ascii="Times New Roman;Times;serif" w:hAnsi="Times New Roman;Times;serif"/>
          <w:color w:val="000000"/>
          <w:sz w:val="20"/>
        </w:rPr>
        <w:t xml:space="preserve">Orit Shahar | +972-74-7377440 | </w:t>
      </w:r>
      <w:r>
        <w:rPr>
          <w:rFonts w:ascii="Times New Roman;Times;serif" w:hAnsi="Times New Roman;Times;serif"/>
          <w:color w:val="000000"/>
          <w:sz w:val="20"/>
          <w:u w:val="single"/>
        </w:rPr>
        <w:t>oritsha@towersemi.com</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Tower Semiconductor Investor Relations Contact:  </w:t>
      </w:r>
      <w:r>
        <w:rPr>
          <w:rFonts w:ascii="Times New Roman;Times;serif" w:hAnsi="Times New Roman;Times;serif"/>
          <w:color w:val="000000"/>
          <w:sz w:val="20"/>
        </w:rPr>
        <w:t>Liat Avraham | +972-4-6506154 | </w:t>
      </w:r>
      <w:r>
        <w:rPr>
          <w:rFonts w:ascii="Times New Roman;Times;serif" w:hAnsi="Times New Roman;Times;serif"/>
          <w:color w:val="000000"/>
          <w:sz w:val="20"/>
          <w:u w:val="single"/>
        </w:rPr>
        <w:t>liatavra@towersemi.com</w:t>
      </w:r>
    </w:p>
    <w:p>
      <w:pPr>
        <w:pStyle w:val="TextBody"/>
        <w:bidi w:val="0"/>
        <w:spacing w:lineRule="auto" w:line="300" w:before="0" w:after="0"/>
        <w:jc w:val="left"/>
        <w:rPr>
          <w:u w:val="single"/>
        </w:rPr>
      </w:pPr>
      <w:r>
        <w:rPr>
          <w:u w:val="single"/>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OpenLight Photonics Company Contact: </w:t>
      </w:r>
      <w:r>
        <w:rPr>
          <w:rFonts w:ascii="Times New Roman;Times;serif" w:hAnsi="Times New Roman;Times;serif"/>
          <w:color w:val="000000"/>
          <w:sz w:val="20"/>
        </w:rPr>
        <w:t xml:space="preserve">Mallory Robertson </w:t>
      </w:r>
      <w:r>
        <w:rPr>
          <w:rFonts w:ascii="Times New Roman;Times;serif" w:hAnsi="Times New Roman;Times;serif"/>
          <w:color w:val="000000"/>
          <w:sz w:val="20"/>
          <w:u w:val="single"/>
        </w:rPr>
        <w:t>mallory@grandbridges.com</w:t>
      </w:r>
    </w:p>
    <w:p>
      <w:pPr>
        <w:pStyle w:val="TextBody"/>
        <w:bidi w:val="0"/>
        <w:spacing w:lineRule="auto" w:line="300" w:before="0" w:after="0"/>
        <w:jc w:val="left"/>
        <w:rPr>
          <w:u w:val="single"/>
        </w:rPr>
      </w:pPr>
      <w:r>
        <w:rPr>
          <w:u w:val="single"/>
        </w:rPr>
      </w:r>
    </w:p>
    <w:p>
      <w:pPr>
        <w:pStyle w:val="HorizontalLine"/>
        <w:bidi w:val="0"/>
        <w:spacing w:lineRule="auto" w:line="300"/>
        <w:jc w:val="left"/>
        <w:rPr/>
      </w:pPr>
      <w:r>
        <w:rPr/>
      </w:r>
    </w:p>
    <w:p>
      <w:pPr>
        <w:pStyle w:val="TextBody"/>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993</Words>
  <Characters>6366</Characters>
  <CharactersWithSpaces>7358</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