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201295</wp:posOffset>
            </wp:positionH>
            <wp:positionV relativeFrom="page">
              <wp:posOffset>150495</wp:posOffset>
            </wp:positionV>
            <wp:extent cx="714629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257810</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REPORT OF FOREIGN PRIVATE ISSUER PURSUANT TO RULE 13a-16 OR 15d-16</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For the month of February 2025 No.2</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Commission File Number 0-24790</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(Translation of registrant's name into English)</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Ramat Gavriel Industrial Park</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 Box 619, Migdal Haemek, Israel 2310502</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(Address of principal executive offices)</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Indicate by check mark whether the registrant files or will file annual reports under cover of Form 20-F or Form 40-F:</w:t>
      </w:r>
    </w:p>
    <w:p>
      <w:pPr>
        <w:spacing w:after="0" w:line="222" w:lineRule="exact"/>
        <w:rPr>
          <w:sz w:val="24"/>
          <w:szCs w:val="24"/>
          <w:color w:val="auto"/>
        </w:rPr>
      </w:pPr>
    </w:p>
    <w:p>
      <w:pPr>
        <w:jc w:val="center"/>
        <w:ind w:right="-19"/>
        <w:spacing w:after="0" w:line="219" w:lineRule="exact"/>
        <w:tabs>
          <w:tab w:leader="none" w:pos="400" w:val="left"/>
        </w:tabs>
        <w:rPr>
          <w:sz w:val="20"/>
          <w:szCs w:val="20"/>
          <w:color w:val="auto"/>
        </w:rPr>
      </w:pPr>
      <w:r>
        <w:rPr>
          <w:rFonts w:ascii="Times New Roman" w:cs="Times New Roman" w:eastAsia="Times New Roman" w:hAnsi="Times New Roman"/>
          <w:sz w:val="19"/>
          <w:szCs w:val="19"/>
          <w:color w:val="auto"/>
        </w:rPr>
        <w:t xml:space="preserve">Form 20-F </w:t>
      </w:r>
      <w:r>
        <w:rPr>
          <w:rFonts w:ascii="MS PGothic" w:cs="MS PGothic" w:eastAsia="MS PGothic" w:hAnsi="MS PGothic"/>
          <w:sz w:val="19"/>
          <w:szCs w:val="19"/>
          <w:color w:val="auto"/>
        </w:rPr>
        <w:t>☒</w:t>
      </w:r>
      <w:r>
        <w:rPr>
          <w:sz w:val="20"/>
          <w:szCs w:val="20"/>
          <w:color w:val="auto"/>
        </w:rPr>
        <w:tab/>
      </w:r>
      <w:r>
        <w:rPr>
          <w:rFonts w:ascii="Times New Roman" w:cs="Times New Roman" w:eastAsia="Times New Roman" w:hAnsi="Times New Roman"/>
          <w:sz w:val="19"/>
          <w:szCs w:val="19"/>
          <w:color w:val="auto"/>
        </w:rPr>
        <w:t xml:space="preserve">Form 40-F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-661670</wp:posOffset>
            </wp:positionH>
            <wp:positionV relativeFrom="paragraph">
              <wp:posOffset>304165</wp:posOffset>
            </wp:positionV>
            <wp:extent cx="714629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9160"/>
          </w:cols>
          <w:pgMar w:left="1360" w:top="743" w:right="1379" w:bottom="1440" w:gutter="0" w:footer="0" w:header="0"/>
        </w:sectPr>
      </w:pPr>
    </w:p>
    <w:bookmarkStart w:id="1" w:name="page2"/>
    <w:bookmarkEnd w:id="1"/>
    <w:p>
      <w:pPr>
        <w:ind w:left="560"/>
        <w:spacing w:after="0"/>
        <w:rPr>
          <w:sz w:val="20"/>
          <w:szCs w:val="20"/>
          <w:color w:val="auto"/>
        </w:rPr>
      </w:pPr>
      <w:r>
        <w:rPr>
          <w:rFonts w:ascii="Times New Roman" w:cs="Times New Roman" w:eastAsia="Times New Roman" w:hAnsi="Times New Roman"/>
          <w:sz w:val="16"/>
          <w:szCs w:val="16"/>
          <w:color w:val="auto"/>
        </w:rPr>
        <w:t>On February 27, 2025, the Registrant announced its financial results for the year ended December 31, 2024. Attached hereto are the following exhibits:</w:t>
      </w:r>
    </w:p>
    <w:p>
      <w:pPr>
        <w:spacing w:after="0" w:line="264" w:lineRule="exact"/>
        <w:rPr>
          <w:sz w:val="20"/>
          <w:szCs w:val="20"/>
          <w:color w:val="auto"/>
        </w:rPr>
      </w:pPr>
    </w:p>
    <w:p>
      <w:pPr>
        <w:ind w:left="1120" w:hanging="1124"/>
        <w:spacing w:after="0" w:line="263" w:lineRule="auto"/>
        <w:tabs>
          <w:tab w:leader="none" w:pos="1100" w:val="left"/>
        </w:tabs>
        <w:rPr>
          <w:sz w:val="20"/>
          <w:szCs w:val="20"/>
          <w:color w:val="auto"/>
        </w:rPr>
      </w:pPr>
      <w:r>
        <w:rPr>
          <w:rFonts w:ascii="Times New Roman" w:cs="Times New Roman" w:eastAsia="Times New Roman" w:hAnsi="Times New Roman"/>
          <w:sz w:val="16"/>
          <w:szCs w:val="16"/>
          <w:u w:val="single" w:color="auto"/>
          <w:color w:val="0000EE"/>
        </w:rPr>
        <w:t>Exhibit 99.1</w:t>
      </w:r>
      <w:r>
        <w:rPr>
          <w:sz w:val="20"/>
          <w:szCs w:val="20"/>
          <w:color w:val="auto"/>
        </w:rPr>
        <w:tab/>
      </w:r>
      <w:r>
        <w:rPr>
          <w:rFonts w:ascii="Times New Roman" w:cs="Times New Roman" w:eastAsia="Times New Roman" w:hAnsi="Times New Roman"/>
          <w:sz w:val="16"/>
          <w:szCs w:val="16"/>
          <w:u w:val="single" w:color="auto"/>
          <w:color w:val="0000EE"/>
        </w:rPr>
        <w:t>Registrant’s consolidated financial statements as of December 31, 2024 and 2023, and for each of the years in the three-year period ended December 31, 2024, and the report thereon dated February 27, 2025 of Brightman Almagor Zohar &amp; Co.</w:t>
      </w:r>
    </w:p>
    <w:p>
      <w:pPr>
        <w:spacing w:after="0"/>
        <w:tabs>
          <w:tab w:leader="none" w:pos="1100" w:val="left"/>
        </w:tabs>
        <w:rPr>
          <w:sz w:val="20"/>
          <w:szCs w:val="20"/>
          <w:color w:val="auto"/>
        </w:rPr>
      </w:pPr>
      <w:r>
        <w:rPr>
          <w:rFonts w:ascii="Times New Roman" w:cs="Times New Roman" w:eastAsia="Times New Roman" w:hAnsi="Times New Roman"/>
          <w:sz w:val="16"/>
          <w:szCs w:val="16"/>
          <w:u w:val="single" w:color="auto"/>
          <w:color w:val="0000EE"/>
        </w:rPr>
        <w:t>Exhibit 99.2</w:t>
      </w:r>
      <w:r>
        <w:rPr>
          <w:sz w:val="20"/>
          <w:szCs w:val="20"/>
          <w:color w:val="auto"/>
        </w:rPr>
        <w:tab/>
      </w:r>
      <w:r>
        <w:rPr>
          <w:rFonts w:ascii="Times New Roman" w:cs="Times New Roman" w:eastAsia="Times New Roman" w:hAnsi="Times New Roman"/>
          <w:sz w:val="16"/>
          <w:szCs w:val="16"/>
          <w:u w:val="single" w:color="auto"/>
          <w:color w:val="0000EE"/>
        </w:rPr>
        <w:t>Management’s Discussion and Analysis of Financial Condition and Results of Operations</w:t>
      </w:r>
    </w:p>
    <w:p>
      <w:pPr>
        <w:spacing w:after="0" w:line="2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u w:val="single" w:color="auto"/>
          <w:color w:val="0000EE"/>
        </w:rPr>
        <w:t>Exhibit 99.3</w:t>
      </w:r>
      <w:r>
        <w:rPr>
          <w:sz w:val="20"/>
          <w:szCs w:val="20"/>
          <w:color w:val="auto"/>
        </w:rPr>
        <w:tab/>
      </w:r>
      <w:r>
        <w:rPr>
          <w:rFonts w:ascii="Times New Roman" w:cs="Times New Roman" w:eastAsia="Times New Roman" w:hAnsi="Times New Roman"/>
          <w:sz w:val="16"/>
          <w:szCs w:val="16"/>
          <w:u w:val="single" w:color="auto"/>
          <w:color w:val="0000EE"/>
        </w:rPr>
        <w:t>Consent of Independent Registered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Form 6-K, including all exhibits hereto, is hereby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278130</wp:posOffset>
            </wp:positionV>
            <wp:extent cx="714629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6" w:lineRule="exact"/>
        <w:rPr>
          <w:sz w:val="20"/>
          <w:szCs w:val="20"/>
          <w:color w:val="auto"/>
        </w:rPr>
      </w:pPr>
    </w:p>
    <w:p>
      <w:pPr>
        <w:ind w:firstLine="573"/>
        <w:spacing w:after="0" w:line="28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TOWER SEMICONDUCTOR LTD.</w:t>
      </w:r>
    </w:p>
    <w:p>
      <w:pPr>
        <w:spacing w:after="0" w:line="20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 February 27, 2025,</w:t>
      </w:r>
      <w:r>
        <w:rPr>
          <w:sz w:val="20"/>
          <w:szCs w:val="20"/>
          <w:color w:val="auto"/>
        </w:rPr>
        <w:tab/>
      </w:r>
      <w:r>
        <w:rPr>
          <w:rFonts w:ascii="Times New Roman" w:cs="Times New Roman" w:eastAsia="Times New Roman" w:hAnsi="Times New Roman"/>
          <w:sz w:val="16"/>
          <w:szCs w:val="16"/>
          <w:color w:val="auto"/>
        </w:rPr>
        <w:t>By:</w:t>
        <w:tab/>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3863340</wp:posOffset>
            </wp:positionH>
            <wp:positionV relativeFrom="paragraph">
              <wp:posOffset>16510</wp:posOffset>
            </wp:positionV>
            <wp:extent cx="242824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8240" cy="15240"/>
                    </a:xfrm>
                    <a:prstGeom prst="rect">
                      <a:avLst/>
                    </a:prstGeom>
                    <a:noFill/>
                  </pic:spPr>
                </pic:pic>
              </a:graphicData>
            </a:graphic>
          </wp:anchor>
        </w:drawing>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Name:Nati Somekh</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Title: Senior Vice President,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221615</wp:posOffset>
            </wp:positionV>
            <wp:extent cx="71462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306070</wp:posOffset>
            </wp:positionV>
            <wp:extent cx="7146290" cy="30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30480"/>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196215</wp:posOffset>
            </wp:positionV>
            <wp:extent cx="71462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99.1</w:t>
      </w:r>
    </w:p>
    <w:p>
      <w:pPr>
        <w:spacing w:after="0" w:line="2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TOWER SEMICONDUCTOR LTD.</w:t>
      </w:r>
    </w:p>
    <w:p>
      <w:pPr>
        <w:spacing w:after="0" w:line="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AND SUBSIDIARIES</w:t>
      </w:r>
    </w:p>
    <w:p>
      <w:pPr>
        <w:spacing w:after="0" w:line="25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9"/>
          <w:szCs w:val="19"/>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279400</wp:posOffset>
            </wp:positionV>
            <wp:extent cx="714629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140"/>
          </w:cols>
          <w:pgMar w:left="1440" w:top="401"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TOWER SEMICONDUCTOR LTD. AND SUBSIDIARIES</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INDEX TO CONSOLIDATED FINANCIAL STATEMENTS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51"/>
        </w:trPr>
        <w:tc>
          <w:tcPr>
            <w:tcW w:w="1024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1197)</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F-3</w:t>
            </w:r>
          </w:p>
        </w:tc>
      </w:tr>
      <w:tr>
        <w:trPr>
          <w:trHeight w:val="379"/>
        </w:trPr>
        <w:tc>
          <w:tcPr>
            <w:tcW w:w="14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9"/>
              </w:rPr>
              <w:t>BALANCE SHEETS</w:t>
            </w:r>
          </w:p>
        </w:tc>
        <w:tc>
          <w:tcPr>
            <w:tcW w:w="3800" w:type="dxa"/>
            <w:vAlign w:val="bottom"/>
            <w:tcBorders>
              <w:top w:val="single" w:sz="8" w:color="0000EE"/>
            </w:tcBorders>
            <w:gridSpan w:val="6"/>
          </w:tcPr>
          <w:p>
            <w:pPr>
              <w:spacing w:after="0"/>
              <w:rPr>
                <w:sz w:val="24"/>
                <w:szCs w:val="24"/>
                <w:color w:val="auto"/>
              </w:rPr>
            </w:pPr>
          </w:p>
        </w:tc>
        <w:tc>
          <w:tcPr>
            <w:tcW w:w="504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F-4</w:t>
            </w:r>
          </w:p>
        </w:tc>
      </w:tr>
      <w:tr>
        <w:trPr>
          <w:trHeight w:val="379"/>
        </w:trPr>
        <w:tc>
          <w:tcPr>
            <w:tcW w:w="1024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STATEMENTS OF OPERATIONS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F-5</w:t>
            </w:r>
          </w:p>
        </w:tc>
      </w:tr>
      <w:tr>
        <w:trPr>
          <w:trHeight w:val="20"/>
        </w:trPr>
        <w:tc>
          <w:tcPr>
            <w:tcW w:w="2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379"/>
        </w:trPr>
        <w:tc>
          <w:tcPr>
            <w:tcW w:w="3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w w:val="99"/>
              </w:rPr>
              <w:t>STATEMENTS OF COMPREHENSIVE INCOME</w:t>
            </w:r>
          </w:p>
        </w:tc>
        <w:tc>
          <w:tcPr>
            <w:tcW w:w="6900" w:type="dxa"/>
            <w:vAlign w:val="bottom"/>
            <w:gridSpan w:val="3"/>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F-6</w:t>
            </w:r>
          </w:p>
        </w:tc>
      </w:tr>
      <w:tr>
        <w:trPr>
          <w:trHeight w:val="379"/>
        </w:trPr>
        <w:tc>
          <w:tcPr>
            <w:tcW w:w="1024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STATEMENTS OF CHANGES IN SHAREHOLDERS’ EQUITY</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F-7</w:t>
            </w:r>
          </w:p>
        </w:tc>
      </w:tr>
      <w:tr>
        <w:trPr>
          <w:trHeight w:val="379"/>
        </w:trPr>
        <w:tc>
          <w:tcPr>
            <w:tcW w:w="2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8"/>
              </w:rPr>
              <w:t>STATEMENTS OF CASH FLOWS</w:t>
            </w:r>
          </w:p>
        </w:tc>
        <w:tc>
          <w:tcPr>
            <w:tcW w:w="1960" w:type="dxa"/>
            <w:vAlign w:val="bottom"/>
            <w:tcBorders>
              <w:top w:val="single" w:sz="8" w:color="0000EE"/>
            </w:tcBorders>
            <w:gridSpan w:val="3"/>
          </w:tcPr>
          <w:p>
            <w:pPr>
              <w:spacing w:after="0"/>
              <w:rPr>
                <w:sz w:val="24"/>
                <w:szCs w:val="24"/>
                <w:color w:val="auto"/>
              </w:rPr>
            </w:pPr>
          </w:p>
        </w:tc>
        <w:tc>
          <w:tcPr>
            <w:tcW w:w="596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F-8</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F-9</w:t>
            </w:r>
          </w:p>
        </w:tc>
      </w:tr>
      <w:tr>
        <w:trPr>
          <w:trHeight w:val="379"/>
        </w:trPr>
        <w:tc>
          <w:tcPr>
            <w:tcW w:w="1024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NOTES TO FINANCIAL STATEMENTS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F-10</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F-49</w:t>
            </w:r>
          </w:p>
        </w:tc>
      </w:tr>
      <w:tr>
        <w:trPr>
          <w:trHeight w:val="432"/>
        </w:trPr>
        <w:tc>
          <w:tcPr>
            <w:tcW w:w="1400" w:type="dxa"/>
            <w:vAlign w:val="bottom"/>
            <w:tcBorders>
              <w:top w:val="single" w:sz="8" w:color="0000EE"/>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6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1844040" cy="407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44040" cy="407035"/>
                    </a:xfrm>
                    <a:prstGeom prst="rect">
                      <a:avLst/>
                    </a:prstGeom>
                    <a:noFill/>
                  </pic:spPr>
                </pic:pic>
              </a:graphicData>
            </a:graphic>
          </wp:anchor>
        </w:drawing>
        <w:t>REPORT OF INDEPENDENT REGISTERED PUBLIC ACCOUNTING FIRM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shareholders and the Board of Directors of Tower Semiconductor Ltd.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27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Tower Semiconductor Ltd. and subsidiaries (the "Company") as of December 31, 2024 and 2023, the related consolidated statements of operations, comprehensive income, changes in shareholders'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7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w:t>
      </w:r>
    </w:p>
    <w:p>
      <w:pPr>
        <w:spacing w:after="0" w:line="27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Taxes — Income Tax Provision — Refer to Note 18 to the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 Description</w:t>
      </w:r>
    </w:p>
    <w:p>
      <w:pPr>
        <w:spacing w:after="0" w:line="27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9"/>
          <w:szCs w:val="19"/>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year-ended December 31, 2024, the consolidated provision for income taxes was $10.2 million comprised of amounts related to Israel, Japan, U.S. and Italy operations, as detailed in Note 18.</w:t>
      </w:r>
    </w:p>
    <w:p>
      <w:pPr>
        <w:spacing w:after="0" w:line="20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9"/>
          <w:szCs w:val="19"/>
          <w:color w:val="auto"/>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4629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b w:val="1"/>
          <w:bCs w:val="1"/>
          <w:color w:val="auto"/>
        </w:rPr>
        <w:t>How the Critical Audit Matter Was Addressed in the Audit</w:t>
      </w:r>
    </w:p>
    <w:p>
      <w:pPr>
        <w:spacing w:after="0" w:line="2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Our audit procedures related to the determination of the taxable income allocation and income tax provision included the following, among others:</w:t>
      </w:r>
    </w:p>
    <w:p>
      <w:pPr>
        <w:spacing w:after="0" w:line="200" w:lineRule="exact"/>
        <w:rPr>
          <w:sz w:val="20"/>
          <w:szCs w:val="20"/>
          <w:color w:val="auto"/>
        </w:rPr>
      </w:pPr>
    </w:p>
    <w:p>
      <w:pPr>
        <w:spacing w:after="0" w:line="276" w:lineRule="exact"/>
        <w:rPr>
          <w:sz w:val="20"/>
          <w:szCs w:val="20"/>
          <w:color w:val="auto"/>
        </w:rPr>
      </w:pPr>
    </w:p>
    <w:p>
      <w:pPr>
        <w:ind w:left="320" w:hanging="275"/>
        <w:spacing w:after="0" w:line="286" w:lineRule="auto"/>
        <w:tabs>
          <w:tab w:leader="none" w:pos="3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spacing w:after="0" w:line="190" w:lineRule="exact"/>
        <w:rPr>
          <w:rFonts w:ascii="Times New Roman" w:cs="Times New Roman" w:eastAsia="Times New Roman" w:hAnsi="Times New Roman"/>
          <w:sz w:val="16"/>
          <w:szCs w:val="16"/>
          <w:color w:val="auto"/>
        </w:rPr>
      </w:pPr>
    </w:p>
    <w:p>
      <w:pPr>
        <w:ind w:left="320" w:hanging="275"/>
        <w:spacing w:after="0" w:line="286" w:lineRule="auto"/>
        <w:tabs>
          <w:tab w:leader="none" w:pos="3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tested the effectiveness of controls over the Company’s process to allocate its taxable income between the different subsidiaries based on the Company's transfer pricing studies.</w:t>
      </w:r>
    </w:p>
    <w:p>
      <w:pPr>
        <w:spacing w:after="0" w:line="190" w:lineRule="exact"/>
        <w:rPr>
          <w:rFonts w:ascii="Times New Roman" w:cs="Times New Roman" w:eastAsia="Times New Roman" w:hAnsi="Times New Roman"/>
          <w:sz w:val="16"/>
          <w:szCs w:val="16"/>
          <w:color w:val="auto"/>
        </w:rPr>
      </w:pPr>
    </w:p>
    <w:p>
      <w:pPr>
        <w:ind w:left="320" w:hanging="275"/>
        <w:spacing w:after="0" w:line="286" w:lineRule="auto"/>
        <w:tabs>
          <w:tab w:leader="none" w:pos="3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read and evaluated management’s documentation, including information obtained by management from external tax specialists that detailed the basis of the uncertain tax positions.</w:t>
      </w:r>
    </w:p>
    <w:p>
      <w:pPr>
        <w:spacing w:after="0" w:line="190" w:lineRule="exact"/>
        <w:rPr>
          <w:rFonts w:ascii="Times New Roman" w:cs="Times New Roman" w:eastAsia="Times New Roman" w:hAnsi="Times New Roman"/>
          <w:sz w:val="16"/>
          <w:szCs w:val="16"/>
          <w:color w:val="auto"/>
        </w:rPr>
      </w:pPr>
    </w:p>
    <w:p>
      <w:pPr>
        <w:ind w:left="320" w:hanging="275"/>
        <w:spacing w:after="0"/>
        <w:tabs>
          <w:tab w:leader="none" w:pos="3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assistance of our income tax specialists, we evaluated:</w:t>
      </w:r>
    </w:p>
    <w:p>
      <w:pPr>
        <w:spacing w:after="0" w:line="251" w:lineRule="exact"/>
        <w:rPr>
          <w:rFonts w:ascii="Times New Roman" w:cs="Times New Roman" w:eastAsia="Times New Roman" w:hAnsi="Times New Roman"/>
          <w:sz w:val="16"/>
          <w:szCs w:val="16"/>
          <w:color w:val="auto"/>
        </w:rPr>
      </w:pPr>
    </w:p>
    <w:p>
      <w:pPr>
        <w:ind w:left="560" w:hanging="273"/>
        <w:spacing w:after="0" w:line="286" w:lineRule="auto"/>
        <w:tabs>
          <w:tab w:leader="none" w:pos="56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appropriateness of the transfer pricing analysis, including the transfer pricing methods and profit level indicators and ranges provided within the transfer pricing studies conducted by the Company’s external tax specialists.</w:t>
      </w:r>
    </w:p>
    <w:p>
      <w:pPr>
        <w:spacing w:after="0" w:line="190" w:lineRule="exact"/>
        <w:rPr>
          <w:rFonts w:ascii="Times New Roman" w:cs="Times New Roman" w:eastAsia="Times New Roman" w:hAnsi="Times New Roman"/>
          <w:sz w:val="16"/>
          <w:szCs w:val="16"/>
          <w:color w:val="auto"/>
        </w:rPr>
      </w:pPr>
    </w:p>
    <w:p>
      <w:pPr>
        <w:ind w:left="560" w:hanging="273"/>
        <w:spacing w:after="0"/>
        <w:tabs>
          <w:tab w:leader="none" w:pos="56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appropriateness of the transfer pricing methodology implemented by management as provided in the transfer pricing studies.</w:t>
      </w:r>
    </w:p>
    <w:p>
      <w:pPr>
        <w:spacing w:after="0" w:line="251" w:lineRule="exact"/>
        <w:rPr>
          <w:rFonts w:ascii="Times New Roman" w:cs="Times New Roman" w:eastAsia="Times New Roman" w:hAnsi="Times New Roman"/>
          <w:sz w:val="16"/>
          <w:szCs w:val="16"/>
          <w:color w:val="auto"/>
        </w:rPr>
      </w:pPr>
    </w:p>
    <w:p>
      <w:pPr>
        <w:ind w:left="560" w:hanging="273"/>
        <w:spacing w:after="0"/>
        <w:tabs>
          <w:tab w:leader="none" w:pos="56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relevant facts by reading the Company’s correspondence with the relevant tax authorities and any third-party advice obtained by the Company.</w:t>
      </w:r>
    </w:p>
    <w:p>
      <w:pPr>
        <w:spacing w:after="0" w:line="251" w:lineRule="exact"/>
        <w:rPr>
          <w:rFonts w:ascii="Times New Roman" w:cs="Times New Roman" w:eastAsia="Times New Roman" w:hAnsi="Times New Roman"/>
          <w:sz w:val="16"/>
          <w:szCs w:val="16"/>
          <w:color w:val="auto"/>
        </w:rPr>
      </w:pPr>
    </w:p>
    <w:p>
      <w:pPr>
        <w:ind w:left="560" w:hanging="273"/>
        <w:spacing w:after="0" w:line="286" w:lineRule="auto"/>
        <w:tabs>
          <w:tab w:leader="none" w:pos="56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measurement of uncertain tax positions related to transfer pricing based on our knowledge of international and local income tax laws, as well as historical settlement activity from income tax authorities.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 Brightman Almagor Zohar &amp; Co.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Brightman Almagor Zohar &amp;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Certified Public Accountants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 Firm in The Deloitte Global Network</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 Aviv, Israel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27, 2025</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177165</wp:posOffset>
            </wp:positionV>
            <wp:extent cx="3834765" cy="1160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34765" cy="116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714629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7" w:name="page8"/>
    <w:bookmarkEnd w:id="7"/>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(dollars and shares in thousands)</w:t>
      </w:r>
    </w:p>
    <w:p>
      <w:pPr>
        <w:spacing w:after="0" w:line="258" w:lineRule="exact"/>
        <w:rPr>
          <w:sz w:val="20"/>
          <w:szCs w:val="20"/>
          <w:color w:val="auto"/>
        </w:rPr>
      </w:pPr>
    </w:p>
    <w:tbl>
      <w:tblPr>
        <w:tblLayout w:type="fixed"/>
        <w:tblInd w:w="3"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271,894</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260,664</w:t>
            </w:r>
          </w:p>
        </w:tc>
      </w:tr>
      <w:tr>
        <w:trPr>
          <w:trHeight w:val="206"/>
        </w:trPr>
        <w:tc>
          <w:tcPr>
            <w:tcW w:w="20" w:type="dxa"/>
            <w:vAlign w:val="bottom"/>
          </w:tcPr>
          <w:p>
            <w:pPr>
              <w:spacing w:after="0"/>
              <w:rPr>
                <w:sz w:val="17"/>
                <w:szCs w:val="17"/>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Short-term deposits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946,351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790,823</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Marketable securities (*)</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184,960</w:t>
            </w:r>
          </w:p>
        </w:tc>
      </w:tr>
      <w:tr>
        <w:trPr>
          <w:trHeight w:val="206"/>
        </w:trPr>
        <w:tc>
          <w:tcPr>
            <w:tcW w:w="20" w:type="dxa"/>
            <w:vAlign w:val="bottom"/>
          </w:tcPr>
          <w:p>
            <w:pPr>
              <w:spacing w:after="0"/>
              <w:rPr>
                <w:sz w:val="17"/>
                <w:szCs w:val="17"/>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Trade accounts receivable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211,932</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154,067</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268,295</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282,688</w:t>
            </w:r>
          </w:p>
        </w:tc>
      </w:tr>
      <w:tr>
        <w:trPr>
          <w:trHeight w:val="210"/>
        </w:trPr>
        <w:tc>
          <w:tcPr>
            <w:tcW w:w="20" w:type="dxa"/>
            <w:vAlign w:val="bottom"/>
          </w:tcPr>
          <w:p>
            <w:pPr>
              <w:spacing w:after="0"/>
              <w:rPr>
                <w:sz w:val="18"/>
                <w:szCs w:val="18"/>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61,817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35,956</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1,760,289</w:t>
            </w: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1,709,158</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INVESTMENTS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8,650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8,452</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1,286,622</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1,155,929</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5,115</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7,000</w:t>
            </w:r>
          </w:p>
        </w:tc>
      </w:tr>
      <w:tr>
        <w:trPr>
          <w:trHeight w:val="210"/>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OTHER LONG-TERM ASSETS,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14,728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32,863</w:t>
            </w:r>
          </w:p>
        </w:tc>
      </w:tr>
      <w:tr>
        <w:trPr>
          <w:trHeight w:val="246"/>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3,080,485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2,918,517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Current maturities of long-term debt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48,376</w:t>
            </w:r>
          </w:p>
        </w:tc>
        <w:tc>
          <w:tcPr>
            <w:tcW w:w="200" w:type="dxa"/>
            <w:vAlign w:val="bottom"/>
          </w:tcPr>
          <w:p>
            <w:pPr>
              <w:spacing w:after="0"/>
              <w:rPr>
                <w:sz w:val="17"/>
                <w:szCs w:val="17"/>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58,952</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Trade accounts payable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130,624</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139,128</w:t>
            </w:r>
          </w:p>
        </w:tc>
      </w:tr>
      <w:tr>
        <w:trPr>
          <w:trHeight w:val="206"/>
        </w:trPr>
        <w:tc>
          <w:tcPr>
            <w:tcW w:w="20" w:type="dxa"/>
            <w:vAlign w:val="bottom"/>
          </w:tcPr>
          <w:p>
            <w:pPr>
              <w:spacing w:after="0"/>
              <w:rPr>
                <w:sz w:val="17"/>
                <w:szCs w:val="17"/>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Deferred revenue and customers' advances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21,655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18,418</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Employee related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65,199</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51,054</w:t>
            </w:r>
          </w:p>
        </w:tc>
      </w:tr>
      <w:tr>
        <w:trPr>
          <w:trHeight w:val="210"/>
        </w:trPr>
        <w:tc>
          <w:tcPr>
            <w:tcW w:w="20" w:type="dxa"/>
            <w:vAlign w:val="bottom"/>
          </w:tcPr>
          <w:p>
            <w:pPr>
              <w:spacing w:after="0"/>
              <w:rPr>
                <w:sz w:val="18"/>
                <w:szCs w:val="18"/>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19,210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9,286</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285,064</w:t>
            </w: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276,838</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132,437</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172,611</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CUSTOMERS' ADVANCES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7,690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25,710</w:t>
            </w:r>
          </w:p>
        </w:tc>
      </w:tr>
      <w:tr>
        <w:trPr>
          <w:trHeight w:val="206"/>
        </w:trPr>
        <w:tc>
          <w:tcPr>
            <w:tcW w:w="20" w:type="dxa"/>
            <w:vAlign w:val="bottom"/>
          </w:tcPr>
          <w:p>
            <w:pPr>
              <w:spacing w:after="0"/>
              <w:rPr>
                <w:sz w:val="17"/>
                <w:szCs w:val="17"/>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EMPLOYEE RELATED LIABILITIES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4,985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6,098</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OTHER LONG-TERM LIABILITIES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10,129</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10,221</w:t>
            </w:r>
          </w:p>
        </w:tc>
      </w:tr>
      <w:tr>
        <w:trPr>
          <w:trHeight w:val="24"/>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440,305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491,478</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Ordinary shares of NIS 15 par value:</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446,562</w:t>
            </w: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443,631</w:t>
            </w:r>
          </w:p>
        </w:tc>
        <w:tc>
          <w:tcPr>
            <w:tcW w:w="120" w:type="dxa"/>
            <w:vAlign w:val="bottom"/>
            <w:shd w:val="clear" w:color="auto" w:fill="CCEEFF"/>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150,000 authorized as of December 31, 2024 and 2023</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111,637 and 111,550 issued and outstanding, respectively, as of December 31, 2024</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110,912 and 110,825 issued and outstanding, respectively, as of December 31, 2023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Additional paid-in capital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1,377,986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1,380,917</w:t>
            </w:r>
          </w:p>
        </w:tc>
        <w:tc>
          <w:tcPr>
            <w:tcW w:w="120" w:type="dxa"/>
            <w:vAlign w:val="bottom"/>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Cumulative stock based compensation</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236,551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202,343</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(74,188)</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(52,935)</w:t>
            </w:r>
          </w:p>
        </w:tc>
      </w:tr>
      <w:tr>
        <w:trPr>
          <w:trHeight w:val="210"/>
        </w:trPr>
        <w:tc>
          <w:tcPr>
            <w:tcW w:w="20" w:type="dxa"/>
            <w:vAlign w:val="bottom"/>
          </w:tcPr>
          <w:p>
            <w:pPr>
              <w:spacing w:after="0"/>
              <w:rPr>
                <w:sz w:val="18"/>
                <w:szCs w:val="18"/>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675,479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467,615</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2,662,390</w:t>
            </w: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2,441,571</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Treasury stock, at cost - 87 shares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(9,072)</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(9,072)</w:t>
            </w: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THE COMPANY'S SHAREHOLDERS' EQUITY</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2,653,318</w:t>
            </w: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2,432,499</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Non-controlling interest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(13,138)</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(5,460)</w:t>
            </w:r>
          </w:p>
        </w:tc>
      </w:tr>
      <w:tr>
        <w:trPr>
          <w:trHeight w:val="210"/>
        </w:trPr>
        <w:tc>
          <w:tcPr>
            <w:tcW w:w="20" w:type="dxa"/>
            <w:vAlign w:val="bottom"/>
          </w:tcPr>
          <w:p>
            <w:pPr>
              <w:spacing w:after="0"/>
              <w:rPr>
                <w:sz w:val="18"/>
                <w:szCs w:val="18"/>
                <w:color w:val="auto"/>
              </w:rPr>
            </w:pPr>
          </w:p>
        </w:tc>
        <w:tc>
          <w:tcPr>
            <w:tcW w:w="86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2,640,180</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2,427,039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6"/>
        </w:trPr>
        <w:tc>
          <w:tcPr>
            <w:tcW w:w="20" w:type="dxa"/>
            <w:vAlign w:val="bottom"/>
          </w:tcPr>
          <w:p>
            <w:pPr>
              <w:spacing w:after="0"/>
              <w:rPr>
                <w:sz w:val="21"/>
                <w:szCs w:val="21"/>
                <w:color w:val="auto"/>
              </w:rPr>
            </w:pPr>
          </w:p>
        </w:tc>
        <w:tc>
          <w:tcPr>
            <w:tcW w:w="86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3,080,485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2,918,517</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24" w:lineRule="exact"/>
        <w:rPr>
          <w:sz w:val="20"/>
          <w:szCs w:val="20"/>
          <w:color w:val="auto"/>
        </w:rPr>
      </w:pPr>
    </w:p>
    <w:p>
      <w:pPr>
        <w:ind w:left="3" w:right="20" w:hanging="3"/>
        <w:spacing w:after="0" w:line="304" w:lineRule="auto"/>
        <w:tabs>
          <w:tab w:leader="none" w:pos="248"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Marketable securities as of December 31, 2023 were available-for-sale securities; the amortized cost of such marketable securities of $188,826 was net of an immaterial allowance for credit losses.</w:t>
      </w:r>
    </w:p>
    <w:p>
      <w:pPr>
        <w:spacing w:after="0" w:line="17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4629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363" w:right="319" w:bottom="1440" w:gutter="0" w:footer="0" w:header="0"/>
        </w:sectPr>
      </w:pPr>
    </w:p>
    <w:bookmarkStart w:id="8" w:name="page9"/>
    <w:bookmarkEnd w:id="8"/>
    <w:p>
      <w:pPr>
        <w:ind w:left="3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2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(dollars and shares in thousands, except per share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1,436,122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1,422,680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1,677,614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1,096,680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1,069,161</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1,211,306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339,442</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353,519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466,308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Research and development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79,434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79,808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83,911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Marketing, general and administrative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74,964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72,454</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80,282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Restructuring gain from sale of machinery and equipment,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(52,168)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Restructuring expense (income), net</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(6,270)</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19,662</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10,684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Merger-contract termination fee,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(313,501)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148,128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(193,745)</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154,634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191,314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547,264</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311,674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FINANCING INCOME (EXPENSE),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50,834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30,531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(12,767)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(24,721)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7,047</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(6,934)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PROFIT BEFORE INCOME TAX</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217,427</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584,842</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291,973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EXPENSE, NET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(10,205)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(65,312)</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(25,502)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266,471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(profit) attributable to non-controlling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(1,036)</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(1,902)</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264,569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Weighted average number of shares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111,153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110,289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109,349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1.85</w:t>
            </w:r>
          </w:p>
        </w:tc>
        <w:tc>
          <w:tcPr>
            <w:tcW w:w="2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4.66</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Net profit used for diluted earnings per share</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264,569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20" w:type="dxa"/>
            <w:vAlign w:val="bottom"/>
          </w:tcPr>
          <w:p>
            <w:pPr>
              <w:ind w:left="120"/>
              <w:spacing w:after="0" w:line="176" w:lineRule="exact"/>
              <w:rPr>
                <w:sz w:val="20"/>
                <w:szCs w:val="20"/>
                <w:color w:val="auto"/>
              </w:rPr>
            </w:pPr>
            <w:r>
              <w:rPr>
                <w:rFonts w:ascii="Times New Roman" w:cs="Times New Roman" w:eastAsia="Times New Roman" w:hAnsi="Times New Roman"/>
                <w:sz w:val="16"/>
                <w:szCs w:val="16"/>
                <w:b w:val="1"/>
                <w:bCs w:val="1"/>
                <w:color w:val="auto"/>
              </w:rPr>
              <w:t>Weighted average number of shares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used for diluted earnings per share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112,343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111,216</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110,754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266,471</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Foreign currency translation adjustment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(19,956)</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(15,761)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(27,595)</w:t>
            </w: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Unrealized gain (loss) on derivatives and marketable securities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4,769</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(690)</w:t>
            </w: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Realized gain on marketable securities which was previously presented in other comprehensive income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(9,524)</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Change in employees plan assets and benefit obligations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(222)</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(938)</w:t>
            </w: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178,933</w:t>
            </w: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508,316</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237,248</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 loss attributable to non-controlling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4,780</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7,667</w:t>
            </w:r>
          </w:p>
        </w:tc>
      </w:tr>
      <w:tr>
        <w:trPr>
          <w:trHeight w:val="246"/>
        </w:trPr>
        <w:tc>
          <w:tcPr>
            <w:tcW w:w="20" w:type="dxa"/>
            <w:vAlign w:val="bottom"/>
          </w:tcPr>
          <w:p>
            <w:pPr>
              <w:spacing w:after="0"/>
              <w:rPr>
                <w:sz w:val="21"/>
                <w:szCs w:val="21"/>
                <w:color w:val="auto"/>
              </w:rPr>
            </w:pPr>
          </w:p>
        </w:tc>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the Company</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186,611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513,096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244,915</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3" w:right="319" w:bottom="1440" w:gutter="0" w:footer="0" w:header="0"/>
        </w:sectPr>
      </w:pPr>
    </w:p>
    <w:bookmarkStart w:id="10" w:name="page11"/>
    <w:bookmarkEnd w:id="10"/>
    <w:p>
      <w:pPr>
        <w:spacing w:after="0" w:line="62" w:lineRule="exact"/>
        <w:rPr>
          <w:sz w:val="20"/>
          <w:szCs w:val="20"/>
          <w:color w:val="auto"/>
        </w:rPr>
      </w:pPr>
    </w:p>
    <w:p>
      <w:pPr>
        <w:jc w:val="center"/>
        <w:ind w:right="100"/>
        <w:spacing w:after="0" w:line="286" w:lineRule="auto"/>
        <w:rPr>
          <w:sz w:val="20"/>
          <w:szCs w:val="20"/>
          <w:color w:val="auto"/>
        </w:rPr>
      </w:pPr>
      <w:r>
        <w:rPr>
          <w:rFonts w:ascii="Times New Roman" w:cs="Times New Roman" w:eastAsia="Times New Roman" w:hAnsi="Times New Roman"/>
          <w:sz w:val="16"/>
          <w:szCs w:val="16"/>
          <w:b w:val="1"/>
          <w:bCs w:val="1"/>
          <w:color w:val="auto"/>
        </w:rPr>
        <w:t>TOWER SEMICONDUCTOR LTD. AND SUBSIDIARIES CONSOLIDATED STATEMENT OF CHANGES IN SHAREHOLDERS' EQUITY (dollars and share data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1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THE COMPANY'S SHAREHOLDERS'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Ordinary</w:t>
            </w:r>
          </w:p>
        </w:tc>
        <w:tc>
          <w:tcPr>
            <w:tcW w:w="4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18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0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9"/>
                <w:szCs w:val="19"/>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0" w:type="dxa"/>
            <w:vAlign w:val="bottom"/>
          </w:tcPr>
          <w:p>
            <w:pPr>
              <w:spacing w:after="0"/>
              <w:rPr>
                <w:sz w:val="19"/>
                <w:szCs w:val="19"/>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Pr>
          <w:p>
            <w:pPr>
              <w:spacing w:after="0"/>
              <w:rPr>
                <w:sz w:val="19"/>
                <w:szCs w:val="19"/>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interest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108,970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 xml:space="preserve">$ </w:t>
            </w:r>
            <w:r>
              <w:rPr>
                <w:rFonts w:ascii="Times New Roman" w:cs="Times New Roman" w:eastAsia="Times New Roman" w:hAnsi="Times New Roman"/>
                <w:sz w:val="16"/>
                <w:szCs w:val="16"/>
                <w:b w:val="1"/>
                <w:bCs w:val="1"/>
                <w:color w:val="auto"/>
                <w:w w:val="96"/>
              </w:rPr>
              <w:t>435,453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1,389,051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149,906</w:t>
            </w:r>
          </w:p>
        </w:tc>
        <w:tc>
          <w:tcPr>
            <w:tcW w:w="2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(27,471)</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(315,448)</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(9,072)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(6,618)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$1,615,389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during</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the year ended</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Proceeds from</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an investment in</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 subsidiary</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11,645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11,645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options and</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RSUs</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1,071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4,697</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(4,653)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Employee stock-</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based</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24,215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24,215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264,569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264,569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1,902</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266,471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(18,026)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(18,026)</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(9,569)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(27,595)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loss on</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and</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marketable</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(690)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(690)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plan assets</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and benefit</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(938)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(938)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244,915</w:t>
            </w:r>
          </w:p>
        </w:tc>
        <w:tc>
          <w:tcPr>
            <w:tcW w:w="10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tcBorders>
              <w:top w:val="single" w:sz="8" w:color="CCEEFF"/>
            </w:tcBorders>
          </w:tcPr>
          <w:p>
            <w:pPr>
              <w:ind w:left="260"/>
              <w:spacing w:after="0" w:line="176" w:lineRule="exact"/>
              <w:rPr>
                <w:sz w:val="20"/>
                <w:szCs w:val="20"/>
                <w:color w:val="auto"/>
              </w:rPr>
            </w:pPr>
            <w:r>
              <w:rPr>
                <w:rFonts w:ascii="Times New Roman" w:cs="Times New Roman" w:eastAsia="Times New Roman" w:hAnsi="Times New Roman"/>
                <w:sz w:val="16"/>
                <w:szCs w:val="16"/>
                <w:b w:val="1"/>
                <w:bCs w:val="1"/>
                <w:color w:val="auto"/>
              </w:rPr>
              <w:t>BALANCE</w:t>
            </w:r>
          </w:p>
        </w:tc>
        <w:tc>
          <w:tcPr>
            <w:tcW w:w="4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110,041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440,150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1,384,398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174,121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(2,040)</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(45,497)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(50,879)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(9,072)</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(2,640)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1,888,541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Changes during</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the year ended</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Proceeds from</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an investment in</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 subsidiary</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1,960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1,960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871</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3,481</w:t>
            </w:r>
          </w:p>
        </w:tc>
        <w:tc>
          <w:tcPr>
            <w:tcW w:w="9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(3,481)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RSUs</w:t>
            </w:r>
          </w:p>
        </w:tc>
        <w:tc>
          <w:tcPr>
            <w:tcW w:w="800" w:type="dxa"/>
            <w:vAlign w:val="bottom"/>
            <w:gridSpan w:val="3"/>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Employee stock-</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based</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28,222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28,222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Profit</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518,494</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1,036</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(9,945)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(9,945)</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(5,816)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(15,761)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gain on</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and</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marketable</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4,769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4,769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plan assets</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340"/>
          </w:cols>
          <w:pgMar w:left="320" w:top="339"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and benefit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513,096</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6"/>
                <w:szCs w:val="16"/>
                <w:b w:val="1"/>
                <w:bCs w:val="1"/>
                <w:color w:val="auto"/>
              </w:rPr>
              <w:t>BALANCE</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110,912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443,631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1,380,917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202,343</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(55,442)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467,615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(9,072)</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(5,460)</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2,427,039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during</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the year ended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725</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2,931</w:t>
            </w:r>
          </w:p>
        </w:tc>
        <w:tc>
          <w:tcPr>
            <w:tcW w:w="9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(2,931)</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RSUs</w:t>
            </w:r>
          </w:p>
        </w:tc>
        <w:tc>
          <w:tcPr>
            <w:tcW w:w="76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Employee stock-</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based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34,208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34,208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207,864</w:t>
            </w: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(642)</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(12,920)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(12,920)</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(7,036)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(19,956)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gain on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and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marketable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1,065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1,065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Realized gain</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on marketable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which was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previously</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presented in</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(9,524)</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(9,524)</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employees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plan assets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and benefit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126</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186,611</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top w:val="single" w:sz="8" w:color="CCEEFF"/>
            </w:tcBorders>
          </w:tcPr>
          <w:p>
            <w:pPr>
              <w:ind w:left="260"/>
              <w:spacing w:after="0" w:line="176" w:lineRule="exact"/>
              <w:rPr>
                <w:sz w:val="20"/>
                <w:szCs w:val="20"/>
                <w:color w:val="auto"/>
              </w:rPr>
            </w:pPr>
            <w:r>
              <w:rPr>
                <w:rFonts w:ascii="Times New Roman" w:cs="Times New Roman" w:eastAsia="Times New Roman" w:hAnsi="Times New Roman"/>
                <w:sz w:val="16"/>
                <w:szCs w:val="16"/>
                <w:b w:val="1"/>
                <w:bCs w:val="1"/>
                <w:color w:val="auto"/>
              </w:rPr>
              <w:t>BALANCE</w:t>
            </w: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111,637</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6"/>
              </w:rPr>
              <w:t>$ 446,562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$1,377,986</w:t>
            </w:r>
          </w:p>
        </w:tc>
        <w:tc>
          <w:tcPr>
            <w:tcW w:w="12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236,551</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(5,826)</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(68,362)</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675,479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(9,072)</w:t>
            </w:r>
          </w:p>
        </w:tc>
        <w:tc>
          <w:tcPr>
            <w:tcW w:w="28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(13,138)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$2,640,180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34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SHARES, NET</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OF TREASURY</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111,550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39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 OPERATING ACTIVITIES</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profit for the period</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207,222</w:t>
            </w:r>
          </w:p>
        </w:tc>
        <w:tc>
          <w:tcPr>
            <w:tcW w:w="22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519,530</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266,471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Adjustments to reconcile net profit for the period</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to net cash provided by operating activities:</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Income and expense items not involving cash flows: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266,279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258,021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292,638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Effect of exchange rate differences and fair value adjustment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(1,632)</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10,362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Other expense (income), net</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24,721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(7,047)</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6,934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Changes in assets and liabilities: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Trade accounts receivable</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(60,169)</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(3,160)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(15,232)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(33,992)</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(9,541)</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20,427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8,682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(77,891)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Trade accounts payable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35,784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(8,254)</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(20,893)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Deferred revenue and customers' advances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(14,783)</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(35,676)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(30,069)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Employee related liabilities and other current liabilities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(70,163)</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61,033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b w:val="1"/>
                <w:bCs w:val="1"/>
                <w:color w:val="auto"/>
              </w:rPr>
              <w:t>Long-term employee related liabilities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(1,312)</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(1,210)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2,956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Deferred tax, net and other long-term liabilities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(2,000)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27,011</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448,682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676,561</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 INVESTING ACTIVITIES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 in property and equipment, net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(436,153)</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(444,502)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(366,403)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Proceeds related to sale and disposal of property and equipment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12,318</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152,866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Proceeds from investment realization</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12,458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2,574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 in other assets</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(530)</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(605)</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Deposits and marketable securities, net</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31,882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(300,516)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(117,448)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(400,239)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(720,847)</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(329,448)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 FINANCING ACTIVITIES</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Exercise of options, net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Proceeds from loans</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81,812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24,180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Loans repayment</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(76,144)</w:t>
            </w: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Principal payments on account of capital lease obligation</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(38,123)</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(38,033)</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(38,536)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Debentures repayment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(18,493)</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(39,843)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Proceeds from an investment in subsidiary</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11,685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(32,455)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(30,414)</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(66,650)</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FOREIGN CURRENCY EXCHANGE RATE CHANGE</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(4,758)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INCREASE (DECREASE) IN CASH AND CASH EQUIVALENTS</w:t>
            </w: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11,230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(80,095)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129,829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260,664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340,759</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210,930</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271,894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260,664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340,759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ACTIVITIES: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 in property and equipment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50,440</w:t>
            </w:r>
          </w:p>
        </w:tc>
        <w:tc>
          <w:tcPr>
            <w:tcW w:w="2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164,667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169,376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received during the period from interest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53,613</w:t>
            </w:r>
          </w:p>
        </w:tc>
        <w:tc>
          <w:tcPr>
            <w:tcW w:w="2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30,475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Cash paid during the period for interest</w:t>
            </w: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4,255</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4,519</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4,458</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paid for income tax, net during the period</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23,488</w:t>
            </w:r>
          </w:p>
        </w:tc>
        <w:tc>
          <w:tcPr>
            <w:tcW w:w="240" w:type="dxa"/>
            <w:vAlign w:val="bottom"/>
          </w:tcPr>
          <w:p>
            <w:pPr>
              <w:spacing w:after="0"/>
              <w:rPr>
                <w:sz w:val="16"/>
                <w:szCs w:val="16"/>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12,379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 notes to the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63"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w:t>
      </w:r>
      <w:r>
        <w:rPr>
          <w:sz w:val="20"/>
          <w:szCs w:val="20"/>
          <w:color w:val="auto"/>
        </w:rPr>
        <w:tab/>
      </w:r>
      <w:r>
        <w:rPr>
          <w:rFonts w:ascii="Times New Roman" w:cs="Times New Roman" w:eastAsia="Times New Roman" w:hAnsi="Times New Roman"/>
          <w:sz w:val="16"/>
          <w:szCs w:val="16"/>
          <w:b w:val="1"/>
          <w:bCs w:val="1"/>
          <w:color w:val="auto"/>
        </w:rPr>
        <w:t>DESCRIPTION OF BUSINESS AND GENERAL</w:t>
      </w:r>
    </w:p>
    <w:p>
      <w:pPr>
        <w:spacing w:after="0" w:line="254" w:lineRule="exact"/>
        <w:rPr>
          <w:sz w:val="20"/>
          <w:szCs w:val="20"/>
          <w:color w:val="auto"/>
        </w:rPr>
      </w:pPr>
    </w:p>
    <w:p>
      <w:pPr>
        <w:jc w:val="both"/>
        <w:ind w:left="920" w:firstLine="5"/>
        <w:spacing w:after="0" w:line="266" w:lineRule="auto"/>
        <w:rPr>
          <w:sz w:val="20"/>
          <w:szCs w:val="20"/>
          <w:color w:val="auto"/>
        </w:rPr>
      </w:pPr>
      <w:r>
        <w:rPr>
          <w:rFonts w:ascii="Times New Roman" w:cs="Times New Roman" w:eastAsia="Times New Roman" w:hAnsi="Times New Roman"/>
          <w:sz w:val="16"/>
          <w:szCs w:val="16"/>
          <w:color w:val="auto"/>
        </w:rPr>
        <w:t>The consolidated financial statements of Tower Semiconductor Ltd. (“Tower”) include the financial statements of Tower, and (i) its wholly-owned subsidiary Tower US Holdings Inc., the sole owner of: (1) Tower Semiconductor NPB Holdings, Inc. and its wholly-owned subsidiary, Tower Semiconductor Newport Beach, Inc., an independent semiconductor foundry (Tower Semiconductor NPB Holdings, Inc. and Tower Semiconductor Newport Beach, Inc. collectively referred to herein as “TSNB”); and (2) Tower Semiconductor San Antonio, Inc. (“TSSA”); (ii) its 51% owned subsidiary, Tower Partners Semiconductor Co., Ltd. (“TPSCo”), an independent semiconductor foundry which operated three semiconductor facilities located in Tonami, Uozu and Arai (one of which, the Arai facility, ceased its operations in June 2022, see Note 13B2), in Hokuriku Japan, with the other 49% of TPSCo’s shares held by Nuvoton Technology Corporation Japan (“NTCJ”), formerly named “Panasonic Semiconductor Systems Co., Ltd.” (“PSCS”); and (iii) its wholly-owned subsidiary Tower Semiconductor Italy S.r.l. (“TSIT”), incorporated in 2021 following the collaborative arrangement signed in June 2021 with ST Microelectronics S.r.l (“ST”) according to which TSIT shares cost with ST, as of December 31, 2024, at a new 300 mm facility owned by ST in Agrate, Italy (see Note 13E).</w:t>
      </w:r>
    </w:p>
    <w:p>
      <w:pPr>
        <w:spacing w:after="0" w:line="2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Tower and its subsidiaries are collectively referred to as the “Company”.</w:t>
      </w:r>
    </w:p>
    <w:p>
      <w:pPr>
        <w:spacing w:after="0" w:line="264" w:lineRule="exact"/>
        <w:rPr>
          <w:sz w:val="20"/>
          <w:szCs w:val="20"/>
          <w:color w:val="auto"/>
        </w:rPr>
      </w:pPr>
    </w:p>
    <w:p>
      <w:pPr>
        <w:jc w:val="both"/>
        <w:ind w:left="920" w:firstLine="5"/>
        <w:spacing w:after="0" w:line="266" w:lineRule="auto"/>
        <w:rPr>
          <w:sz w:val="20"/>
          <w:szCs w:val="20"/>
          <w:color w:val="auto"/>
        </w:rPr>
      </w:pPr>
      <w:r>
        <w:rPr>
          <w:rFonts w:ascii="Times New Roman" w:cs="Times New Roman" w:eastAsia="Times New Roman" w:hAnsi="Times New Roman"/>
          <w:sz w:val="16"/>
          <w:szCs w:val="16"/>
          <w:color w:val="auto"/>
        </w:rPr>
        <w:t>The Company is a leading global analog foundry of high value semiconductor solutions, providing technology, development and process platforms for integrated circuits (ICs) in growing markets offering a broad range of customizable process technologies including: SiGe, SiPho, mixed signal CMOS, RF CMOS, CMOS image sensor, non-imaging sensors and integrated power management.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capabilities for its customers, as of December 31, 2024, the Company owns two facilities in Israel (150mm and 200mm), two in the U.S. (200mm), two in Japan through TPSCo (200mm and 300mm), shares a clean room and capacity in a 300mm facility in Italy with ST, and is establishing with Intel Corporation’s (“Intel”) capacity corridor in Intel’s 300mm facility in New Mexico, USA, organized under TSSA (see Note 13F).</w:t>
      </w:r>
    </w:p>
    <w:p>
      <w:pPr>
        <w:spacing w:after="0" w:line="2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Tower’s ordinary shares are traded on the NASDAQ Global Select Market and on the Tel-Aviv Stock Exchange (“TASE”) under the symbol TSEM.</w:t>
      </w:r>
    </w:p>
    <w:p>
      <w:pPr>
        <w:spacing w:after="0" w:line="264" w:lineRule="exact"/>
        <w:rPr>
          <w:sz w:val="20"/>
          <w:szCs w:val="20"/>
          <w:color w:val="auto"/>
        </w:rPr>
      </w:pPr>
    </w:p>
    <w:p>
      <w:pPr>
        <w:jc w:val="both"/>
        <w:ind w:left="920" w:right="20" w:firstLine="5"/>
        <w:spacing w:after="0" w:line="268" w:lineRule="auto"/>
        <w:rPr>
          <w:sz w:val="20"/>
          <w:szCs w:val="20"/>
          <w:color w:val="auto"/>
        </w:rPr>
      </w:pPr>
      <w:r>
        <w:rPr>
          <w:rFonts w:ascii="Times New Roman" w:cs="Times New Roman" w:eastAsia="Times New Roman" w:hAnsi="Times New Roman"/>
          <w:sz w:val="16"/>
          <w:szCs w:val="16"/>
          <w:color w:val="auto"/>
        </w:rPr>
        <w:t>On February 15, 2022, Intel and Tower announced the signing of a definitive agreement under which Intel was to acquire all of Tower’s outstanding ordinary shares for cash consideration of $53 per share, however, the closing conditions for this transaction were not met since certain regulatory approvals were not received, hence, on August 16, 2023, Intel and Tower announced the termination of this agreement. Pursuant to the terms of the agreement, and in connection with the termination, Intel paid Tower a termination fee of $353,000, which is presented, net of associated fees, in a separate line within the statement of operations for the year ended December 31, 2023 in the amount of $313,501.</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w:t>
      </w:r>
    </w:p>
    <w:p>
      <w:pPr>
        <w:spacing w:after="0" w:line="264" w:lineRule="exact"/>
        <w:rPr>
          <w:sz w:val="20"/>
          <w:szCs w:val="20"/>
          <w:color w:val="auto"/>
        </w:rPr>
      </w:pPr>
    </w:p>
    <w:p>
      <w:pPr>
        <w:ind w:left="1280" w:hanging="368"/>
        <w:spacing w:after="0"/>
        <w:tabs>
          <w:tab w:leader="none" w:pos="12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w:t>
      </w:r>
    </w:p>
    <w:p>
      <w:pPr>
        <w:spacing w:after="0" w:line="253"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consolidated financial statements are presented in accordance with U.S. generally accepted accounting principles (“US GAAP”).</w:t>
      </w:r>
    </w:p>
    <w:p>
      <w:pPr>
        <w:spacing w:after="0" w:line="261" w:lineRule="exact"/>
        <w:rPr>
          <w:rFonts w:ascii="Times New Roman" w:cs="Times New Roman" w:eastAsia="Times New Roman" w:hAnsi="Times New Roman"/>
          <w:sz w:val="16"/>
          <w:szCs w:val="16"/>
          <w:b w:val="1"/>
          <w:bCs w:val="1"/>
          <w:color w:val="auto"/>
        </w:rPr>
      </w:pPr>
    </w:p>
    <w:p>
      <w:pPr>
        <w:ind w:left="1260" w:hanging="348"/>
        <w:spacing w:after="0"/>
        <w:tabs>
          <w:tab w:leader="none" w:pos="126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Use of Estimates in Preparation of Financial Statements</w:t>
      </w:r>
    </w:p>
    <w:p>
      <w:pPr>
        <w:spacing w:after="0" w:line="265" w:lineRule="exact"/>
        <w:rPr>
          <w:rFonts w:ascii="Times New Roman" w:cs="Times New Roman" w:eastAsia="Times New Roman" w:hAnsi="Times New Roman"/>
          <w:sz w:val="16"/>
          <w:szCs w:val="16"/>
          <w:b w:val="1"/>
          <w:bCs w:val="1"/>
          <w:color w:val="auto"/>
        </w:rPr>
      </w:pPr>
    </w:p>
    <w:p>
      <w:pPr>
        <w:jc w:val="both"/>
        <w:ind w:left="1260" w:right="20" w:firstLine="5"/>
        <w:spacing w:after="0" w:line="27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preparation of financial statements in conformity with US GAAP requires the Company to make estimates and assumptions that affect the reported amounts of assets and liabilities, the disclosure of contingent assets and liabilities as of the date of the financial statements, and the reported amounts of revenues and expenses during the reporting periods. Actual results could differ from those estimates.</w:t>
      </w:r>
    </w:p>
    <w:p>
      <w:pPr>
        <w:spacing w:after="0" w:line="208"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Principals of Consolidation</w:t>
      </w:r>
    </w:p>
    <w:p>
      <w:pPr>
        <w:spacing w:after="0" w:line="253" w:lineRule="exact"/>
        <w:rPr>
          <w:rFonts w:ascii="Times New Roman" w:cs="Times New Roman" w:eastAsia="Times New Roman" w:hAnsi="Times New Roman"/>
          <w:sz w:val="16"/>
          <w:szCs w:val="16"/>
          <w:b w:val="1"/>
          <w:bCs w:val="1"/>
          <w:color w:val="auto"/>
        </w:rPr>
      </w:pPr>
    </w:p>
    <w:p>
      <w:pPr>
        <w:ind w:left="1260" w:right="2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consolidated financial statements include the financial statements of Tower and its subsidiaries. The Company’s consolidated financial statements are presented after the elimination of inter-company transactions and balances.</w:t>
      </w:r>
    </w:p>
    <w:p>
      <w:pPr>
        <w:spacing w:after="0" w:line="189"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Reclassifications</w:t>
      </w:r>
    </w:p>
    <w:p>
      <w:pPr>
        <w:spacing w:after="0" w:line="253"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Certain prior year amounts have been reclassified to conform to the current financial statement presentation.</w:t>
      </w:r>
    </w:p>
    <w:p>
      <w:pPr>
        <w:spacing w:after="0" w:line="261" w:lineRule="exact"/>
        <w:rPr>
          <w:rFonts w:ascii="Times New Roman" w:cs="Times New Roman" w:eastAsia="Times New Roman" w:hAnsi="Times New Roman"/>
          <w:sz w:val="16"/>
          <w:szCs w:val="16"/>
          <w:b w:val="1"/>
          <w:bCs w:val="1"/>
          <w:color w:val="auto"/>
        </w:rPr>
      </w:pPr>
    </w:p>
    <w:p>
      <w:pPr>
        <w:ind w:left="1260" w:hanging="348"/>
        <w:spacing w:after="0"/>
        <w:tabs>
          <w:tab w:leader="none" w:pos="126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and Cash Equivalents</w:t>
      </w:r>
    </w:p>
    <w:p>
      <w:pPr>
        <w:spacing w:after="0" w:line="265" w:lineRule="exact"/>
        <w:rPr>
          <w:rFonts w:ascii="Times New Roman" w:cs="Times New Roman" w:eastAsia="Times New Roman" w:hAnsi="Times New Roman"/>
          <w:sz w:val="16"/>
          <w:szCs w:val="16"/>
          <w:b w:val="1"/>
          <w:bCs w:val="1"/>
          <w:color w:val="auto"/>
        </w:rPr>
      </w:pPr>
    </w:p>
    <w:p>
      <w:pPr>
        <w:ind w:left="1260" w:right="2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Cash and cash equivalents consist of cash, highly liquid bank deposits and money market funds readily convertible to known amounts of cash with original maturities of three months or less as of the date of its purchase.</w:t>
      </w:r>
    </w:p>
    <w:p>
      <w:pPr>
        <w:spacing w:after="0" w:line="200"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 Term Interest-Bearing Deposits</w:t>
      </w:r>
    </w:p>
    <w:p>
      <w:pPr>
        <w:spacing w:after="0" w:line="265" w:lineRule="exact"/>
        <w:rPr>
          <w:rFonts w:ascii="Times New Roman" w:cs="Times New Roman" w:eastAsia="Times New Roman" w:hAnsi="Times New Roman"/>
          <w:sz w:val="16"/>
          <w:szCs w:val="16"/>
          <w:b w:val="1"/>
          <w:bCs w:val="1"/>
          <w:color w:val="auto"/>
        </w:rPr>
      </w:pPr>
    </w:p>
    <w:p>
      <w:pPr>
        <w:ind w:left="1260" w:right="2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Short-term deposits include bank deposits with original maturities greater than three months and with remaining maturities of less than one year. Such deposits are presented at cost, including accrued interest, which approximates their fair value.</w:t>
      </w:r>
    </w:p>
    <w:p>
      <w:pPr>
        <w:spacing w:after="0" w:line="200"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Marketable Securities</w:t>
      </w:r>
    </w:p>
    <w:p>
      <w:pPr>
        <w:spacing w:after="0" w:line="251" w:lineRule="exact"/>
        <w:rPr>
          <w:rFonts w:ascii="Times New Roman" w:cs="Times New Roman" w:eastAsia="Times New Roman" w:hAnsi="Times New Roman"/>
          <w:sz w:val="16"/>
          <w:szCs w:val="16"/>
          <w:b w:val="1"/>
          <w:bCs w:val="1"/>
          <w:color w:val="auto"/>
        </w:rPr>
      </w:pPr>
    </w:p>
    <w:p>
      <w:pPr>
        <w:ind w:left="1260" w:right="20" w:firstLine="5"/>
        <w:spacing w:after="0" w:line="30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accounts for its investments in grade debt securities in accordance with ASC 320 "</w:t>
      </w:r>
      <w:r>
        <w:rPr>
          <w:rFonts w:ascii="Times New Roman" w:cs="Times New Roman" w:eastAsia="Times New Roman" w:hAnsi="Times New Roman"/>
          <w:sz w:val="16"/>
          <w:szCs w:val="16"/>
          <w:i w:val="1"/>
          <w:iCs w:val="1"/>
          <w:color w:val="auto"/>
        </w:rPr>
        <w:t>Investments - Debt Securities"</w:t>
      </w:r>
      <w:r>
        <w:rPr>
          <w:rFonts w:ascii="Times New Roman" w:cs="Times New Roman" w:eastAsia="Times New Roman" w:hAnsi="Times New Roman"/>
          <w:sz w:val="16"/>
          <w:szCs w:val="16"/>
          <w:color w:val="auto"/>
        </w:rPr>
        <w:t>. Management determines the appropriate classification of its investments in debt securities at the time of purchase and re-evaluates such determinations at each balance sheet date.</w:t>
      </w:r>
    </w:p>
    <w:p>
      <w:pPr>
        <w:spacing w:after="0" w:line="189" w:lineRule="exact"/>
        <w:rPr>
          <w:sz w:val="20"/>
          <w:szCs w:val="20"/>
          <w:color w:val="auto"/>
        </w:rPr>
      </w:pPr>
    </w:p>
    <w:p>
      <w:pPr>
        <w:jc w:val="both"/>
        <w:ind w:left="1260"/>
        <w:spacing w:after="0" w:line="268" w:lineRule="auto"/>
        <w:rPr>
          <w:sz w:val="20"/>
          <w:szCs w:val="20"/>
          <w:color w:val="auto"/>
        </w:rPr>
      </w:pPr>
      <w:r>
        <w:rPr>
          <w:rFonts w:ascii="Times New Roman" w:cs="Times New Roman" w:eastAsia="Times New Roman" w:hAnsi="Times New Roman"/>
          <w:sz w:val="16"/>
          <w:szCs w:val="16"/>
          <w:color w:val="auto"/>
        </w:rPr>
        <w:t>The Company classifies its marketable securities as "available-for-sale", as the Company does not intend to hold them necessarily to maturity. Any decision to sell a security classified as available for sale would be based on various factors, including significant movements in interest rates, changes in the maturity, mix of the Company’s assets and liabilities, liquidity needs and other similar factors. Securities classified as available for sale are measured at fair value, based on quoted market prices or independent pricing services valuation. Gains and losses are recognized on a specific identification basis, in the Company's consolidated statements of operations.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 (continued)</w:t>
      </w:r>
    </w:p>
    <w:p>
      <w:pPr>
        <w:spacing w:after="0" w:line="264" w:lineRule="exact"/>
        <w:rPr>
          <w:sz w:val="20"/>
          <w:szCs w:val="20"/>
          <w:color w:val="auto"/>
        </w:rPr>
      </w:pPr>
    </w:p>
    <w:p>
      <w:pPr>
        <w:ind w:left="1280" w:hanging="368"/>
        <w:spacing w:after="0"/>
        <w:tabs>
          <w:tab w:leader="none" w:pos="128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Marketable Securities (continued)</w:t>
      </w:r>
    </w:p>
    <w:p>
      <w:pPr>
        <w:spacing w:after="0" w:line="254" w:lineRule="exact"/>
        <w:rPr>
          <w:sz w:val="20"/>
          <w:szCs w:val="20"/>
          <w:color w:val="auto"/>
        </w:rPr>
      </w:pPr>
    </w:p>
    <w:p>
      <w:pPr>
        <w:jc w:val="both"/>
        <w:ind w:left="1260"/>
        <w:spacing w:after="0" w:line="285" w:lineRule="auto"/>
        <w:rPr>
          <w:sz w:val="20"/>
          <w:szCs w:val="20"/>
          <w:color w:val="auto"/>
        </w:rPr>
      </w:pPr>
      <w:r>
        <w:rPr>
          <w:rFonts w:ascii="Times New Roman" w:cs="Times New Roman" w:eastAsia="Times New Roman" w:hAnsi="Times New Roman"/>
          <w:sz w:val="16"/>
          <w:szCs w:val="16"/>
          <w:color w:val="auto"/>
        </w:rPr>
        <w:t>Unrealized gains and losses are recorded in (i) the statement of other comprehensive income in periods the Company has no specific need and/or plan to use cash by selling such securities, or (ii) in the statement of operations as financing expense (income) in periods the Company has a specific need and/or intends to sell such securities.</w:t>
      </w:r>
    </w:p>
    <w:p>
      <w:pPr>
        <w:spacing w:after="0" w:line="192" w:lineRule="exact"/>
        <w:rPr>
          <w:sz w:val="20"/>
          <w:szCs w:val="20"/>
          <w:color w:val="auto"/>
        </w:rPr>
      </w:pPr>
    </w:p>
    <w:p>
      <w:pPr>
        <w:jc w:val="both"/>
        <w:ind w:left="1260" w:right="20" w:firstLine="5"/>
        <w:spacing w:after="0" w:line="301" w:lineRule="auto"/>
        <w:rPr>
          <w:sz w:val="20"/>
          <w:szCs w:val="20"/>
          <w:color w:val="auto"/>
        </w:rPr>
      </w:pPr>
      <w:r>
        <w:rPr>
          <w:rFonts w:ascii="Times New Roman" w:cs="Times New Roman" w:eastAsia="Times New Roman" w:hAnsi="Times New Roman"/>
          <w:sz w:val="16"/>
          <w:szCs w:val="16"/>
          <w:color w:val="auto"/>
        </w:rPr>
        <w:t xml:space="preserve">The Company assessed the available-for-sales debt securities with an amortized cost basis in excess of estimated fair value to determine what amount of that difference, if any, is caused by expected credit losses in accordance with ASC 326,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jc w:val="both"/>
        <w:ind w:left="1260" w:right="20" w:firstLine="5"/>
        <w:spacing w:after="0" w:line="286" w:lineRule="auto"/>
        <w:rPr>
          <w:sz w:val="20"/>
          <w:szCs w:val="20"/>
          <w:color w:val="auto"/>
        </w:rPr>
      </w:pPr>
      <w:r>
        <w:rPr>
          <w:rFonts w:ascii="Times New Roman" w:cs="Times New Roman" w:eastAsia="Times New Roman" w:hAnsi="Times New Roman"/>
          <w:sz w:val="16"/>
          <w:szCs w:val="16"/>
          <w:color w:val="auto"/>
        </w:rPr>
        <w:t>Allowance for credit losses is recorded in financing income (expense), net, on the consolidated statements of operation, and any remaining unrealized losses, net of taxes, are included in accumulated other comprehensive income in shareholders' equity.</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As of December 31, 2024, the Company had no outstanding marketable securities since it sold all its marketable securities portfolios during 2024.</w:t>
      </w:r>
    </w:p>
    <w:p>
      <w:pPr>
        <w:spacing w:after="0" w:line="2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As of December 31, 2023 the Company concluded that the current expected credit losses on its available-for-sale investment portfolio were immaterial.</w:t>
      </w:r>
    </w:p>
    <w:p>
      <w:pPr>
        <w:spacing w:after="0" w:line="250" w:lineRule="exact"/>
        <w:rPr>
          <w:sz w:val="20"/>
          <w:szCs w:val="20"/>
          <w:color w:val="auto"/>
        </w:rPr>
      </w:pPr>
    </w:p>
    <w:p>
      <w:pPr>
        <w:ind w:left="1280" w:hanging="368"/>
        <w:spacing w:after="0"/>
        <w:tabs>
          <w:tab w:leader="none" w:pos="128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Trade Accounts Receivables - Allowance for Expected Credit Loss</w:t>
      </w:r>
    </w:p>
    <w:p>
      <w:pPr>
        <w:spacing w:after="0" w:line="265" w:lineRule="exact"/>
        <w:rPr>
          <w:rFonts w:ascii="Times New Roman" w:cs="Times New Roman" w:eastAsia="Times New Roman" w:hAnsi="Times New Roman"/>
          <w:sz w:val="16"/>
          <w:szCs w:val="16"/>
          <w:b w:val="1"/>
          <w:bCs w:val="1"/>
          <w:color w:val="auto"/>
        </w:rPr>
      </w:pPr>
    </w:p>
    <w:p>
      <w:pPr>
        <w:jc w:val="both"/>
        <w:ind w:left="1260" w:firstLine="5"/>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Company maintains an allowance based on specific analysis of each customer account receivable’s aging, assessment of its related risk and ability of the customer to make the required payment. In addition, in accordance with ASC 326,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an allowance is maintained for such estimated expected losses. The amount of the allowance is determined principally on the basis of past collection experience and known financial factors regarding specific customers. Trade accounts receivables are written off using this allowance when it is probable that collection will not occur. Credit is extended to customers satisfying pre-defined credit criteria.</w:t>
      </w: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total allowance for expected credit losses was $4,982 and $4,790 as of December 31, 2024 and 2023, respectively.</w:t>
      </w:r>
    </w:p>
    <w:p>
      <w:pPr>
        <w:spacing w:after="0" w:line="262" w:lineRule="exact"/>
        <w:rPr>
          <w:sz w:val="20"/>
          <w:szCs w:val="20"/>
          <w:color w:val="auto"/>
        </w:rPr>
      </w:pPr>
    </w:p>
    <w:p>
      <w:pPr>
        <w:ind w:left="1260" w:hanging="348"/>
        <w:spacing w:after="0"/>
        <w:tabs>
          <w:tab w:leader="none" w:pos="126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Inventories</w:t>
      </w:r>
    </w:p>
    <w:p>
      <w:pPr>
        <w:spacing w:after="0" w:line="253" w:lineRule="exact"/>
        <w:rPr>
          <w:rFonts w:ascii="Times New Roman" w:cs="Times New Roman" w:eastAsia="Times New Roman" w:hAnsi="Times New Roman"/>
          <w:sz w:val="16"/>
          <w:szCs w:val="16"/>
          <w:b w:val="1"/>
          <w:bCs w:val="1"/>
          <w:color w:val="auto"/>
        </w:rPr>
      </w:pPr>
    </w:p>
    <w:p>
      <w:pPr>
        <w:jc w:val="both"/>
        <w:ind w:left="1260" w:right="20" w:firstLine="5"/>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Inventories are stated at the lower of aggregate cost or net realizable value. If inventory costs exceed expected net realizable value, the Company writes-down the difference between the cost and the expected net realizable value. Cost of raw materials is determined mainly on the basis of the weighted average moving price per unit. Work in progress is measured at cost including acquisition costs, processing costs and other costs incurred in bringing the inventories to their present stage.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 (continued)</w:t>
      </w:r>
    </w:p>
    <w:p>
      <w:pPr>
        <w:spacing w:after="0" w:line="264" w:lineRule="exact"/>
        <w:rPr>
          <w:sz w:val="20"/>
          <w:szCs w:val="20"/>
          <w:color w:val="auto"/>
        </w:rPr>
      </w:pPr>
    </w:p>
    <w:p>
      <w:pPr>
        <w:ind w:left="1280" w:hanging="368"/>
        <w:spacing w:after="0"/>
        <w:tabs>
          <w:tab w:leader="none" w:pos="128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 in Privately Held Companies</w:t>
      </w:r>
    </w:p>
    <w:p>
      <w:pPr>
        <w:spacing w:after="0" w:line="265" w:lineRule="exact"/>
        <w:rPr>
          <w:rFonts w:ascii="Times New Roman" w:cs="Times New Roman" w:eastAsia="Times New Roman" w:hAnsi="Times New Roman"/>
          <w:sz w:val="16"/>
          <w:szCs w:val="16"/>
          <w:b w:val="1"/>
          <w:bCs w:val="1"/>
          <w:color w:val="auto"/>
        </w:rPr>
      </w:pPr>
    </w:p>
    <w:p>
      <w:pPr>
        <w:jc w:val="both"/>
        <w:ind w:left="1260" w:firstLine="5"/>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Long-term investments include equity investments in privately-held companies without readily determinable fair values. In accordance with ASC 321 - </w:t>
      </w:r>
      <w:r>
        <w:rPr>
          <w:rFonts w:ascii="Times New Roman" w:cs="Times New Roman" w:eastAsia="Times New Roman" w:hAnsi="Times New Roman"/>
          <w:sz w:val="16"/>
          <w:szCs w:val="16"/>
          <w:i w:val="1"/>
          <w:iCs w:val="1"/>
          <w:color w:val="auto"/>
        </w:rPr>
        <w:t xml:space="preserve">“Investments - Equity Securities”, </w:t>
      </w:r>
      <w:r>
        <w:rPr>
          <w:rFonts w:ascii="Times New Roman" w:cs="Times New Roman" w:eastAsia="Times New Roman" w:hAnsi="Times New Roman"/>
          <w:sz w:val="16"/>
          <w:szCs w:val="16"/>
          <w:color w:val="auto"/>
        </w:rPr>
        <w:t>the Company may elect to measure those investments at fair value or at cost, less any impairment, plus or minus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changes resulting from observable price changes in orderly transactions for the identical or similar investment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 See also Note 2M below.</w:t>
      </w:r>
    </w:p>
    <w:p>
      <w:pPr>
        <w:spacing w:after="0" w:line="217"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and Equipment</w:t>
      </w:r>
    </w:p>
    <w:p>
      <w:pPr>
        <w:spacing w:after="0" w:line="263" w:lineRule="exact"/>
        <w:rPr>
          <w:rFonts w:ascii="Times New Roman" w:cs="Times New Roman" w:eastAsia="Times New Roman" w:hAnsi="Times New Roman"/>
          <w:sz w:val="16"/>
          <w:szCs w:val="16"/>
          <w:b w:val="1"/>
          <w:bCs w:val="1"/>
          <w:color w:val="auto"/>
        </w:rPr>
      </w:pPr>
    </w:p>
    <w:p>
      <w:pPr>
        <w:jc w:val="both"/>
        <w:ind w:left="1260" w:firstLine="5"/>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accounts for property and equipment in accordance with Accounting Standards Codification ASC 360 “</w:t>
      </w:r>
      <w:r>
        <w:rPr>
          <w:rFonts w:ascii="Times New Roman" w:cs="Times New Roman" w:eastAsia="Times New Roman" w:hAnsi="Times New Roman"/>
          <w:sz w:val="16"/>
          <w:szCs w:val="16"/>
          <w:i w:val="1"/>
          <w:iCs w:val="1"/>
          <w:color w:val="auto"/>
        </w:rPr>
        <w:t>Accounting for the Property, Plant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and Equipment</w:t>
      </w:r>
      <w:r>
        <w:rPr>
          <w:rFonts w:ascii="Times New Roman" w:cs="Times New Roman" w:eastAsia="Times New Roman" w:hAnsi="Times New Roman"/>
          <w:sz w:val="16"/>
          <w:szCs w:val="16"/>
          <w:color w:val="auto"/>
        </w:rPr>
        <w:t>”. Property and equipment are presented at cost, including capitalizable costs. Capitalizable costs include only costs that are identifiable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and related to, the property and equipment, and are incurred prior to their initial operation. Identifiable incremental direct costs include costs associated with constructing, establishing, and installing facilities and equipment, as well as technology transfer.</w:t>
      </w:r>
    </w:p>
    <w:p>
      <w:pPr>
        <w:spacing w:after="0" w:line="217"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Maintenance and repairs are charged to expenses as incurred.</w:t>
      </w:r>
    </w:p>
    <w:p>
      <w:pPr>
        <w:spacing w:after="0" w:line="263" w:lineRule="exact"/>
        <w:rPr>
          <w:rFonts w:ascii="Times New Roman" w:cs="Times New Roman" w:eastAsia="Times New Roman" w:hAnsi="Times New Roman"/>
          <w:sz w:val="16"/>
          <w:szCs w:val="16"/>
          <w:b w:val="1"/>
          <w:bCs w:val="1"/>
          <w:color w:val="auto"/>
        </w:rPr>
      </w:pPr>
    </w:p>
    <w:p>
      <w:pPr>
        <w:ind w:left="1260" w:right="1340"/>
        <w:spacing w:after="0" w:line="5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Property and equipment are presented net of investment grants and government subsidies received and less accumulated depreciation. Depreciation is calculated based on the straight-line method over the Company’s estimated useful lives of the assets, as follows:</w:t>
      </w:r>
    </w:p>
    <w:p>
      <w:pPr>
        <w:ind w:left="1540" w:hanging="285"/>
        <w:spacing w:after="0"/>
        <w:tabs>
          <w:tab w:leader="none" w:pos="15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Buildings and building improvements, including facility infrastructure: 7-25 years.</w:t>
      </w:r>
    </w:p>
    <w:p>
      <w:pPr>
        <w:spacing w:after="0" w:line="25" w:lineRule="exact"/>
        <w:rPr>
          <w:rFonts w:ascii="Times New Roman" w:cs="Times New Roman" w:eastAsia="Times New Roman" w:hAnsi="Times New Roman"/>
          <w:sz w:val="16"/>
          <w:szCs w:val="16"/>
          <w:color w:val="auto"/>
        </w:rPr>
      </w:pPr>
    </w:p>
    <w:p>
      <w:pPr>
        <w:ind w:left="1540" w:hanging="285"/>
        <w:spacing w:after="0"/>
        <w:tabs>
          <w:tab w:leader="none" w:pos="15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Machinery and equipment, software and hardware: 3-15 years.</w:t>
      </w:r>
    </w:p>
    <w:p>
      <w:pPr>
        <w:spacing w:after="0" w:line="2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Impairment charges, if needed, are determined based on the policy outlined in Note 2M below.</w:t>
      </w:r>
    </w:p>
    <w:p>
      <w:pPr>
        <w:spacing w:after="0" w:line="2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Property and equipment also include assets under capital leases, which are depreciated over their applicable useful life.</w:t>
      </w:r>
    </w:p>
    <w:p>
      <w:pPr>
        <w:spacing w:after="0" w:line="250" w:lineRule="exact"/>
        <w:rPr>
          <w:sz w:val="20"/>
          <w:szCs w:val="20"/>
          <w:color w:val="auto"/>
        </w:rPr>
      </w:pPr>
    </w:p>
    <w:p>
      <w:pPr>
        <w:ind w:left="1260" w:hanging="348"/>
        <w:spacing w:after="0"/>
        <w:tabs>
          <w:tab w:leader="none" w:pos="126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Intangible Assets and Goodwill</w:t>
      </w:r>
    </w:p>
    <w:p>
      <w:pPr>
        <w:spacing w:after="0" w:line="263" w:lineRule="exact"/>
        <w:rPr>
          <w:rFonts w:ascii="Times New Roman" w:cs="Times New Roman" w:eastAsia="Times New Roman" w:hAnsi="Times New Roman"/>
          <w:sz w:val="16"/>
          <w:szCs w:val="16"/>
          <w:b w:val="1"/>
          <w:bCs w:val="1"/>
          <w:color w:val="auto"/>
        </w:rPr>
      </w:pPr>
    </w:p>
    <w:p>
      <w:pPr>
        <w:jc w:val="both"/>
        <w:ind w:left="1260" w:firstLine="5"/>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accounts for intangible assets and goodwill in accordance with ASC 350 “</w:t>
      </w:r>
      <w:r>
        <w:rPr>
          <w:rFonts w:ascii="Times New Roman" w:cs="Times New Roman" w:eastAsia="Times New Roman" w:hAnsi="Times New Roman"/>
          <w:sz w:val="16"/>
          <w:szCs w:val="16"/>
          <w:i w:val="1"/>
          <w:iCs w:val="1"/>
          <w:color w:val="auto"/>
        </w:rPr>
        <w:t>Intangibles-Goodwill and Other</w:t>
      </w:r>
      <w:r>
        <w:rPr>
          <w:rFonts w:ascii="Times New Roman" w:cs="Times New Roman" w:eastAsia="Times New Roman" w:hAnsi="Times New Roman"/>
          <w:sz w:val="16"/>
          <w:szCs w:val="16"/>
          <w:color w:val="auto"/>
        </w:rPr>
        <w:t>”. Intangible assets include the values assigned to the intangible assets as part of the purchase price allocation made at the time of acquisition. Intangible assets are amortized over the expected estimated economic life commonly used in the industry. Goodwill is not amortized and subject to impairment testing. Impairment charges on intangibles or goodwill, if needed, are determined based on the policy outlined in Note 2M below.</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 (continued)</w:t>
      </w:r>
    </w:p>
    <w:p>
      <w:pPr>
        <w:spacing w:after="0" w:line="264" w:lineRule="exact"/>
        <w:rPr>
          <w:sz w:val="20"/>
          <w:szCs w:val="20"/>
          <w:color w:val="auto"/>
        </w:rPr>
      </w:pPr>
    </w:p>
    <w:p>
      <w:pPr>
        <w:ind w:left="1260" w:hanging="348"/>
        <w:spacing w:after="0"/>
        <w:tabs>
          <w:tab w:leader="none" w:pos="126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Impairment of Assets</w:t>
      </w:r>
    </w:p>
    <w:p>
      <w:pPr>
        <w:spacing w:after="0" w:line="261"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Impairment of Property, Equipment and Intangible Assets</w:t>
      </w:r>
    </w:p>
    <w:p>
      <w:pPr>
        <w:spacing w:after="0" w:line="255" w:lineRule="exact"/>
        <w:rPr>
          <w:rFonts w:ascii="Times New Roman" w:cs="Times New Roman" w:eastAsia="Times New Roman" w:hAnsi="Times New Roman"/>
          <w:sz w:val="16"/>
          <w:szCs w:val="16"/>
          <w:b w:val="1"/>
          <w:bCs w:val="1"/>
          <w:color w:val="auto"/>
        </w:rPr>
      </w:pPr>
    </w:p>
    <w:p>
      <w:pPr>
        <w:jc w:val="both"/>
        <w:ind w:left="1260" w:right="20" w:firstLine="5"/>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As of December 31, 2024, the Company concluded there was no impairment to its long-lived assets and intangible assets.</w:t>
      </w:r>
    </w:p>
    <w:p>
      <w:pPr>
        <w:spacing w:after="0" w:line="211"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Impairment of Goodwill</w:t>
      </w:r>
    </w:p>
    <w:p>
      <w:pPr>
        <w:spacing w:after="0" w:line="255" w:lineRule="exact"/>
        <w:rPr>
          <w:rFonts w:ascii="Times New Roman" w:cs="Times New Roman" w:eastAsia="Times New Roman" w:hAnsi="Times New Roman"/>
          <w:sz w:val="16"/>
          <w:szCs w:val="16"/>
          <w:b w:val="1"/>
          <w:bCs w:val="1"/>
          <w:color w:val="auto"/>
        </w:rPr>
      </w:pPr>
    </w:p>
    <w:p>
      <w:pPr>
        <w:jc w:val="both"/>
        <w:ind w:left="1260" w:firstLine="5"/>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exceed it.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2024, the Company performed a qualitative impairment test for its reporting unit and concluded there was no impairment of goodwill.</w:t>
      </w:r>
    </w:p>
    <w:p>
      <w:pPr>
        <w:spacing w:after="0" w:line="215"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Impairment of Investment in Privately Held Companies</w:t>
      </w:r>
    </w:p>
    <w:p>
      <w:pPr>
        <w:spacing w:after="0" w:line="267" w:lineRule="exact"/>
        <w:rPr>
          <w:rFonts w:ascii="Times New Roman" w:cs="Times New Roman" w:eastAsia="Times New Roman" w:hAnsi="Times New Roman"/>
          <w:sz w:val="16"/>
          <w:szCs w:val="16"/>
          <w:b w:val="1"/>
          <w:bCs w:val="1"/>
          <w:color w:val="auto"/>
        </w:rPr>
      </w:pPr>
    </w:p>
    <w:p>
      <w:pPr>
        <w:jc w:val="both"/>
        <w:ind w:left="1260" w:right="20" w:firstLine="5"/>
        <w:spacing w:after="0" w:line="27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Investments in privately held companies accounted for using the Measurement Alternative are subject to periodic impairment reviews. Based on ASC 321-10-35-3, the Company’s impairment analysis considers qualitative factors to evaluate whether the investment is impaired. As of December 31, 2024, no impairments were recorded.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 (continued)</w:t>
      </w:r>
    </w:p>
    <w:p>
      <w:pPr>
        <w:spacing w:after="0" w:line="264" w:lineRule="exact"/>
        <w:rPr>
          <w:sz w:val="20"/>
          <w:szCs w:val="20"/>
          <w:color w:val="auto"/>
        </w:rPr>
      </w:pPr>
    </w:p>
    <w:p>
      <w:pPr>
        <w:ind w:left="1280" w:hanging="368"/>
        <w:spacing w:after="0"/>
        <w:tabs>
          <w:tab w:leader="none" w:pos="12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265" w:lineRule="exact"/>
        <w:rPr>
          <w:rFonts w:ascii="Times New Roman" w:cs="Times New Roman" w:eastAsia="Times New Roman" w:hAnsi="Times New Roman"/>
          <w:sz w:val="16"/>
          <w:szCs w:val="16"/>
          <w:b w:val="1"/>
          <w:bCs w:val="1"/>
          <w:color w:val="auto"/>
        </w:rPr>
      </w:pPr>
    </w:p>
    <w:p>
      <w:pPr>
        <w:ind w:left="1260" w:right="2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recognizes a right-of-use asset (“ROU”) and lease liability for all operating and capital leases with a term greater than twelve months upon lease arrangement inception.</w:t>
      </w:r>
    </w:p>
    <w:p>
      <w:pPr>
        <w:spacing w:after="0" w:line="202" w:lineRule="exact"/>
        <w:rPr>
          <w:rFonts w:ascii="Times New Roman" w:cs="Times New Roman" w:eastAsia="Times New Roman" w:hAnsi="Times New Roman"/>
          <w:sz w:val="16"/>
          <w:szCs w:val="16"/>
          <w:b w:val="1"/>
          <w:bCs w:val="1"/>
          <w:color w:val="auto"/>
        </w:rPr>
      </w:pPr>
    </w:p>
    <w:p>
      <w:pPr>
        <w:jc w:val="both"/>
        <w:ind w:left="1260" w:firstLine="5"/>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ROU assets represent the Company’s right to use an underlying asset for the lease term and lease liabilities represent the Company’s obligation to make lease payments arising from the terms of lease contracts. ROU assets and lease liabilities are recognized at the lease commencement date based on the present value of lease payments over the lease term. Since most of the Company’s leases do not provide an implicit rate, the Company's incremental borrowing rate is used based on the information available at the commencement date in determining the present value of lease payments. The lease terms used to calculate the ROU asset and related lease liability include options to terminate the lease or extend it when it is reasonably certain that the Company will exercise that option. Lease expense for operating leases is recognized on a straight-line basis over the lease term as an operating expense. For additional information, see Notes 10D and 10E.</w:t>
      </w:r>
    </w:p>
    <w:p>
      <w:pPr>
        <w:spacing w:after="0" w:line="205"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Recognition</w:t>
      </w:r>
    </w:p>
    <w:p>
      <w:pPr>
        <w:spacing w:after="0" w:line="263" w:lineRule="exact"/>
        <w:rPr>
          <w:rFonts w:ascii="Times New Roman" w:cs="Times New Roman" w:eastAsia="Times New Roman" w:hAnsi="Times New Roman"/>
          <w:sz w:val="16"/>
          <w:szCs w:val="16"/>
          <w:b w:val="1"/>
          <w:bCs w:val="1"/>
          <w:color w:val="auto"/>
        </w:rPr>
      </w:pPr>
    </w:p>
    <w:p>
      <w:pPr>
        <w:ind w:left="1260" w:firstLine="5"/>
        <w:spacing w:after="0" w:line="30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recognizes revenue in accordance with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when it transfers the control of promised goods or services to customers in an amount that reflects the consideration the Company expects to be entitled to in exchange for those goods or services.</w:t>
      </w:r>
    </w:p>
    <w:p>
      <w:pPr>
        <w:spacing w:after="0" w:line="177" w:lineRule="exact"/>
        <w:rPr>
          <w:rFonts w:ascii="Times New Roman" w:cs="Times New Roman" w:eastAsia="Times New Roman" w:hAnsi="Times New Roman"/>
          <w:sz w:val="16"/>
          <w:szCs w:val="16"/>
          <w:b w:val="1"/>
          <w:bCs w:val="1"/>
          <w:color w:val="auto"/>
        </w:rPr>
      </w:pPr>
    </w:p>
    <w:p>
      <w:pPr>
        <w:jc w:val="both"/>
        <w:ind w:left="1260" w:right="20" w:firstLine="5"/>
        <w:spacing w:after="0" w:line="28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revenues are generated principally from sales of semiconductor wafers. The Company, to a much lesser extent, also derives revenues from design support and other technical and support services incidental to the sale of semiconductor wafers. Most of the Company’s sales are achieved through the effort of its direct sales and business development force.</w:t>
      </w:r>
    </w:p>
    <w:p>
      <w:pPr>
        <w:spacing w:after="0" w:line="191" w:lineRule="exact"/>
        <w:rPr>
          <w:rFonts w:ascii="Times New Roman" w:cs="Times New Roman" w:eastAsia="Times New Roman" w:hAnsi="Times New Roman"/>
          <w:sz w:val="16"/>
          <w:szCs w:val="16"/>
          <w:b w:val="1"/>
          <w:bCs w:val="1"/>
          <w:color w:val="auto"/>
        </w:rPr>
      </w:pPr>
    </w:p>
    <w:p>
      <w:pPr>
        <w:jc w:val="both"/>
        <w:ind w:left="1260" w:right="20" w:firstLine="5"/>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Wafer sales typically contain a single performance obligation that is fulfilled on the date of delivery and recognized at a point in time, which is upon shipment of the Company’s products to unaffiliated customers, depending on shipping terms stipulated in the contract. Accordingly, control of the products transfers to the customer in accordance with the transaction's shipping terms. Taxes imposed by governmental authorities, such as sales taxes or value-added taxes, are excluded from net sales.</w:t>
      </w:r>
    </w:p>
    <w:p>
      <w:pPr>
        <w:spacing w:after="0" w:line="212" w:lineRule="exact"/>
        <w:rPr>
          <w:rFonts w:ascii="Times New Roman" w:cs="Times New Roman" w:eastAsia="Times New Roman" w:hAnsi="Times New Roman"/>
          <w:sz w:val="16"/>
          <w:szCs w:val="16"/>
          <w:b w:val="1"/>
          <w:bCs w:val="1"/>
          <w:color w:val="auto"/>
        </w:rPr>
      </w:pPr>
    </w:p>
    <w:p>
      <w:pPr>
        <w:ind w:left="1260" w:right="2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provides for sales returns allowance relating to specified yield or quality commitments as a reduction of revenues, based on past experience and specific identification of relevant events, which has been in immaterial amounts.</w:t>
      </w:r>
    </w:p>
    <w:p>
      <w:pPr>
        <w:spacing w:after="0" w:line="179" w:lineRule="exact"/>
        <w:rPr>
          <w:rFonts w:ascii="Times New Roman" w:cs="Times New Roman" w:eastAsia="Times New Roman" w:hAnsi="Times New Roman"/>
          <w:sz w:val="16"/>
          <w:szCs w:val="16"/>
          <w:b w:val="1"/>
          <w:bCs w:val="1"/>
          <w:color w:val="auto"/>
        </w:rPr>
      </w:pPr>
    </w:p>
    <w:p>
      <w:pPr>
        <w:ind w:left="1260" w:right="2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provides its customers with other services that are less significant in scope and amount and for which recognition occurs over time when customers receive the services.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 (continued)</w:t>
      </w:r>
    </w:p>
    <w:p>
      <w:pPr>
        <w:spacing w:after="0" w:line="264" w:lineRule="exact"/>
        <w:rPr>
          <w:sz w:val="20"/>
          <w:szCs w:val="20"/>
          <w:color w:val="auto"/>
        </w:rPr>
      </w:pPr>
    </w:p>
    <w:p>
      <w:pPr>
        <w:ind w:left="1240" w:hanging="328"/>
        <w:spacing w:after="0"/>
        <w:tabs>
          <w:tab w:leader="none" w:pos="124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Research and Development</w:t>
      </w:r>
    </w:p>
    <w:p>
      <w:pPr>
        <w:spacing w:after="0" w:line="266" w:lineRule="exact"/>
        <w:rPr>
          <w:sz w:val="20"/>
          <w:szCs w:val="20"/>
          <w:color w:val="auto"/>
        </w:rPr>
      </w:pPr>
    </w:p>
    <w:p>
      <w:pPr>
        <w:jc w:val="both"/>
        <w:ind w:left="1260" w:right="20" w:firstLine="5"/>
        <w:spacing w:after="0" w:line="274" w:lineRule="auto"/>
        <w:rPr>
          <w:sz w:val="20"/>
          <w:szCs w:val="20"/>
          <w:color w:val="auto"/>
        </w:rPr>
      </w:pPr>
      <w:r>
        <w:rPr>
          <w:rFonts w:ascii="Times New Roman" w:cs="Times New Roman" w:eastAsia="Times New Roman" w:hAnsi="Times New Roman"/>
          <w:sz w:val="16"/>
          <w:szCs w:val="16"/>
          <w:color w:val="auto"/>
        </w:rPr>
        <w:t>Research and development costs are charged to operations as incurred. Amounts received or receivable from the government of Israel and others, such as participation in research and development programs, are offset from research and development costs. The accrual for grants receivable is determined based on the terms of the programs, provided that the criteria for entitlement have been met. As of December 31, 2024, the grants receivable amount was immaterial.</w:t>
      </w:r>
    </w:p>
    <w:p>
      <w:pPr>
        <w:spacing w:after="0" w:line="199" w:lineRule="exact"/>
        <w:rPr>
          <w:sz w:val="20"/>
          <w:szCs w:val="20"/>
          <w:color w:val="auto"/>
        </w:rPr>
      </w:pPr>
    </w:p>
    <w:p>
      <w:pPr>
        <w:ind w:left="1280" w:hanging="368"/>
        <w:spacing w:after="0"/>
        <w:tabs>
          <w:tab w:leader="none" w:pos="128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263" w:lineRule="exact"/>
        <w:rPr>
          <w:rFonts w:ascii="Times New Roman" w:cs="Times New Roman" w:eastAsia="Times New Roman" w:hAnsi="Times New Roman"/>
          <w:sz w:val="16"/>
          <w:szCs w:val="16"/>
          <w:b w:val="1"/>
          <w:bCs w:val="1"/>
          <w:color w:val="auto"/>
        </w:rPr>
      </w:pPr>
    </w:p>
    <w:p>
      <w:pPr>
        <w:jc w:val="both"/>
        <w:ind w:left="1260" w:right="20" w:firstLine="5"/>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Company accounts for income taxes using an asset and liability approach as prescribed in ASC 740-10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This topic prescribes the use of the liability method whereby deferred tax asset and liability account balances are determined based on differences between financial reporting and tax bases of assets and liabilities. Deferred taxes are measured using the enacted tax rates under applicable law expected to be in effect for the year in which the differences are expected to reverse as of the balance sheet date. Deferred tax assets and liabilities, as well as any related valuation allowance, are presented as noncurrent items on the balance sheets.</w:t>
      </w:r>
    </w:p>
    <w:p>
      <w:pPr>
        <w:spacing w:after="0" w:line="217" w:lineRule="exact"/>
        <w:rPr>
          <w:rFonts w:ascii="Times New Roman" w:cs="Times New Roman" w:eastAsia="Times New Roman" w:hAnsi="Times New Roman"/>
          <w:sz w:val="16"/>
          <w:szCs w:val="16"/>
          <w:b w:val="1"/>
          <w:bCs w:val="1"/>
          <w:color w:val="auto"/>
        </w:rPr>
      </w:pPr>
    </w:p>
    <w:p>
      <w:pPr>
        <w:jc w:val="both"/>
        <w:ind w:left="1260" w:right="20" w:firstLine="5"/>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deferred tax assets and projected future taxable income.</w:t>
      </w:r>
    </w:p>
    <w:p>
      <w:pPr>
        <w:spacing w:after="0" w:line="203" w:lineRule="exact"/>
        <w:rPr>
          <w:rFonts w:ascii="Times New Roman" w:cs="Times New Roman" w:eastAsia="Times New Roman" w:hAnsi="Times New Roman"/>
          <w:sz w:val="16"/>
          <w:szCs w:val="16"/>
          <w:b w:val="1"/>
          <w:bCs w:val="1"/>
          <w:color w:val="auto"/>
        </w:rPr>
      </w:pPr>
    </w:p>
    <w:p>
      <w:pPr>
        <w:ind w:left="1260" w:right="2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valuation allowance is established, when necessary, to reduce deferred tax assets to the amount that is more likely than not to be realized based on all available evidence.</w:t>
      </w:r>
    </w:p>
    <w:p>
      <w:pPr>
        <w:spacing w:after="0" w:line="191" w:lineRule="exact"/>
        <w:rPr>
          <w:rFonts w:ascii="Times New Roman" w:cs="Times New Roman" w:eastAsia="Times New Roman" w:hAnsi="Times New Roman"/>
          <w:sz w:val="16"/>
          <w:szCs w:val="16"/>
          <w:b w:val="1"/>
          <w:bCs w:val="1"/>
          <w:color w:val="auto"/>
        </w:rPr>
      </w:pPr>
    </w:p>
    <w:p>
      <w:pPr>
        <w:jc w:val="both"/>
        <w:ind w:left="1260" w:firstLine="5"/>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 (continued)</w:t>
      </w:r>
    </w:p>
    <w:p>
      <w:pPr>
        <w:spacing w:after="0" w:line="264" w:lineRule="exact"/>
        <w:rPr>
          <w:sz w:val="20"/>
          <w:szCs w:val="20"/>
          <w:color w:val="auto"/>
        </w:rPr>
      </w:pPr>
    </w:p>
    <w:p>
      <w:pPr>
        <w:ind w:left="1280" w:hanging="368"/>
        <w:spacing w:after="0"/>
        <w:tabs>
          <w:tab w:leader="none" w:pos="128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Ordinary Share</w:t>
      </w:r>
    </w:p>
    <w:p>
      <w:pPr>
        <w:spacing w:after="0" w:line="265" w:lineRule="exact"/>
        <w:rPr>
          <w:rFonts w:ascii="Times New Roman" w:cs="Times New Roman" w:eastAsia="Times New Roman" w:hAnsi="Times New Roman"/>
          <w:sz w:val="16"/>
          <w:szCs w:val="16"/>
          <w:b w:val="1"/>
          <w:bCs w:val="1"/>
          <w:color w:val="auto"/>
        </w:rPr>
      </w:pPr>
    </w:p>
    <w:p>
      <w:pPr>
        <w:jc w:val="both"/>
        <w:ind w:left="1260" w:right="20" w:firstLine="5"/>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Basic earnings per share are calculated in accordance with ASC 260, “Earnings Per Share” by dividing net profit or loss attributable to ordinary equity holders of Tower (the numerator) by the weighted average number of ordinary shares outstanding during the reported period (the denominator). Diluted earnings per share are calculated, if applicable, by adjusting the net profit attributable to ordinary equity holders of Tower, and the weighted average number of ordinary shares, taking into effect all potential dilutive ordinary shares.</w:t>
      </w:r>
    </w:p>
    <w:p>
      <w:pPr>
        <w:spacing w:after="0" w:line="198" w:lineRule="exact"/>
        <w:rPr>
          <w:rFonts w:ascii="Times New Roman" w:cs="Times New Roman" w:eastAsia="Times New Roman" w:hAnsi="Times New Roman"/>
          <w:sz w:val="16"/>
          <w:szCs w:val="16"/>
          <w:b w:val="1"/>
          <w:bCs w:val="1"/>
          <w:color w:val="auto"/>
        </w:rPr>
      </w:pPr>
    </w:p>
    <w:p>
      <w:pPr>
        <w:ind w:left="1240" w:hanging="328"/>
        <w:spacing w:after="0"/>
        <w:tabs>
          <w:tab w:leader="none" w:pos="124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Comprehensive Income</w:t>
      </w:r>
    </w:p>
    <w:p>
      <w:pPr>
        <w:spacing w:after="0" w:line="263" w:lineRule="exact"/>
        <w:rPr>
          <w:rFonts w:ascii="Times New Roman" w:cs="Times New Roman" w:eastAsia="Times New Roman" w:hAnsi="Times New Roman"/>
          <w:sz w:val="16"/>
          <w:szCs w:val="16"/>
          <w:b w:val="1"/>
          <w:bCs w:val="1"/>
          <w:color w:val="auto"/>
        </w:rPr>
      </w:pPr>
    </w:p>
    <w:p>
      <w:pPr>
        <w:jc w:val="both"/>
        <w:ind w:left="1260" w:firstLine="5"/>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accordance with ASC 220 “</w:t>
      </w:r>
      <w:r>
        <w:rPr>
          <w:rFonts w:ascii="Times New Roman" w:cs="Times New Roman" w:eastAsia="Times New Roman" w:hAnsi="Times New Roman"/>
          <w:sz w:val="16"/>
          <w:szCs w:val="16"/>
          <w:i w:val="1"/>
          <w:iCs w:val="1"/>
          <w:color w:val="auto"/>
        </w:rPr>
        <w:t>Comprehensive Income</w:t>
      </w:r>
      <w:r>
        <w:rPr>
          <w:rFonts w:ascii="Times New Roman" w:cs="Times New Roman" w:eastAsia="Times New Roman" w:hAnsi="Times New Roman"/>
          <w:sz w:val="16"/>
          <w:szCs w:val="16"/>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spacing w:after="0" w:line="197" w:lineRule="exact"/>
        <w:rPr>
          <w:rFonts w:ascii="Times New Roman" w:cs="Times New Roman" w:eastAsia="Times New Roman" w:hAnsi="Times New Roman"/>
          <w:sz w:val="16"/>
          <w:szCs w:val="16"/>
          <w:b w:val="1"/>
          <w:bCs w:val="1"/>
          <w:color w:val="auto"/>
        </w:rPr>
      </w:pPr>
    </w:p>
    <w:p>
      <w:pPr>
        <w:ind w:left="1240" w:hanging="328"/>
        <w:spacing w:after="0"/>
        <w:tabs>
          <w:tab w:leader="none" w:pos="124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Functional Currency and Exchange Rate Results</w:t>
      </w:r>
    </w:p>
    <w:p>
      <w:pPr>
        <w:spacing w:after="0" w:line="265" w:lineRule="exact"/>
        <w:rPr>
          <w:rFonts w:ascii="Times New Roman" w:cs="Times New Roman" w:eastAsia="Times New Roman" w:hAnsi="Times New Roman"/>
          <w:sz w:val="16"/>
          <w:szCs w:val="16"/>
          <w:b w:val="1"/>
          <w:bCs w:val="1"/>
          <w:color w:val="auto"/>
        </w:rPr>
      </w:pPr>
    </w:p>
    <w:p>
      <w:pPr>
        <w:jc w:val="both"/>
        <w:ind w:left="1260" w:firstLine="5"/>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currency of the primary economic environment in which Tower, TSSA, TSNB and TSIT conduct their operations is the U.S. Dollar (“dollar”). Thus, the dollar is their functional and reporting currency. Accordingly, monetary accounts maintained in currencies other than the dollar are re-measured into dollars in accordance with ASC 830-10 “Foreign Currency Matters”.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spacing w:after="0" w:line="217"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w:t>
      </w:r>
    </w:p>
    <w:p>
      <w:pPr>
        <w:spacing w:after="0" w:line="251" w:lineRule="exact"/>
        <w:rPr>
          <w:rFonts w:ascii="Times New Roman" w:cs="Times New Roman" w:eastAsia="Times New Roman" w:hAnsi="Times New Roman"/>
          <w:sz w:val="16"/>
          <w:szCs w:val="16"/>
          <w:b w:val="1"/>
          <w:bCs w:val="1"/>
          <w:color w:val="auto"/>
        </w:rPr>
      </w:pPr>
    </w:p>
    <w:p>
      <w:pPr>
        <w:ind w:left="1260" w:right="20" w:firstLine="5"/>
        <w:spacing w:after="0" w:line="30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applies the provisions of ASC Topic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under which employees’ share-based equity awards (mostly restricted stock units and performance unit shares) are recognized based on the grant-date fair values.</w:t>
      </w:r>
    </w:p>
    <w:p>
      <w:pPr>
        <w:spacing w:after="0" w:line="189" w:lineRule="exact"/>
        <w:rPr>
          <w:rFonts w:ascii="Times New Roman" w:cs="Times New Roman" w:eastAsia="Times New Roman" w:hAnsi="Times New Roman"/>
          <w:sz w:val="16"/>
          <w:szCs w:val="16"/>
          <w:b w:val="1"/>
          <w:bCs w:val="1"/>
          <w:color w:val="auto"/>
        </w:rPr>
      </w:pPr>
    </w:p>
    <w:p>
      <w:pPr>
        <w:ind w:left="1260" w:right="2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compensation costs are recognized using the graded vesting attribution method based on the vesting terms of each unit included in the award resulting in an accelerated recognition of compensation costs.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 (continued)</w:t>
      </w:r>
    </w:p>
    <w:p>
      <w:pPr>
        <w:spacing w:after="0" w:line="264" w:lineRule="exact"/>
        <w:rPr>
          <w:sz w:val="20"/>
          <w:szCs w:val="20"/>
          <w:color w:val="auto"/>
        </w:rPr>
      </w:pPr>
    </w:p>
    <w:p>
      <w:pPr>
        <w:ind w:left="1240" w:hanging="328"/>
        <w:spacing w:after="0"/>
        <w:tabs>
          <w:tab w:leader="none" w:pos="124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 of Financial Instruments</w:t>
      </w:r>
    </w:p>
    <w:p>
      <w:pPr>
        <w:spacing w:after="0" w:line="263" w:lineRule="exact"/>
        <w:rPr>
          <w:rFonts w:ascii="Times New Roman" w:cs="Times New Roman" w:eastAsia="Times New Roman" w:hAnsi="Times New Roman"/>
          <w:sz w:val="16"/>
          <w:szCs w:val="16"/>
          <w:b w:val="1"/>
          <w:bCs w:val="1"/>
          <w:color w:val="auto"/>
        </w:rPr>
      </w:pPr>
    </w:p>
    <w:p>
      <w:pPr>
        <w:jc w:val="both"/>
        <w:ind w:left="1260" w:firstLine="5"/>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ASC 820, "</w:t>
      </w:r>
      <w:r>
        <w:rPr>
          <w:rFonts w:ascii="Times New Roman" w:cs="Times New Roman" w:eastAsia="Times New Roman" w:hAnsi="Times New Roman"/>
          <w:sz w:val="16"/>
          <w:szCs w:val="16"/>
          <w:i w:val="1"/>
          <w:iCs w:val="1"/>
          <w:color w:val="auto"/>
        </w:rPr>
        <w:t>Fair Value Measurements and Disclosures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(“ASC 820”)</w:t>
      </w:r>
      <w:r>
        <w:rPr>
          <w:rFonts w:ascii="Times New Roman" w:cs="Times New Roman" w:eastAsia="Times New Roman" w:hAnsi="Times New Roman"/>
          <w:sz w:val="16"/>
          <w:szCs w:val="16"/>
          <w:color w:val="auto"/>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99"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ASC 820 prioritizes the inputs into three levels that may be used to measure fair value:</w:t>
      </w:r>
    </w:p>
    <w:p>
      <w:pPr>
        <w:spacing w:after="0" w:line="259"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1</w:t>
      </w:r>
    </w:p>
    <w:p>
      <w:pPr>
        <w:spacing w:after="0" w:line="267"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1 applies to assets or liabilities for which there are quoted prices in active markets for identical assets or liabilities.</w:t>
      </w:r>
    </w:p>
    <w:p>
      <w:pPr>
        <w:spacing w:after="0" w:line="247"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2</w:t>
      </w:r>
    </w:p>
    <w:p>
      <w:pPr>
        <w:spacing w:after="0" w:line="267" w:lineRule="exact"/>
        <w:rPr>
          <w:rFonts w:ascii="Times New Roman" w:cs="Times New Roman" w:eastAsia="Times New Roman" w:hAnsi="Times New Roman"/>
          <w:sz w:val="16"/>
          <w:szCs w:val="16"/>
          <w:b w:val="1"/>
          <w:bCs w:val="1"/>
          <w:color w:val="auto"/>
        </w:rPr>
      </w:pPr>
    </w:p>
    <w:p>
      <w:pPr>
        <w:jc w:val="both"/>
        <w:ind w:left="1260" w:firstLine="5"/>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96"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Level 3</w:t>
      </w:r>
    </w:p>
    <w:p>
      <w:pPr>
        <w:spacing w:after="0" w:line="267" w:lineRule="exact"/>
        <w:rPr>
          <w:rFonts w:ascii="Times New Roman" w:cs="Times New Roman" w:eastAsia="Times New Roman" w:hAnsi="Times New Roman"/>
          <w:sz w:val="16"/>
          <w:szCs w:val="16"/>
          <w:b w:val="1"/>
          <w:bCs w:val="1"/>
          <w:color w:val="auto"/>
        </w:rPr>
      </w:pPr>
    </w:p>
    <w:p>
      <w:pPr>
        <w:ind w:left="126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3 applies to assets or liabilities for which there are unobservable inputs to the valuation methodology that are significant to the measurement of the fair value of the assets or liabilities.</w:t>
      </w:r>
    </w:p>
    <w:p>
      <w:pPr>
        <w:spacing w:after="0" w:line="179" w:lineRule="exact"/>
        <w:rPr>
          <w:rFonts w:ascii="Times New Roman" w:cs="Times New Roman" w:eastAsia="Times New Roman" w:hAnsi="Times New Roman"/>
          <w:sz w:val="16"/>
          <w:szCs w:val="16"/>
          <w:b w:val="1"/>
          <w:bCs w:val="1"/>
          <w:color w:val="auto"/>
        </w:rPr>
      </w:pPr>
    </w:p>
    <w:p>
      <w:pPr>
        <w:jc w:val="both"/>
        <w:ind w:left="1260" w:firstLine="5"/>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carrying value of the Company’s bank deposits, account receivables, payables and accrued liabilities, approximate their current fair values in accordance with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investments in privately-held companies.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2:</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 (continued)</w:t>
      </w:r>
    </w:p>
    <w:p>
      <w:pPr>
        <w:spacing w:after="0" w:line="264" w:lineRule="exact"/>
        <w:rPr>
          <w:sz w:val="20"/>
          <w:szCs w:val="20"/>
          <w:color w:val="auto"/>
        </w:rPr>
      </w:pPr>
    </w:p>
    <w:p>
      <w:pPr>
        <w:ind w:left="1260" w:hanging="348"/>
        <w:spacing w:after="0"/>
        <w:tabs>
          <w:tab w:leader="none" w:pos="126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Derivatives and Hedging</w:t>
      </w:r>
    </w:p>
    <w:p>
      <w:pPr>
        <w:spacing w:after="0" w:line="265" w:lineRule="exact"/>
        <w:rPr>
          <w:rFonts w:ascii="Times New Roman" w:cs="Times New Roman" w:eastAsia="Times New Roman" w:hAnsi="Times New Roman"/>
          <w:sz w:val="16"/>
          <w:szCs w:val="16"/>
          <w:b w:val="1"/>
          <w:bCs w:val="1"/>
          <w:color w:val="auto"/>
        </w:rPr>
      </w:pPr>
    </w:p>
    <w:p>
      <w:pPr>
        <w:ind w:left="1260" w:right="2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accordance with ASC Topic 815, Derivative and Hedging ("ASC 815"), the Company recognizes all its derivative instruments as either assets or liabilities and carries them at fair value.</w:t>
      </w:r>
    </w:p>
    <w:p>
      <w:pPr>
        <w:spacing w:after="0" w:line="202" w:lineRule="exact"/>
        <w:rPr>
          <w:rFonts w:ascii="Times New Roman" w:cs="Times New Roman" w:eastAsia="Times New Roman" w:hAnsi="Times New Roman"/>
          <w:sz w:val="16"/>
          <w:szCs w:val="16"/>
          <w:b w:val="1"/>
          <w:bCs w:val="1"/>
          <w:color w:val="auto"/>
        </w:rPr>
      </w:pPr>
    </w:p>
    <w:p>
      <w:pPr>
        <w:jc w:val="both"/>
        <w:ind w:left="1260" w:right="20" w:firstLine="5"/>
        <w:spacing w:after="0" w:line="27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derivative instruments that are designated and qualify as cash flow hedges, the derivative's gain or loss is initially reported as a component of OCI and is subsequently recorded into earnings when the hedged exposure affects earnings, in the same line item as the underlying hedged item on the consolidated statements of earnings.</w:t>
      </w:r>
    </w:p>
    <w:p>
      <w:pPr>
        <w:spacing w:after="0" w:line="210" w:lineRule="exact"/>
        <w:rPr>
          <w:rFonts w:ascii="Times New Roman" w:cs="Times New Roman" w:eastAsia="Times New Roman" w:hAnsi="Times New Roman"/>
          <w:sz w:val="16"/>
          <w:szCs w:val="16"/>
          <w:b w:val="1"/>
          <w:bCs w:val="1"/>
          <w:color w:val="auto"/>
        </w:rPr>
      </w:pPr>
    </w:p>
    <w:p>
      <w:pPr>
        <w:ind w:left="1260" w:right="2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Cash flow hedges related to anticipated transactions are designated and documented at the inception of each hedge. Cash flows from hedging transactions are presented in the same categories as the cash flows from the respective hedged items.</w:t>
      </w:r>
    </w:p>
    <w:p>
      <w:pPr>
        <w:spacing w:after="0" w:line="177"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Recently Adopted Accounting Pronouncements</w:t>
      </w:r>
    </w:p>
    <w:p>
      <w:pPr>
        <w:spacing w:after="0" w:line="266"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6"/>
          <w:szCs w:val="16"/>
          <w:color w:val="auto"/>
        </w:rPr>
        <w:t>In November 2023, the Financial Accounting Standards Board (“FASB”) issued ASU No.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new standard is effective for fiscal years beginning after December 15, 2023, and interim periods within fiscal years beginning after December 15, 2024. The adoption of this ASU does not have any impact on the Company’s financial position, results of operations or cash flow reports, see Note 15E with regards to applicable disclosure.</w:t>
      </w:r>
    </w:p>
    <w:p>
      <w:pPr>
        <w:spacing w:after="0" w:line="206" w:lineRule="exact"/>
        <w:rPr>
          <w:sz w:val="20"/>
          <w:szCs w:val="20"/>
          <w:color w:val="auto"/>
        </w:rPr>
      </w:pPr>
    </w:p>
    <w:p>
      <w:pPr>
        <w:ind w:left="1260" w:hanging="348"/>
        <w:spacing w:after="0"/>
        <w:tabs>
          <w:tab w:leader="none" w:pos="1260" w:val="left"/>
        </w:tabs>
        <w:numPr>
          <w:ilvl w:val="0"/>
          <w:numId w:val="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Recently Issued Accounting Pronouncements Not Yet Adopted</w:t>
      </w:r>
    </w:p>
    <w:p>
      <w:pPr>
        <w:spacing w:after="0" w:line="265" w:lineRule="exact"/>
        <w:rPr>
          <w:rFonts w:ascii="Times New Roman" w:cs="Times New Roman" w:eastAsia="Times New Roman" w:hAnsi="Times New Roman"/>
          <w:sz w:val="16"/>
          <w:szCs w:val="16"/>
          <w:b w:val="1"/>
          <w:bCs w:val="1"/>
          <w:color w:val="auto"/>
        </w:rPr>
      </w:pPr>
    </w:p>
    <w:p>
      <w:pPr>
        <w:ind w:left="1260" w:right="20"/>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December 23, 2023, the Financial Accounting Standards Board (“FASB”) issued Accounting Standards Update (“ASU”) No. 2023-09— Income taxes (topic 740): improvements to income tax disclosures.</w:t>
      </w:r>
    </w:p>
    <w:p>
      <w:pPr>
        <w:spacing w:after="0" w:line="179" w:lineRule="exact"/>
        <w:rPr>
          <w:rFonts w:ascii="Times New Roman" w:cs="Times New Roman" w:eastAsia="Times New Roman" w:hAnsi="Times New Roman"/>
          <w:sz w:val="16"/>
          <w:szCs w:val="16"/>
          <w:b w:val="1"/>
          <w:bCs w:val="1"/>
          <w:color w:val="auto"/>
        </w:rPr>
      </w:pPr>
    </w:p>
    <w:p>
      <w:pPr>
        <w:jc w:val="both"/>
        <w:ind w:left="1260"/>
        <w:spacing w:after="0" w:line="28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This ASU requires disclosure of specific categories in the rate reconciliation and additional information for reconciling items that meet a quantitative threshold. The amendment also includes other changes to improve the effectiveness of income tax disclosures, including further disaggregation of income taxes paid for individually significant jurisdictions.</w:t>
      </w:r>
    </w:p>
    <w:p>
      <w:pPr>
        <w:spacing w:after="0" w:line="155" w:lineRule="exact"/>
        <w:rPr>
          <w:rFonts w:ascii="Times New Roman" w:cs="Times New Roman" w:eastAsia="Times New Roman" w:hAnsi="Times New Roman"/>
          <w:sz w:val="16"/>
          <w:szCs w:val="16"/>
          <w:b w:val="1"/>
          <w:bCs w:val="1"/>
          <w:color w:val="auto"/>
        </w:rPr>
      </w:pPr>
    </w:p>
    <w:p>
      <w:pPr>
        <w:ind w:left="1260" w:right="20"/>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amendment should be effective for annual periods beginning after December 15, 2024. The Company does not expect the new standard to have a material impact on its consolidated financial statements.</w:t>
      </w:r>
    </w:p>
    <w:p>
      <w:pPr>
        <w:spacing w:after="0" w:line="143" w:lineRule="exact"/>
        <w:rPr>
          <w:rFonts w:ascii="Times New Roman" w:cs="Times New Roman" w:eastAsia="Times New Roman" w:hAnsi="Times New Roman"/>
          <w:sz w:val="16"/>
          <w:szCs w:val="16"/>
          <w:b w:val="1"/>
          <w:bCs w:val="1"/>
          <w:color w:val="auto"/>
        </w:rPr>
      </w:pPr>
    </w:p>
    <w:p>
      <w:pPr>
        <w:jc w:val="both"/>
        <w:ind w:left="1260" w:right="20"/>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November 2024, the FASB issued ASU 2024-03, Income Statement – Reporting Comprehensive Income – Expense Disaggregation Disclosures (Subtopic 220-40): Disaggregation of Income Statement Expenses. ASU 2024-03 requires disclosure of specified information about certain costs and expenses on an interim and annual basis in the notes to the financial statements. The guidance is effective for fiscal years beginning after December 15, 2026, and interim reporting periods beginning after December 15, 2027. The Company does not expect the new standard to have a material impact on its consolidated financial statements.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20"/>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3:</w:t>
            </w: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8"/>
        </w:trPr>
        <w:tc>
          <w:tcPr>
            <w:tcW w:w="760" w:type="dxa"/>
            <w:vAlign w:val="bottom"/>
          </w:tcPr>
          <w:p>
            <w:pPr>
              <w:spacing w:after="0"/>
              <w:rPr>
                <w:sz w:val="24"/>
                <w:szCs w:val="24"/>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Inventories consist of the following as of December 31, 2024 and 2023:</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4"/>
                <w:szCs w:val="24"/>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127,171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145,894</w:t>
            </w:r>
          </w:p>
        </w:tc>
        <w:tc>
          <w:tcPr>
            <w:tcW w:w="100" w:type="dxa"/>
            <w:vAlign w:val="bottom"/>
            <w:shd w:val="clear" w:color="auto" w:fill="CCEEFF"/>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118,642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116,698</w:t>
            </w: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22,482</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20,096</w:t>
            </w:r>
          </w:p>
        </w:tc>
      </w:tr>
      <w:tr>
        <w:trPr>
          <w:trHeight w:val="24"/>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268,295</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282,688</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ind w:left="920" w:right="20" w:firstLine="5"/>
        <w:spacing w:after="0" w:line="301" w:lineRule="auto"/>
        <w:rPr>
          <w:sz w:val="20"/>
          <w:szCs w:val="20"/>
          <w:color w:val="auto"/>
        </w:rPr>
      </w:pPr>
      <w:r>
        <w:rPr>
          <w:rFonts w:ascii="Times New Roman" w:cs="Times New Roman" w:eastAsia="Times New Roman" w:hAnsi="Times New Roman"/>
          <w:sz w:val="16"/>
          <w:szCs w:val="16"/>
          <w:color w:val="auto"/>
        </w:rPr>
        <w:t>Work in process and finished goods are presented net of aggregate write-downs to net realizable value of $8,803 and $8,327 as of December 31, 2024 and 2023,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4:</w:t>
            </w: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6"/>
        </w:trPr>
        <w:tc>
          <w:tcPr>
            <w:tcW w:w="760" w:type="dxa"/>
            <w:vAlign w:val="bottom"/>
          </w:tcPr>
          <w:p>
            <w:pPr>
              <w:spacing w:after="0"/>
              <w:rPr>
                <w:sz w:val="24"/>
                <w:szCs w:val="24"/>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Other current assets consist of the following as of December 31, 2024 and 2023:</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4"/>
                <w:szCs w:val="24"/>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 and indirect tax receivables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22,892</w:t>
            </w:r>
          </w:p>
        </w:tc>
        <w:tc>
          <w:tcPr>
            <w:tcW w:w="100" w:type="dxa"/>
            <w:vAlign w:val="bottom"/>
            <w:shd w:val="clear" w:color="auto" w:fill="CCEEFF"/>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32,985</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11,097</w:t>
            </w: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from hedging transactions - see Note 11A</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1,894</w:t>
            </w: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w:t>
            </w:r>
          </w:p>
        </w:tc>
      </w:tr>
      <w:tr>
        <w:trPr>
          <w:trHeight w:val="246"/>
        </w:trPr>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5:   LONG-TERM INVESTMENTS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48"/>
        </w:trPr>
        <w:tc>
          <w:tcPr>
            <w:tcW w:w="77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Long-term investments consist of the following as of December 31, 2024 and 2023:</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52"/>
        </w:trPr>
        <w:tc>
          <w:tcPr>
            <w:tcW w:w="1020" w:type="dxa"/>
            <w:vAlign w:val="bottom"/>
          </w:tcPr>
          <w:p>
            <w:pPr>
              <w:spacing w:after="0"/>
              <w:rPr>
                <w:sz w:val="24"/>
                <w:szCs w:val="24"/>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6"/>
        </w:trPr>
        <w:tc>
          <w:tcPr>
            <w:tcW w:w="10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privately held companies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4"/>
              </w:rPr>
              <w:t>6,780</w:t>
            </w:r>
          </w:p>
        </w:tc>
        <w:tc>
          <w:tcPr>
            <w:tcW w:w="100" w:type="dxa"/>
            <w:vAlign w:val="bottom"/>
            <w:shd w:val="clear" w:color="auto" w:fill="CCEEFF"/>
          </w:tcPr>
          <w:p>
            <w:pPr>
              <w:spacing w:after="0"/>
              <w:rPr>
                <w:sz w:val="17"/>
                <w:szCs w:val="17"/>
                <w:color w:val="auto"/>
              </w:rPr>
            </w:pPr>
          </w:p>
        </w:tc>
        <w:tc>
          <w:tcPr>
            <w:tcW w:w="1540" w:type="dxa"/>
            <w:vAlign w:val="bottom"/>
          </w:tcPr>
          <w:p>
            <w:pPr>
              <w:spacing w:after="0"/>
              <w:rPr>
                <w:sz w:val="17"/>
                <w:szCs w:val="17"/>
                <w:color w:val="auto"/>
              </w:rPr>
            </w:pPr>
          </w:p>
        </w:tc>
      </w:tr>
      <w:tr>
        <w:trPr>
          <w:trHeight w:val="210"/>
        </w:trPr>
        <w:tc>
          <w:tcPr>
            <w:tcW w:w="10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Pension plan net assets - see Notes 12B</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1,672</w:t>
            </w:r>
          </w:p>
        </w:tc>
        <w:tc>
          <w:tcPr>
            <w:tcW w:w="1540" w:type="dxa"/>
            <w:vAlign w:val="bottom"/>
          </w:tcPr>
          <w:p>
            <w:pPr>
              <w:spacing w:after="0"/>
              <w:rPr>
                <w:sz w:val="18"/>
                <w:szCs w:val="18"/>
                <w:color w:val="auto"/>
              </w:rPr>
            </w:pPr>
          </w:p>
        </w:tc>
      </w:tr>
      <w:tr>
        <w:trPr>
          <w:trHeight w:val="246"/>
        </w:trPr>
        <w:tc>
          <w:tcPr>
            <w:tcW w:w="10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4"/>
              </w:rPr>
              <w:t>8,452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Pr>
          <w:p>
            <w:pPr>
              <w:spacing w:after="0"/>
              <w:rPr>
                <w:sz w:val="21"/>
                <w:szCs w:val="21"/>
                <w:color w:val="auto"/>
              </w:rPr>
            </w:pPr>
          </w:p>
        </w:tc>
      </w:tr>
      <w:tr>
        <w:trPr>
          <w:trHeight w:val="520"/>
        </w:trPr>
        <w:tc>
          <w:tcPr>
            <w:tcW w:w="1020" w:type="dxa"/>
            <w:vAlign w:val="bottom"/>
          </w:tcPr>
          <w:p>
            <w:pPr>
              <w:spacing w:after="0"/>
              <w:rPr>
                <w:sz w:val="24"/>
                <w:szCs w:val="24"/>
                <w:color w:val="auto"/>
              </w:rPr>
            </w:pPr>
          </w:p>
        </w:tc>
        <w:tc>
          <w:tcPr>
            <w:tcW w:w="6700" w:type="dxa"/>
            <w:vAlign w:val="bottom"/>
          </w:tcPr>
          <w:p>
            <w:pPr>
              <w:ind w:left="4420"/>
              <w:spacing w:after="0"/>
              <w:rPr>
                <w:sz w:val="20"/>
                <w:szCs w:val="20"/>
                <w:color w:val="auto"/>
              </w:rPr>
            </w:pPr>
            <w:r>
              <w:rPr>
                <w:rFonts w:ascii="Times New Roman" w:cs="Times New Roman" w:eastAsia="Times New Roman" w:hAnsi="Times New Roman"/>
                <w:sz w:val="16"/>
                <w:szCs w:val="16"/>
                <w:color w:val="auto"/>
              </w:rPr>
              <w:t>F - 20</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77"/>
        </w:trPr>
        <w:tc>
          <w:tcPr>
            <w:tcW w:w="1020" w:type="dxa"/>
            <w:vAlign w:val="bottom"/>
            <w:tcBorders>
              <w:bottom w:val="single" w:sz="8" w:color="auto"/>
            </w:tcBorders>
          </w:tcPr>
          <w:p>
            <w:pPr>
              <w:spacing w:after="0"/>
              <w:rPr>
                <w:sz w:val="6"/>
                <w:szCs w:val="6"/>
                <w:color w:val="auto"/>
              </w:rPr>
            </w:pPr>
          </w:p>
        </w:tc>
        <w:tc>
          <w:tcPr>
            <w:tcW w:w="67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35" w:right="319" w:bottom="1440" w:gutter="0" w:footer="0" w:header="0"/>
        </w:sectPr>
      </w:pPr>
    </w:p>
    <w:bookmarkStart w:id="25" w:name="page26"/>
    <w:bookmarkEnd w:id="2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6:</w:t>
            </w:r>
          </w:p>
        </w:tc>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8"/>
        </w:trPr>
        <w:tc>
          <w:tcPr>
            <w:tcW w:w="760" w:type="dxa"/>
            <w:vAlign w:val="bottom"/>
          </w:tcPr>
          <w:p>
            <w:pPr>
              <w:spacing w:after="0"/>
              <w:rPr>
                <w:sz w:val="24"/>
                <w:szCs w:val="24"/>
                <w:color w:val="auto"/>
              </w:rPr>
            </w:pPr>
          </w:p>
        </w:tc>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Property and equipment consist of the following as of December 31, 2024 and 2023:</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4"/>
                <w:szCs w:val="24"/>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Original cost: (*)</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Land and buildings, including facility infrastructure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463,564</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429,191</w:t>
            </w: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4,281,817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3,977,381</w:t>
            </w:r>
          </w:p>
        </w:tc>
      </w:tr>
      <w:tr>
        <w:trPr>
          <w:trHeight w:val="24"/>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4,745,381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4,406,572</w:t>
            </w: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Buildings, including facility infrastructure</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(303,041)</w:t>
            </w:r>
          </w:p>
        </w:tc>
        <w:tc>
          <w:tcPr>
            <w:tcW w:w="1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(291,684)</w:t>
            </w: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(3,155,718)</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(2,958,959)</w:t>
            </w:r>
          </w:p>
        </w:tc>
      </w:tr>
      <w:tr>
        <w:trPr>
          <w:trHeight w:val="24"/>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(3,458,759)</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(3,250,643)</w:t>
            </w:r>
          </w:p>
        </w:tc>
      </w:tr>
      <w:tr>
        <w:trPr>
          <w:trHeight w:val="246"/>
        </w:trPr>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1,286,622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1,155,929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6" w:lineRule="exact"/>
        <w:rPr>
          <w:sz w:val="20"/>
          <w:szCs w:val="20"/>
          <w:color w:val="auto"/>
        </w:rPr>
      </w:pPr>
    </w:p>
    <w:p>
      <w:pPr>
        <w:ind w:left="920" w:right="20" w:hanging="4"/>
        <w:spacing w:after="0" w:line="286" w:lineRule="auto"/>
        <w:tabs>
          <w:tab w:leader="none" w:pos="117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Original cost includes ROU assets under capital lease in the amount of $153,159 and $204,230 as of December 31, 2024 and 2023, respectively. The depreciation expense of such assets amounted to $15,195 and $18,307 for the years ended December 31, 2024 and 2023, respectively.</w:t>
      </w:r>
    </w:p>
    <w:p>
      <w:pPr>
        <w:spacing w:after="0" w:line="203" w:lineRule="exact"/>
        <w:rPr>
          <w:sz w:val="20"/>
          <w:szCs w:val="20"/>
          <w:color w:val="auto"/>
        </w:rPr>
      </w:pPr>
    </w:p>
    <w:p>
      <w:pPr>
        <w:ind w:left="920" w:right="20" w:firstLine="5"/>
        <w:spacing w:after="0" w:line="301" w:lineRule="auto"/>
        <w:rPr>
          <w:sz w:val="20"/>
          <w:szCs w:val="20"/>
          <w:color w:val="auto"/>
        </w:rPr>
      </w:pPr>
      <w:r>
        <w:rPr>
          <w:rFonts w:ascii="Times New Roman" w:cs="Times New Roman" w:eastAsia="Times New Roman" w:hAnsi="Times New Roman"/>
          <w:sz w:val="16"/>
          <w:szCs w:val="16"/>
          <w:color w:val="auto"/>
        </w:rPr>
        <w:t>As of December 31, 2024 and 2023, the original cost of land, buildings, machinery and equipment was presented net of investment grants, in the aggregate amount of approximately $285,000.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7:</w:t>
            </w:r>
          </w:p>
        </w:tc>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760" w:type="dxa"/>
            <w:vAlign w:val="bottom"/>
          </w:tcPr>
          <w:p>
            <w:pPr>
              <w:spacing w:after="0"/>
              <w:rPr>
                <w:sz w:val="24"/>
                <w:szCs w:val="24"/>
                <w:color w:val="auto"/>
              </w:rPr>
            </w:pPr>
          </w:p>
        </w:tc>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Intangible assets consist of the following as of December 31, 2024:</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Useful life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3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(years)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Cost</w:t>
            </w:r>
          </w:p>
        </w:tc>
        <w:tc>
          <w:tcPr>
            <w:tcW w:w="10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tcPr>
          <w:p>
            <w:pPr>
              <w:spacing w:after="0"/>
              <w:rPr>
                <w:sz w:val="19"/>
                <w:szCs w:val="19"/>
                <w:color w:val="auto"/>
              </w:rPr>
            </w:pPr>
          </w:p>
        </w:tc>
        <w:tc>
          <w:tcPr>
            <w:tcW w:w="7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Net</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Facilities’ lease</w:t>
            </w:r>
          </w:p>
        </w:tc>
        <w:tc>
          <w:tcPr>
            <w:tcW w:w="3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(30,682)</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Technologies</w:t>
            </w:r>
          </w:p>
        </w:tc>
        <w:tc>
          <w:tcPr>
            <w:tcW w:w="11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10-20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(6,322)</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14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9"/>
              </w:rPr>
              <w:t>15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(2,600)</w:t>
            </w:r>
          </w:p>
        </w:tc>
        <w:tc>
          <w:tcPr>
            <w:tcW w:w="2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Total identifiable intangible assets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42,800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(39,604)</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Intangible assets consist of the following as of December 31, 2023:</w:t>
            </w: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60" w:type="dxa"/>
            <w:vAlign w:val="bottom"/>
          </w:tcPr>
          <w:p>
            <w:pPr>
              <w:spacing w:after="0"/>
              <w:rPr>
                <w:sz w:val="24"/>
                <w:szCs w:val="24"/>
                <w:color w:val="auto"/>
              </w:rPr>
            </w:pPr>
          </w:p>
        </w:tc>
        <w:tc>
          <w:tcPr>
            <w:tcW w:w="45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Details</w:t>
            </w:r>
          </w:p>
        </w:tc>
        <w:tc>
          <w:tcPr>
            <w:tcW w:w="3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Useful life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Cost</w:t>
            </w:r>
          </w:p>
        </w:tc>
        <w:tc>
          <w:tcPr>
            <w:tcW w:w="10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24"/>
                <w:szCs w:val="24"/>
                <w:color w:val="auto"/>
              </w:rPr>
            </w:pPr>
          </w:p>
        </w:tc>
        <w:tc>
          <w:tcPr>
            <w:tcW w:w="72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Net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(years)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Facilities’ lease</w:t>
            </w:r>
          </w:p>
        </w:tc>
        <w:tc>
          <w:tcPr>
            <w:tcW w:w="3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(29,394)</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Technologies</w:t>
            </w:r>
          </w:p>
        </w:tc>
        <w:tc>
          <w:tcPr>
            <w:tcW w:w="114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color w:val="auto"/>
              </w:rPr>
              <w:t>10-20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(5,691)</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140" w:type="dxa"/>
            <w:vAlign w:val="bottom"/>
            <w:gridSpan w:val="2"/>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9"/>
              </w:rPr>
              <w:t>15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(2,600)</w:t>
            </w:r>
          </w:p>
        </w:tc>
        <w:tc>
          <w:tcPr>
            <w:tcW w:w="2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Total identifiable intangible assets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42,800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(37,685)</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F - 21</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7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71" w:right="319"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20"/>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8:</w:t>
            </w: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OTHER LONG-TERM ASSETS, NET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8"/>
        </w:trPr>
        <w:tc>
          <w:tcPr>
            <w:tcW w:w="760" w:type="dxa"/>
            <w:vAlign w:val="bottom"/>
          </w:tcPr>
          <w:p>
            <w:pPr>
              <w:spacing w:after="0"/>
              <w:rPr>
                <w:sz w:val="24"/>
                <w:szCs w:val="24"/>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Other long-term assets, net consist of the following as of December 31, 2024 and 2023:</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24"/>
                <w:szCs w:val="24"/>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prepaid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18,598</w:t>
            </w:r>
          </w:p>
        </w:tc>
        <w:tc>
          <w:tcPr>
            <w:tcW w:w="100" w:type="dxa"/>
            <w:vAlign w:val="bottom"/>
            <w:shd w:val="clear" w:color="auto" w:fill="CCEEFF"/>
          </w:tcPr>
          <w:p>
            <w:pPr>
              <w:spacing w:after="0"/>
              <w:rPr>
                <w:sz w:val="17"/>
                <w:szCs w:val="17"/>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ROU - assets under operating leases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9,762</w:t>
            </w: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long-term land lease, net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2,693</w:t>
            </w: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 - see Note 18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1,810</w:t>
            </w:r>
          </w:p>
        </w:tc>
      </w:tr>
      <w:tr>
        <w:trPr>
          <w:trHeight w:val="246"/>
        </w:trPr>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9:</w:t>
            </w:r>
          </w:p>
        </w:tc>
        <w:tc>
          <w:tcPr>
            <w:tcW w:w="3320" w:type="dxa"/>
            <w:vAlign w:val="bottom"/>
            <w:gridSpan w:val="7"/>
          </w:tcPr>
          <w:p>
            <w:pPr>
              <w:ind w:left="16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760" w:type="dxa"/>
            <w:vAlign w:val="bottom"/>
          </w:tcPr>
          <w:p>
            <w:pPr>
              <w:spacing w:after="0"/>
              <w:rPr>
                <w:sz w:val="24"/>
                <w:szCs w:val="24"/>
                <w:color w:val="auto"/>
              </w:rPr>
            </w:pPr>
          </w:p>
        </w:tc>
        <w:tc>
          <w:tcPr>
            <w:tcW w:w="5680" w:type="dxa"/>
            <w:vAlign w:val="bottom"/>
            <w:gridSpan w:val="14"/>
          </w:tcPr>
          <w:p>
            <w:pPr>
              <w:ind w:left="160"/>
              <w:spacing w:after="0"/>
              <w:rPr>
                <w:sz w:val="20"/>
                <w:szCs w:val="20"/>
                <w:color w:val="auto"/>
              </w:rPr>
            </w:pPr>
            <w:r>
              <w:rPr>
                <w:rFonts w:ascii="Times New Roman" w:cs="Times New Roman" w:eastAsia="Times New Roman" w:hAnsi="Times New Roman"/>
                <w:sz w:val="16"/>
                <w:szCs w:val="16"/>
                <w:color w:val="auto"/>
              </w:rPr>
              <w:t>Other current liabilities consist of the following as of December 31, 2024 and 2023:</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Details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6"/>
                <w:szCs w:val="16"/>
                <w:color w:val="auto"/>
                <w:w w:val="99"/>
              </w:rPr>
              <w:t>2024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payables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7,400</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Hedging transactions related payables – see Note 11A</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1, 386</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tcBorders>
              <w:left w:val="single" w:sz="8" w:color="auto"/>
              <w:right w:val="single" w:sz="8" w:color="auto"/>
            </w:tcBorders>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7"/>
                <w:szCs w:val="17"/>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19,210</w:t>
            </w:r>
          </w:p>
        </w:tc>
        <w:tc>
          <w:tcPr>
            <w:tcW w:w="1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9,286</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10:   LONG-TERM DEBT</w:t>
            </w: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04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6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w:t>
            </w: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Composition</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color w:val="auto"/>
              </w:rPr>
              <w:t>As of December 31, 2024 and 2023:</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JPY loans - principal amount - see Notes 10B and 10C below</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98,962</w:t>
            </w: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102,491</w:t>
            </w:r>
          </w:p>
        </w:tc>
        <w:tc>
          <w:tcPr>
            <w:tcW w:w="15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Capital leases and other long-term liabilities - see Note 10D below</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73,977</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119,310</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leases - see Note 10E below</w:t>
            </w: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10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5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Less - current maturities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(48,376)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(58,952)</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left w:val="single" w:sz="8" w:color="CCEEFF"/>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172,611</w:t>
            </w:r>
          </w:p>
        </w:tc>
        <w:tc>
          <w:tcPr>
            <w:tcW w:w="15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76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B.</w:t>
            </w:r>
          </w:p>
        </w:tc>
        <w:tc>
          <w:tcPr>
            <w:tcW w:w="356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Repayment Schedule of Long-term JPY Loans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As of December 31, 2024:</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Details</w:t>
            </w: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w w:val="99"/>
              </w:rPr>
              <w:t>Interest</w:t>
            </w:r>
          </w:p>
        </w:tc>
        <w:tc>
          <w:tcPr>
            <w:tcW w:w="6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vMerge w:val="restart"/>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6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24"/>
                <w:szCs w:val="24"/>
                <w:color w:val="auto"/>
              </w:rPr>
            </w:pPr>
          </w:p>
        </w:tc>
        <w:tc>
          <w:tcPr>
            <w:tcW w:w="7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6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Total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Rate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vMerge w:val="continue"/>
          </w:tcPr>
          <w:p>
            <w:pPr>
              <w:spacing w:after="0"/>
              <w:rPr>
                <w:sz w:val="18"/>
                <w:szCs w:val="18"/>
                <w:color w:val="auto"/>
              </w:rPr>
            </w:pPr>
          </w:p>
        </w:tc>
        <w:tc>
          <w:tcPr>
            <w:tcW w:w="56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JPY loans</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 $</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64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  13,226</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26,450</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26,450</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26,450</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98,962</w:t>
            </w:r>
          </w:p>
        </w:tc>
        <w:tc>
          <w:tcPr>
            <w:tcW w:w="15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CCEEFF"/>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540" w:type="dxa"/>
            <w:vAlign w:val="bottom"/>
            <w:tcBorders>
              <w:left w:val="single" w:sz="8" w:color="CCEE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0"/>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F - 22</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7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35"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10:</w:t>
        <w:tab/>
        <w:t>LONG-TERM DEBT (continued)</w:t>
      </w:r>
    </w:p>
    <w:p>
      <w:pPr>
        <w:spacing w:after="0" w:line="264" w:lineRule="exact"/>
        <w:rPr>
          <w:sz w:val="20"/>
          <w:szCs w:val="20"/>
          <w:color w:val="auto"/>
        </w:rPr>
      </w:pPr>
    </w:p>
    <w:p>
      <w:pPr>
        <w:ind w:left="1280" w:hanging="368"/>
        <w:spacing w:after="0"/>
        <w:tabs>
          <w:tab w:leader="none" w:pos="128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JPY Loans</w:t>
      </w:r>
    </w:p>
    <w:p>
      <w:pPr>
        <w:spacing w:after="0" w:line="253" w:lineRule="exact"/>
        <w:rPr>
          <w:rFonts w:ascii="Times New Roman" w:cs="Times New Roman" w:eastAsia="Times New Roman" w:hAnsi="Times New Roman"/>
          <w:sz w:val="16"/>
          <w:szCs w:val="16"/>
          <w:b w:val="1"/>
          <w:bCs w:val="1"/>
          <w:color w:val="auto"/>
        </w:rPr>
      </w:pPr>
    </w:p>
    <w:p>
      <w:pPr>
        <w:jc w:val="both"/>
        <w:ind w:left="1260" w:right="20" w:firstLine="5"/>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December 2021, TPSCo refinanced its then existing loan with an 11 billion JPY (approximately $70,000 as of December 31, 2024) asset-based loan with a consortium of financial institutions consisting of (i) JA Mitsui Leasing, Ltd., (ii) Mitsubishi HC Capital Inc., (iii) Taishin International Bank Co., Ltd. Tokyo Branch, and (iv) BOT lease Co. Ltd. (“2021 JPY Loan”). The 2021 JPY Loan carried a fixed interest rate of 1.95% per annum with principal payable in seven semiannual payments from December 2024 until December 2027. The 2021 JPY Loan was secured mainly by a lien over the machinery and equipment of TPSCo located in the Uozu and Tonami facilities.</w:t>
      </w:r>
    </w:p>
    <w:p>
      <w:pPr>
        <w:spacing w:after="0" w:line="215" w:lineRule="exact"/>
        <w:rPr>
          <w:rFonts w:ascii="Times New Roman" w:cs="Times New Roman" w:eastAsia="Times New Roman" w:hAnsi="Times New Roman"/>
          <w:sz w:val="16"/>
          <w:szCs w:val="16"/>
          <w:b w:val="1"/>
          <w:bCs w:val="1"/>
          <w:color w:val="auto"/>
        </w:rPr>
      </w:pPr>
    </w:p>
    <w:p>
      <w:pPr>
        <w:jc w:val="both"/>
        <w:ind w:left="1260" w:firstLine="5"/>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September 2023, TPSCo entered into a term loan agreement with JA Mitsui Leasing Ltd. for an additional 3.5 billion JPY (approximately $22,000 as of December 31, 2024) term loan (“2023 JPY Loan”). The 2023 JPY Loan carried a fixed interest rate of 1.95% per annum with principal payable in seven semiannual payments from September 2024 until September 2027. The 2023 JPY Loan was secured by a second lien over the machinery and equipment of TPSCo located in the Uozu and Tonami facilities.</w:t>
      </w:r>
    </w:p>
    <w:p>
      <w:pPr>
        <w:spacing w:after="0" w:line="204" w:lineRule="exact"/>
        <w:rPr>
          <w:sz w:val="20"/>
          <w:szCs w:val="20"/>
          <w:color w:val="auto"/>
        </w:rPr>
      </w:pPr>
    </w:p>
    <w:p>
      <w:pPr>
        <w:jc w:val="both"/>
        <w:ind w:left="1260" w:right="20" w:firstLine="5"/>
        <w:spacing w:after="0" w:line="270" w:lineRule="auto"/>
        <w:rPr>
          <w:sz w:val="20"/>
          <w:szCs w:val="20"/>
          <w:color w:val="auto"/>
        </w:rPr>
      </w:pPr>
      <w:r>
        <w:rPr>
          <w:rFonts w:ascii="Times New Roman" w:cs="Times New Roman" w:eastAsia="Times New Roman" w:hAnsi="Times New Roman"/>
          <w:sz w:val="19"/>
          <w:szCs w:val="19"/>
          <w:color w:val="auto"/>
        </w:rPr>
        <w:t>In December 2024, TPSCo signed an agreement with its lenders to refinance its 2021 JPY Loan and 2023 JPY Loan with a new 14.5 billion JPY (approximately $92,000 as of December 31, 2024) asset-based loan (“2024 JPY Loan”), of which 11.5 billion JPY were used to repay the 2021 JPY Loan and 2023 JPY Loan and 12.5 billion JPY were drawn, resulting in outstanding JPY Loans of 15.5 billion JPY (approximately $100,000) as of December 31, 2024. In accordance with this agreement, during the first half of 2025, an amount of 3 billion JPY is outstanding for repayment and an amount of 2 billion JPY is expected to be withdrawn. The lenders are a consortium of financial institutions consisting of (i) JA Mitsui Leasing, Ltd., (ii) Mitsubishi HC Capital Inc. and (iii) BOT lease Co. Ltd. (“2024 JPY Loan”). The 2024 JPY Loan carries a fixed interest rate of 2% per annum with principal payable in seven semiannual payments from December 2027 to December 2030. The 2024 JPY Loan is secured mainly by a lien over the machinery and equipment of TPSCo located in the Uozu and Tonami facilities.</w:t>
      </w:r>
    </w:p>
    <w:p>
      <w:pPr>
        <w:spacing w:after="0" w:line="208" w:lineRule="exact"/>
        <w:rPr>
          <w:sz w:val="20"/>
          <w:szCs w:val="20"/>
          <w:color w:val="auto"/>
        </w:rPr>
      </w:pPr>
    </w:p>
    <w:p>
      <w:pPr>
        <w:jc w:val="both"/>
        <w:ind w:left="1260" w:right="20" w:firstLine="5"/>
        <w:spacing w:after="0" w:line="284" w:lineRule="auto"/>
        <w:rPr>
          <w:sz w:val="20"/>
          <w:szCs w:val="20"/>
          <w:color w:val="auto"/>
        </w:rPr>
      </w:pPr>
      <w:r>
        <w:rPr>
          <w:rFonts w:ascii="Times New Roman" w:cs="Times New Roman" w:eastAsia="Times New Roman" w:hAnsi="Times New Roman"/>
          <w:sz w:val="19"/>
          <w:szCs w:val="19"/>
          <w:color w:val="auto"/>
        </w:rPr>
        <w:t>The 2024 JPY Loan contains certain financial ratios and covenants, as well as customary definitions of events of default and acceleration of the repayment schedule. TPSCo’s obligations pursuant to the JPY Loan are not guaranteed by Tower, NTCJ, or any of their affiliates.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As of December 31, 2024, TPSCo maintained compliance with all of the financial covenants under the 2024 JPY Loan.</w:t>
      </w:r>
    </w:p>
    <w:p>
      <w:pPr>
        <w:spacing w:after="0" w:line="262" w:lineRule="exact"/>
        <w:rPr>
          <w:sz w:val="20"/>
          <w:szCs w:val="20"/>
          <w:color w:val="auto"/>
        </w:rPr>
      </w:pPr>
    </w:p>
    <w:p>
      <w:pPr>
        <w:ind w:left="1220" w:hanging="308"/>
        <w:spacing w:after="0"/>
        <w:tabs>
          <w:tab w:leader="none" w:pos="1220"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Capital Lease Agreements and Other Long-term Liabilities</w:t>
      </w:r>
    </w:p>
    <w:p>
      <w:pPr>
        <w:spacing w:after="0" w:line="266" w:lineRule="exact"/>
        <w:rPr>
          <w:sz w:val="20"/>
          <w:szCs w:val="20"/>
          <w:color w:val="auto"/>
        </w:rPr>
      </w:pPr>
    </w:p>
    <w:p>
      <w:pPr>
        <w:jc w:val="both"/>
        <w:ind w:left="1260" w:right="20" w:firstLine="5"/>
        <w:spacing w:after="0" w:line="268" w:lineRule="auto"/>
        <w:rPr>
          <w:sz w:val="20"/>
          <w:szCs w:val="20"/>
          <w:color w:val="auto"/>
        </w:rPr>
      </w:pPr>
      <w:r>
        <w:rPr>
          <w:rFonts w:ascii="Times New Roman" w:cs="Times New Roman" w:eastAsia="Times New Roman" w:hAnsi="Times New Roman"/>
          <w:sz w:val="16"/>
          <w:szCs w:val="16"/>
          <w:color w:val="auto"/>
        </w:rPr>
        <w:t>Certain of the Company’s subsidiaries enter into capital lease agreements from time to time for certain machinery and equipment, usually for a period of four years, with an option to buy the machinery and equipment after a period of between three to four years from the start of the lease period. The lease agreements are denominated in JPY and contain annual interest rates of approximately 2%, and the assets under the lease agreements are pledged to the lender until the time at which the respective subsidiary acquires the assets. The obligations under the capital lease agreements are guaranteed by Tower, except for TPSCo’s obligations under its capital lease agreements (see also Note 13B).</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10:</w:t>
        <w:tab/>
        <w:t>LONG-TERM DEBT (continued)</w:t>
      </w:r>
    </w:p>
    <w:p>
      <w:pPr>
        <w:spacing w:after="0" w:line="264" w:lineRule="exact"/>
        <w:rPr>
          <w:sz w:val="20"/>
          <w:szCs w:val="20"/>
          <w:color w:val="auto"/>
        </w:rPr>
      </w:pPr>
    </w:p>
    <w:p>
      <w:pPr>
        <w:ind w:left="1280" w:hanging="368"/>
        <w:spacing w:after="0"/>
        <w:tabs>
          <w:tab w:leader="none" w:pos="1280"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Capital Lease Agreements and Other Long-term Liabilities (continued)</w:t>
      </w:r>
    </w:p>
    <w:p>
      <w:pPr>
        <w:spacing w:after="0" w:line="253"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TPSCo leases its facility buildings in Japan from NTCJ under a long-term capital lease with a term through at least March 2032.</w:t>
      </w:r>
    </w:p>
    <w:p>
      <w:pPr>
        <w:spacing w:after="0" w:line="264" w:lineRule="exact"/>
        <w:rPr>
          <w:sz w:val="20"/>
          <w:szCs w:val="20"/>
          <w:color w:val="auto"/>
        </w:rPr>
      </w:pPr>
    </w:p>
    <w:p>
      <w:pPr>
        <w:ind w:left="1240" w:right="20" w:firstLine="5"/>
        <w:spacing w:after="0" w:line="301" w:lineRule="auto"/>
        <w:rPr>
          <w:sz w:val="20"/>
          <w:szCs w:val="20"/>
          <w:color w:val="auto"/>
        </w:rPr>
      </w:pPr>
      <w:r>
        <w:rPr>
          <w:rFonts w:ascii="Times New Roman" w:cs="Times New Roman" w:eastAsia="Times New Roman" w:hAnsi="Times New Roman"/>
          <w:sz w:val="16"/>
          <w:szCs w:val="16"/>
          <w:color w:val="auto"/>
        </w:rPr>
        <w:t>As of December 31, 2024 and 2023, the Company’s total outstanding capital lease liabilities for fixed assets were $73,453 and $118,272, respectively, of which $24,785 and $40,330, respectively, were included under current maturities of long-term debt.</w:t>
      </w:r>
    </w:p>
    <w:p>
      <w:pPr>
        <w:spacing w:after="0" w:line="1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The following presents the maturity of capital lease and other long-term liabilities as of December 31, 2024:</w:t>
      </w:r>
    </w:p>
    <w:p>
      <w:pPr>
        <w:spacing w:after="0" w:line="264"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5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Fiscal Year</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214"/>
        </w:trPr>
        <w:tc>
          <w:tcPr>
            <w:tcW w:w="53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2030 and on</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Less - imputed interest</w:t>
            </w:r>
          </w:p>
        </w:tc>
        <w:tc>
          <w:tcPr>
            <w:tcW w:w="12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4"/>
              </w:rPr>
              <w:t>(3,033)</w:t>
            </w:r>
          </w:p>
        </w:tc>
        <w:tc>
          <w:tcPr>
            <w:tcW w:w="0" w:type="dxa"/>
            <w:vAlign w:val="bottom"/>
          </w:tcPr>
          <w:p>
            <w:pPr>
              <w:spacing w:after="0"/>
              <w:rPr>
                <w:sz w:val="1"/>
                <w:szCs w:val="1"/>
                <w:color w:val="auto"/>
              </w:rPr>
            </w:pPr>
          </w:p>
        </w:tc>
      </w:tr>
      <w:tr>
        <w:trPr>
          <w:trHeight w:val="246"/>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73,977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1260" w:hanging="348"/>
        <w:spacing w:after="0"/>
        <w:tabs>
          <w:tab w:leader="none" w:pos="1260"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Lease Agreements</w:t>
      </w:r>
    </w:p>
    <w:p>
      <w:pPr>
        <w:spacing w:after="0" w:line="265" w:lineRule="exact"/>
        <w:rPr>
          <w:rFonts w:ascii="Times New Roman" w:cs="Times New Roman" w:eastAsia="Times New Roman" w:hAnsi="Times New Roman"/>
          <w:sz w:val="16"/>
          <w:szCs w:val="16"/>
          <w:b w:val="1"/>
          <w:bCs w:val="1"/>
          <w:color w:val="auto"/>
        </w:rPr>
      </w:pPr>
    </w:p>
    <w:p>
      <w:pPr>
        <w:jc w:val="both"/>
        <w:ind w:left="1260" w:right="20" w:firstLine="5"/>
        <w:spacing w:after="0" w:line="27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enters into operating leases from time to time, primarily with regard to certain of its operating and other facilities. Operating lease cost for the years ended December 31, 2024, 2023 and 2022 was $4,592, $4,807 and $5,867, respectively. During 2024, cash paid for operating lease liabilities was $4,439.</w:t>
      </w:r>
    </w:p>
    <w:p>
      <w:pPr>
        <w:spacing w:after="0" w:line="210" w:lineRule="exact"/>
        <w:rPr>
          <w:rFonts w:ascii="Times New Roman" w:cs="Times New Roman" w:eastAsia="Times New Roman" w:hAnsi="Times New Roman"/>
          <w:sz w:val="16"/>
          <w:szCs w:val="16"/>
          <w:b w:val="1"/>
          <w:bCs w:val="1"/>
          <w:color w:val="auto"/>
        </w:rPr>
      </w:pPr>
    </w:p>
    <w:p>
      <w:pPr>
        <w:ind w:left="1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presents the composition of operating leases in the 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Pr>
          <w:p>
            <w:pPr>
              <w:spacing w:after="0"/>
              <w:rPr>
                <w:sz w:val="17"/>
                <w:szCs w:val="17"/>
                <w:color w:val="auto"/>
              </w:rPr>
            </w:pPr>
          </w:p>
        </w:tc>
        <w:tc>
          <w:tcPr>
            <w:tcW w:w="3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Details</w:t>
            </w:r>
          </w:p>
        </w:tc>
        <w:tc>
          <w:tcPr>
            <w:tcW w:w="31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Presentation in the Consolidated Balance Sheets</w:t>
            </w:r>
          </w:p>
        </w:tc>
        <w:tc>
          <w:tcPr>
            <w:tcW w:w="80" w:type="dxa"/>
            <w:vAlign w:val="bottom"/>
          </w:tcPr>
          <w:p>
            <w:pPr>
              <w:spacing w:after="0"/>
              <w:rPr>
                <w:sz w:val="17"/>
                <w:szCs w:val="17"/>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December 31,</w:t>
            </w: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December 31,</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30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3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ROU - assets under operating leases</w:t>
            </w: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 net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3,913</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3,450</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3,961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6,312</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3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9,762</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remaining lease term (years)</w:t>
            </w:r>
          </w:p>
        </w:tc>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30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3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1.95%</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1.94%</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1300" w:type="dxa"/>
            <w:vAlign w:val="bottom"/>
          </w:tcPr>
          <w:p>
            <w:pPr>
              <w:spacing w:after="0"/>
              <w:rPr>
                <w:sz w:val="24"/>
                <w:szCs w:val="24"/>
                <w:color w:val="auto"/>
              </w:rPr>
            </w:pPr>
          </w:p>
        </w:tc>
        <w:tc>
          <w:tcPr>
            <w:tcW w:w="310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ind w:left="1040"/>
              <w:spacing w:after="0"/>
              <w:rPr>
                <w:sz w:val="20"/>
                <w:szCs w:val="20"/>
                <w:color w:val="auto"/>
              </w:rPr>
            </w:pPr>
            <w:r>
              <w:rPr>
                <w:rFonts w:ascii="Times New Roman" w:cs="Times New Roman" w:eastAsia="Times New Roman" w:hAnsi="Times New Roman"/>
                <w:sz w:val="16"/>
                <w:szCs w:val="16"/>
                <w:color w:val="auto"/>
              </w:rPr>
              <w:t>F - 24</w:t>
            </w: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130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35"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10:</w:t>
        <w:tab/>
        <w:t>LONG-TERM DEBT - OTHERS (continued)</w:t>
      </w:r>
    </w:p>
    <w:p>
      <w:pPr>
        <w:spacing w:after="0" w:line="264" w:lineRule="exact"/>
        <w:rPr>
          <w:sz w:val="20"/>
          <w:szCs w:val="20"/>
          <w:color w:val="auto"/>
        </w:rPr>
      </w:pPr>
    </w:p>
    <w:p>
      <w:pPr>
        <w:ind w:left="1260" w:hanging="348"/>
        <w:spacing w:after="0"/>
        <w:tabs>
          <w:tab w:leader="none" w:pos="1260"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Operating Lease Agreements (continued)</w:t>
      </w: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The following presents the maturity presentation of operating lease liabilities as of December 31, 2024:</w:t>
      </w:r>
    </w:p>
    <w:p>
      <w:pPr>
        <w:spacing w:after="0" w:line="264" w:lineRule="exact"/>
        <w:rPr>
          <w:sz w:val="20"/>
          <w:szCs w:val="20"/>
          <w:color w:val="auto"/>
        </w:rPr>
      </w:pPr>
    </w:p>
    <w:tbl>
      <w:tblPr>
        <w:tblLayout w:type="fixed"/>
        <w:tblInd w:w="1300" w:type="dxa"/>
        <w:tblCellMar>
          <w:top w:w="0" w:type="dxa"/>
          <w:left w:w="0" w:type="dxa"/>
          <w:bottom w:w="0" w:type="dxa"/>
          <w:right w:w="0" w:type="dxa"/>
        </w:tblCellMar>
      </w:tblPr>
      <w:tr>
        <w:trPr>
          <w:trHeight w:val="22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Fiscal Year</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Amount ($)</w:t>
            </w:r>
          </w:p>
        </w:tc>
      </w:tr>
      <w:tr>
        <w:trPr>
          <w:trHeight w:val="20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60" w:type="dxa"/>
            <w:vAlign w:val="bottom"/>
            <w:shd w:val="clear" w:color="auto" w:fill="CCEEFF"/>
          </w:tcPr>
          <w:p>
            <w:pPr>
              <w:spacing w:after="0"/>
              <w:rPr>
                <w:sz w:val="17"/>
                <w:szCs w:val="17"/>
                <w:color w:val="auto"/>
              </w:rPr>
            </w:pPr>
          </w:p>
        </w:tc>
      </w:tr>
      <w:tr>
        <w:trPr>
          <w:trHeight w:val="20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60" w:type="dxa"/>
            <w:vAlign w:val="bottom"/>
          </w:tcPr>
          <w:p>
            <w:pPr>
              <w:spacing w:after="0"/>
              <w:rPr>
                <w:sz w:val="17"/>
                <w:szCs w:val="17"/>
                <w:color w:val="auto"/>
              </w:rPr>
            </w:pPr>
          </w:p>
        </w:tc>
      </w:tr>
      <w:tr>
        <w:trPr>
          <w:trHeight w:val="210"/>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6"/>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8,004</w:t>
            </w:r>
          </w:p>
        </w:tc>
        <w:tc>
          <w:tcPr>
            <w:tcW w:w="60" w:type="dxa"/>
            <w:vAlign w:val="bottom"/>
          </w:tcPr>
          <w:p>
            <w:pPr>
              <w:spacing w:after="0"/>
              <w:rPr>
                <w:sz w:val="17"/>
                <w:szCs w:val="17"/>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 imputed interest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6"/>
        </w:trPr>
        <w:tc>
          <w:tcPr>
            <w:tcW w:w="5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60" w:type="dxa"/>
            <w:vAlign w:val="bottom"/>
            <w:tcBorders>
              <w:top w:val="single" w:sz="8" w:color="CCEEFF"/>
            </w:tcBorders>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11:</w:t>
        <w:tab/>
        <w:t>FINANCIAL INSTRUMENTS AND FAIR VALUE MEASUREMENTS</w:t>
      </w:r>
    </w:p>
    <w:p>
      <w:pPr>
        <w:spacing w:after="0" w:line="266" w:lineRule="exact"/>
        <w:rPr>
          <w:sz w:val="20"/>
          <w:szCs w:val="20"/>
          <w:color w:val="auto"/>
        </w:rPr>
      </w:pPr>
    </w:p>
    <w:p>
      <w:pPr>
        <w:jc w:val="both"/>
        <w:ind w:left="1260" w:firstLine="5"/>
        <w:spacing w:after="0" w:line="277" w:lineRule="auto"/>
        <w:rPr>
          <w:sz w:val="20"/>
          <w:szCs w:val="20"/>
          <w:color w:val="auto"/>
        </w:rPr>
      </w:pPr>
      <w:r>
        <w:rPr>
          <w:rFonts w:ascii="Times New Roman" w:cs="Times New Roman" w:eastAsia="Times New Roman" w:hAnsi="Times New Roman"/>
          <w:sz w:val="16"/>
          <w:szCs w:val="16"/>
          <w:color w:val="auto"/>
        </w:rPr>
        <w:t>The Company makes certain disclosures as detailed below with regards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Company formally designates qualifying derivatives as hedge relationships (“hedges”) and applies hedge accounting when considered appropriate.</w:t>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Company does not use derivative financial instruments for trading or speculative purposes.</w:t>
      </w:r>
    </w:p>
    <w:p>
      <w:pPr>
        <w:spacing w:after="0" w:line="246" w:lineRule="exact"/>
        <w:rPr>
          <w:sz w:val="20"/>
          <w:szCs w:val="20"/>
          <w:color w:val="auto"/>
        </w:rPr>
      </w:pPr>
    </w:p>
    <w:p>
      <w:pPr>
        <w:ind w:left="1280" w:hanging="368"/>
        <w:spacing w:after="0"/>
        <w:tabs>
          <w:tab w:leader="none" w:pos="1280"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Rate Transactions</w:t>
      </w:r>
    </w:p>
    <w:p>
      <w:pPr>
        <w:spacing w:after="0" w:line="265" w:lineRule="exact"/>
        <w:rPr>
          <w:rFonts w:ascii="Times New Roman" w:cs="Times New Roman" w:eastAsia="Times New Roman" w:hAnsi="Times New Roman"/>
          <w:sz w:val="16"/>
          <w:szCs w:val="16"/>
          <w:b w:val="1"/>
          <w:bCs w:val="1"/>
          <w:color w:val="auto"/>
        </w:rPr>
      </w:pPr>
    </w:p>
    <w:p>
      <w:pPr>
        <w:jc w:val="both"/>
        <w:ind w:left="1260" w:firstLine="5"/>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the functional currency of the Company is the USD and a portion of Tower’s expenses are denominated in NIS, the Company enters into exchange rate agreements from time to time to partially hedge the volatility of future cash flows caused by changes in foreign exchange rates on NIS-denominated expenses. The exchange rate transaction-related derivatives were accounted for as hedge accounting, resulting in gain or loss initially reported as a component of OCI and subsequently, upon maturity, recorded in the statement of operations, while the hedged item’s exposure results were recorded in the statement of operations. Changes in the derivative time value were excluded from the assessment of hedge effectiveness and recognized in the statement of operations. As of December 31, 2024 and 2023, the fair value gain, net amounts from such NIS to USD exchange rate agreements were $768 and $1,894, respectively, in an asset position, presented in other current assets, and the face value amounts of such exchange rate agreements were $156,000 and $156,000, respectively.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11:</w:t>
        <w:tab/>
        <w:t>FINANCIAL INSTRUMENTS AND FAIR VALUE MEASUREMENTS (continued)</w:t>
      </w:r>
    </w:p>
    <w:p>
      <w:pPr>
        <w:spacing w:after="0" w:line="264" w:lineRule="exact"/>
        <w:rPr>
          <w:sz w:val="20"/>
          <w:szCs w:val="20"/>
          <w:color w:val="auto"/>
        </w:rPr>
      </w:pPr>
    </w:p>
    <w:p>
      <w:pPr>
        <w:ind w:left="1280" w:hanging="368"/>
        <w:spacing w:after="0"/>
        <w:tabs>
          <w:tab w:leader="none" w:pos="128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Rate Transactions (continued)</w:t>
      </w:r>
    </w:p>
    <w:p>
      <w:pPr>
        <w:spacing w:after="0" w:line="265" w:lineRule="exact"/>
        <w:rPr>
          <w:rFonts w:ascii="Times New Roman" w:cs="Times New Roman" w:eastAsia="Times New Roman" w:hAnsi="Times New Roman"/>
          <w:sz w:val="16"/>
          <w:szCs w:val="16"/>
          <w:b w:val="1"/>
          <w:bCs w:val="1"/>
          <w:color w:val="auto"/>
        </w:rPr>
      </w:pPr>
    </w:p>
    <w:p>
      <w:pPr>
        <w:jc w:val="both"/>
        <w:ind w:left="1260" w:right="20" w:firstLine="5"/>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the functional currency of the Company is the USD and TPSCo revenues and a portion of its expenses are denominated in JPY, the Company enters into exchange rate agreements from time to time to partially hedge the volatility of future cash flows caused by changes in foreign exchange rates on JPY-denominated amounts. The exchange rate transaction related derivatives were accounted for as hedge accounting resulting in gain or loss initially reported as a component of OCI and subsequently, upon maturity, recorded in the statement of operations, while the hedged item’s exposure results were recorded in the statement of operations. Changes in the derivative time value were excluded from the assessment of hedge effectiveness and recognized in the statement of operations. As of December 31, 2024 and 2023, the fair value loss, net amounts from such JPY to USD exchange rate agreements were $4,261 and $500, respectively, in a liability position, presented in other current liabilities, and the face value amounts of such exchange rate agreements were $186,000 and $204,000, respectively.</w:t>
      </w:r>
    </w:p>
    <w:p>
      <w:pPr>
        <w:spacing w:after="0" w:line="220" w:lineRule="exact"/>
        <w:rPr>
          <w:rFonts w:ascii="Times New Roman" w:cs="Times New Roman" w:eastAsia="Times New Roman" w:hAnsi="Times New Roman"/>
          <w:sz w:val="16"/>
          <w:szCs w:val="16"/>
          <w:b w:val="1"/>
          <w:bCs w:val="1"/>
          <w:color w:val="auto"/>
        </w:rPr>
      </w:pPr>
    </w:p>
    <w:p>
      <w:pPr>
        <w:jc w:val="both"/>
        <w:ind w:left="1260" w:firstLine="5"/>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the functional currency of the Company is the USD and a portion of TSIT’s expenses are denominated in EUR, the Company enters into exchange rate agreements from time to time to partially hedge the volatility of future cash flows caused by changes in foreign exchange rates on EUR-denominated expenses. The exchange rate transaction-related derivatives were accounted for as hedge accounting resulting in gain or loss initially reported as a component of OCI and subsequently, upon maturity, recorded in the statement of operations, while the hedged item’s exposure results were recorded in the statement of operations. Changes in the derivative time value were excluded from the assessment of hedge effectiveness and recognized in the statement of operations. As of December 31, 2024, the fair value loss, net amount from such EUR to USD exchange rate agreements was $809 in a liability position, presented in other current liabilities, and the face value amount of such exchange rate agreements was $39,600.</w:t>
      </w:r>
    </w:p>
    <w:p>
      <w:pPr>
        <w:spacing w:after="0" w:line="205" w:lineRule="exact"/>
        <w:rPr>
          <w:rFonts w:ascii="Times New Roman" w:cs="Times New Roman" w:eastAsia="Times New Roman" w:hAnsi="Times New Roman"/>
          <w:sz w:val="16"/>
          <w:szCs w:val="16"/>
          <w:b w:val="1"/>
          <w:bCs w:val="1"/>
          <w:color w:val="auto"/>
        </w:rPr>
      </w:pPr>
    </w:p>
    <w:p>
      <w:pPr>
        <w:ind w:left="1260" w:hanging="348"/>
        <w:spacing w:after="0"/>
        <w:tabs>
          <w:tab w:leader="none" w:pos="126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Concentration of Credit Risks</w:t>
      </w:r>
    </w:p>
    <w:p>
      <w:pPr>
        <w:spacing w:after="0" w:line="265" w:lineRule="exact"/>
        <w:rPr>
          <w:rFonts w:ascii="Times New Roman" w:cs="Times New Roman" w:eastAsia="Times New Roman" w:hAnsi="Times New Roman"/>
          <w:sz w:val="16"/>
          <w:szCs w:val="16"/>
          <w:b w:val="1"/>
          <w:bCs w:val="1"/>
          <w:color w:val="auto"/>
        </w:rPr>
      </w:pPr>
    </w:p>
    <w:p>
      <w:pPr>
        <w:jc w:val="both"/>
        <w:ind w:left="1260" w:right="20" w:firstLine="5"/>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cash and cash equivalents, bank deposits, marketable securities, derivatives, trade receivables and government and other receivables. The Company’s cash, deposits, marketable securities and derivatives are maintained with large and reputable banks and investment banks. The composition and maturities of investments are regularly monitored by the Company. Generally, these securities may be redeemed upon demand and bear minimal risk.</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11:</w:t>
        <w:tab/>
        <w:t>FINANCIAL INSTRUMENTS AND FAIR VALUE MEASUREMENTS (continued)</w:t>
      </w:r>
    </w:p>
    <w:p>
      <w:pPr>
        <w:spacing w:after="0" w:line="264" w:lineRule="exact"/>
        <w:rPr>
          <w:sz w:val="20"/>
          <w:szCs w:val="20"/>
          <w:color w:val="auto"/>
        </w:rPr>
      </w:pPr>
    </w:p>
    <w:p>
      <w:pPr>
        <w:ind w:left="1260" w:hanging="348"/>
        <w:spacing w:after="0"/>
        <w:tabs>
          <w:tab w:leader="none" w:pos="126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Concentration of Credit Risks (continued)</w:t>
      </w:r>
    </w:p>
    <w:p>
      <w:pPr>
        <w:spacing w:after="0" w:line="253" w:lineRule="exact"/>
        <w:rPr>
          <w:rFonts w:ascii="Times New Roman" w:cs="Times New Roman" w:eastAsia="Times New Roman" w:hAnsi="Times New Roman"/>
          <w:sz w:val="16"/>
          <w:szCs w:val="16"/>
          <w:b w:val="1"/>
          <w:bCs w:val="1"/>
          <w:color w:val="auto"/>
        </w:rPr>
      </w:pPr>
    </w:p>
    <w:p>
      <w:pPr>
        <w:jc w:val="both"/>
        <w:ind w:left="1260" w:right="20" w:firstLine="5"/>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receivables and marketable securities which as of December 31, 2024 was an insignificant amount. The Company performs ongoing credit evaluations of its customers and marketable securities.</w:t>
      </w:r>
    </w:p>
    <w:p>
      <w:pPr>
        <w:spacing w:after="0" w:line="210"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of Financial Instruments</w:t>
      </w:r>
    </w:p>
    <w:p>
      <w:pPr>
        <w:spacing w:after="0" w:line="265" w:lineRule="exact"/>
        <w:rPr>
          <w:rFonts w:ascii="Times New Roman" w:cs="Times New Roman" w:eastAsia="Times New Roman" w:hAnsi="Times New Roman"/>
          <w:sz w:val="16"/>
          <w:szCs w:val="16"/>
          <w:b w:val="1"/>
          <w:bCs w:val="1"/>
          <w:color w:val="auto"/>
        </w:rPr>
      </w:pPr>
    </w:p>
    <w:p>
      <w:pPr>
        <w:ind w:left="126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estimated fair values of the Company’s financial instruments do not materially differ from their respective carrying amounts as of December 31, 2024 and 2023.</w:t>
      </w:r>
    </w:p>
    <w:p>
      <w:pPr>
        <w:spacing w:after="0" w:line="200" w:lineRule="exact"/>
        <w:rPr>
          <w:rFonts w:ascii="Times New Roman" w:cs="Times New Roman" w:eastAsia="Times New Roman" w:hAnsi="Times New Roman"/>
          <w:sz w:val="16"/>
          <w:szCs w:val="16"/>
          <w:b w:val="1"/>
          <w:bCs w:val="1"/>
          <w:color w:val="auto"/>
        </w:rPr>
      </w:pPr>
    </w:p>
    <w:p>
      <w:pPr>
        <w:ind w:left="1260" w:right="8220" w:hanging="348"/>
        <w:spacing w:after="0" w:line="615" w:lineRule="auto"/>
        <w:tabs>
          <w:tab w:leader="none" w:pos="1275" w:val="left"/>
        </w:tabs>
        <w:numPr>
          <w:ilvl w:val="0"/>
          <w:numId w:val="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Fair Value Measurements </w:t>
      </w:r>
      <w:r>
        <w:rPr>
          <w:rFonts w:ascii="Times New Roman" w:cs="Times New Roman" w:eastAsia="Times New Roman" w:hAnsi="Times New Roman"/>
          <w:sz w:val="15"/>
          <w:szCs w:val="15"/>
          <w:b w:val="1"/>
          <w:bCs w:val="1"/>
          <w:i w:val="1"/>
          <w:iCs w:val="1"/>
          <w:color w:val="auto"/>
        </w:rPr>
        <w:t>Valuation Techniques</w:t>
      </w:r>
    </w:p>
    <w:p>
      <w:pPr>
        <w:spacing w:after="0" w:line="1" w:lineRule="exact"/>
        <w:rPr>
          <w:rFonts w:ascii="Times New Roman" w:cs="Times New Roman" w:eastAsia="Times New Roman" w:hAnsi="Times New Roman"/>
          <w:sz w:val="15"/>
          <w:szCs w:val="15"/>
          <w:b w:val="1"/>
          <w:bCs w:val="1"/>
          <w:color w:val="auto"/>
        </w:rPr>
      </w:pPr>
    </w:p>
    <w:p>
      <w:pPr>
        <w:jc w:val="both"/>
        <w:ind w:left="1260" w:right="20" w:firstLine="5"/>
        <w:spacing w:after="0" w:line="27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208" w:lineRule="exact"/>
        <w:rPr>
          <w:rFonts w:ascii="Times New Roman" w:cs="Times New Roman" w:eastAsia="Times New Roman" w:hAnsi="Times New Roman"/>
          <w:sz w:val="15"/>
          <w:szCs w:val="15"/>
          <w:b w:val="1"/>
          <w:bCs w:val="1"/>
          <w:color w:val="auto"/>
        </w:rPr>
      </w:pPr>
    </w:p>
    <w:p>
      <w:pPr>
        <w:ind w:left="12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b w:val="1"/>
          <w:bCs w:val="1"/>
          <w:i w:val="1"/>
          <w:iCs w:val="1"/>
          <w:color w:val="auto"/>
        </w:rPr>
        <w:t>Level 1 Measurements</w:t>
      </w:r>
    </w:p>
    <w:p>
      <w:pPr>
        <w:spacing w:after="0" w:line="267" w:lineRule="exact"/>
        <w:rPr>
          <w:rFonts w:ascii="Times New Roman" w:cs="Times New Roman" w:eastAsia="Times New Roman" w:hAnsi="Times New Roman"/>
          <w:sz w:val="15"/>
          <w:szCs w:val="15"/>
          <w:b w:val="1"/>
          <w:bCs w:val="1"/>
          <w:color w:val="auto"/>
        </w:rPr>
      </w:pPr>
    </w:p>
    <w:p>
      <w:pPr>
        <w:jc w:val="both"/>
        <w:ind w:left="1260" w:right="20" w:firstLine="5"/>
        <w:spacing w:after="0" w:line="27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w:t>
      </w:r>
    </w:p>
    <w:p>
      <w:pPr>
        <w:spacing w:after="0" w:line="193" w:lineRule="exact"/>
        <w:rPr>
          <w:rFonts w:ascii="Times New Roman" w:cs="Times New Roman" w:eastAsia="Times New Roman" w:hAnsi="Times New Roman"/>
          <w:sz w:val="15"/>
          <w:szCs w:val="15"/>
          <w:b w:val="1"/>
          <w:bCs w:val="1"/>
          <w:color w:val="auto"/>
        </w:rPr>
      </w:pPr>
    </w:p>
    <w:p>
      <w:pPr>
        <w:ind w:left="12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b w:val="1"/>
          <w:bCs w:val="1"/>
          <w:i w:val="1"/>
          <w:iCs w:val="1"/>
          <w:color w:val="auto"/>
        </w:rPr>
        <w:t>Level 2 Measurements</w:t>
      </w:r>
    </w:p>
    <w:p>
      <w:pPr>
        <w:spacing w:after="0" w:line="267" w:lineRule="exact"/>
        <w:rPr>
          <w:rFonts w:ascii="Times New Roman" w:cs="Times New Roman" w:eastAsia="Times New Roman" w:hAnsi="Times New Roman"/>
          <w:sz w:val="15"/>
          <w:szCs w:val="15"/>
          <w:b w:val="1"/>
          <w:bCs w:val="1"/>
          <w:color w:val="auto"/>
        </w:rPr>
      </w:pPr>
    </w:p>
    <w:p>
      <w:pPr>
        <w:jc w:val="both"/>
        <w:ind w:left="1260" w:right="20" w:firstLine="5"/>
        <w:spacing w:after="0" w:line="272"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If quoted market prices are not available, or the prices of securities are derived from various sources, and do not necessarily represent the prices at which these securities could have been bought or sold, the Company obtains fair value measurements of these securities or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203" w:lineRule="exact"/>
        <w:rPr>
          <w:rFonts w:ascii="Times New Roman" w:cs="Times New Roman" w:eastAsia="Times New Roman" w:hAnsi="Times New Roman"/>
          <w:sz w:val="15"/>
          <w:szCs w:val="15"/>
          <w:b w:val="1"/>
          <w:bCs w:val="1"/>
          <w:color w:val="auto"/>
        </w:rPr>
      </w:pPr>
    </w:p>
    <w:p>
      <w:pPr>
        <w:ind w:left="1260" w:right="20" w:firstLine="5"/>
        <w:spacing w:after="0" w:line="301"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For cross-currency swap and derivatives measured under Level 2, the Company uses the market approach using quotations from banks and other public information.</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11:</w:t>
        <w:tab/>
        <w:t>FINANCIAL INSTRUMENTS AND FAIR VALUE MEASUREMENTS (continued)</w:t>
      </w:r>
    </w:p>
    <w:p>
      <w:pPr>
        <w:spacing w:after="0" w:line="264" w:lineRule="exact"/>
        <w:rPr>
          <w:sz w:val="20"/>
          <w:szCs w:val="20"/>
          <w:color w:val="auto"/>
        </w:rPr>
      </w:pPr>
    </w:p>
    <w:p>
      <w:pPr>
        <w:ind w:left="1260" w:right="7380" w:hanging="348"/>
        <w:spacing w:after="0" w:line="577" w:lineRule="auto"/>
        <w:tabs>
          <w:tab w:leader="none" w:pos="1275"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Measurements (continued) </w:t>
      </w:r>
      <w:r>
        <w:rPr>
          <w:rFonts w:ascii="Times New Roman" w:cs="Times New Roman" w:eastAsia="Times New Roman" w:hAnsi="Times New Roman"/>
          <w:sz w:val="16"/>
          <w:szCs w:val="16"/>
          <w:b w:val="1"/>
          <w:bCs w:val="1"/>
          <w:i w:val="1"/>
          <w:iCs w:val="1"/>
          <w:color w:val="auto"/>
        </w:rPr>
        <w:t>Level 3 Measurements</w:t>
      </w:r>
    </w:p>
    <w:p>
      <w:pPr>
        <w:jc w:val="both"/>
        <w:ind w:left="1260" w:right="20" w:firstLine="5"/>
        <w:spacing w:after="0" w:line="28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Investments in equity securities of privately-held companies without readily determinable fair values are measured using the Measurement Alternatives (see Note 2J). The Company reviews these investments for impairment and observable price changes on a quarterly basis and adjusts the carrying value accordingly. For the year ended December 31, 2023, and 2024, the Company did not record significant changes to the carrying value of such investments.</w:t>
      </w:r>
    </w:p>
    <w:p>
      <w:pPr>
        <w:spacing w:after="0" w:line="191"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Recurring fair value measurements using the indicated inputs: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Quoted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Significant</w:t>
            </w:r>
          </w:p>
        </w:tc>
        <w:tc>
          <w:tcPr>
            <w:tcW w:w="9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6"/>
                <w:szCs w:val="16"/>
                <w:color w:val="auto"/>
                <w:w w:val="99"/>
              </w:rPr>
              <w:t>Significant</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prices in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7"/>
              </w:rPr>
              <w:t>other</w:t>
            </w:r>
          </w:p>
        </w:tc>
        <w:tc>
          <w:tcPr>
            <w:tcW w:w="980" w:type="dxa"/>
            <w:vAlign w:val="bottom"/>
            <w:gridSpan w:val="3"/>
            <w:vMerge w:val="continue"/>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active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observable</w:t>
            </w:r>
          </w:p>
        </w:tc>
        <w:tc>
          <w:tcPr>
            <w:tcW w:w="9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unobservable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December 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market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inputs</w:t>
            </w:r>
          </w:p>
        </w:tc>
        <w:tc>
          <w:tcPr>
            <w:tcW w:w="14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7"/>
              </w:rPr>
              <w:t>inputs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(Level 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tcPr>
          <w:p>
            <w:pPr>
              <w:spacing w:after="0"/>
              <w:rPr>
                <w:sz w:val="19"/>
                <w:szCs w:val="19"/>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(Level 3)</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Privately held companies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6,780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8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forward and cylinders - net liability position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(4,302)</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0"/>
        </w:trPr>
        <w:tc>
          <w:tcPr>
            <w:tcW w:w="1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color w:val="auto"/>
              </w:rPr>
              <w:t>Quoted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rPr>
              <w:t>Significant</w:t>
            </w: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Significant</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7"/>
              </w:rPr>
              <w:t>other</w:t>
            </w:r>
          </w:p>
        </w:tc>
        <w:tc>
          <w:tcPr>
            <w:tcW w:w="980" w:type="dxa"/>
            <w:vAlign w:val="bottom"/>
            <w:gridSpan w:val="3"/>
            <w:vMerge w:val="continue"/>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prices in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color w:val="auto"/>
              </w:rPr>
              <w:t>observable</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rPr>
              <w:t>unobservable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color w:val="auto"/>
              </w:rPr>
              <w:t>December 31,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active market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inputs</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inputs</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color w:val="auto"/>
              </w:rPr>
              <w:t>(Level 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(Level 3)</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Privately held companies</w:t>
            </w: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8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 held for sale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184,960</w:t>
            </w: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forward and cylinders - net asset position</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3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193,134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6,780</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F - 28</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300" w:type="dxa"/>
            <w:vAlign w:val="bottom"/>
            <w:tcBorders>
              <w:bottom w:val="single" w:sz="8" w:color="auto"/>
            </w:tcBorders>
          </w:tcPr>
          <w:p>
            <w:pPr>
              <w:spacing w:after="0"/>
              <w:rPr>
                <w:sz w:val="6"/>
                <w:szCs w:val="6"/>
                <w:color w:val="auto"/>
              </w:rPr>
            </w:pPr>
          </w:p>
        </w:tc>
        <w:tc>
          <w:tcPr>
            <w:tcW w:w="40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71"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NOTE 11:</w:t>
        <w:tab/>
        <w:t>FINANCIAL INSTRUMENTS AND FAIR VALUE MEASUREMENTS (continued)</w:t>
      </w:r>
    </w:p>
    <w:p>
      <w:pPr>
        <w:spacing w:after="0" w:line="227" w:lineRule="exact"/>
        <w:rPr>
          <w:sz w:val="20"/>
          <w:szCs w:val="20"/>
          <w:color w:val="auto"/>
        </w:rPr>
      </w:pPr>
    </w:p>
    <w:p>
      <w:pPr>
        <w:ind w:left="1260" w:hanging="348"/>
        <w:spacing w:after="0"/>
        <w:tabs>
          <w:tab w:leader="none" w:pos="126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Deposits and Marketable Securities</w:t>
      </w:r>
    </w:p>
    <w:p>
      <w:pPr>
        <w:spacing w:after="0" w:line="265" w:lineRule="exact"/>
        <w:rPr>
          <w:rFonts w:ascii="Times New Roman" w:cs="Times New Roman" w:eastAsia="Times New Roman" w:hAnsi="Times New Roman"/>
          <w:sz w:val="16"/>
          <w:szCs w:val="16"/>
          <w:b w:val="1"/>
          <w:bCs w:val="1"/>
          <w:color w:val="auto"/>
        </w:rPr>
      </w:pPr>
    </w:p>
    <w:p>
      <w:pPr>
        <w:ind w:left="1260" w:right="2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Short-term Deposits as of December 31, 2024 amounted to $946,351; as of December 31, 2023, short-term deposits and marketable securities included deposits in the amount of $790,823 and marketable securities with applicable accrued interest in the amount of $184,960.</w:t>
      </w:r>
    </w:p>
    <w:p>
      <w:pPr>
        <w:spacing w:after="0" w:line="202"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2024, the Company sold its entire portfolio and had no outstanding marketable securities as of December 31, 2024.</w:t>
      </w:r>
    </w:p>
    <w:p>
      <w:pPr>
        <w:spacing w:after="0" w:line="263" w:lineRule="exact"/>
        <w:rPr>
          <w:rFonts w:ascii="Times New Roman" w:cs="Times New Roman" w:eastAsia="Times New Roman" w:hAnsi="Times New Roman"/>
          <w:sz w:val="16"/>
          <w:szCs w:val="16"/>
          <w:b w:val="1"/>
          <w:bCs w:val="1"/>
          <w:color w:val="auto"/>
        </w:rPr>
      </w:pPr>
    </w:p>
    <w:p>
      <w:pPr>
        <w:ind w:left="1260" w:right="2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summarizes amortized costs, gross unrealized gains and losses and estimated fair values of available-for-sale marketable securities as of December 31, 2023:</w:t>
      </w:r>
    </w:p>
    <w:p>
      <w:pPr>
        <w:spacing w:after="0" w:line="203"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Gross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Gross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4"/>
        </w:trPr>
        <w:tc>
          <w:tcPr>
            <w:tcW w:w="4220" w:type="dxa"/>
            <w:vAlign w:val="bottom"/>
          </w:tcPr>
          <w:p>
            <w:pPr>
              <w:spacing w:after="0"/>
              <w:rPr>
                <w:sz w:val="16"/>
                <w:szCs w:val="16"/>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Amortized</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unrealized</w:t>
            </w:r>
          </w:p>
        </w:tc>
        <w:tc>
          <w:tcPr>
            <w:tcW w:w="140" w:type="dxa"/>
            <w:vAlign w:val="bottom"/>
          </w:tcPr>
          <w:p>
            <w:pPr>
              <w:spacing w:after="0"/>
              <w:rPr>
                <w:sz w:val="16"/>
                <w:szCs w:val="16"/>
                <w:color w:val="auto"/>
              </w:rPr>
            </w:pPr>
          </w:p>
        </w:tc>
        <w:tc>
          <w:tcPr>
            <w:tcW w:w="9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unrealized</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Estimated</w:t>
            </w:r>
          </w:p>
        </w:tc>
      </w:tr>
      <w:tr>
        <w:trPr>
          <w:trHeight w:val="22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Cost (*)</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gains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losses</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fair value</w:t>
            </w:r>
          </w:p>
        </w:tc>
        <w:tc>
          <w:tcPr>
            <w:tcW w:w="80" w:type="dxa"/>
            <w:vAlign w:val="bottom"/>
          </w:tcPr>
          <w:p>
            <w:pPr>
              <w:spacing w:after="0"/>
              <w:rPr>
                <w:sz w:val="19"/>
                <w:szCs w:val="19"/>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161,254</w:t>
            </w:r>
          </w:p>
        </w:tc>
        <w:tc>
          <w:tcPr>
            <w:tcW w:w="80" w:type="dxa"/>
            <w:vAlign w:val="bottom"/>
            <w:shd w:val="clear" w:color="auto" w:fill="CCEEFF"/>
          </w:tcPr>
          <w:p>
            <w:pPr>
              <w:spacing w:after="0"/>
              <w:rPr>
                <w:sz w:val="19"/>
                <w:szCs w:val="19"/>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Government bonds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22,456</w:t>
            </w:r>
          </w:p>
        </w:tc>
      </w:tr>
      <w:tr>
        <w:trPr>
          <w:trHeight w:val="246"/>
        </w:trPr>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188,826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183,710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 Excluding accrued interest of $1,250.</w:t>
      </w:r>
    </w:p>
    <w:p>
      <w:pPr>
        <w:spacing w:after="0" w:line="2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scheduled maturities of available-for-sale marketable securities as of December 31, 2023, were as follows:</w:t>
      </w:r>
    </w:p>
    <w:p>
      <w:pPr>
        <w:spacing w:after="0" w:line="252"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6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Details</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Amortized</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Estimated</w:t>
            </w:r>
          </w:p>
        </w:tc>
        <w:tc>
          <w:tcPr>
            <w:tcW w:w="0" w:type="dxa"/>
            <w:vAlign w:val="bottom"/>
          </w:tcPr>
          <w:p>
            <w:pPr>
              <w:spacing w:after="0"/>
              <w:rPr>
                <w:sz w:val="1"/>
                <w:szCs w:val="1"/>
                <w:color w:val="auto"/>
              </w:rPr>
            </w:pPr>
          </w:p>
        </w:tc>
      </w:tr>
      <w:tr>
        <w:trPr>
          <w:trHeight w:val="214"/>
        </w:trPr>
        <w:tc>
          <w:tcPr>
            <w:tcW w:w="614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Cost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within one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30,938</w:t>
            </w:r>
          </w:p>
        </w:tc>
        <w:tc>
          <w:tcPr>
            <w:tcW w:w="0" w:type="dxa"/>
            <w:vAlign w:val="bottom"/>
          </w:tcPr>
          <w:p>
            <w:pPr>
              <w:spacing w:after="0"/>
              <w:rPr>
                <w:sz w:val="1"/>
                <w:szCs w:val="1"/>
                <w:color w:val="auto"/>
              </w:rPr>
            </w:pPr>
          </w:p>
        </w:tc>
      </w:tr>
      <w:tr>
        <w:trPr>
          <w:trHeight w:val="224"/>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Due within 2-5 years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after 5 years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22,501</w:t>
            </w:r>
          </w:p>
        </w:tc>
        <w:tc>
          <w:tcPr>
            <w:tcW w:w="0" w:type="dxa"/>
            <w:vAlign w:val="bottom"/>
          </w:tcPr>
          <w:p>
            <w:pPr>
              <w:spacing w:after="0"/>
              <w:rPr>
                <w:sz w:val="1"/>
                <w:szCs w:val="1"/>
                <w:color w:val="auto"/>
              </w:rPr>
            </w:pPr>
          </w:p>
        </w:tc>
      </w:tr>
      <w:tr>
        <w:trPr>
          <w:trHeight w:val="206"/>
        </w:trPr>
        <w:tc>
          <w:tcPr>
            <w:tcW w:w="61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188,826</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183,710</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1260" w:right="20" w:firstLine="5"/>
        <w:spacing w:after="0" w:line="301" w:lineRule="auto"/>
        <w:rPr>
          <w:sz w:val="20"/>
          <w:szCs w:val="20"/>
          <w:color w:val="auto"/>
        </w:rPr>
      </w:pPr>
      <w:r>
        <w:rPr>
          <w:rFonts w:ascii="Times New Roman" w:cs="Times New Roman" w:eastAsia="Times New Roman" w:hAnsi="Times New Roman"/>
          <w:sz w:val="16"/>
          <w:szCs w:val="16"/>
          <w:color w:val="auto"/>
        </w:rPr>
        <w:t>Investments with continuous unrealized losses for less than twelve months and for twelve months or more and their related fair values December 31, 2023, were as indicated in the following tables. As of December 31, 2024, there were no such outstanding investments.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6"/>
                <w:szCs w:val="16"/>
                <w:color w:val="auto"/>
              </w:rPr>
              <w:t>December 31, 2023</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77"/>
        </w:trPr>
        <w:tc>
          <w:tcPr>
            <w:tcW w:w="1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center"/>
              <w:ind w:right="260"/>
              <w:spacing w:after="0" w:line="178" w:lineRule="exact"/>
              <w:rPr>
                <w:sz w:val="20"/>
                <w:szCs w:val="20"/>
                <w:color w:val="auto"/>
              </w:rPr>
            </w:pPr>
            <w:r>
              <w:rPr>
                <w:rFonts w:ascii="Times New Roman" w:cs="Times New Roman" w:eastAsia="Times New Roman" w:hAnsi="Times New Roman"/>
                <w:sz w:val="16"/>
                <w:szCs w:val="16"/>
                <w:color w:val="auto"/>
              </w:rPr>
              <w:t>Investments with</w:t>
            </w:r>
          </w:p>
        </w:tc>
        <w:tc>
          <w:tcPr>
            <w:tcW w:w="100" w:type="dxa"/>
            <w:vAlign w:val="bottom"/>
          </w:tcPr>
          <w:p>
            <w:pPr>
              <w:spacing w:after="0"/>
              <w:rPr>
                <w:sz w:val="15"/>
                <w:szCs w:val="15"/>
                <w:color w:val="auto"/>
              </w:rPr>
            </w:pPr>
          </w:p>
        </w:tc>
        <w:tc>
          <w:tcPr>
            <w:tcW w:w="1940" w:type="dxa"/>
            <w:vAlign w:val="bottom"/>
            <w:gridSpan w:val="5"/>
          </w:tcPr>
          <w:p>
            <w:pPr>
              <w:jc w:val="center"/>
              <w:ind w:right="260"/>
              <w:spacing w:after="0" w:line="178" w:lineRule="exact"/>
              <w:rPr>
                <w:sz w:val="20"/>
                <w:szCs w:val="20"/>
                <w:color w:val="auto"/>
              </w:rPr>
            </w:pPr>
            <w:r>
              <w:rPr>
                <w:rFonts w:ascii="Times New Roman" w:cs="Times New Roman" w:eastAsia="Times New Roman" w:hAnsi="Times New Roman"/>
                <w:sz w:val="16"/>
                <w:szCs w:val="16"/>
                <w:color w:val="auto"/>
              </w:rPr>
              <w:t>Investments with</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6"/>
        </w:trPr>
        <w:tc>
          <w:tcPr>
            <w:tcW w:w="1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color w:val="auto"/>
              </w:rPr>
              <w:t>continuous unrealized</w:t>
            </w:r>
          </w:p>
        </w:tc>
        <w:tc>
          <w:tcPr>
            <w:tcW w:w="100" w:type="dxa"/>
            <w:vAlign w:val="bottom"/>
          </w:tcPr>
          <w:p>
            <w:pPr>
              <w:spacing w:after="0"/>
              <w:rPr>
                <w:sz w:val="17"/>
                <w:szCs w:val="17"/>
                <w:color w:val="auto"/>
              </w:rPr>
            </w:pPr>
          </w:p>
        </w:tc>
        <w:tc>
          <w:tcPr>
            <w:tcW w:w="19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color w:val="auto"/>
              </w:rPr>
              <w:t>continuous unrealized</w:t>
            </w:r>
          </w:p>
        </w:tc>
        <w:tc>
          <w:tcPr>
            <w:tcW w:w="80" w:type="dxa"/>
            <w:vAlign w:val="bottom"/>
          </w:tcPr>
          <w:p>
            <w:pPr>
              <w:spacing w:after="0"/>
              <w:rPr>
                <w:sz w:val="17"/>
                <w:szCs w:val="17"/>
                <w:color w:val="auto"/>
              </w:rPr>
            </w:pPr>
          </w:p>
        </w:tc>
        <w:tc>
          <w:tcPr>
            <w:tcW w:w="182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Total investments with</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color w:val="auto"/>
              </w:rPr>
              <w:t>losses for less than twelve</w:t>
            </w:r>
          </w:p>
        </w:tc>
        <w:tc>
          <w:tcPr>
            <w:tcW w:w="100" w:type="dxa"/>
            <w:vAlign w:val="bottom"/>
          </w:tcPr>
          <w:p>
            <w:pPr>
              <w:spacing w:after="0"/>
              <w:rPr>
                <w:sz w:val="17"/>
                <w:szCs w:val="17"/>
                <w:color w:val="auto"/>
              </w:rPr>
            </w:pPr>
          </w:p>
        </w:tc>
        <w:tc>
          <w:tcPr>
            <w:tcW w:w="19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color w:val="auto"/>
              </w:rPr>
              <w:t>losses for twelve months</w:t>
            </w:r>
          </w:p>
        </w:tc>
        <w:tc>
          <w:tcPr>
            <w:tcW w:w="80" w:type="dxa"/>
            <w:vAlign w:val="bottom"/>
          </w:tcPr>
          <w:p>
            <w:pPr>
              <w:spacing w:after="0"/>
              <w:rPr>
                <w:sz w:val="17"/>
                <w:szCs w:val="17"/>
                <w:color w:val="auto"/>
              </w:rPr>
            </w:pPr>
          </w:p>
        </w:tc>
        <w:tc>
          <w:tcPr>
            <w:tcW w:w="182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rPr>
              <w:t>continuous unrealized</w:t>
            </w:r>
          </w:p>
        </w:tc>
        <w:tc>
          <w:tcPr>
            <w:tcW w:w="1500" w:type="dxa"/>
            <w:vAlign w:val="bottom"/>
          </w:tcPr>
          <w:p>
            <w:pPr>
              <w:spacing w:after="0"/>
              <w:rPr>
                <w:sz w:val="17"/>
                <w:szCs w:val="17"/>
                <w:color w:val="auto"/>
              </w:rPr>
            </w:pPr>
          </w:p>
        </w:tc>
      </w:tr>
      <w:tr>
        <w:trPr>
          <w:trHeight w:val="226"/>
        </w:trPr>
        <w:tc>
          <w:tcPr>
            <w:tcW w:w="13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6"/>
                <w:szCs w:val="16"/>
                <w:color w:val="auto"/>
              </w:rPr>
              <w:t>months</w:t>
            </w: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6"/>
                <w:szCs w:val="16"/>
                <w:color w:val="auto"/>
              </w:rPr>
              <w:t>or more</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color w:val="auto"/>
                <w:w w:val="99"/>
              </w:rPr>
              <w:t>losses</w:t>
            </w: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77"/>
        </w:trPr>
        <w:tc>
          <w:tcPr>
            <w:tcW w:w="13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Unrealized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Unrealized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color w:val="auto"/>
              </w:rPr>
              <w:t>Unrealized</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26"/>
        </w:trPr>
        <w:tc>
          <w:tcPr>
            <w:tcW w:w="130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w:t>
            </w:r>
          </w:p>
        </w:tc>
        <w:tc>
          <w:tcPr>
            <w:tcW w:w="20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losses</w:t>
            </w: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w:t>
            </w:r>
          </w:p>
        </w:tc>
        <w:tc>
          <w:tcPr>
            <w:tcW w:w="20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losses</w:t>
            </w:r>
          </w:p>
        </w:tc>
        <w:tc>
          <w:tcPr>
            <w:tcW w:w="8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losses</w:t>
            </w:r>
          </w:p>
        </w:tc>
        <w:tc>
          <w:tcPr>
            <w:tcW w:w="1500" w:type="dxa"/>
            <w:vAlign w:val="bottom"/>
          </w:tcPr>
          <w:p>
            <w:pPr>
              <w:spacing w:after="0"/>
              <w:rPr>
                <w:sz w:val="19"/>
                <w:szCs w:val="19"/>
                <w:color w:val="auto"/>
              </w:rPr>
            </w:pPr>
          </w:p>
        </w:tc>
      </w:tr>
      <w:tr>
        <w:trPr>
          <w:trHeight w:val="206"/>
        </w:trPr>
        <w:tc>
          <w:tcPr>
            <w:tcW w:w="130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49,843</w:t>
            </w: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67,167</w:t>
            </w: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117,010</w:t>
            </w: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(7,117)</w:t>
            </w:r>
          </w:p>
        </w:tc>
        <w:tc>
          <w:tcPr>
            <w:tcW w:w="8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Government bonds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8,703</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(87)</w:t>
            </w:r>
          </w:p>
        </w:tc>
        <w:tc>
          <w:tcPr>
            <w:tcW w:w="1500" w:type="dxa"/>
            <w:vAlign w:val="bottom"/>
          </w:tcPr>
          <w:p>
            <w:pPr>
              <w:spacing w:after="0"/>
              <w:rPr>
                <w:sz w:val="18"/>
                <w:szCs w:val="18"/>
                <w:color w:val="auto"/>
              </w:rPr>
            </w:pPr>
          </w:p>
        </w:tc>
      </w:tr>
      <w:tr>
        <w:trPr>
          <w:trHeight w:val="246"/>
        </w:trPr>
        <w:tc>
          <w:tcPr>
            <w:tcW w:w="130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53,142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125,713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Pr>
          <w:p>
            <w:pPr>
              <w:spacing w:after="0"/>
              <w:rPr>
                <w:sz w:val="21"/>
                <w:szCs w:val="21"/>
                <w:color w:val="auto"/>
              </w:rPr>
            </w:pPr>
          </w:p>
        </w:tc>
      </w:tr>
      <w:tr>
        <w:trPr>
          <w:trHeight w:val="508"/>
        </w:trPr>
        <w:tc>
          <w:tcPr>
            <w:tcW w:w="1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F - 29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5"/>
        </w:trPr>
        <w:tc>
          <w:tcPr>
            <w:tcW w:w="130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bl>
    <w:p>
      <w:pPr>
        <w:sectPr>
          <w:pgSz w:w="11900" w:h="16838" w:orient="portrait"/>
          <w:cols w:equalWidth="0" w:num="1">
            <w:col w:w="11260"/>
          </w:cols>
          <w:pgMar w:left="320" w:top="335"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12:</w:t>
        <w:tab/>
        <w:t>EMPLOYEE RELATED LIABILITIES</w:t>
      </w:r>
    </w:p>
    <w:p>
      <w:pPr>
        <w:spacing w:after="0" w:line="264" w:lineRule="exact"/>
        <w:rPr>
          <w:sz w:val="20"/>
          <w:szCs w:val="20"/>
          <w:color w:val="auto"/>
        </w:rPr>
      </w:pPr>
    </w:p>
    <w:p>
      <w:pPr>
        <w:ind w:left="1280" w:hanging="368"/>
        <w:spacing w:after="0"/>
        <w:tabs>
          <w:tab w:leader="none" w:pos="1280"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 Termination Benefits</w:t>
      </w:r>
    </w:p>
    <w:p>
      <w:pPr>
        <w:spacing w:after="0" w:line="257" w:lineRule="exact"/>
        <w:rPr>
          <w:sz w:val="20"/>
          <w:szCs w:val="20"/>
          <w:color w:val="auto"/>
        </w:rPr>
      </w:pPr>
    </w:p>
    <w:p>
      <w:pPr>
        <w:jc w:val="both"/>
        <w:ind w:left="1260" w:right="20" w:firstLine="5"/>
        <w:spacing w:after="0" w:line="275" w:lineRule="auto"/>
        <w:rPr>
          <w:sz w:val="20"/>
          <w:szCs w:val="20"/>
          <w:color w:val="auto"/>
        </w:rPr>
      </w:pPr>
      <w:r>
        <w:rPr>
          <w:rFonts w:ascii="Times New Roman" w:cs="Times New Roman" w:eastAsia="Times New Roman" w:hAnsi="Times New Roman"/>
          <w:sz w:val="19"/>
          <w:szCs w:val="19"/>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w:t>
      </w:r>
    </w:p>
    <w:p>
      <w:pPr>
        <w:spacing w:after="0" w:line="200" w:lineRule="exact"/>
        <w:rPr>
          <w:sz w:val="20"/>
          <w:szCs w:val="20"/>
          <w:color w:val="auto"/>
        </w:rPr>
      </w:pPr>
    </w:p>
    <w:p>
      <w:pPr>
        <w:jc w:val="both"/>
        <w:ind w:left="1260" w:right="20" w:firstLine="5"/>
        <w:spacing w:after="0" w:line="275" w:lineRule="auto"/>
        <w:rPr>
          <w:sz w:val="20"/>
          <w:szCs w:val="20"/>
          <w:color w:val="auto"/>
        </w:rPr>
      </w:pPr>
      <w:r>
        <w:rPr>
          <w:rFonts w:ascii="Times New Roman" w:cs="Times New Roman" w:eastAsia="Times New Roman" w:hAnsi="Times New Roman"/>
          <w:sz w:val="19"/>
          <w:szCs w:val="19"/>
          <w:color w:val="auto"/>
        </w:rPr>
        <w:t>Tower implements a labor agreement with regard to most of its Israeli employees, according to which monthly deposits into recognized severance and pension funds or insurance policies release it from any additional severance obligation in excess of the balance in such accounts to such Israeli employees and, therefore, Tower incurs no liability or asset with respect to such severance obligations and deposits. Any net severance amount is released on the employee’s termination date. Payments relating to Israeli employee termination benefits were $5,716, $5,752 and $6,269 for 2024, 2023 and 2022, respectively.</w:t>
      </w:r>
    </w:p>
    <w:p>
      <w:pPr>
        <w:spacing w:after="0" w:line="200" w:lineRule="exact"/>
        <w:rPr>
          <w:sz w:val="20"/>
          <w:szCs w:val="20"/>
          <w:color w:val="auto"/>
        </w:rPr>
      </w:pPr>
    </w:p>
    <w:p>
      <w:pPr>
        <w:jc w:val="both"/>
        <w:ind w:left="1260" w:firstLine="5"/>
        <w:spacing w:after="0" w:line="275" w:lineRule="auto"/>
        <w:rPr>
          <w:sz w:val="20"/>
          <w:szCs w:val="20"/>
          <w:color w:val="auto"/>
        </w:rPr>
      </w:pPr>
      <w:r>
        <w:rPr>
          <w:rFonts w:ascii="Times New Roman" w:cs="Times New Roman" w:eastAsia="Times New Roman" w:hAnsi="Times New Roman"/>
          <w:sz w:val="19"/>
          <w:szCs w:val="19"/>
          <w:color w:val="auto"/>
        </w:rPr>
        <w:t>TPSCo established a Defined Contribution Retirement Plan (the “DC Plan”) for its employees through which TPSCo contributes approximately 8% of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2024, 2023 and 2022 amounted to $3,853, $4,266 and $4,838 respectively.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12:</w:t>
        <w:tab/>
        <w:t>EMPLOYEE RELATED LIABILITIES (continued)</w:t>
      </w:r>
    </w:p>
    <w:p>
      <w:pPr>
        <w:spacing w:after="0" w:line="264" w:lineRule="exact"/>
        <w:rPr>
          <w:sz w:val="20"/>
          <w:szCs w:val="20"/>
          <w:color w:val="auto"/>
        </w:rPr>
      </w:pPr>
    </w:p>
    <w:p>
      <w:pPr>
        <w:ind w:left="1260" w:hanging="348"/>
        <w:spacing w:after="0"/>
        <w:tabs>
          <w:tab w:leader="none" w:pos="1260"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TSNB Employee Benefit Plans</w:t>
      </w:r>
    </w:p>
    <w:p>
      <w:pPr>
        <w:spacing w:after="0" w:line="265" w:lineRule="exact"/>
        <w:rPr>
          <w:rFonts w:ascii="Times New Roman" w:cs="Times New Roman" w:eastAsia="Times New Roman" w:hAnsi="Times New Roman"/>
          <w:sz w:val="16"/>
          <w:szCs w:val="16"/>
          <w:b w:val="1"/>
          <w:bCs w:val="1"/>
          <w:color w:val="auto"/>
        </w:rPr>
      </w:pPr>
    </w:p>
    <w:p>
      <w:pPr>
        <w:ind w:left="1260" w:right="2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information provides the changes in 2024, 2023 and 2022 periodic expenses and benefit obligations due to the bargaining agreement signed between TSNB and its collective bargaining unit employees.</w:t>
      </w:r>
    </w:p>
    <w:p>
      <w:pPr>
        <w:spacing w:after="0" w:line="198"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Post-Retirement Medical Plan</w:t>
      </w:r>
    </w:p>
    <w:p>
      <w:pPr>
        <w:spacing w:after="0" w:line="267" w:lineRule="exact"/>
        <w:rPr>
          <w:rFonts w:ascii="Times New Roman" w:cs="Times New Roman" w:eastAsia="Times New Roman" w:hAnsi="Times New Roman"/>
          <w:sz w:val="16"/>
          <w:szCs w:val="16"/>
          <w:b w:val="1"/>
          <w:bCs w:val="1"/>
          <w:color w:val="auto"/>
        </w:rPr>
      </w:pPr>
    </w:p>
    <w:p>
      <w:pPr>
        <w:ind w:left="126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components of the net periodic benefit cost and other amounts recognized in other comprehensive income for post-retirement medical plan expense are as follows as of December 31, 2024,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periodic benefit cost: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57</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net (gain) loss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(157)</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Total net periodic benefit cost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300" w:type="dxa"/>
            <w:vAlign w:val="bottom"/>
          </w:tcPr>
          <w:p>
            <w:pPr>
              <w:spacing w:after="0"/>
              <w:rPr>
                <w:sz w:val="15"/>
                <w:szCs w:val="15"/>
                <w:color w:val="auto"/>
              </w:rPr>
            </w:pPr>
          </w:p>
        </w:tc>
        <w:tc>
          <w:tcPr>
            <w:tcW w:w="53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Other changes in plan assets and benefits obligations recognized in other</w:t>
            </w: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Prior service cost for the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(gain) loss for the period</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(515)</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net gain (loss)</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157</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Total recognized in other comprehensive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(358)</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30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recognized in net periodic benefit cost and other comprehensive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0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assumptions used:</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5.10%</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Rate of compensation increases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Assumed health care cost trend rates:</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Health care cost trend rate assumed for current year (pre-65/post-65 Medicare</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8"/>
              </w:rPr>
              <w:t>8.20%/11.00%</w:t>
            </w:r>
          </w:p>
        </w:tc>
        <w:tc>
          <w:tcPr>
            <w:tcW w:w="8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8"/>
              </w:rPr>
              <w:t>7.30%/9.25%</w:t>
            </w: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8"/>
              </w:rPr>
              <w:t>6.00%/8.50%</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Advantage)</w:t>
            </w: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Health care cost trend rate assumed for current year (pre-65/post-65 Non-</w:t>
            </w:r>
          </w:p>
        </w:tc>
        <w:tc>
          <w:tcPr>
            <w:tcW w:w="80" w:type="dxa"/>
            <w:vAlign w:val="bottom"/>
          </w:tcPr>
          <w:p>
            <w:pPr>
              <w:spacing w:after="0"/>
              <w:rPr>
                <w:sz w:val="16"/>
                <w:szCs w:val="16"/>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8.20%/8.70%</w:t>
            </w:r>
          </w:p>
        </w:tc>
        <w:tc>
          <w:tcPr>
            <w:tcW w:w="8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98"/>
              </w:rPr>
              <w:t>7.30%/8.30%</w:t>
            </w:r>
          </w:p>
        </w:tc>
        <w:tc>
          <w:tcPr>
            <w:tcW w:w="80" w:type="dxa"/>
            <w:vAlign w:val="bottom"/>
          </w:tcPr>
          <w:p>
            <w:pPr>
              <w:spacing w:after="0"/>
              <w:rPr>
                <w:sz w:val="16"/>
                <w:szCs w:val="16"/>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8"/>
              </w:rPr>
              <w:t>6.00%/6.40%</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Medicare Advantage)</w:t>
            </w: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Ultimate rate (pre-65/post-65)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4.50%/4.50%</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8"/>
              </w:rPr>
              <w:t>4.50%/4.50%</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8"/>
              </w:rPr>
              <w:t>4.50%/4.50%</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Year the ultimate rate is reached (pre-65/post-65)</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2033/2033</w:t>
            </w: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2031/2031</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2031/2031</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5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Measurement date</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December</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December</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December</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31, 2024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31, 2023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31, 2022</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300" w:type="dxa"/>
            <w:vAlign w:val="bottom"/>
          </w:tcPr>
          <w:p>
            <w:pPr>
              <w:spacing w:after="0"/>
              <w:rPr>
                <w:sz w:val="24"/>
                <w:szCs w:val="24"/>
                <w:color w:val="auto"/>
              </w:rPr>
            </w:pPr>
          </w:p>
        </w:tc>
        <w:tc>
          <w:tcPr>
            <w:tcW w:w="5300" w:type="dxa"/>
            <w:vAlign w:val="bottom"/>
          </w:tcPr>
          <w:p>
            <w:pPr>
              <w:ind w:left="4140"/>
              <w:spacing w:after="0"/>
              <w:rPr>
                <w:sz w:val="20"/>
                <w:szCs w:val="20"/>
                <w:color w:val="auto"/>
              </w:rPr>
            </w:pPr>
            <w:r>
              <w:rPr>
                <w:rFonts w:ascii="Times New Roman" w:cs="Times New Roman" w:eastAsia="Times New Roman" w:hAnsi="Times New Roman"/>
                <w:sz w:val="16"/>
                <w:szCs w:val="16"/>
                <w:color w:val="auto"/>
              </w:rPr>
              <w:t>F - 31</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300" w:type="dxa"/>
            <w:vAlign w:val="bottom"/>
            <w:tcBorders>
              <w:bottom w:val="single" w:sz="8" w:color="auto"/>
            </w:tcBorders>
          </w:tcPr>
          <w:p>
            <w:pPr>
              <w:spacing w:after="0"/>
              <w:rPr>
                <w:sz w:val="6"/>
                <w:szCs w:val="6"/>
                <w:color w:val="auto"/>
              </w:rPr>
            </w:pPr>
          </w:p>
        </w:tc>
        <w:tc>
          <w:tcPr>
            <w:tcW w:w="5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71"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12:</w:t>
        <w:tab/>
        <w:t>EMPLOYEE RELATED LIABILITIES (continued)</w:t>
      </w:r>
    </w:p>
    <w:p>
      <w:pPr>
        <w:spacing w:after="0" w:line="264" w:lineRule="exact"/>
        <w:rPr>
          <w:sz w:val="20"/>
          <w:szCs w:val="20"/>
          <w:color w:val="auto"/>
        </w:rPr>
      </w:pPr>
    </w:p>
    <w:p>
      <w:pPr>
        <w:ind w:left="1260" w:hanging="348"/>
        <w:spacing w:after="0"/>
        <w:tabs>
          <w:tab w:leader="none" w:pos="1260"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TSNB Employee Benefit Plans (continued)</w:t>
      </w:r>
    </w:p>
    <w:p>
      <w:pPr>
        <w:spacing w:after="0" w:line="266" w:lineRule="exact"/>
        <w:rPr>
          <w:sz w:val="20"/>
          <w:szCs w:val="20"/>
          <w:color w:val="auto"/>
        </w:rPr>
      </w:pPr>
    </w:p>
    <w:p>
      <w:pPr>
        <w:ind w:left="1260" w:right="20" w:firstLine="5"/>
        <w:spacing w:after="0" w:line="286" w:lineRule="auto"/>
        <w:rPr>
          <w:sz w:val="20"/>
          <w:szCs w:val="20"/>
          <w:color w:val="auto"/>
        </w:rPr>
      </w:pPr>
      <w:r>
        <w:rPr>
          <w:rFonts w:ascii="Times New Roman" w:cs="Times New Roman" w:eastAsia="Times New Roman" w:hAnsi="Times New Roman"/>
          <w:sz w:val="16"/>
          <w:szCs w:val="16"/>
          <w:color w:val="auto"/>
        </w:rPr>
        <w:t>The components of the change in benefit obligation, change in plan assets and funded status for post-retirement medical plan are as follows as of the years ended December 31, 2024,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6"/>
        </w:trPr>
        <w:tc>
          <w:tcPr>
            <w:tcW w:w="1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medical plan related benefit obligation:</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Medical plan related benefit obligation at beginning of period</w:t>
            </w:r>
          </w:p>
        </w:tc>
        <w:tc>
          <w:tcPr>
            <w:tcW w:w="1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1,454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1,912</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Benefits paid</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Change in medical plan provisions</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Actuarial (gain) loss, net</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(195)</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(515)</w:t>
            </w:r>
          </w:p>
        </w:tc>
        <w:tc>
          <w:tcPr>
            <w:tcW w:w="1500" w:type="dxa"/>
            <w:vAlign w:val="bottom"/>
          </w:tcPr>
          <w:p>
            <w:pPr>
              <w:spacing w:after="0"/>
              <w:rPr>
                <w:sz w:val="17"/>
                <w:szCs w:val="17"/>
                <w:color w:val="auto"/>
              </w:rPr>
            </w:pPr>
          </w:p>
        </w:tc>
      </w:tr>
      <w:tr>
        <w:trPr>
          <w:trHeight w:val="24"/>
        </w:trPr>
        <w:tc>
          <w:tcPr>
            <w:tcW w:w="130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13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Benefit medical plan related obligation end of period</w:t>
            </w:r>
          </w:p>
        </w:tc>
        <w:tc>
          <w:tcPr>
            <w:tcW w:w="1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1,235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1,454</w:t>
            </w:r>
          </w:p>
        </w:tc>
        <w:tc>
          <w:tcPr>
            <w:tcW w:w="1500" w:type="dxa"/>
            <w:vAlign w:val="bottom"/>
          </w:tcPr>
          <w:p>
            <w:pPr>
              <w:spacing w:after="0"/>
              <w:rPr>
                <w:sz w:val="18"/>
                <w:szCs w:val="18"/>
                <w:color w:val="auto"/>
              </w:rPr>
            </w:pPr>
          </w:p>
        </w:tc>
      </w:tr>
      <w:tr>
        <w:trPr>
          <w:trHeight w:val="206"/>
        </w:trPr>
        <w:tc>
          <w:tcPr>
            <w:tcW w:w="1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plan assets:</w:t>
            </w:r>
          </w:p>
        </w:tc>
        <w:tc>
          <w:tcPr>
            <w:tcW w:w="14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plan assets at beginning of period</w:t>
            </w:r>
          </w:p>
        </w:tc>
        <w:tc>
          <w:tcPr>
            <w:tcW w:w="1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Employer contribution</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Benefits paid</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5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plan assets at end of period</w:t>
            </w:r>
          </w:p>
        </w:tc>
        <w:tc>
          <w:tcPr>
            <w:tcW w:w="1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Pr>
          <w:p>
            <w:pPr>
              <w:spacing w:after="0"/>
              <w:rPr>
                <w:sz w:val="18"/>
                <w:szCs w:val="18"/>
                <w:color w:val="auto"/>
              </w:rPr>
            </w:pPr>
          </w:p>
        </w:tc>
      </w:tr>
      <w:tr>
        <w:trPr>
          <w:trHeight w:val="206"/>
        </w:trPr>
        <w:tc>
          <w:tcPr>
            <w:tcW w:w="130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Medical plan related net funding</w:t>
            </w:r>
          </w:p>
        </w:tc>
        <w:tc>
          <w:tcPr>
            <w:tcW w:w="1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(1,454)</w:t>
            </w:r>
          </w:p>
        </w:tc>
        <w:tc>
          <w:tcPr>
            <w:tcW w:w="15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508"/>
        </w:trPr>
        <w:tc>
          <w:tcPr>
            <w:tcW w:w="1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20" w:type="dxa"/>
            <w:vAlign w:val="bottom"/>
            <w:gridSpan w:val="2"/>
          </w:tcPr>
          <w:p>
            <w:pPr>
              <w:jc w:val="right"/>
              <w:ind w:right="1079"/>
              <w:spacing w:after="0"/>
              <w:rPr>
                <w:sz w:val="20"/>
                <w:szCs w:val="20"/>
                <w:color w:val="auto"/>
              </w:rPr>
            </w:pPr>
            <w:r>
              <w:rPr>
                <w:rFonts w:ascii="Times New Roman" w:cs="Times New Roman" w:eastAsia="Times New Roman" w:hAnsi="Times New Roman"/>
                <w:sz w:val="16"/>
                <w:szCs w:val="16"/>
                <w:color w:val="auto"/>
              </w:rPr>
              <w:t>F - 32</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7"/>
        </w:trPr>
        <w:tc>
          <w:tcPr>
            <w:tcW w:w="130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71" w:right="31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12:   EMPLOYEE RELATED LIABILITIES (continued)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6520" w:type="dxa"/>
            <w:vAlign w:val="bottom"/>
            <w:gridSpan w:val="2"/>
          </w:tcPr>
          <w:p>
            <w:pPr>
              <w:ind w:left="920"/>
              <w:spacing w:after="0"/>
              <w:rPr>
                <w:sz w:val="20"/>
                <w:szCs w:val="20"/>
                <w:color w:val="auto"/>
              </w:rPr>
            </w:pPr>
            <w:r>
              <w:rPr>
                <w:rFonts w:ascii="Times New Roman" w:cs="Times New Roman" w:eastAsia="Times New Roman" w:hAnsi="Times New Roman"/>
                <w:sz w:val="16"/>
                <w:szCs w:val="16"/>
                <w:b w:val="1"/>
                <w:bCs w:val="1"/>
                <w:color w:val="auto"/>
              </w:rPr>
              <w:t>B.   TSNB Employee Benefit Plans (continued)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6520" w:type="dxa"/>
            <w:vAlign w:val="bottom"/>
            <w:gridSpan w:val="2"/>
          </w:tcPr>
          <w:p>
            <w:pPr>
              <w:ind w:left="1260"/>
              <w:spacing w:after="0"/>
              <w:rPr>
                <w:sz w:val="20"/>
                <w:szCs w:val="20"/>
                <w:color w:val="auto"/>
              </w:rPr>
            </w:pPr>
            <w:r>
              <w:rPr>
                <w:rFonts w:ascii="Times New Roman" w:cs="Times New Roman" w:eastAsia="Times New Roman" w:hAnsi="Times New Roman"/>
                <w:sz w:val="16"/>
                <w:szCs w:val="16"/>
                <w:color w:val="auto"/>
              </w:rPr>
              <w:t>As of December 31, 2024, 2023 and 2022:</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300" w:type="dxa"/>
            <w:vAlign w:val="bottom"/>
          </w:tcPr>
          <w:p>
            <w:pPr>
              <w:spacing w:after="0"/>
              <w:rPr>
                <w:sz w:val="24"/>
                <w:szCs w:val="24"/>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recognized in statement of financial position: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(1,269)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4"/>
        </w:trPr>
        <w:tc>
          <w:tcPr>
            <w:tcW w:w="1300" w:type="dxa"/>
            <w:vAlign w:val="bottom"/>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3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Net amount recognized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(1,235)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(1,319)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300" w:type="dxa"/>
            <w:vAlign w:val="bottom"/>
          </w:tcPr>
          <w:p>
            <w:pPr>
              <w:spacing w:after="0"/>
              <w:rPr>
                <w:sz w:val="16"/>
                <w:szCs w:val="16"/>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assumptions used:</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Rate of compensation increases</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Assumed health care cost trend rates:</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Health care cost trend rate assumed for next year (pre-65/post-65 Medicare</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8"/>
              </w:rPr>
              <w:t>8.60%/11.50%</w:t>
            </w:r>
          </w:p>
        </w:tc>
        <w:tc>
          <w:tcPr>
            <w:tcW w:w="10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8.20%/11.00%</w:t>
            </w:r>
          </w:p>
        </w:tc>
        <w:tc>
          <w:tcPr>
            <w:tcW w:w="8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8"/>
              </w:rPr>
              <w:t>7.30%/9.25%</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Advantage)</w:t>
            </w: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Health care cost trend rate assumed for next year (pre-65/post-65 Non-</w:t>
            </w:r>
          </w:p>
        </w:tc>
        <w:tc>
          <w:tcPr>
            <w:tcW w:w="80" w:type="dxa"/>
            <w:vAlign w:val="bottom"/>
          </w:tcPr>
          <w:p>
            <w:pPr>
              <w:spacing w:after="0"/>
              <w:rPr>
                <w:sz w:val="16"/>
                <w:szCs w:val="16"/>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8.60%/9.90%</w:t>
            </w:r>
          </w:p>
        </w:tc>
        <w:tc>
          <w:tcPr>
            <w:tcW w:w="10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8.20%/8.70%</w:t>
            </w:r>
          </w:p>
        </w:tc>
        <w:tc>
          <w:tcPr>
            <w:tcW w:w="80" w:type="dxa"/>
            <w:vAlign w:val="bottom"/>
          </w:tcPr>
          <w:p>
            <w:pPr>
              <w:spacing w:after="0"/>
              <w:rPr>
                <w:sz w:val="16"/>
                <w:szCs w:val="16"/>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8"/>
              </w:rPr>
              <w:t>7.30%/8.30%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Medicare Advantage)</w:t>
            </w: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Ultimate rate (pre-65/post-65 Medicare Advantage)</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4.50%/4.50%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4.50%/4.50%</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8"/>
              </w:rPr>
              <w:t>4.50%/4.50%</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Ultimate rate (pre-65/post-65 Non-Medicare Advantage)</w:t>
            </w:r>
          </w:p>
        </w:tc>
        <w:tc>
          <w:tcPr>
            <w:tcW w:w="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4.50%/4.50%</w:t>
            </w: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4.50%/4.50%</w:t>
            </w:r>
          </w:p>
        </w:tc>
        <w:tc>
          <w:tcPr>
            <w:tcW w:w="8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4.50%/4.50%</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Year the ultimate rate is reached (pre-65/post-65 Medicare Advantage)</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2034/2035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2033/2034</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2031/2031</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Year the ultimate rate is reached (pre-65/post-65 Non-Medicare Advantage)</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2034/2034</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2033/2033</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2031/2031</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benefit payments are expected to be paid in each of the next five fiscal years and in the aggregate for the five fiscal years thereafter:</w:t>
      </w:r>
    </w:p>
    <w:p>
      <w:pPr>
        <w:spacing w:after="0" w:line="264"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4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Fiscal Year</w:t>
            </w: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Other</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Benefits</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2030 - 2034</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438</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Description of Significant Gains and Losses in Obligations:</w:t>
      </w:r>
    </w:p>
    <w:p>
      <w:pPr>
        <w:spacing w:after="0" w:line="264" w:lineRule="exact"/>
        <w:rPr>
          <w:sz w:val="20"/>
          <w:szCs w:val="20"/>
          <w:color w:val="auto"/>
        </w:rPr>
      </w:pPr>
    </w:p>
    <w:p>
      <w:pPr>
        <w:jc w:val="both"/>
        <w:ind w:left="1260" w:firstLine="5"/>
        <w:spacing w:after="0" w:line="277" w:lineRule="auto"/>
        <w:rPr>
          <w:sz w:val="20"/>
          <w:szCs w:val="20"/>
          <w:color w:val="auto"/>
        </w:rPr>
      </w:pPr>
      <w:r>
        <w:rPr>
          <w:rFonts w:ascii="Times New Roman" w:cs="Times New Roman" w:eastAsia="Times New Roman" w:hAnsi="Times New Roman"/>
          <w:sz w:val="16"/>
          <w:szCs w:val="16"/>
          <w:color w:val="auto"/>
        </w:rPr>
        <w:t>For the fiscal year ended December 31, 2024, the benefit obligation summed to a net actuarial gain mainly due to the discount rate increase compared to the prior year. For the fiscal year ended December 31, 2023, the benefit obligation summed to a net actuarial gain due to a significant reduction in retirees receiving medical coverage.</w:t>
      </w: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12:</w:t>
        <w:tab/>
        <w:t>EMPLOYEE RELATED LIABILITIES (continued)</w:t>
      </w:r>
    </w:p>
    <w:p>
      <w:pPr>
        <w:spacing w:after="0" w:line="264" w:lineRule="exact"/>
        <w:rPr>
          <w:sz w:val="20"/>
          <w:szCs w:val="20"/>
          <w:color w:val="auto"/>
        </w:rPr>
      </w:pPr>
    </w:p>
    <w:p>
      <w:pPr>
        <w:ind w:left="1260" w:right="7080" w:hanging="348"/>
        <w:spacing w:after="0" w:line="577" w:lineRule="auto"/>
        <w:tabs>
          <w:tab w:leader="none" w:pos="1266"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TSNB Employee Benefit Plans (continued) </w:t>
      </w:r>
      <w:r>
        <w:rPr>
          <w:rFonts w:ascii="Times New Roman" w:cs="Times New Roman" w:eastAsia="Times New Roman" w:hAnsi="Times New Roman"/>
          <w:sz w:val="16"/>
          <w:szCs w:val="16"/>
          <w:b w:val="1"/>
          <w:bCs w:val="1"/>
          <w:i w:val="1"/>
          <w:iCs w:val="1"/>
          <w:color w:val="auto"/>
        </w:rPr>
        <w:t>TSNB Pension Plan</w:t>
      </w:r>
    </w:p>
    <w:p>
      <w:pPr>
        <w:jc w:val="both"/>
        <w:ind w:left="1260" w:firstLine="5"/>
        <w:spacing w:after="0" w:line="28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TSNB has a pension plan that provides monthly pension payments to eligible employees upon retirement. The pension benefits are based on years of service and specified benefit amounts. TSNB uses a December 31 measurement date each year. TSNB’s funding policy is to make contributions that satisfy at least the minimum required contribution for IRS qualified plans.</w:t>
      </w:r>
    </w:p>
    <w:p>
      <w:pPr>
        <w:spacing w:after="0" w:line="191" w:lineRule="exact"/>
        <w:rPr>
          <w:rFonts w:ascii="Times New Roman" w:cs="Times New Roman" w:eastAsia="Times New Roman" w:hAnsi="Times New Roman"/>
          <w:sz w:val="16"/>
          <w:szCs w:val="16"/>
          <w:b w:val="1"/>
          <w:bCs w:val="1"/>
          <w:color w:val="auto"/>
        </w:rPr>
      </w:pPr>
    </w:p>
    <w:p>
      <w:pPr>
        <w:ind w:left="1260" w:right="2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components of the change in benefit obligation, the change in plan assets and funded status for TSNB’s pension plan for the years ended December 31, 2024, 2023 and 2022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6"/>
        </w:trPr>
        <w:tc>
          <w:tcPr>
            <w:tcW w:w="130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868</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627</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(1,075)</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(1,034)</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(778)</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Expected administrative expenses</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200</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net loss (gain)</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r>
      <w:tr>
        <w:trPr>
          <w:trHeight w:val="246"/>
        </w:trPr>
        <w:tc>
          <w:tcPr>
            <w:tcW w:w="1300" w:type="dxa"/>
            <w:vAlign w:val="bottom"/>
          </w:tcPr>
          <w:p>
            <w:pPr>
              <w:spacing w:after="0"/>
              <w:rPr>
                <w:sz w:val="21"/>
                <w:szCs w:val="21"/>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periodic benefit cost</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87</w:t>
            </w:r>
          </w:p>
        </w:tc>
        <w:tc>
          <w:tcPr>
            <w:tcW w:w="2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2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shd w:val="clear" w:color="auto" w:fill="CCEEFF"/>
          </w:tcPr>
          <w:p>
            <w:pPr>
              <w:spacing w:after="0"/>
              <w:rPr>
                <w:sz w:val="21"/>
                <w:szCs w:val="21"/>
                <w:color w:val="auto"/>
              </w:rPr>
            </w:pPr>
          </w:p>
        </w:tc>
        <w:tc>
          <w:tcPr>
            <w:tcW w:w="1500" w:type="dxa"/>
            <w:vAlign w:val="bottom"/>
          </w:tcPr>
          <w:p>
            <w:pPr>
              <w:spacing w:after="0"/>
              <w:rPr>
                <w:sz w:val="21"/>
                <w:szCs w:val="21"/>
                <w:color w:val="auto"/>
              </w:rPr>
            </w:pPr>
          </w:p>
        </w:tc>
      </w:tr>
      <w:tr>
        <w:trPr>
          <w:trHeight w:val="166"/>
        </w:trPr>
        <w:tc>
          <w:tcPr>
            <w:tcW w:w="1300" w:type="dxa"/>
            <w:vAlign w:val="bottom"/>
          </w:tcPr>
          <w:p>
            <w:pPr>
              <w:spacing w:after="0"/>
              <w:rPr>
                <w:sz w:val="14"/>
                <w:szCs w:val="14"/>
                <w:color w:val="auto"/>
              </w:rPr>
            </w:pPr>
          </w:p>
        </w:tc>
        <w:tc>
          <w:tcPr>
            <w:tcW w:w="5360" w:type="dxa"/>
            <w:vAlign w:val="bottom"/>
            <w:tcBorders>
              <w:top w:val="single" w:sz="8" w:color="CCEEFF"/>
            </w:tcBorders>
          </w:tcPr>
          <w:p>
            <w:pPr>
              <w:spacing w:after="0" w:line="165" w:lineRule="exact"/>
              <w:rPr>
                <w:sz w:val="20"/>
                <w:szCs w:val="20"/>
                <w:color w:val="auto"/>
              </w:rPr>
            </w:pPr>
            <w:r>
              <w:rPr>
                <w:rFonts w:ascii="Times New Roman" w:cs="Times New Roman" w:eastAsia="Times New Roman" w:hAnsi="Times New Roman"/>
                <w:sz w:val="16"/>
                <w:szCs w:val="16"/>
                <w:color w:val="auto"/>
              </w:rPr>
              <w:t>Other changes in plan assets and benefits obligations recognized in other</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500" w:type="dxa"/>
            <w:vAlign w:val="bottom"/>
          </w:tcPr>
          <w:p>
            <w:pPr>
              <w:spacing w:after="0"/>
              <w:rPr>
                <w:sz w:val="14"/>
                <w:szCs w:val="14"/>
                <w:color w:val="auto"/>
              </w:rPr>
            </w:pPr>
          </w:p>
        </w:tc>
      </w:tr>
      <w:tr>
        <w:trPr>
          <w:trHeight w:val="216"/>
        </w:trPr>
        <w:tc>
          <w:tcPr>
            <w:tcW w:w="13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2"/>
        </w:trPr>
        <w:tc>
          <w:tcPr>
            <w:tcW w:w="130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 service cost for the period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r>
      <w:tr>
        <w:trPr>
          <w:trHeight w:val="206"/>
        </w:trPr>
        <w:tc>
          <w:tcPr>
            <w:tcW w:w="130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Net loss (gain) for the period</w:t>
            </w:r>
          </w:p>
        </w:tc>
        <w:tc>
          <w:tcPr>
            <w:tcW w:w="18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(192)</w:t>
            </w: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1,545</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net gain (loss)</w:t>
            </w:r>
          </w:p>
        </w:tc>
        <w:tc>
          <w:tcPr>
            <w:tcW w:w="1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(91)</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r>
      <w:tr>
        <w:trPr>
          <w:trHeight w:val="246"/>
        </w:trPr>
        <w:tc>
          <w:tcPr>
            <w:tcW w:w="130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recognized in other comprehensive income</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2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Pr>
          <w:p>
            <w:pPr>
              <w:spacing w:after="0"/>
              <w:rPr>
                <w:sz w:val="21"/>
                <w:szCs w:val="21"/>
                <w:color w:val="auto"/>
              </w:rPr>
            </w:pPr>
          </w:p>
        </w:tc>
      </w:tr>
      <w:tr>
        <w:trPr>
          <w:trHeight w:val="166"/>
        </w:trPr>
        <w:tc>
          <w:tcPr>
            <w:tcW w:w="1300" w:type="dxa"/>
            <w:vAlign w:val="bottom"/>
          </w:tcPr>
          <w:p>
            <w:pPr>
              <w:spacing w:after="0"/>
              <w:rPr>
                <w:sz w:val="14"/>
                <w:szCs w:val="14"/>
                <w:color w:val="auto"/>
              </w:rPr>
            </w:pPr>
          </w:p>
        </w:tc>
        <w:tc>
          <w:tcPr>
            <w:tcW w:w="53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Total recognized in net periodic benefit cost (gain) and other comprehensive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16"/>
        </w:trPr>
        <w:tc>
          <w:tcPr>
            <w:tcW w:w="13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income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1,594</w:t>
            </w:r>
          </w:p>
        </w:tc>
        <w:tc>
          <w:tcPr>
            <w:tcW w:w="1500" w:type="dxa"/>
            <w:vAlign w:val="bottom"/>
          </w:tcPr>
          <w:p>
            <w:pPr>
              <w:spacing w:after="0"/>
              <w:rPr>
                <w:sz w:val="18"/>
                <w:szCs w:val="18"/>
                <w:color w:val="auto"/>
              </w:rPr>
            </w:pPr>
          </w:p>
        </w:tc>
      </w:tr>
      <w:tr>
        <w:trPr>
          <w:trHeight w:val="23"/>
        </w:trPr>
        <w:tc>
          <w:tcPr>
            <w:tcW w:w="13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8"/>
        </w:trPr>
        <w:tc>
          <w:tcPr>
            <w:tcW w:w="130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assumptions used: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8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4.90%</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5.10%</w:t>
            </w:r>
          </w:p>
        </w:tc>
        <w:tc>
          <w:tcPr>
            <w:tcW w:w="1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2.90%</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5.60%</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5.60%</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3.10%</w:t>
            </w: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Rate of compensation increases</w:t>
            </w:r>
          </w:p>
        </w:tc>
        <w:tc>
          <w:tcPr>
            <w:tcW w:w="1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tcPr>
          <w:p>
            <w:pPr>
              <w:spacing w:after="0"/>
              <w:rPr>
                <w:sz w:val="18"/>
                <w:szCs w:val="18"/>
                <w:color w:val="auto"/>
              </w:rPr>
            </w:pPr>
          </w:p>
        </w:tc>
      </w:tr>
      <w:tr>
        <w:trPr>
          <w:trHeight w:val="540"/>
        </w:trPr>
        <w:tc>
          <w:tcPr>
            <w:tcW w:w="1300" w:type="dxa"/>
            <w:vAlign w:val="bottom"/>
          </w:tcPr>
          <w:p>
            <w:pPr>
              <w:spacing w:after="0"/>
              <w:rPr>
                <w:sz w:val="24"/>
                <w:szCs w:val="24"/>
                <w:color w:val="auto"/>
              </w:rPr>
            </w:pPr>
          </w:p>
        </w:tc>
        <w:tc>
          <w:tcPr>
            <w:tcW w:w="5360" w:type="dxa"/>
            <w:vAlign w:val="bottom"/>
          </w:tcPr>
          <w:p>
            <w:pPr>
              <w:ind w:left="4140"/>
              <w:spacing w:after="0"/>
              <w:rPr>
                <w:sz w:val="20"/>
                <w:szCs w:val="20"/>
                <w:color w:val="auto"/>
              </w:rPr>
            </w:pPr>
            <w:r>
              <w:rPr>
                <w:rFonts w:ascii="Times New Roman" w:cs="Times New Roman" w:eastAsia="Times New Roman" w:hAnsi="Times New Roman"/>
                <w:sz w:val="16"/>
                <w:szCs w:val="16"/>
                <w:color w:val="auto"/>
              </w:rPr>
              <w:t>F - 34</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7"/>
        </w:trPr>
        <w:tc>
          <w:tcPr>
            <w:tcW w:w="1300" w:type="dxa"/>
            <w:vAlign w:val="bottom"/>
            <w:tcBorders>
              <w:bottom w:val="single" w:sz="8" w:color="auto"/>
            </w:tcBorders>
          </w:tcPr>
          <w:p>
            <w:pPr>
              <w:spacing w:after="0"/>
              <w:rPr>
                <w:sz w:val="6"/>
                <w:szCs w:val="6"/>
                <w:color w:val="auto"/>
              </w:rPr>
            </w:pPr>
          </w:p>
        </w:tc>
        <w:tc>
          <w:tcPr>
            <w:tcW w:w="53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71"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12:</w:t>
        <w:tab/>
        <w:t>EMPLOYEE RELATED LIABILITIES (continued)</w:t>
      </w:r>
    </w:p>
    <w:p>
      <w:pPr>
        <w:spacing w:after="0" w:line="264" w:lineRule="exact"/>
        <w:rPr>
          <w:sz w:val="20"/>
          <w:szCs w:val="20"/>
          <w:color w:val="auto"/>
        </w:rPr>
      </w:pPr>
    </w:p>
    <w:p>
      <w:pPr>
        <w:ind w:left="1260" w:hanging="348"/>
        <w:spacing w:after="0"/>
        <w:tabs>
          <w:tab w:leader="none" w:pos="1260"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TSNB Employee Benefit Plans (continued)</w:t>
      </w:r>
    </w:p>
    <w:p>
      <w:pPr>
        <w:spacing w:after="0" w:line="266" w:lineRule="exact"/>
        <w:rPr>
          <w:sz w:val="20"/>
          <w:szCs w:val="20"/>
          <w:color w:val="auto"/>
        </w:rPr>
      </w:pPr>
    </w:p>
    <w:p>
      <w:pPr>
        <w:ind w:left="1260" w:right="20" w:firstLine="5"/>
        <w:spacing w:after="0" w:line="286" w:lineRule="auto"/>
        <w:rPr>
          <w:sz w:val="20"/>
          <w:szCs w:val="20"/>
          <w:color w:val="auto"/>
        </w:rPr>
      </w:pPr>
      <w:r>
        <w:rPr>
          <w:rFonts w:ascii="Times New Roman" w:cs="Times New Roman" w:eastAsia="Times New Roman" w:hAnsi="Times New Roman"/>
          <w:sz w:val="16"/>
          <w:szCs w:val="16"/>
          <w:color w:val="auto"/>
        </w:rPr>
        <w:t>The components of the change in benefit obligation, change in plan assets and funded status for TSNB’s pension plan for the years ended December 31, 2024, 2023 and 2022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0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6"/>
        </w:trPr>
        <w:tc>
          <w:tcPr>
            <w:tcW w:w="130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benefit obligation:</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Benefit obligation at beginning of period</w:t>
            </w:r>
          </w:p>
        </w:tc>
        <w:tc>
          <w:tcPr>
            <w:tcW w:w="17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18,281</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17,436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22,081</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891</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627</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Benefits paid</w:t>
            </w: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(963)</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(963)</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(804)</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plan provisions</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Actuarial loss (gain)</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(1,152)</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917</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(4,468)</w:t>
            </w:r>
          </w:p>
        </w:tc>
        <w:tc>
          <w:tcPr>
            <w:tcW w:w="1500" w:type="dxa"/>
            <w:vAlign w:val="bottom"/>
          </w:tcPr>
          <w:p>
            <w:pPr>
              <w:spacing w:after="0"/>
              <w:rPr>
                <w:sz w:val="18"/>
                <w:szCs w:val="18"/>
                <w:color w:val="auto"/>
              </w:rPr>
            </w:pPr>
          </w:p>
        </w:tc>
      </w:tr>
      <w:tr>
        <w:trPr>
          <w:trHeight w:val="246"/>
        </w:trPr>
        <w:tc>
          <w:tcPr>
            <w:tcW w:w="130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 obligation end of period</w:t>
            </w:r>
          </w:p>
        </w:tc>
        <w:tc>
          <w:tcPr>
            <w:tcW w:w="1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17,436</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Pr>
          <w:p>
            <w:pPr>
              <w:spacing w:after="0"/>
              <w:rPr>
                <w:sz w:val="21"/>
                <w:szCs w:val="21"/>
                <w:color w:val="auto"/>
              </w:rPr>
            </w:pPr>
          </w:p>
        </w:tc>
      </w:tr>
      <w:tr>
        <w:trPr>
          <w:trHeight w:val="194"/>
        </w:trPr>
        <w:tc>
          <w:tcPr>
            <w:tcW w:w="130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Change in plan assets:</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6"/>
        </w:trPr>
        <w:tc>
          <w:tcPr>
            <w:tcW w:w="130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plan assets at beginning of period</w:t>
            </w:r>
          </w:p>
        </w:tc>
        <w:tc>
          <w:tcPr>
            <w:tcW w:w="1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19,511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25,750</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1,628</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(5,211)</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Employer contribution</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Expenses paid</w:t>
            </w: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(272)</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(224)</w:t>
            </w: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(224)</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Benefits paid</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(964)</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(962)</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(804)</w:t>
            </w:r>
          </w:p>
        </w:tc>
        <w:tc>
          <w:tcPr>
            <w:tcW w:w="1500" w:type="dxa"/>
            <w:vAlign w:val="bottom"/>
          </w:tcPr>
          <w:p>
            <w:pPr>
              <w:spacing w:after="0"/>
              <w:rPr>
                <w:sz w:val="17"/>
                <w:szCs w:val="17"/>
                <w:color w:val="auto"/>
              </w:rPr>
            </w:pPr>
          </w:p>
        </w:tc>
      </w:tr>
      <w:tr>
        <w:trPr>
          <w:trHeight w:val="24"/>
        </w:trPr>
        <w:tc>
          <w:tcPr>
            <w:tcW w:w="1300" w:type="dxa"/>
            <w:vAlign w:val="bottom"/>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tcPr>
          <w:p>
            <w:pPr>
              <w:spacing w:after="0"/>
              <w:rPr>
                <w:sz w:val="2"/>
                <w:szCs w:val="2"/>
                <w:color w:val="auto"/>
              </w:rPr>
            </w:pPr>
          </w:p>
        </w:tc>
      </w:tr>
      <w:tr>
        <w:trPr>
          <w:trHeight w:val="206"/>
        </w:trPr>
        <w:tc>
          <w:tcPr>
            <w:tcW w:w="130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plan assets at end of period</w:t>
            </w:r>
          </w:p>
        </w:tc>
        <w:tc>
          <w:tcPr>
            <w:tcW w:w="152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18,904</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19,953</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19,511</w:t>
            </w:r>
          </w:p>
        </w:tc>
        <w:tc>
          <w:tcPr>
            <w:tcW w:w="15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4"/>
        </w:trPr>
        <w:tc>
          <w:tcPr>
            <w:tcW w:w="130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Funded Status</w:t>
            </w:r>
          </w:p>
        </w:tc>
        <w:tc>
          <w:tcPr>
            <w:tcW w:w="15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Pr>
          <w:p>
            <w:pPr>
              <w:spacing w:after="0"/>
              <w:rPr>
                <w:sz w:val="20"/>
                <w:szCs w:val="20"/>
                <w:color w:val="auto"/>
              </w:rPr>
            </w:pPr>
          </w:p>
        </w:tc>
      </w:tr>
      <w:tr>
        <w:trPr>
          <w:trHeight w:val="194"/>
        </w:trPr>
        <w:tc>
          <w:tcPr>
            <w:tcW w:w="130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Amounts recognized in statement of financial position:</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6"/>
        </w:trPr>
        <w:tc>
          <w:tcPr>
            <w:tcW w:w="130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7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2,075</w:t>
            </w: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r>
      <w:tr>
        <w:trPr>
          <w:trHeight w:val="246"/>
        </w:trPr>
        <w:tc>
          <w:tcPr>
            <w:tcW w:w="130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amount recognized</w:t>
            </w:r>
          </w:p>
        </w:tc>
        <w:tc>
          <w:tcPr>
            <w:tcW w:w="1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Pr>
          <w:p>
            <w:pPr>
              <w:spacing w:after="0"/>
              <w:rPr>
                <w:sz w:val="21"/>
                <w:szCs w:val="21"/>
                <w:color w:val="auto"/>
              </w:rPr>
            </w:pPr>
          </w:p>
        </w:tc>
      </w:tr>
      <w:tr>
        <w:trPr>
          <w:trHeight w:val="194"/>
        </w:trPr>
        <w:tc>
          <w:tcPr>
            <w:tcW w:w="130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assumptions used:</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6"/>
        </w:trPr>
        <w:tc>
          <w:tcPr>
            <w:tcW w:w="130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5.60%</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4.90%</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5.10%</w:t>
            </w: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Rate of compensation increases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N/A</w:t>
            </w:r>
          </w:p>
        </w:tc>
        <w:tc>
          <w:tcPr>
            <w:tcW w:w="1500" w:type="dxa"/>
            <w:vAlign w:val="bottom"/>
          </w:tcPr>
          <w:p>
            <w:pPr>
              <w:spacing w:after="0"/>
              <w:rPr>
                <w:sz w:val="18"/>
                <w:szCs w:val="18"/>
                <w:color w:val="auto"/>
              </w:rPr>
            </w:pPr>
          </w:p>
        </w:tc>
      </w:tr>
      <w:tr>
        <w:trPr>
          <w:trHeight w:val="516"/>
        </w:trPr>
        <w:tc>
          <w:tcPr>
            <w:tcW w:w="13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gridSpan w:val="2"/>
          </w:tcPr>
          <w:p>
            <w:pPr>
              <w:jc w:val="right"/>
              <w:ind w:right="939"/>
              <w:spacing w:after="0"/>
              <w:rPr>
                <w:sz w:val="20"/>
                <w:szCs w:val="20"/>
                <w:color w:val="auto"/>
              </w:rPr>
            </w:pPr>
            <w:r>
              <w:rPr>
                <w:rFonts w:ascii="Times New Roman" w:cs="Times New Roman" w:eastAsia="Times New Roman" w:hAnsi="Times New Roman"/>
                <w:sz w:val="16"/>
                <w:szCs w:val="16"/>
                <w:color w:val="auto"/>
              </w:rPr>
              <w:t>F - 35</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7"/>
        </w:trPr>
        <w:tc>
          <w:tcPr>
            <w:tcW w:w="130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71"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12:</w:t>
        <w:tab/>
        <w:t>EMPLOYEE RELATED LIABILITIES (continued)</w:t>
      </w:r>
    </w:p>
    <w:p>
      <w:pPr>
        <w:spacing w:after="0" w:line="264" w:lineRule="exact"/>
        <w:rPr>
          <w:sz w:val="20"/>
          <w:szCs w:val="20"/>
          <w:color w:val="auto"/>
        </w:rPr>
      </w:pPr>
    </w:p>
    <w:p>
      <w:pPr>
        <w:ind w:left="1260" w:hanging="348"/>
        <w:spacing w:after="0"/>
        <w:tabs>
          <w:tab w:leader="none" w:pos="1260"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TSNB Employee Benefit Plans (continued)</w:t>
      </w:r>
    </w:p>
    <w:p>
      <w:pPr>
        <w:spacing w:after="0" w:line="253"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benefit payments are expected to be paid in each of the next five fiscal years and in the aggregate for the five fiscal years thereafter:</w:t>
      </w:r>
    </w:p>
    <w:p>
      <w:pPr>
        <w:spacing w:after="0" w:line="264"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3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Fiscal Year</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Other</w:t>
            </w:r>
          </w:p>
        </w:tc>
        <w:tc>
          <w:tcPr>
            <w:tcW w:w="0" w:type="dxa"/>
            <w:vAlign w:val="bottom"/>
          </w:tcPr>
          <w:p>
            <w:pPr>
              <w:spacing w:after="0"/>
              <w:rPr>
                <w:sz w:val="1"/>
                <w:szCs w:val="1"/>
                <w:color w:val="auto"/>
              </w:rPr>
            </w:pPr>
          </w:p>
        </w:tc>
      </w:tr>
      <w:tr>
        <w:trPr>
          <w:trHeight w:val="214"/>
        </w:trPr>
        <w:tc>
          <w:tcPr>
            <w:tcW w:w="304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Benefits</w:t>
            </w: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1,285</w:t>
            </w: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1,332</w:t>
            </w: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1,357</w:t>
            </w: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1,375</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2030 - 2034</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6,690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Description of Significant Gains and Losses in Obligations:</w:t>
      </w:r>
    </w:p>
    <w:p>
      <w:pPr>
        <w:spacing w:after="0" w:line="264" w:lineRule="exact"/>
        <w:rPr>
          <w:sz w:val="20"/>
          <w:szCs w:val="20"/>
          <w:color w:val="auto"/>
        </w:rPr>
      </w:pPr>
    </w:p>
    <w:p>
      <w:pPr>
        <w:jc w:val="both"/>
        <w:ind w:left="1260" w:firstLine="5"/>
        <w:spacing w:after="0" w:line="277" w:lineRule="auto"/>
        <w:rPr>
          <w:sz w:val="20"/>
          <w:szCs w:val="20"/>
          <w:color w:val="auto"/>
        </w:rPr>
      </w:pPr>
      <w:r>
        <w:rPr>
          <w:rFonts w:ascii="Times New Roman" w:cs="Times New Roman" w:eastAsia="Times New Roman" w:hAnsi="Times New Roman"/>
          <w:sz w:val="16"/>
          <w:szCs w:val="16"/>
          <w:color w:val="auto"/>
        </w:rPr>
        <w:t>For the fiscal year ended December 31, 2024, the benefit obligation summed to a net actuarial gain primarily attributable to the discount rate increase as compared to the prior year. For the fiscal year ended December 31, 2023, the benefit obligation summed to a net actuarial loss primarily attributable to the discount rate decrease as compared to the prior year and demographic experience during the year.</w:t>
      </w: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plan’s assets measured at fair value on a recurring basis consisted of the following as of December 31, 2024:</w:t>
      </w:r>
    </w:p>
    <w:p>
      <w:pPr>
        <w:spacing w:after="0" w:line="252" w:lineRule="exact"/>
        <w:rPr>
          <w:sz w:val="20"/>
          <w:szCs w:val="20"/>
          <w:color w:val="auto"/>
        </w:rPr>
      </w:pPr>
    </w:p>
    <w:tbl>
      <w:tblPr>
        <w:tblLayout w:type="fixed"/>
        <w:tblInd w:w="1300" w:type="dxa"/>
        <w:tblCellMar>
          <w:top w:w="0" w:type="dxa"/>
          <w:left w:w="0" w:type="dxa"/>
          <w:bottom w:w="0" w:type="dxa"/>
          <w:right w:w="0" w:type="dxa"/>
        </w:tblCellMar>
      </w:tblP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Level 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Level 3</w:t>
            </w:r>
          </w:p>
        </w:tc>
      </w:tr>
      <w:tr>
        <w:trPr>
          <w:trHeight w:val="210"/>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commingled funds</w:t>
            </w: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Total plan assets at fair value</w:t>
            </w:r>
          </w:p>
        </w:tc>
        <w:tc>
          <w:tcPr>
            <w:tcW w:w="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plan’s assets measured at fair value on a recurring basis consisted of the following as of December 31, 2023:</w:t>
      </w:r>
    </w:p>
    <w:p>
      <w:pPr>
        <w:spacing w:after="0" w:line="264" w:lineRule="exact"/>
        <w:rPr>
          <w:sz w:val="20"/>
          <w:szCs w:val="20"/>
          <w:color w:val="auto"/>
        </w:rPr>
      </w:pPr>
    </w:p>
    <w:tbl>
      <w:tblPr>
        <w:tblLayout w:type="fixed"/>
        <w:tblInd w:w="1300" w:type="dxa"/>
        <w:tblCellMar>
          <w:top w:w="0" w:type="dxa"/>
          <w:left w:w="0" w:type="dxa"/>
          <w:bottom w:w="0" w:type="dxa"/>
          <w:right w:w="0" w:type="dxa"/>
        </w:tblCellMar>
      </w:tblP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Level 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tcPr>
          <w:p>
            <w:pPr>
              <w:spacing w:after="0"/>
              <w:rPr>
                <w:sz w:val="19"/>
                <w:szCs w:val="19"/>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Level 3</w:t>
            </w:r>
          </w:p>
        </w:tc>
      </w:tr>
      <w:tr>
        <w:trPr>
          <w:trHeight w:val="210"/>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commingled funds</w:t>
            </w:r>
          </w:p>
        </w:tc>
        <w:tc>
          <w:tcPr>
            <w:tcW w:w="740" w:type="dxa"/>
            <w:vAlign w:val="bottom"/>
            <w:tcBorders>
              <w:top w:val="single" w:sz="8" w:color="auto"/>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Total plan assets at fair value</w:t>
            </w:r>
          </w:p>
        </w:tc>
        <w:tc>
          <w:tcPr>
            <w:tcW w:w="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19,953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TSNB’s pension plan weighted average asset allocations on December 31, 2024, by asset category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Target allocation</w:t>
            </w:r>
          </w:p>
        </w:tc>
        <w:tc>
          <w:tcPr>
            <w:tcW w:w="1500" w:type="dxa"/>
            <w:vAlign w:val="bottom"/>
          </w:tcPr>
          <w:p>
            <w:pPr>
              <w:spacing w:after="0"/>
              <w:rPr>
                <w:sz w:val="16"/>
                <w:szCs w:val="16"/>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Asset Category</w:t>
            </w:r>
          </w:p>
        </w:tc>
        <w:tc>
          <w:tcPr>
            <w:tcW w:w="46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December 31, 2024</w:t>
            </w: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0"/>
        </w:trPr>
        <w:tc>
          <w:tcPr>
            <w:tcW w:w="1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6"/>
        </w:trPr>
        <w:tc>
          <w:tcPr>
            <w:tcW w:w="130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3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Debt securities</w:t>
            </w:r>
          </w:p>
        </w:tc>
        <w:tc>
          <w:tcPr>
            <w:tcW w:w="46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4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1500" w:type="dxa"/>
            <w:vAlign w:val="bottom"/>
          </w:tcPr>
          <w:p>
            <w:pPr>
              <w:spacing w:after="0"/>
              <w:rPr>
                <w:sz w:val="17"/>
                <w:szCs w:val="17"/>
                <w:color w:val="auto"/>
              </w:rPr>
            </w:pPr>
          </w:p>
        </w:tc>
      </w:tr>
      <w:tr>
        <w:trPr>
          <w:trHeight w:val="520"/>
        </w:trPr>
        <w:tc>
          <w:tcPr>
            <w:tcW w:w="1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20" w:type="dxa"/>
            <w:vAlign w:val="bottom"/>
            <w:gridSpan w:val="3"/>
          </w:tcPr>
          <w:p>
            <w:pPr>
              <w:jc w:val="right"/>
              <w:ind w:right="2700"/>
              <w:spacing w:after="0"/>
              <w:rPr>
                <w:sz w:val="20"/>
                <w:szCs w:val="20"/>
                <w:color w:val="auto"/>
              </w:rPr>
            </w:pPr>
            <w:r>
              <w:rPr>
                <w:rFonts w:ascii="Times New Roman" w:cs="Times New Roman" w:eastAsia="Times New Roman" w:hAnsi="Times New Roman"/>
                <w:sz w:val="16"/>
                <w:szCs w:val="16"/>
                <w:color w:val="auto"/>
              </w:rPr>
              <w:t>F - 36</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7"/>
        </w:trPr>
        <w:tc>
          <w:tcPr>
            <w:tcW w:w="1300" w:type="dxa"/>
            <w:vAlign w:val="bottom"/>
            <w:tcBorders>
              <w:bottom w:val="single" w:sz="8" w:color="auto"/>
            </w:tcBorders>
          </w:tcPr>
          <w:p>
            <w:pPr>
              <w:spacing w:after="0"/>
              <w:rPr>
                <w:sz w:val="6"/>
                <w:szCs w:val="6"/>
                <w:color w:val="auto"/>
              </w:rPr>
            </w:pPr>
          </w:p>
        </w:tc>
        <w:tc>
          <w:tcPr>
            <w:tcW w:w="260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35"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12:</w:t>
        <w:tab/>
        <w:t>EMPLOYEE RELATED LIABILITIES (continued)</w:t>
      </w:r>
    </w:p>
    <w:p>
      <w:pPr>
        <w:spacing w:after="0" w:line="264" w:lineRule="exact"/>
        <w:rPr>
          <w:sz w:val="20"/>
          <w:szCs w:val="20"/>
          <w:color w:val="auto"/>
        </w:rPr>
      </w:pPr>
    </w:p>
    <w:p>
      <w:pPr>
        <w:ind w:left="1260" w:hanging="348"/>
        <w:spacing w:after="0"/>
        <w:tabs>
          <w:tab w:leader="none" w:pos="1260"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TSNB Employee Benefit Plans (continued)</w:t>
      </w:r>
    </w:p>
    <w:p>
      <w:pPr>
        <w:spacing w:after="0" w:line="265" w:lineRule="exact"/>
        <w:rPr>
          <w:rFonts w:ascii="Times New Roman" w:cs="Times New Roman" w:eastAsia="Times New Roman" w:hAnsi="Times New Roman"/>
          <w:sz w:val="16"/>
          <w:szCs w:val="16"/>
          <w:b w:val="1"/>
          <w:bCs w:val="1"/>
          <w:color w:val="auto"/>
        </w:rPr>
      </w:pPr>
    </w:p>
    <w:p>
      <w:pPr>
        <w:jc w:val="both"/>
        <w:ind w:left="1260" w:firstLine="5"/>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TSNB’s primary policy goals regarding the plan’s assets are to (1) provide liquidity to meet the Plan benefit payments and expenses payable from the Plan, (2) offer reasonable probability of achieving growth of assets that will assist in closing the Plan’s funding gap, and (3) manage the Plan’s assets in a liability framework. Plan assets are currently invested in commingled funds with various debt and equity investment objectives. The target asset allocation for the plan assets is 90% debt, or fixed income securities, and 10% equity securities. Individual funds are evaluated periodically based on comparisons to benchmark indices and peer group funds, and investment decisions are made by TSNB in accordance with the policy goals. Actual allocation to each asset category fluctuates and may not be within the target allocation specified above due to changes in market conditions.</w:t>
      </w:r>
    </w:p>
    <w:p>
      <w:pPr>
        <w:spacing w:after="0" w:line="219" w:lineRule="exact"/>
        <w:rPr>
          <w:rFonts w:ascii="Times New Roman" w:cs="Times New Roman" w:eastAsia="Times New Roman" w:hAnsi="Times New Roman"/>
          <w:sz w:val="16"/>
          <w:szCs w:val="16"/>
          <w:b w:val="1"/>
          <w:bCs w:val="1"/>
          <w:color w:val="auto"/>
        </w:rPr>
      </w:pPr>
    </w:p>
    <w:p>
      <w:pPr>
        <w:jc w:val="both"/>
        <w:ind w:left="1260" w:right="20" w:firstLine="5"/>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9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13:</w:t>
        <w:tab/>
        <w:t>COMMITMENTS AND CONTINGENCIES</w:t>
      </w:r>
    </w:p>
    <w:p>
      <w:pPr>
        <w:spacing w:after="0" w:line="264" w:lineRule="exact"/>
        <w:rPr>
          <w:sz w:val="20"/>
          <w:szCs w:val="20"/>
          <w:color w:val="auto"/>
        </w:rPr>
      </w:pPr>
    </w:p>
    <w:p>
      <w:pPr>
        <w:ind w:left="1280" w:hanging="368"/>
        <w:spacing w:after="0"/>
        <w:tabs>
          <w:tab w:leader="none" w:pos="128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Liens</w:t>
      </w:r>
    </w:p>
    <w:p>
      <w:pPr>
        <w:spacing w:after="0" w:line="251"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Loans, and Capital Leases</w:t>
      </w:r>
    </w:p>
    <w:p>
      <w:pPr>
        <w:spacing w:after="0" w:line="265"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liens under TPSCo’s JPY Loans, see Note 10C. For liens under the capital lease agreements, see Note 10D.</w:t>
      </w:r>
    </w:p>
    <w:p>
      <w:pPr>
        <w:spacing w:after="0" w:line="261" w:lineRule="exact"/>
        <w:rPr>
          <w:rFonts w:ascii="Times New Roman" w:cs="Times New Roman" w:eastAsia="Times New Roman" w:hAnsi="Times New Roman"/>
          <w:sz w:val="16"/>
          <w:szCs w:val="16"/>
          <w:b w:val="1"/>
          <w:bCs w:val="1"/>
          <w:color w:val="auto"/>
        </w:rPr>
      </w:pPr>
    </w:p>
    <w:p>
      <w:pPr>
        <w:ind w:left="1260" w:hanging="348"/>
        <w:spacing w:after="0"/>
        <w:tabs>
          <w:tab w:leader="none" w:pos="1260"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TPSCo</w:t>
      </w:r>
    </w:p>
    <w:p>
      <w:pPr>
        <w:spacing w:after="0" w:line="251" w:lineRule="exact"/>
        <w:rPr>
          <w:rFonts w:ascii="Times New Roman" w:cs="Times New Roman" w:eastAsia="Times New Roman" w:hAnsi="Times New Roman"/>
          <w:sz w:val="16"/>
          <w:szCs w:val="16"/>
          <w:b w:val="1"/>
          <w:bCs w:val="1"/>
          <w:color w:val="auto"/>
        </w:rPr>
      </w:pPr>
    </w:p>
    <w:p>
      <w:pPr>
        <w:ind w:left="1520" w:hanging="232"/>
        <w:spacing w:after="0"/>
        <w:tabs>
          <w:tab w:leader="none" w:pos="1520" w:val="left"/>
        </w:tabs>
        <w:numPr>
          <w:ilvl w:val="1"/>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Renewed Contracts</w:t>
      </w:r>
    </w:p>
    <w:p>
      <w:pPr>
        <w:spacing w:after="0" w:line="265" w:lineRule="exact"/>
        <w:rPr>
          <w:rFonts w:ascii="Times New Roman" w:cs="Times New Roman" w:eastAsia="Times New Roman" w:hAnsi="Times New Roman"/>
          <w:sz w:val="16"/>
          <w:szCs w:val="16"/>
          <w:b w:val="1"/>
          <w:bCs w:val="1"/>
          <w:color w:val="auto"/>
        </w:rPr>
      </w:pPr>
    </w:p>
    <w:p>
      <w:pPr>
        <w:ind w:left="1520" w:right="20"/>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August 2022, Tower, TPSCo and NTCJ extended certain agreements with respect to TPSCo through March 2027 under certain amended terms, including changes to the commercial pricing for the services provided by TPSCo and enhanced financial support from Tower and NTCJ to TPSCo.</w:t>
      </w:r>
    </w:p>
    <w:p>
      <w:pPr>
        <w:spacing w:after="0" w:line="141" w:lineRule="exact"/>
        <w:rPr>
          <w:rFonts w:ascii="Times New Roman" w:cs="Times New Roman" w:eastAsia="Times New Roman" w:hAnsi="Times New Roman"/>
          <w:sz w:val="16"/>
          <w:szCs w:val="16"/>
          <w:b w:val="1"/>
          <w:bCs w:val="1"/>
          <w:color w:val="auto"/>
        </w:rPr>
      </w:pPr>
    </w:p>
    <w:p>
      <w:pPr>
        <w:ind w:left="1520" w:hanging="232"/>
        <w:spacing w:after="0"/>
        <w:tabs>
          <w:tab w:leader="none" w:pos="1520" w:val="left"/>
        </w:tabs>
        <w:numPr>
          <w:ilvl w:val="1"/>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Japanese Operations Restructuring</w:t>
      </w:r>
    </w:p>
    <w:p>
      <w:pPr>
        <w:spacing w:after="0" w:line="266" w:lineRule="exact"/>
        <w:rPr>
          <w:sz w:val="20"/>
          <w:szCs w:val="20"/>
          <w:color w:val="auto"/>
        </w:rPr>
      </w:pPr>
    </w:p>
    <w:p>
      <w:pPr>
        <w:jc w:val="both"/>
        <w:ind w:left="1540" w:right="20" w:firstLine="5"/>
        <w:spacing w:after="0" w:line="274" w:lineRule="auto"/>
        <w:rPr>
          <w:sz w:val="20"/>
          <w:szCs w:val="20"/>
          <w:color w:val="auto"/>
        </w:rPr>
      </w:pPr>
      <w:r>
        <w:rPr>
          <w:rFonts w:ascii="Times New Roman" w:cs="Times New Roman" w:eastAsia="Times New Roman" w:hAnsi="Times New Roman"/>
          <w:sz w:val="16"/>
          <w:szCs w:val="16"/>
          <w:color w:val="auto"/>
        </w:rPr>
        <w:t>During 2022 and in accordance with agreements signed in 2019, as amended thereafter, between Tower, NTCJ and TPSCo, TPSCo’s operation in Japan was re-organized and re-structured, maintaining operations at the Uozu and Tonami facilities unchanged, while the Arai facility, which provided products solely to NTCJ and did not serve the Company’s customers, ceased operations, while a portion of the machinery and equipment of the Arai facility was transferred to the Tonami facility. The remaining machinery and equipment were sold to third parties.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13:</w:t>
        <w:tab/>
        <w:t>COMMITMENTS AND CONTINGENCIES (continued)</w:t>
      </w:r>
    </w:p>
    <w:p>
      <w:pPr>
        <w:spacing w:after="0" w:line="264" w:lineRule="exact"/>
        <w:rPr>
          <w:sz w:val="20"/>
          <w:szCs w:val="20"/>
          <w:color w:val="auto"/>
        </w:rPr>
      </w:pPr>
    </w:p>
    <w:p>
      <w:pPr>
        <w:ind w:left="1260" w:hanging="348"/>
        <w:spacing w:after="0"/>
        <w:tabs>
          <w:tab w:leader="none" w:pos="126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TPSCo (continued)</w:t>
      </w:r>
    </w:p>
    <w:p>
      <w:pPr>
        <w:spacing w:after="0" w:line="253" w:lineRule="exact"/>
        <w:rPr>
          <w:rFonts w:ascii="Times New Roman" w:cs="Times New Roman" w:eastAsia="Times New Roman" w:hAnsi="Times New Roman"/>
          <w:sz w:val="16"/>
          <w:szCs w:val="16"/>
          <w:b w:val="1"/>
          <w:bCs w:val="1"/>
          <w:color w:val="auto"/>
        </w:rPr>
      </w:pPr>
    </w:p>
    <w:p>
      <w:pPr>
        <w:jc w:val="both"/>
        <w:ind w:left="1260" w:firstLine="5"/>
        <w:spacing w:after="0" w:line="28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restructuring process, including the transfer and installation of machinery and equipment in the Tonami facility and the sale of certain equipment, was mostly completed during 2023 and resulted in total restructuring gain, net from the sale of machinery and equipment of $72,411 as well as total restructuring costs of $24,076.</w:t>
      </w:r>
    </w:p>
    <w:p>
      <w:pPr>
        <w:spacing w:after="0" w:line="191" w:lineRule="exact"/>
        <w:rPr>
          <w:rFonts w:ascii="Times New Roman" w:cs="Times New Roman" w:eastAsia="Times New Roman" w:hAnsi="Times New Roman"/>
          <w:sz w:val="16"/>
          <w:szCs w:val="16"/>
          <w:b w:val="1"/>
          <w:bCs w:val="1"/>
          <w:color w:val="auto"/>
        </w:rPr>
      </w:pPr>
    </w:p>
    <w:p>
      <w:pPr>
        <w:ind w:left="126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the year ended December 31, 2024, the Company recorded restructuring gain from a government subsidy received in relation to this Japan operations restructuring of $6,270.</w:t>
      </w:r>
    </w:p>
    <w:p>
      <w:pPr>
        <w:spacing w:after="0" w:line="191" w:lineRule="exact"/>
        <w:rPr>
          <w:rFonts w:ascii="Times New Roman" w:cs="Times New Roman" w:eastAsia="Times New Roman" w:hAnsi="Times New Roman"/>
          <w:sz w:val="16"/>
          <w:szCs w:val="16"/>
          <w:b w:val="1"/>
          <w:bCs w:val="1"/>
          <w:color w:val="auto"/>
        </w:rPr>
      </w:pPr>
    </w:p>
    <w:p>
      <w:pPr>
        <w:ind w:left="126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the year ended December 31, 2023, the Company recorded restructuring gain from the sale of machinery and equipment, net, of $52,168, as well as restructuring expense of $19,662.</w:t>
      </w:r>
    </w:p>
    <w:p>
      <w:pPr>
        <w:spacing w:after="0" w:line="202" w:lineRule="exact"/>
        <w:rPr>
          <w:rFonts w:ascii="Times New Roman" w:cs="Times New Roman" w:eastAsia="Times New Roman" w:hAnsi="Times New Roman"/>
          <w:sz w:val="16"/>
          <w:szCs w:val="16"/>
          <w:b w:val="1"/>
          <w:bCs w:val="1"/>
          <w:color w:val="auto"/>
        </w:rPr>
      </w:pPr>
    </w:p>
    <w:p>
      <w:pPr>
        <w:ind w:left="128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Changes in accruals related to the Arai facility cessation for the years ended December 31, 2024 and December 31, 2023 were as follows:</w:t>
      </w:r>
    </w:p>
    <w:p>
      <w:pPr>
        <w:spacing w:after="0" w:line="264" w:lineRule="exact"/>
        <w:rPr>
          <w:sz w:val="20"/>
          <w:szCs w:val="20"/>
          <w:color w:val="auto"/>
        </w:rPr>
      </w:pPr>
    </w:p>
    <w:tbl>
      <w:tblPr>
        <w:tblLayout w:type="fixed"/>
        <w:tblInd w:w="1300" w:type="dxa"/>
        <w:tblCellMar>
          <w:top w:w="0" w:type="dxa"/>
          <w:left w:w="0" w:type="dxa"/>
          <w:bottom w:w="0" w:type="dxa"/>
          <w:right w:w="0" w:type="dxa"/>
        </w:tblCellMar>
      </w:tblPr>
      <w:tr>
        <w:trPr>
          <w:trHeight w:val="194"/>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Asset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Other</w:t>
            </w:r>
          </w:p>
        </w:tc>
      </w:tr>
      <w:tr>
        <w:trPr>
          <w:trHeight w:val="206"/>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disposal</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Restructuring</w:t>
            </w:r>
          </w:p>
        </w:tc>
      </w:tr>
      <w:tr>
        <w:trPr>
          <w:trHeight w:val="226"/>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2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accrual</w:t>
            </w:r>
          </w:p>
        </w:tc>
        <w:tc>
          <w:tcPr>
            <w:tcW w:w="40" w:type="dxa"/>
            <w:vAlign w:val="bottom"/>
          </w:tcPr>
          <w:p>
            <w:pPr>
              <w:spacing w:after="0"/>
              <w:rPr>
                <w:sz w:val="19"/>
                <w:szCs w:val="19"/>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costs accrual</w:t>
            </w:r>
          </w:p>
        </w:tc>
      </w:tr>
      <w:tr>
        <w:trPr>
          <w:trHeight w:val="20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balance as of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80" w:type="dxa"/>
            <w:vAlign w:val="bottom"/>
            <w:shd w:val="clear" w:color="auto" w:fill="CCEEFF"/>
          </w:tcPr>
          <w:p>
            <w:pPr>
              <w:spacing w:after="0"/>
              <w:rPr>
                <w:sz w:val="17"/>
                <w:szCs w:val="17"/>
                <w:color w:val="auto"/>
              </w:rPr>
            </w:pPr>
          </w:p>
        </w:tc>
      </w:tr>
      <w:tr>
        <w:trPr>
          <w:trHeight w:val="206"/>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Expenses accrued</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19,662</w:t>
            </w:r>
          </w:p>
        </w:tc>
      </w:tr>
      <w:tr>
        <w:trPr>
          <w:trHeight w:val="20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Accruals related to assets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(7,318)</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(17,852)</w:t>
            </w:r>
          </w:p>
        </w:tc>
      </w:tr>
      <w:tr>
        <w:trPr>
          <w:trHeight w:val="20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balance as of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80" w:type="dxa"/>
            <w:vAlign w:val="bottom"/>
            <w:shd w:val="clear" w:color="auto" w:fill="CCEEFF"/>
          </w:tcPr>
          <w:p>
            <w:pPr>
              <w:spacing w:after="0"/>
              <w:rPr>
                <w:sz w:val="17"/>
                <w:szCs w:val="17"/>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(2,127)</w:t>
            </w:r>
          </w:p>
        </w:tc>
      </w:tr>
      <w:tr>
        <w:trPr>
          <w:trHeight w:val="246"/>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balance as of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4" w:lineRule="exact"/>
        <w:rPr>
          <w:sz w:val="20"/>
          <w:szCs w:val="20"/>
          <w:color w:val="auto"/>
        </w:rPr>
      </w:pPr>
    </w:p>
    <w:p>
      <w:pPr>
        <w:ind w:left="1280" w:hanging="368"/>
        <w:spacing w:after="0"/>
        <w:tabs>
          <w:tab w:leader="none" w:pos="128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License Agreements</w:t>
      </w:r>
    </w:p>
    <w:p>
      <w:pPr>
        <w:spacing w:after="0" w:line="253" w:lineRule="exact"/>
        <w:rPr>
          <w:rFonts w:ascii="Times New Roman" w:cs="Times New Roman" w:eastAsia="Times New Roman" w:hAnsi="Times New Roman"/>
          <w:sz w:val="16"/>
          <w:szCs w:val="16"/>
          <w:b w:val="1"/>
          <w:bCs w:val="1"/>
          <w:color w:val="auto"/>
        </w:rPr>
      </w:pPr>
    </w:p>
    <w:p>
      <w:pPr>
        <w:ind w:left="126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189"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TSNB Lease Agreement</w:t>
      </w:r>
    </w:p>
    <w:p>
      <w:pPr>
        <w:spacing w:after="0" w:line="253" w:lineRule="exact"/>
        <w:rPr>
          <w:rFonts w:ascii="Times New Roman" w:cs="Times New Roman" w:eastAsia="Times New Roman" w:hAnsi="Times New Roman"/>
          <w:sz w:val="16"/>
          <w:szCs w:val="16"/>
          <w:b w:val="1"/>
          <w:bCs w:val="1"/>
          <w:color w:val="auto"/>
        </w:rPr>
      </w:pPr>
    </w:p>
    <w:p>
      <w:pPr>
        <w:jc w:val="both"/>
        <w:ind w:left="1260" w:firstLine="5"/>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TSNB leases its facilities under an operational lease contract that is due to expire in the first quarter of 2027. In amendments to its lease, (i) TSNB secured various contractual safeguards designed to limit and mitigate any adverse impact of construction activities on its operations; and (ii) certain obligations of TSNB and the landlord are specified, including certain noise abatement actions at the facility. The landlord has made claims that TSNB’s noise abatement efforts are not adequate under the terms of the amended lease and has requested a judicial declaration that TSNB has committed material non-curable breach of the lease so that the landlord may claim that it has the right to terminate the lease. TSNB does not agree and is disputing these claims.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13:</w:t>
        <w:tab/>
        <w:t>COMMITMENTS AND CONTINGENCIES (continued)</w:t>
      </w:r>
    </w:p>
    <w:p>
      <w:pPr>
        <w:spacing w:after="0" w:line="264" w:lineRule="exact"/>
        <w:rPr>
          <w:sz w:val="20"/>
          <w:szCs w:val="20"/>
          <w:color w:val="auto"/>
        </w:rPr>
      </w:pPr>
    </w:p>
    <w:p>
      <w:pPr>
        <w:ind w:left="1260" w:hanging="348"/>
        <w:spacing w:after="0"/>
        <w:tabs>
          <w:tab w:leader="none" w:pos="126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Agreement with ST Microelectronics</w:t>
      </w:r>
    </w:p>
    <w:p>
      <w:pPr>
        <w:spacing w:after="0" w:line="266"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6"/>
          <w:szCs w:val="16"/>
          <w:color w:val="auto"/>
        </w:rPr>
        <w:t>In 2021, TSIT, Tower’s wholly-owned Italian subsidiary, entered into a definitive agreement with ST Microelectronics (“ST”) to share under collaborative arrangement a 300mm facility with ST in Agrate, Italy. The parties are sharing the cleanroom space and the facility infrastructure, with the Company installing certain of its own equipment inside the clean room in an area which consumes approximately one-third of the total clean room space. TSIT and ST are investing in their respective process equipment, and have been working to accelerate the process flows’ transfer to the facility, product development, qualification and subsequent ramp-up. The comprehensive qualification process has been completed in the fourth quarter of 2024, followed by the commencement of volume production and operations, which were, and will continue to be, managed by ST.</w:t>
      </w:r>
    </w:p>
    <w:p>
      <w:pPr>
        <w:spacing w:after="0" w:line="217" w:lineRule="exact"/>
        <w:rPr>
          <w:sz w:val="20"/>
          <w:szCs w:val="20"/>
          <w:color w:val="auto"/>
        </w:rPr>
      </w:pPr>
    </w:p>
    <w:p>
      <w:pPr>
        <w:ind w:left="1240" w:hanging="328"/>
        <w:spacing w:after="0"/>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Capacity Corridor Agreement with Intel</w:t>
      </w:r>
    </w:p>
    <w:p>
      <w:pPr>
        <w:spacing w:after="0" w:line="253" w:lineRule="exact"/>
        <w:rPr>
          <w:rFonts w:ascii="Times New Roman" w:cs="Times New Roman" w:eastAsia="Times New Roman" w:hAnsi="Times New Roman"/>
          <w:sz w:val="16"/>
          <w:szCs w:val="16"/>
          <w:b w:val="1"/>
          <w:bCs w:val="1"/>
          <w:color w:val="auto"/>
        </w:rPr>
      </w:pPr>
    </w:p>
    <w:p>
      <w:pPr>
        <w:jc w:val="both"/>
        <w:ind w:left="1260" w:right="20"/>
        <w:spacing w:after="0" w:line="27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September 2023, Tower and Intel signed an agreement under which a capacity corridor is being established in Intel’s 300mm facility in New Mexico, USA. Under this agreement, Tower is investing up to $300,000 for equipment and other fixed assets to be owned by Tower and installed and qualified for Tower processes in this Intel facility. The corridor is in the initial equipment procurement and installation process and not yet qualified for production.</w:t>
      </w:r>
    </w:p>
    <w:p>
      <w:pPr>
        <w:spacing w:after="0" w:line="208" w:lineRule="exact"/>
        <w:rPr>
          <w:rFonts w:ascii="Times New Roman" w:cs="Times New Roman" w:eastAsia="Times New Roman" w:hAnsi="Times New Roman"/>
          <w:sz w:val="16"/>
          <w:szCs w:val="16"/>
          <w:b w:val="1"/>
          <w:bCs w:val="1"/>
          <w:color w:val="auto"/>
        </w:rPr>
      </w:pPr>
    </w:p>
    <w:p>
      <w:pPr>
        <w:ind w:left="1240" w:hanging="328"/>
        <w:spacing w:after="0"/>
        <w:tabs>
          <w:tab w:leader="none" w:pos="124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Agreements</w:t>
      </w:r>
    </w:p>
    <w:p>
      <w:pPr>
        <w:spacing w:after="0" w:line="266" w:lineRule="exact"/>
        <w:rPr>
          <w:sz w:val="20"/>
          <w:szCs w:val="20"/>
          <w:color w:val="auto"/>
        </w:rPr>
      </w:pPr>
    </w:p>
    <w:p>
      <w:pPr>
        <w:jc w:val="both"/>
        <w:ind w:left="1260" w:right="20" w:firstLine="5"/>
        <w:spacing w:after="0" w:line="277" w:lineRule="auto"/>
        <w:rPr>
          <w:sz w:val="20"/>
          <w:szCs w:val="20"/>
          <w:color w:val="auto"/>
        </w:rPr>
      </w:pPr>
      <w:r>
        <w:rPr>
          <w:rFonts w:ascii="Times New Roman" w:cs="Times New Roman" w:eastAsia="Times New Roman" w:hAnsi="Times New Roman"/>
          <w:sz w:val="16"/>
          <w:szCs w:val="16"/>
          <w:color w:val="auto"/>
        </w:rPr>
        <w:t>From time to time, in the ordinary course of business, the Company enters into long-term agreements with various entities for the joint development of product IPs and processes. The developed IPs may be owned separately by either the other entity or the Company, or owned jointly by both parties, as applicable.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14:</w:t>
        <w:tab/>
        <w:t>SHAREHOLDERS’ EQUITY</w:t>
      </w:r>
    </w:p>
    <w:p>
      <w:pPr>
        <w:spacing w:after="0" w:line="264" w:lineRule="exact"/>
        <w:rPr>
          <w:sz w:val="20"/>
          <w:szCs w:val="20"/>
          <w:color w:val="auto"/>
        </w:rPr>
      </w:pPr>
    </w:p>
    <w:p>
      <w:pPr>
        <w:ind w:left="1280" w:hanging="361"/>
        <w:spacing w:after="0"/>
        <w:tabs>
          <w:tab w:leader="none" w:pos="1280"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Ordinary Shares</w:t>
      </w:r>
    </w:p>
    <w:p>
      <w:pPr>
        <w:spacing w:after="0" w:line="253" w:lineRule="exact"/>
        <w:rPr>
          <w:rFonts w:ascii="Times New Roman" w:cs="Times New Roman" w:eastAsia="Times New Roman" w:hAnsi="Times New Roman"/>
          <w:sz w:val="16"/>
          <w:szCs w:val="16"/>
          <w:b w:val="1"/>
          <w:bCs w:val="1"/>
          <w:color w:val="auto"/>
        </w:rPr>
      </w:pPr>
    </w:p>
    <w:p>
      <w:pPr>
        <w:jc w:val="both"/>
        <w:ind w:left="1260" w:right="20" w:firstLine="5"/>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Tower had 150 million authorized ordinary shares, par value NIS 15.00 each, of which approximately 111.6 million were outstanding. Holders of ordinary shares are entitled to participate equally in the payment of cash dividends and bonus share (stock dividend) distributions, if any, and, in the event of the liquidation of Tower, in the distribution of assets after satisfaction of liabilities to creditors. Each ordinary share is entitled to one vote on all matters to be voted on by shareholders.</w:t>
      </w:r>
    </w:p>
    <w:p>
      <w:pPr>
        <w:spacing w:after="0" w:line="210" w:lineRule="exact"/>
        <w:rPr>
          <w:rFonts w:ascii="Times New Roman" w:cs="Times New Roman" w:eastAsia="Times New Roman" w:hAnsi="Times New Roman"/>
          <w:sz w:val="16"/>
          <w:szCs w:val="16"/>
          <w:b w:val="1"/>
          <w:bCs w:val="1"/>
          <w:color w:val="auto"/>
        </w:rPr>
      </w:pPr>
    </w:p>
    <w:p>
      <w:pPr>
        <w:ind w:left="1260" w:hanging="341"/>
        <w:spacing w:after="0"/>
        <w:tabs>
          <w:tab w:leader="none" w:pos="1260"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Incentive Plans</w:t>
      </w:r>
    </w:p>
    <w:p>
      <w:pPr>
        <w:spacing w:after="0" w:line="2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(1) Tower’s 2013 Share Incentive Plan (the “2013 Plan”)</w:t>
      </w:r>
    </w:p>
    <w:p>
      <w:pPr>
        <w:spacing w:after="0" w:line="2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In 2013, the Company adopted a share incentive plan for directors, officers and employees of the Company (“2013 Plan”).</w:t>
      </w:r>
    </w:p>
    <w:p>
      <w:pPr>
        <w:spacing w:after="0" w:line="264" w:lineRule="exact"/>
        <w:rPr>
          <w:sz w:val="20"/>
          <w:szCs w:val="20"/>
          <w:color w:val="auto"/>
        </w:rPr>
      </w:pPr>
    </w:p>
    <w:p>
      <w:pPr>
        <w:jc w:val="both"/>
        <w:ind w:left="1260" w:firstLine="5"/>
        <w:spacing w:after="0" w:line="268" w:lineRule="auto"/>
        <w:rPr>
          <w:sz w:val="20"/>
          <w:szCs w:val="20"/>
          <w:color w:val="auto"/>
        </w:rPr>
      </w:pPr>
      <w:r>
        <w:rPr>
          <w:rFonts w:ascii="Times New Roman" w:cs="Times New Roman" w:eastAsia="Times New Roman" w:hAnsi="Times New Roman"/>
          <w:sz w:val="16"/>
          <w:szCs w:val="16"/>
          <w:color w:val="auto"/>
        </w:rPr>
        <w:t>Under the 2013 Plan, the Company granted a total of approximately 1.58 million restricted stock units (“RSUs”) to its employees and directors during 2024 and a total of approximately 0.80 million RSUs to its employees and directors during 2023, including the below-described grants to the CEO and directors, with vesting periods of up to three years. These RSUs amounts also include performance based RSUs (“PSUs”) and market based RSUs (“MSUs”). The Company determines compensation expenses of the RSUs based on the closing market price of the ordinary shares on the last trading day immediately prior to the date of grant and amortizes it over the applicable vesting period, taking into consideration achievement, if any, of performance and market criteria.</w:t>
      </w: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During 2024, the Company's CEO and members of the Board of Directors were awarded the following RSUs under the 2013 Plan:</w:t>
      </w:r>
    </w:p>
    <w:p>
      <w:pPr>
        <w:spacing w:after="0" w:line="264" w:lineRule="exact"/>
        <w:rPr>
          <w:sz w:val="20"/>
          <w:szCs w:val="20"/>
          <w:color w:val="auto"/>
        </w:rPr>
      </w:pPr>
    </w:p>
    <w:p>
      <w:pPr>
        <w:jc w:val="both"/>
        <w:ind w:left="1260" w:hanging="5"/>
        <w:spacing w:after="0" w:line="268" w:lineRule="auto"/>
        <w:tabs>
          <w:tab w:leader="none" w:pos="145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78.4 thousand time-vested RSUs, 176.3 thousand PSUs and 256.3 thousand MSUs, granted to the CEO, with 33% of such RSUs, PSUs and MSUs to vest at the end of each year for 3 years following the grant date. The total compensation value of these awards was approximately $16,500. As was approved by shareholders in 2019, the grant also included a provision requiring the CEO to own, commencing May 2024, ordinary shares of the Company at a minimum value that equals at least three times his annual base salary as of May 2024 (the “Minimum Holding”). As of December 31, 2024, the CEO is in compliance with the Minimum Holding requirement;</w:t>
      </w:r>
    </w:p>
    <w:p>
      <w:pPr>
        <w:spacing w:after="0" w:line="219" w:lineRule="exact"/>
        <w:rPr>
          <w:rFonts w:ascii="Times New Roman" w:cs="Times New Roman" w:eastAsia="Times New Roman" w:hAnsi="Times New Roman"/>
          <w:sz w:val="16"/>
          <w:szCs w:val="16"/>
          <w:color w:val="auto"/>
        </w:rPr>
      </w:pPr>
    </w:p>
    <w:p>
      <w:pPr>
        <w:ind w:left="1260" w:right="20"/>
        <w:spacing w:after="0" w:line="286" w:lineRule="auto"/>
        <w:tabs>
          <w:tab w:leader="none" w:pos="150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7.4 thousand time-vested RSUs to the chairman of the Board of Directors (the “Chairman”) for a total compensation value of $300, to vest 33% at the end of each year for 3 years following the grant date; and</w:t>
      </w:r>
    </w:p>
    <w:p>
      <w:pPr>
        <w:spacing w:after="0" w:line="202" w:lineRule="exact"/>
        <w:rPr>
          <w:rFonts w:ascii="Times New Roman" w:cs="Times New Roman" w:eastAsia="Times New Roman" w:hAnsi="Times New Roman"/>
          <w:sz w:val="16"/>
          <w:szCs w:val="16"/>
          <w:color w:val="auto"/>
        </w:rPr>
      </w:pPr>
    </w:p>
    <w:p>
      <w:pPr>
        <w:jc w:val="both"/>
        <w:ind w:left="1260" w:right="20"/>
        <w:spacing w:after="0" w:line="277" w:lineRule="auto"/>
        <w:tabs>
          <w:tab w:leader="none" w:pos="155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4.9 thousand time-vested RSUs to each of the eight members of the Board of Directors then serving (other than to the Chairman and the CEO), for an aggregate compensation value of $1,600, vesting over a two-year period, with 50% vesting on the first anniversary of the date of grant and 50% on the second anniversary of the date of grant.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35"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14:</w:t>
        <w:tab/>
        <w:t>SHAREHOLDERS’ EQUITY (continued)</w:t>
      </w:r>
    </w:p>
    <w:p>
      <w:pPr>
        <w:spacing w:after="0" w:line="264" w:lineRule="exact"/>
        <w:rPr>
          <w:sz w:val="20"/>
          <w:szCs w:val="20"/>
          <w:color w:val="auto"/>
        </w:rPr>
      </w:pPr>
    </w:p>
    <w:p>
      <w:pPr>
        <w:ind w:left="1260" w:hanging="348"/>
        <w:spacing w:after="0"/>
        <w:tabs>
          <w:tab w:leader="none" w:pos="126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Incentive Plans (continued)</w:t>
      </w:r>
    </w:p>
    <w:p>
      <w:pPr>
        <w:spacing w:after="0" w:line="265" w:lineRule="exact"/>
        <w:rPr>
          <w:rFonts w:ascii="Times New Roman" w:cs="Times New Roman" w:eastAsia="Times New Roman" w:hAnsi="Times New Roman"/>
          <w:sz w:val="16"/>
          <w:szCs w:val="16"/>
          <w:b w:val="1"/>
          <w:bCs w:val="1"/>
          <w:color w:val="auto"/>
        </w:rPr>
      </w:pPr>
    </w:p>
    <w:p>
      <w:pPr>
        <w:jc w:val="both"/>
        <w:ind w:left="1260" w:right="20" w:firstLine="5"/>
        <w:spacing w:after="0" w:line="268"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was approved by shareholders in 2020, commencing July 2025, the members of the Board will have to own ordinary shares of the Company at a minimum value that equals at least 50% of their annual base fee and the Chairman will have to own ordinary shares of the Company at a minimum value that equals at least 50% of his annual cash compensation (the “BOD Minimum Holding”). The Chairman and the members of the Board have until July 2025 to accumulate the BOD Minimum Holding (whether by conversion of RSUs to ordinary shares or by purchase of ordinary shares), and during such period, until they accumulate the BOD Minimum Holding, they must retain at least 20% of the vested time-based RSUs granted to him/her on or after July 2020.</w:t>
      </w:r>
    </w:p>
    <w:p>
      <w:pPr>
        <w:spacing w:after="0" w:line="219"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2023, the Company's CEO and members of the Board of Directors were awarded the following RSUs under the 2013 Plan:</w:t>
      </w:r>
    </w:p>
    <w:p>
      <w:pPr>
        <w:spacing w:after="0" w:line="251" w:lineRule="exact"/>
        <w:rPr>
          <w:rFonts w:ascii="Times New Roman" w:cs="Times New Roman" w:eastAsia="Times New Roman" w:hAnsi="Times New Roman"/>
          <w:sz w:val="16"/>
          <w:szCs w:val="16"/>
          <w:b w:val="1"/>
          <w:bCs w:val="1"/>
          <w:color w:val="auto"/>
        </w:rPr>
      </w:pPr>
    </w:p>
    <w:p>
      <w:pPr>
        <w:jc w:val="both"/>
        <w:ind w:left="1260"/>
        <w:spacing w:after="0" w:line="277" w:lineRule="auto"/>
        <w:tabs>
          <w:tab w:leader="none" w:pos="1468"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75.8 thousand time-vested RSUs and 125.0 thousand PSUs granted to the CEO, subject also to time-vesting, with 33% of such RSUs and PSUs to vest at the end of each year for 3 years following the grant date. The total compensation value of these RSUs was approximately $7,500 and also included the Minimum Holding requirement defined above;</w:t>
      </w:r>
    </w:p>
    <w:p>
      <w:pPr>
        <w:spacing w:after="0" w:line="210" w:lineRule="exact"/>
        <w:rPr>
          <w:rFonts w:ascii="Times New Roman" w:cs="Times New Roman" w:eastAsia="Times New Roman" w:hAnsi="Times New Roman"/>
          <w:sz w:val="16"/>
          <w:szCs w:val="16"/>
          <w:color w:val="auto"/>
        </w:rPr>
      </w:pPr>
    </w:p>
    <w:p>
      <w:pPr>
        <w:ind w:left="1260" w:right="20"/>
        <w:spacing w:after="0" w:line="301" w:lineRule="auto"/>
        <w:tabs>
          <w:tab w:leader="none" w:pos="1504"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8.0 thousand time-vested RSUs to the Chairman for a total compensation value of $300, to vest 33% at the end of each year for 3 years following the grant date; and</w:t>
      </w:r>
    </w:p>
    <w:p>
      <w:pPr>
        <w:spacing w:after="0" w:line="179" w:lineRule="exact"/>
        <w:rPr>
          <w:rFonts w:ascii="Times New Roman" w:cs="Times New Roman" w:eastAsia="Times New Roman" w:hAnsi="Times New Roman"/>
          <w:sz w:val="16"/>
          <w:szCs w:val="16"/>
          <w:color w:val="auto"/>
        </w:rPr>
      </w:pPr>
    </w:p>
    <w:p>
      <w:pPr>
        <w:jc w:val="both"/>
        <w:ind w:left="1260" w:right="20"/>
        <w:spacing w:after="0" w:line="285" w:lineRule="auto"/>
        <w:tabs>
          <w:tab w:leader="none" w:pos="1553"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3.3 thousand time-vested RSUs to each of the seven members of the Board of Directors then serving (other than to the Chairman and the CEO), for an aggregate compensation value of $875, vesting over a two-year period, with 50% vesting on the first anniversary of the date of grant and 50% on the second anniversary of the date of grant.</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During 2022, the Company's CEO and members of the Board of Directors were awarded the following RSUs under the 2013 Plan:</w:t>
      </w:r>
    </w:p>
    <w:p>
      <w:pPr>
        <w:spacing w:after="0" w:line="264" w:lineRule="exact"/>
        <w:rPr>
          <w:sz w:val="20"/>
          <w:szCs w:val="20"/>
          <w:color w:val="auto"/>
        </w:rPr>
      </w:pPr>
    </w:p>
    <w:p>
      <w:pPr>
        <w:jc w:val="both"/>
        <w:ind w:left="1260" w:right="20"/>
        <w:spacing w:after="0" w:line="277" w:lineRule="auto"/>
        <w:tabs>
          <w:tab w:leader="none" w:pos="14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59 thousand time-vested RSUs and 97 thousand PSUs granted to the CEO, subject also to time-vesting, with 33% of such RSUs and PSUs to vest at the end of each year for 3 years following the grant date. Total compensation value of these RSUs was approximately $7,200 and also includes the Minimum Holding requirement defined above;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14:</w:t>
        <w:tab/>
        <w:t>SHAREHOLDERS’ EQUITY (continued)</w:t>
      </w:r>
    </w:p>
    <w:p>
      <w:pPr>
        <w:spacing w:after="0" w:line="264" w:lineRule="exact"/>
        <w:rPr>
          <w:sz w:val="20"/>
          <w:szCs w:val="20"/>
          <w:color w:val="auto"/>
        </w:rPr>
      </w:pPr>
    </w:p>
    <w:p>
      <w:pPr>
        <w:ind w:left="1260" w:hanging="348"/>
        <w:spacing w:after="0"/>
        <w:tabs>
          <w:tab w:leader="none" w:pos="126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Incentive Plans (continued)</w:t>
      </w:r>
    </w:p>
    <w:p>
      <w:pPr>
        <w:spacing w:after="0" w:line="265" w:lineRule="exact"/>
        <w:rPr>
          <w:rFonts w:ascii="Times New Roman" w:cs="Times New Roman" w:eastAsia="Times New Roman" w:hAnsi="Times New Roman"/>
          <w:sz w:val="16"/>
          <w:szCs w:val="16"/>
          <w:b w:val="1"/>
          <w:bCs w:val="1"/>
          <w:color w:val="auto"/>
        </w:rPr>
      </w:pPr>
    </w:p>
    <w:p>
      <w:pPr>
        <w:ind w:left="1260" w:right="20"/>
        <w:spacing w:after="0" w:line="286" w:lineRule="auto"/>
        <w:tabs>
          <w:tab w:leader="none" w:pos="1504"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6.5 thousand time-vested RSUs to the Chairman for a total compensation value of $300, to vest 33% at the end of each year for 3 years following the grant date; and</w:t>
      </w:r>
    </w:p>
    <w:p>
      <w:pPr>
        <w:spacing w:after="0" w:line="202" w:lineRule="exact"/>
        <w:rPr>
          <w:rFonts w:ascii="Times New Roman" w:cs="Times New Roman" w:eastAsia="Times New Roman" w:hAnsi="Times New Roman"/>
          <w:sz w:val="16"/>
          <w:szCs w:val="16"/>
          <w:color w:val="auto"/>
        </w:rPr>
      </w:pPr>
    </w:p>
    <w:p>
      <w:pPr>
        <w:jc w:val="both"/>
        <w:ind w:left="1260" w:right="20"/>
        <w:spacing w:after="0" w:line="277" w:lineRule="auto"/>
        <w:tabs>
          <w:tab w:leader="none" w:pos="1553"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2.7 thousand time-vested RSUs to each of the seven members of the Board of Directors then serving (other than to the Chairman and the CEO), for an aggregate compensation value of $875, vesting over a two-year period, with 50% vesting on the first anniversary of the date of grant and 50% on the second anniversary of the date of grant.</w:t>
      </w: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grants during 2023 and 2022 to the Chairman and the members of the Board also include the BOD Minimum Holding requirement defined above.</w:t>
      </w:r>
    </w:p>
    <w:p>
      <w:pPr>
        <w:spacing w:after="0" w:line="262"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(2) RSUs awards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40"/>
        </w:trPr>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7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Weighted</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Weighted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6"/>
              </w:rPr>
              <w:t>Weighted</w:t>
            </w:r>
          </w:p>
        </w:tc>
        <w:tc>
          <w:tcPr>
            <w:tcW w:w="80" w:type="dxa"/>
            <w:vAlign w:val="bottom"/>
          </w:tcPr>
          <w:p>
            <w:pPr>
              <w:spacing w:after="0"/>
              <w:rPr>
                <w:sz w:val="16"/>
                <w:szCs w:val="16"/>
                <w:color w:val="auto"/>
              </w:rPr>
            </w:pPr>
          </w:p>
        </w:tc>
      </w:tr>
      <w:tr>
        <w:trPr>
          <w:trHeight w:val="194"/>
        </w:trPr>
        <w:tc>
          <w:tcPr>
            <w:tcW w:w="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Number of</w:t>
            </w:r>
          </w:p>
        </w:tc>
        <w:tc>
          <w:tcPr>
            <w:tcW w:w="60" w:type="dxa"/>
            <w:vAlign w:val="bottom"/>
          </w:tcPr>
          <w:p>
            <w:pPr>
              <w:spacing w:after="0"/>
              <w:rPr>
                <w:sz w:val="16"/>
                <w:szCs w:val="16"/>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9"/>
              </w:rPr>
              <w:t>average fair</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Number of</w:t>
            </w:r>
          </w:p>
        </w:tc>
        <w:tc>
          <w:tcPr>
            <w:tcW w:w="60" w:type="dxa"/>
            <w:vAlign w:val="bottom"/>
          </w:tcPr>
          <w:p>
            <w:pPr>
              <w:spacing w:after="0"/>
              <w:rPr>
                <w:sz w:val="16"/>
                <w:szCs w:val="16"/>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average fair</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Number of</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color w:val="auto"/>
                <w:w w:val="99"/>
              </w:rPr>
              <w:t>average fair</w:t>
            </w:r>
          </w:p>
        </w:tc>
      </w:tr>
      <w:tr>
        <w:trPr>
          <w:trHeight w:val="226"/>
        </w:trPr>
        <w:tc>
          <w:tcPr>
            <w:tcW w:w="4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RSUs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7"/>
              </w:rPr>
              <w:t>value</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RSUs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7"/>
              </w:rPr>
              <w:t>value</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RSUs</w:t>
            </w:r>
          </w:p>
        </w:tc>
        <w:tc>
          <w:tcPr>
            <w:tcW w:w="100" w:type="dxa"/>
            <w:vAlign w:val="bottom"/>
          </w:tcPr>
          <w:p>
            <w:pPr>
              <w:spacing w:after="0"/>
              <w:rPr>
                <w:sz w:val="19"/>
                <w:szCs w:val="19"/>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value</w:t>
            </w:r>
          </w:p>
        </w:tc>
      </w:tr>
      <w:tr>
        <w:trPr>
          <w:trHeight w:val="206"/>
        </w:trPr>
        <w:tc>
          <w:tcPr>
            <w:tcW w:w="4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beginning of year</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1,585,560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1,712,996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2,211,100</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80" w:type="dxa"/>
            <w:vAlign w:val="bottom"/>
            <w:shd w:val="clear" w:color="auto" w:fill="CCEEFF"/>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1,581,492</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31.89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797,241</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37.64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612,881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44.99</w:t>
            </w:r>
          </w:p>
        </w:tc>
      </w:tr>
      <w:tr>
        <w:trPr>
          <w:trHeight w:val="206"/>
        </w:trPr>
        <w:tc>
          <w:tcPr>
            <w:tcW w:w="4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Converted</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(726,007)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36.52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(870,720)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27.80</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(1,068,219)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21.99</w:t>
            </w:r>
          </w:p>
        </w:tc>
      </w:tr>
      <w:tr>
        <w:trPr>
          <w:trHeight w:val="210"/>
        </w:trPr>
        <w:tc>
          <w:tcPr>
            <w:tcW w:w="4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(42,910)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36.96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(53,957)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32.49</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(42,766)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24.24</w:t>
            </w:r>
          </w:p>
        </w:tc>
      </w:tr>
      <w:tr>
        <w:trPr>
          <w:trHeight w:val="246"/>
        </w:trPr>
        <w:tc>
          <w:tcPr>
            <w:tcW w:w="40" w:type="dxa"/>
            <w:vAlign w:val="bottom"/>
          </w:tcPr>
          <w:p>
            <w:pPr>
              <w:spacing w:after="0"/>
              <w:rPr>
                <w:sz w:val="21"/>
                <w:szCs w:val="21"/>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end of year (*)</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34.51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38.10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1,712,996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6" w:lineRule="exact"/>
        <w:rPr>
          <w:sz w:val="20"/>
          <w:szCs w:val="20"/>
          <w:color w:val="auto"/>
        </w:rPr>
      </w:pPr>
    </w:p>
    <w:p>
      <w:pPr>
        <w:jc w:val="both"/>
        <w:ind w:left="1260" w:right="20"/>
        <w:spacing w:after="0" w:line="277" w:lineRule="auto"/>
        <w:tabs>
          <w:tab w:leader="none" w:pos="1505"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(i) 736,014, 559,184 and 595,757 PSUs as of December 31, 2024, 2023 and 2022, respectively and (ii) 649,249 MSUs as of December 31, 2024. The performance goals of 736,014 PSUs outstanding as of December 31, 2024 were achieved. The achievement of market goals of the MSUs outstanding as of December 31, 2024 shall be determined in accordance with a defined performance measurement methodology.</w:t>
      </w:r>
    </w:p>
    <w:p>
      <w:pPr>
        <w:spacing w:after="0" w:line="208" w:lineRule="exact"/>
        <w:rPr>
          <w:rFonts w:ascii="Times New Roman" w:cs="Times New Roman" w:eastAsia="Times New Roman" w:hAnsi="Times New Roman"/>
          <w:sz w:val="16"/>
          <w:szCs w:val="16"/>
          <w:color w:val="auto"/>
        </w:rPr>
      </w:pPr>
    </w:p>
    <w:p>
      <w:pPr>
        <w:ind w:left="1480" w:hanging="225"/>
        <w:spacing w:after="0"/>
        <w:tabs>
          <w:tab w:leader="none" w:pos="148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Information about Employees’ Share Incentive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Details for the year ended December 31</w:t>
            </w:r>
          </w:p>
        </w:tc>
        <w:tc>
          <w:tcPr>
            <w:tcW w:w="2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6"/>
        </w:trPr>
        <w:tc>
          <w:tcPr>
            <w:tcW w:w="130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intrinsic value of converted RSUs</w:t>
            </w:r>
          </w:p>
        </w:tc>
        <w:tc>
          <w:tcPr>
            <w:tcW w:w="20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48,829</w:t>
            </w:r>
          </w:p>
        </w:tc>
        <w:tc>
          <w:tcPr>
            <w:tcW w:w="8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The original fair value of converted RSUs</w:t>
            </w:r>
          </w:p>
        </w:tc>
        <w:tc>
          <w:tcPr>
            <w:tcW w:w="2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26,510</w:t>
            </w:r>
          </w:p>
        </w:tc>
        <w:tc>
          <w:tcPr>
            <w:tcW w:w="2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24,206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23,492</w:t>
            </w:r>
          </w:p>
        </w:tc>
        <w:tc>
          <w:tcPr>
            <w:tcW w:w="1500" w:type="dxa"/>
            <w:vAlign w:val="bottom"/>
          </w:tcPr>
          <w:p>
            <w:pPr>
              <w:spacing w:after="0"/>
              <w:rPr>
                <w:sz w:val="18"/>
                <w:szCs w:val="18"/>
                <w:color w:val="auto"/>
              </w:rPr>
            </w:pPr>
          </w:p>
        </w:tc>
      </w:tr>
      <w:tr>
        <w:trPr>
          <w:trHeight w:val="540"/>
        </w:trPr>
        <w:tc>
          <w:tcPr>
            <w:tcW w:w="1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60" w:type="dxa"/>
            <w:vAlign w:val="bottom"/>
            <w:gridSpan w:val="2"/>
          </w:tcPr>
          <w:p>
            <w:pPr>
              <w:jc w:val="right"/>
              <w:ind w:right="1079"/>
              <w:spacing w:after="0"/>
              <w:rPr>
                <w:sz w:val="20"/>
                <w:szCs w:val="20"/>
                <w:color w:val="auto"/>
              </w:rPr>
            </w:pPr>
            <w:r>
              <w:rPr>
                <w:rFonts w:ascii="Times New Roman" w:cs="Times New Roman" w:eastAsia="Times New Roman" w:hAnsi="Times New Roman"/>
                <w:sz w:val="16"/>
                <w:szCs w:val="16"/>
                <w:color w:val="auto"/>
              </w:rPr>
              <w:t>F - 42</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7"/>
        </w:trPr>
        <w:tc>
          <w:tcPr>
            <w:tcW w:w="130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71"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14:</w:t>
        <w:tab/>
        <w:t>SHAREHOLDERS’ EQUITY (continued)</w:t>
      </w:r>
    </w:p>
    <w:p>
      <w:pPr>
        <w:spacing w:after="0" w:line="264" w:lineRule="exact"/>
        <w:rPr>
          <w:sz w:val="20"/>
          <w:szCs w:val="20"/>
          <w:color w:val="auto"/>
        </w:rPr>
      </w:pPr>
    </w:p>
    <w:p>
      <w:pPr>
        <w:ind w:left="1260" w:hanging="348"/>
        <w:spacing w:after="0"/>
        <w:tabs>
          <w:tab w:leader="none" w:pos="1260"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Equity Incentive Plans (continued)</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Stock-based compensation expenses were recognized in the Statement of Operations for the years ended December 31, 2024, 2023 and 2022 as follows:</w:t>
      </w:r>
    </w:p>
    <w:p>
      <w:pPr>
        <w:spacing w:after="0" w:line="252" w:lineRule="exact"/>
        <w:rPr>
          <w:sz w:val="20"/>
          <w:szCs w:val="20"/>
          <w:color w:val="auto"/>
        </w:rPr>
      </w:pPr>
    </w:p>
    <w:tbl>
      <w:tblPr>
        <w:tblLayout w:type="fixed"/>
        <w:tblInd w:w="1300" w:type="dxa"/>
        <w:tblCellMar>
          <w:top w:w="0" w:type="dxa"/>
          <w:left w:w="0" w:type="dxa"/>
          <w:bottom w:w="0" w:type="dxa"/>
          <w:right w:w="0" w:type="dxa"/>
        </w:tblCellMar>
      </w:tblP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9"/>
                <w:szCs w:val="19"/>
                <w:color w:val="auto"/>
              </w:rPr>
            </w:pPr>
          </w:p>
        </w:tc>
      </w:tr>
      <w:tr>
        <w:trPr>
          <w:trHeight w:val="20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7,393</w:t>
            </w:r>
          </w:p>
        </w:tc>
        <w:tc>
          <w:tcPr>
            <w:tcW w:w="80" w:type="dxa"/>
            <w:vAlign w:val="bottom"/>
            <w:shd w:val="clear" w:color="auto" w:fill="CCEEFF"/>
          </w:tcPr>
          <w:p>
            <w:pPr>
              <w:spacing w:after="0"/>
              <w:rPr>
                <w:sz w:val="17"/>
                <w:szCs w:val="17"/>
                <w:color w:val="auto"/>
              </w:rPr>
            </w:pPr>
          </w:p>
        </w:tc>
      </w:tr>
      <w:tr>
        <w:trPr>
          <w:trHeight w:val="20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5,639</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4,754</w:t>
            </w:r>
          </w:p>
        </w:tc>
      </w:tr>
      <w:tr>
        <w:trPr>
          <w:trHeight w:val="20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13,960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12,068</w:t>
            </w:r>
          </w:p>
        </w:tc>
      </w:tr>
      <w:tr>
        <w:trPr>
          <w:trHeight w:val="24"/>
        </w:trPr>
        <w:tc>
          <w:tcPr>
            <w:tcW w:w="5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33,837</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27,931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24,215</w:t>
            </w: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1280" w:hanging="368"/>
        <w:spacing w:after="0"/>
        <w:tabs>
          <w:tab w:leader="none" w:pos="128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Treasury Stock</w:t>
      </w:r>
    </w:p>
    <w:p>
      <w:pPr>
        <w:spacing w:after="0" w:line="266" w:lineRule="exact"/>
        <w:rPr>
          <w:sz w:val="20"/>
          <w:szCs w:val="20"/>
          <w:color w:val="auto"/>
        </w:rPr>
      </w:pPr>
    </w:p>
    <w:p>
      <w:pPr>
        <w:ind w:left="1260" w:firstLine="5"/>
        <w:spacing w:after="0" w:line="301" w:lineRule="auto"/>
        <w:rPr>
          <w:sz w:val="20"/>
          <w:szCs w:val="20"/>
          <w:color w:val="auto"/>
        </w:rPr>
      </w:pPr>
      <w:r>
        <w:rPr>
          <w:rFonts w:ascii="Times New Roman" w:cs="Times New Roman" w:eastAsia="Times New Roman" w:hAnsi="Times New Roman"/>
          <w:sz w:val="16"/>
          <w:szCs w:val="16"/>
          <w:color w:val="auto"/>
        </w:rPr>
        <w:t>During 1999 and 1998, the Company funded the purchase by a trustee of an aggregate of approximately 87 thousand ordinary Tower shares. These shares are classified as treasury shares.</w:t>
      </w:r>
    </w:p>
    <w:p>
      <w:pPr>
        <w:spacing w:after="0" w:line="1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15:</w:t>
        <w:tab/>
        <w:t>INFORMATION ON GEOGRAPHIC AREAS AND MAJOR CUSTOMERS</w:t>
      </w:r>
    </w:p>
    <w:p>
      <w:pPr>
        <w:spacing w:after="0" w:line="264" w:lineRule="exact"/>
        <w:rPr>
          <w:sz w:val="20"/>
          <w:szCs w:val="20"/>
          <w:color w:val="auto"/>
        </w:rPr>
      </w:pPr>
    </w:p>
    <w:p>
      <w:pPr>
        <w:ind w:left="1280" w:hanging="368"/>
        <w:spacing w:after="0"/>
        <w:tabs>
          <w:tab w:leader="none" w:pos="128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Revenues by Geographic Area - as Percentage of Total Revenue</w:t>
      </w:r>
    </w:p>
    <w:p>
      <w:pPr>
        <w:spacing w:after="0" w:line="266"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Years ended December 31, 2024, 2023 and 2022:</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2"/>
        </w:trPr>
        <w:tc>
          <w:tcPr>
            <w:tcW w:w="4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24"/>
                <w:szCs w:val="24"/>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24"/>
                <w:szCs w:val="24"/>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24"/>
                <w:szCs w:val="24"/>
                <w:color w:val="auto"/>
              </w:rPr>
            </w:pPr>
          </w:p>
        </w:tc>
      </w:tr>
      <w:tr>
        <w:trPr>
          <w:trHeight w:val="206"/>
        </w:trPr>
        <w:tc>
          <w:tcPr>
            <w:tcW w:w="4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USA</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206"/>
        </w:trPr>
        <w:tc>
          <w:tcPr>
            <w:tcW w:w="4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Japan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r>
      <w:tr>
        <w:trPr>
          <w:trHeight w:val="206"/>
        </w:trPr>
        <w:tc>
          <w:tcPr>
            <w:tcW w:w="4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 (other than Japan)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r>
      <w:tr>
        <w:trPr>
          <w:trHeight w:val="206"/>
        </w:trPr>
        <w:tc>
          <w:tcPr>
            <w:tcW w:w="4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r>
      <w:tr>
        <w:trPr>
          <w:trHeight w:val="24"/>
        </w:trPr>
        <w:tc>
          <w:tcPr>
            <w:tcW w:w="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26"/>
        </w:trPr>
        <w:tc>
          <w:tcPr>
            <w:tcW w:w="4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6" w:lineRule="exact"/>
        <w:rPr>
          <w:sz w:val="20"/>
          <w:szCs w:val="20"/>
          <w:color w:val="auto"/>
        </w:rPr>
      </w:pPr>
    </w:p>
    <w:p>
      <w:pPr>
        <w:ind w:left="1260" w:right="20" w:firstLine="5"/>
        <w:spacing w:after="0" w:line="301" w:lineRule="auto"/>
        <w:rPr>
          <w:sz w:val="20"/>
          <w:szCs w:val="20"/>
          <w:color w:val="auto"/>
        </w:rPr>
      </w:pPr>
      <w:r>
        <w:rPr>
          <w:rFonts w:ascii="Times New Roman" w:cs="Times New Roman" w:eastAsia="Times New Roman" w:hAnsi="Times New Roman"/>
          <w:sz w:val="16"/>
          <w:szCs w:val="16"/>
          <w:color w:val="auto"/>
        </w:rPr>
        <w:t>The basis of attributing revenues from external customers to a certain geographic area is based on the headquarters’ location of the customer issuing the purchase order.</w:t>
      </w:r>
    </w:p>
    <w:p>
      <w:pPr>
        <w:spacing w:after="0" w:line="178" w:lineRule="exact"/>
        <w:rPr>
          <w:sz w:val="20"/>
          <w:szCs w:val="20"/>
          <w:color w:val="auto"/>
        </w:rPr>
      </w:pPr>
    </w:p>
    <w:p>
      <w:pPr>
        <w:ind w:left="1260" w:hanging="348"/>
        <w:spacing w:after="0"/>
        <w:tabs>
          <w:tab w:leader="none" w:pos="126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Long-Lived Assets by Geographic Area</w:t>
      </w:r>
    </w:p>
    <w:p>
      <w:pPr>
        <w:spacing w:after="0" w:line="265" w:lineRule="exact"/>
        <w:rPr>
          <w:rFonts w:ascii="Times New Roman" w:cs="Times New Roman" w:eastAsia="Times New Roman" w:hAnsi="Times New Roman"/>
          <w:sz w:val="16"/>
          <w:szCs w:val="16"/>
          <w:b w:val="1"/>
          <w:bCs w:val="1"/>
          <w:color w:val="auto"/>
        </w:rPr>
      </w:pPr>
    </w:p>
    <w:p>
      <w:pPr>
        <w:ind w:left="1260" w:right="2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Substantially all of Tower’s long-lived assets are located in Israel, substantially all of TSNB’s and TSSA’s long-lived assets are located in the United States, substantially all of TPSCo’s long-lived assets are located in Japan and substantially all of TSIT’s long-lived assets are located in Italy.</w:t>
      </w:r>
    </w:p>
    <w:p>
      <w:pPr>
        <w:spacing w:after="0" w:line="179"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and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0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4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6"/>
        </w:trPr>
        <w:tc>
          <w:tcPr>
            <w:tcW w:w="1300" w:type="dxa"/>
            <w:vAlign w:val="bottom"/>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Israel</w:t>
            </w:r>
          </w:p>
        </w:tc>
        <w:tc>
          <w:tcPr>
            <w:tcW w:w="40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279,023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254,868</w:t>
            </w:r>
          </w:p>
        </w:tc>
        <w:tc>
          <w:tcPr>
            <w:tcW w:w="8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322,947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250,560</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4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452,557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371,583</w:t>
            </w: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Japan</w:t>
            </w:r>
          </w:p>
        </w:tc>
        <w:tc>
          <w:tcPr>
            <w:tcW w:w="4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278,918</w:t>
            </w:r>
          </w:p>
        </w:tc>
        <w:tc>
          <w:tcPr>
            <w:tcW w:w="1500" w:type="dxa"/>
            <w:vAlign w:val="bottom"/>
          </w:tcPr>
          <w:p>
            <w:pPr>
              <w:spacing w:after="0"/>
              <w:rPr>
                <w:sz w:val="18"/>
                <w:szCs w:val="18"/>
                <w:color w:val="auto"/>
              </w:rPr>
            </w:pPr>
          </w:p>
        </w:tc>
      </w:tr>
      <w:tr>
        <w:trPr>
          <w:trHeight w:val="246"/>
        </w:trPr>
        <w:tc>
          <w:tcPr>
            <w:tcW w:w="130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1,286,622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1,155,929</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Pr>
          <w:p>
            <w:pPr>
              <w:spacing w:after="0"/>
              <w:rPr>
                <w:sz w:val="21"/>
                <w:szCs w:val="21"/>
                <w:color w:val="auto"/>
              </w:rPr>
            </w:pPr>
          </w:p>
        </w:tc>
      </w:tr>
      <w:tr>
        <w:trPr>
          <w:trHeight w:val="508"/>
        </w:trPr>
        <w:tc>
          <w:tcPr>
            <w:tcW w:w="1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160" w:type="dxa"/>
            <w:vAlign w:val="bottom"/>
            <w:gridSpan w:val="2"/>
          </w:tcPr>
          <w:p>
            <w:pPr>
              <w:jc w:val="right"/>
              <w:ind w:right="2059"/>
              <w:spacing w:after="0"/>
              <w:rPr>
                <w:sz w:val="20"/>
                <w:szCs w:val="20"/>
                <w:color w:val="auto"/>
              </w:rPr>
            </w:pPr>
            <w:r>
              <w:rPr>
                <w:rFonts w:ascii="Times New Roman" w:cs="Times New Roman" w:eastAsia="Times New Roman" w:hAnsi="Times New Roman"/>
                <w:sz w:val="16"/>
                <w:szCs w:val="16"/>
                <w:color w:val="auto"/>
              </w:rPr>
              <w:t>F - 43</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7"/>
        </w:trPr>
        <w:tc>
          <w:tcPr>
            <w:tcW w:w="130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40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71"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15:</w:t>
        <w:tab/>
        <w:t>INFORMATION ON GEOGRAPHIC AREAS AND MAJOR CUSTOMERS (continued)</w:t>
      </w:r>
    </w:p>
    <w:p>
      <w:pPr>
        <w:spacing w:after="0" w:line="264" w:lineRule="exact"/>
        <w:rPr>
          <w:sz w:val="20"/>
          <w:szCs w:val="20"/>
          <w:color w:val="auto"/>
        </w:rPr>
      </w:pPr>
    </w:p>
    <w:p>
      <w:pPr>
        <w:ind w:left="1280" w:hanging="368"/>
        <w:spacing w:after="0"/>
        <w:tabs>
          <w:tab w:leader="none" w:pos="128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Major Customers - as Percentage of Net Accounts Receivable Balance</w:t>
      </w:r>
    </w:p>
    <w:p>
      <w:pPr>
        <w:spacing w:after="0" w:line="265" w:lineRule="exact"/>
        <w:rPr>
          <w:rFonts w:ascii="Times New Roman" w:cs="Times New Roman" w:eastAsia="Times New Roman" w:hAnsi="Times New Roman"/>
          <w:sz w:val="16"/>
          <w:szCs w:val="16"/>
          <w:b w:val="1"/>
          <w:bCs w:val="1"/>
          <w:color w:val="auto"/>
        </w:rPr>
      </w:pPr>
    </w:p>
    <w:p>
      <w:pPr>
        <w:ind w:left="126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two customers exceeded 10% of the net accounts receivable balance. As of December 31, 2023, one customer exceeded 10% of the net accounts receivable balance.</w:t>
      </w:r>
    </w:p>
    <w:p>
      <w:pPr>
        <w:spacing w:after="0" w:line="200"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Major Customers - as Percentage of Total Revenue</w:t>
      </w:r>
    </w:p>
    <w:p>
      <w:pPr>
        <w:spacing w:after="0" w:line="266" w:lineRule="exact"/>
        <w:rPr>
          <w:sz w:val="20"/>
          <w:szCs w:val="20"/>
          <w:color w:val="auto"/>
        </w:rPr>
      </w:pPr>
    </w:p>
    <w:tbl>
      <w:tblPr>
        <w:tblLayout w:type="fixed"/>
        <w:tblInd w:w="1260" w:type="dxa"/>
        <w:tblCellMar>
          <w:top w:w="0" w:type="dxa"/>
          <w:left w:w="0" w:type="dxa"/>
          <w:bottom w:w="0" w:type="dxa"/>
          <w:right w:w="0" w:type="dxa"/>
        </w:tblCellMar>
      </w:tblPr>
      <w:tr>
        <w:trPr>
          <w:trHeight w:val="210"/>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Years ended December 31, 2024, 2023 and 2022:</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2"/>
        </w:trPr>
        <w:tc>
          <w:tcPr>
            <w:tcW w:w="4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24"/>
                <w:szCs w:val="24"/>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24"/>
                <w:szCs w:val="24"/>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24"/>
                <w:szCs w:val="24"/>
                <w:color w:val="auto"/>
              </w:rPr>
            </w:pPr>
          </w:p>
        </w:tc>
      </w:tr>
      <w:tr>
        <w:trPr>
          <w:trHeight w:val="206"/>
        </w:trPr>
        <w:tc>
          <w:tcPr>
            <w:tcW w:w="4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r>
      <w:tr>
        <w:trPr>
          <w:trHeight w:val="206"/>
        </w:trPr>
        <w:tc>
          <w:tcPr>
            <w:tcW w:w="4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Customer B</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11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r>
      <w:tr>
        <w:trPr>
          <w:trHeight w:val="206"/>
        </w:trPr>
        <w:tc>
          <w:tcPr>
            <w:tcW w:w="4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customers *</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r>
    </w:tbl>
    <w:p>
      <w:pPr>
        <w:spacing w:after="0" w:line="226" w:lineRule="exact"/>
        <w:rPr>
          <w:sz w:val="20"/>
          <w:szCs w:val="20"/>
          <w:color w:val="auto"/>
        </w:rPr>
      </w:pPr>
    </w:p>
    <w:p>
      <w:pPr>
        <w:jc w:val="both"/>
        <w:ind w:left="1580" w:hanging="446"/>
        <w:spacing w:after="0" w:line="269" w:lineRule="auto"/>
        <w:tabs>
          <w:tab w:leader="none" w:pos="15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aggregated revenue to three customers that accounted for between 3% and 9% of total revenue during 2024, to three customers that accounted for between 3% and 9% of total revenue during 2023, and to four customers that accounted for between 4% and 8% of total revenue during 2022.</w:t>
      </w:r>
    </w:p>
    <w:p>
      <w:pPr>
        <w:spacing w:after="0" w:line="202" w:lineRule="exact"/>
        <w:rPr>
          <w:sz w:val="20"/>
          <w:szCs w:val="20"/>
          <w:color w:val="auto"/>
        </w:rPr>
      </w:pPr>
    </w:p>
    <w:p>
      <w:pPr>
        <w:ind w:left="920"/>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b/>
        <w:t>Reportable Segment</w:t>
      </w:r>
    </w:p>
    <w:p>
      <w:pPr>
        <w:spacing w:after="0" w:line="266" w:lineRule="exact"/>
        <w:rPr>
          <w:sz w:val="20"/>
          <w:szCs w:val="20"/>
          <w:color w:val="auto"/>
        </w:rPr>
      </w:pPr>
    </w:p>
    <w:p>
      <w:pPr>
        <w:jc w:val="both"/>
        <w:ind w:left="1260"/>
        <w:spacing w:after="0" w:line="277" w:lineRule="auto"/>
        <w:tabs>
          <w:tab w:leader="none" w:pos="149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believes it is driving its revenues from a single reportable segment, which is its analog foundry operations that is providing semiconductor solutions offering a broad range of process technologies. To provide the capacity and expanded capabilities for its customers, as of December 31, 2024, the Company owns multiple facilities and is sharing capacity and/ or ownership in other facilities as described in Note 1.</w:t>
      </w:r>
    </w:p>
    <w:p>
      <w:pPr>
        <w:spacing w:after="0" w:line="210" w:lineRule="exact"/>
        <w:rPr>
          <w:rFonts w:ascii="Times New Roman" w:cs="Times New Roman" w:eastAsia="Times New Roman" w:hAnsi="Times New Roman"/>
          <w:sz w:val="16"/>
          <w:szCs w:val="16"/>
          <w:color w:val="auto"/>
        </w:rPr>
      </w:pPr>
    </w:p>
    <w:p>
      <w:pPr>
        <w:jc w:val="both"/>
        <w:ind w:left="1260"/>
        <w:spacing w:after="0" w:line="277" w:lineRule="auto"/>
        <w:tabs>
          <w:tab w:leader="none" w:pos="152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Company has a single reportable segment, the accounting policies of the segment are the same as those described in the summary of significant accounting policies. The chief operating decision maker (“CODM”) assesses performance and decides how to allocate resources based on the consolidated results of the Company.</w:t>
      </w:r>
    </w:p>
    <w:p>
      <w:pPr>
        <w:spacing w:after="0" w:line="210" w:lineRule="exact"/>
        <w:rPr>
          <w:rFonts w:ascii="Times New Roman" w:cs="Times New Roman" w:eastAsia="Times New Roman" w:hAnsi="Times New Roman"/>
          <w:sz w:val="16"/>
          <w:szCs w:val="16"/>
          <w:color w:val="auto"/>
        </w:rPr>
      </w:pPr>
    </w:p>
    <w:p>
      <w:pPr>
        <w:ind w:left="1260"/>
        <w:spacing w:after="0" w:line="286" w:lineRule="auto"/>
        <w:tabs>
          <w:tab w:leader="none" w:pos="156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Company has a single reportable segment, its CODM does not allocate resources among segments but is responsible for allocating the entity’s resources. The CODM uses the consolidated measures of profit or loss mostly when assessing performance rather than allocating resources.</w:t>
      </w:r>
    </w:p>
    <w:p>
      <w:pPr>
        <w:spacing w:after="0" w:line="202" w:lineRule="exact"/>
        <w:rPr>
          <w:rFonts w:ascii="Times New Roman" w:cs="Times New Roman" w:eastAsia="Times New Roman" w:hAnsi="Times New Roman"/>
          <w:sz w:val="16"/>
          <w:szCs w:val="16"/>
          <w:color w:val="auto"/>
        </w:rPr>
      </w:pPr>
    </w:p>
    <w:p>
      <w:pPr>
        <w:ind w:left="1540" w:hanging="280"/>
        <w:spacing w:after="0"/>
        <w:tabs>
          <w:tab w:leader="none" w:pos="15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Company has a single reportable segment, it manages its business activities on a consolidated basis.</w:t>
      </w:r>
    </w:p>
    <w:p>
      <w:pPr>
        <w:spacing w:after="0" w:line="263" w:lineRule="exact"/>
        <w:rPr>
          <w:rFonts w:ascii="Times New Roman" w:cs="Times New Roman" w:eastAsia="Times New Roman" w:hAnsi="Times New Roman"/>
          <w:sz w:val="16"/>
          <w:szCs w:val="16"/>
          <w:color w:val="auto"/>
        </w:rPr>
      </w:pPr>
    </w:p>
    <w:p>
      <w:pPr>
        <w:ind w:left="1480" w:hanging="220"/>
        <w:spacing w:after="0"/>
        <w:tabs>
          <w:tab w:leader="none" w:pos="14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chief operating decision maker is the chief executive officer of the Company.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wp:posOffset>
            </wp:positionV>
            <wp:extent cx="714629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16:</w:t>
        <w:tab/>
        <w:t>FINANCING INCOME (EXPENSE), NET</w:t>
      </w:r>
    </w:p>
    <w:p>
      <w:pPr>
        <w:spacing w:after="0" w:line="266" w:lineRule="exact"/>
        <w:rPr>
          <w:sz w:val="20"/>
          <w:szCs w:val="20"/>
          <w:color w:val="auto"/>
        </w:rPr>
      </w:pPr>
    </w:p>
    <w:p>
      <w:pPr>
        <w:jc w:val="right"/>
        <w:ind w:right="2600"/>
        <w:spacing w:after="0"/>
        <w:rPr>
          <w:sz w:val="20"/>
          <w:szCs w:val="20"/>
          <w:color w:val="auto"/>
        </w:rPr>
      </w:pPr>
      <w:r>
        <w:rPr>
          <w:rFonts w:ascii="Times New Roman" w:cs="Times New Roman" w:eastAsia="Times New Roman" w:hAnsi="Times New Roman"/>
          <w:sz w:val="16"/>
          <w:szCs w:val="16"/>
          <w:color w:val="auto"/>
        </w:rPr>
        <w:t>Financing income (expense), net consists of the following for the years ended December 31, 2024, 2023 and 2022:</w:t>
      </w:r>
    </w:p>
    <w:p>
      <w:pPr>
        <w:spacing w:after="0" w:line="252" w:lineRule="exact"/>
        <w:rPr>
          <w:sz w:val="20"/>
          <w:szCs w:val="20"/>
          <w:color w:val="auto"/>
        </w:rPr>
      </w:pPr>
    </w:p>
    <w:tbl>
      <w:tblPr>
        <w:tblLayout w:type="fixed"/>
        <w:tblInd w:w="1300" w:type="dxa"/>
        <w:tblCellMar>
          <w:top w:w="0" w:type="dxa"/>
          <w:left w:w="0" w:type="dxa"/>
          <w:bottom w:w="0" w:type="dxa"/>
          <w:right w:w="0" w:type="dxa"/>
        </w:tblCellMar>
      </w:tblP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39,987</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13,596</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G Debentures amortization, exchange rate and its hedging transactions</w:t>
            </w:r>
          </w:p>
        </w:tc>
        <w:tc>
          <w:tcPr>
            <w:tcW w:w="1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(640)</w:t>
            </w:r>
          </w:p>
        </w:tc>
        <w:tc>
          <w:tcPr>
            <w:tcW w:w="18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(772)</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results</w:t>
            </w: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Exchange rate results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1,013</w:t>
            </w:r>
          </w:p>
        </w:tc>
        <w:tc>
          <w:tcPr>
            <w:tcW w:w="1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(3,986)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Hedging transactions related results</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(7,800)</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(5,153)</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 fair value adjustments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2,944</w:t>
            </w:r>
          </w:p>
        </w:tc>
        <w:tc>
          <w:tcPr>
            <w:tcW w:w="1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(9,225)</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fees and others</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(1,833)</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(3,176)</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(6,693)</w:t>
            </w:r>
          </w:p>
        </w:tc>
        <w:tc>
          <w:tcPr>
            <w:tcW w:w="0" w:type="dxa"/>
            <w:vAlign w:val="bottom"/>
          </w:tcPr>
          <w:p>
            <w:pPr>
              <w:spacing w:after="0"/>
              <w:rPr>
                <w:sz w:val="1"/>
                <w:szCs w:val="1"/>
                <w:color w:val="auto"/>
              </w:rPr>
            </w:pPr>
          </w:p>
        </w:tc>
      </w:tr>
      <w:tr>
        <w:trPr>
          <w:trHeight w:val="24"/>
        </w:trPr>
        <w:tc>
          <w:tcPr>
            <w:tcW w:w="5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5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50,834</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30,531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(12,767)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17:</w:t>
        <w:tab/>
        <w:t>RELATED PARTIES BALANCES AND TRANSACTIONS</w:t>
      </w:r>
    </w:p>
    <w:p>
      <w:pPr>
        <w:spacing w:after="0" w:line="264" w:lineRule="exact"/>
        <w:rPr>
          <w:sz w:val="20"/>
          <w:szCs w:val="20"/>
          <w:color w:val="auto"/>
        </w:rPr>
      </w:pPr>
    </w:p>
    <w:p>
      <w:pPr>
        <w:ind w:left="1280" w:hanging="368"/>
        <w:spacing w:after="0"/>
        <w:tabs>
          <w:tab w:leader="none" w:pos="128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nature of the relationship involved as of December 31, 2024 and 2023:</w:t>
      </w:r>
    </w:p>
    <w:p>
      <w:pPr>
        <w:spacing w:after="0" w:line="252" w:lineRule="exact"/>
        <w:rPr>
          <w:sz w:val="20"/>
          <w:szCs w:val="20"/>
          <w:color w:val="auto"/>
        </w:rPr>
      </w:pPr>
    </w:p>
    <w:tbl>
      <w:tblPr>
        <w:tblLayout w:type="fixed"/>
        <w:tblInd w:w="1300" w:type="dxa"/>
        <w:tblCellMar>
          <w:top w:w="0" w:type="dxa"/>
          <w:left w:w="0" w:type="dxa"/>
          <w:bottom w:w="0" w:type="dxa"/>
          <w:right w:w="0" w:type="dxa"/>
        </w:tblCellMar>
      </w:tblPr>
      <w:tr>
        <w:trPr>
          <w:trHeight w:val="22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39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9"/>
                <w:szCs w:val="19"/>
                <w:color w:val="auto"/>
              </w:rPr>
            </w:pPr>
          </w:p>
        </w:tc>
      </w:tr>
      <w:tr>
        <w:trPr>
          <w:trHeight w:val="20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w:t>
            </w:r>
          </w:p>
        </w:tc>
        <w:tc>
          <w:tcPr>
            <w:tcW w:w="39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Equity investment in a limited partnership</w:t>
            </w:r>
          </w:p>
        </w:tc>
        <w:tc>
          <w:tcPr>
            <w:tcW w:w="2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ind w:left="1260" w:hanging="348"/>
        <w:spacing w:after="0"/>
        <w:tabs>
          <w:tab w:leader="none" w:pos="126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Transactions</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Description of the transactions for the years ended December 31, 2024, 2023 and 2022:</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Description of the transactions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177"/>
        </w:trPr>
        <w:tc>
          <w:tcPr>
            <w:tcW w:w="1300" w:type="dxa"/>
            <w:vAlign w:val="bottom"/>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Directors’ fees and reimbursement to</w:t>
            </w:r>
          </w:p>
        </w:tc>
        <w:tc>
          <w:tcPr>
            <w:tcW w:w="8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tcPr>
          <w:p>
            <w:pPr>
              <w:spacing w:after="0"/>
              <w:rPr>
                <w:sz w:val="15"/>
                <w:szCs w:val="15"/>
                <w:color w:val="auto"/>
              </w:rPr>
            </w:pPr>
          </w:p>
        </w:tc>
      </w:tr>
      <w:tr>
        <w:trPr>
          <w:trHeight w:val="222"/>
        </w:trPr>
        <w:tc>
          <w:tcPr>
            <w:tcW w:w="1300" w:type="dxa"/>
            <w:vAlign w:val="bottom"/>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w:t>
            </w:r>
          </w:p>
        </w:tc>
        <w:tc>
          <w:tcPr>
            <w:tcW w:w="7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1"/>
              </w:rPr>
              <w:t>804</w:t>
            </w:r>
          </w:p>
        </w:tc>
        <w:tc>
          <w:tcPr>
            <w:tcW w:w="6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780</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696</w:t>
            </w:r>
          </w:p>
        </w:tc>
        <w:tc>
          <w:tcPr>
            <w:tcW w:w="1500" w:type="dxa"/>
            <w:vAlign w:val="bottom"/>
          </w:tcPr>
          <w:p>
            <w:pPr>
              <w:spacing w:after="0"/>
              <w:rPr>
                <w:sz w:val="19"/>
                <w:szCs w:val="19"/>
                <w:color w:val="auto"/>
              </w:rPr>
            </w:pPr>
          </w:p>
        </w:tc>
      </w:tr>
      <w:tr>
        <w:trPr>
          <w:trHeight w:val="520"/>
        </w:trPr>
        <w:tc>
          <w:tcPr>
            <w:tcW w:w="1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0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F - 45</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65"/>
        </w:trPr>
        <w:tc>
          <w:tcPr>
            <w:tcW w:w="1300" w:type="dxa"/>
            <w:vAlign w:val="bottom"/>
            <w:tcBorders>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bl>
    <w:p>
      <w:pPr>
        <w:sectPr>
          <w:pgSz w:w="11900" w:h="16838" w:orient="portrait"/>
          <w:cols w:equalWidth="0" w:num="1">
            <w:col w:w="11260"/>
          </w:cols>
          <w:pgMar w:left="320" w:top="335"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AS OF DECEMBER 31, 2024</w:t>
      </w: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18:</w:t>
      </w:r>
      <w:r>
        <w:rPr>
          <w:sz w:val="20"/>
          <w:szCs w:val="20"/>
          <w:color w:val="auto"/>
        </w:rPr>
        <w:tab/>
      </w:r>
      <w:r>
        <w:rPr>
          <w:rFonts w:ascii="Times New Roman" w:cs="Times New Roman" w:eastAsia="Times New Roman" w:hAnsi="Times New Roman"/>
          <w:sz w:val="15"/>
          <w:szCs w:val="15"/>
          <w:b w:val="1"/>
          <w:bCs w:val="1"/>
          <w:color w:val="auto"/>
        </w:rPr>
        <w:t>INCOME TAX</w:t>
      </w:r>
    </w:p>
    <w:p>
      <w:pPr>
        <w:spacing w:after="0" w:line="264" w:lineRule="exact"/>
        <w:rPr>
          <w:sz w:val="20"/>
          <w:szCs w:val="20"/>
          <w:color w:val="auto"/>
        </w:rPr>
      </w:pPr>
    </w:p>
    <w:p>
      <w:pPr>
        <w:ind w:left="1280" w:hanging="368"/>
        <w:spacing w:after="0"/>
        <w:tabs>
          <w:tab w:leader="none" w:pos="1280" w:val="left"/>
        </w:tabs>
        <w:numPr>
          <w:ilvl w:val="1"/>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Tower Statutory Income Rates</w:t>
      </w:r>
    </w:p>
    <w:p>
      <w:pPr>
        <w:spacing w:after="0" w:line="253" w:lineRule="exact"/>
        <w:rPr>
          <w:rFonts w:ascii="Times New Roman" w:cs="Times New Roman" w:eastAsia="Times New Roman" w:hAnsi="Times New Roman"/>
          <w:sz w:val="16"/>
          <w:szCs w:val="16"/>
          <w:b w:val="1"/>
          <w:bCs w:val="1"/>
          <w:color w:val="auto"/>
        </w:rPr>
      </w:pPr>
    </w:p>
    <w:p>
      <w:pPr>
        <w:jc w:val="both"/>
        <w:ind w:left="1260" w:right="20" w:firstLine="5"/>
        <w:spacing w:after="0" w:line="28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Pursuant to Amendment 73 to the Israeli Investment Law adopted in 2017 and since Tower is an Israeli industrial company located in Migdal Ha’emek, Israel, it meets the conditions for “Preferred Enterprises” and as such is entitled to an income tax rate of 7.5%. Any portion of Tower’s taxable income that is not eligible for Preferred Enterprise benefits, if at all, is to be taxed at the Israeli statutory corporate income tax rate of 23%.</w:t>
      </w:r>
    </w:p>
    <w:p>
      <w:pPr>
        <w:spacing w:after="0" w:line="189" w:lineRule="exact"/>
        <w:rPr>
          <w:rFonts w:ascii="Times New Roman" w:cs="Times New Roman" w:eastAsia="Times New Roman" w:hAnsi="Times New Roman"/>
          <w:sz w:val="16"/>
          <w:szCs w:val="16"/>
          <w:b w:val="1"/>
          <w:bCs w:val="1"/>
          <w:color w:val="auto"/>
        </w:rPr>
      </w:pPr>
    </w:p>
    <w:p>
      <w:pPr>
        <w:ind w:left="1240" w:hanging="340"/>
        <w:spacing w:after="0"/>
        <w:tabs>
          <w:tab w:leader="none" w:pos="124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 Expense, Net</w:t>
      </w:r>
    </w:p>
    <w:p>
      <w:pPr>
        <w:spacing w:after="0" w:line="265" w:lineRule="exact"/>
        <w:rPr>
          <w:rFonts w:ascii="Times New Roman" w:cs="Times New Roman" w:eastAsia="Times New Roman" w:hAnsi="Times New Roman"/>
          <w:sz w:val="16"/>
          <w:szCs w:val="16"/>
          <w:b w:val="1"/>
          <w:bCs w:val="1"/>
          <w:color w:val="auto"/>
        </w:rPr>
      </w:pPr>
    </w:p>
    <w:p>
      <w:pPr>
        <w:jc w:val="both"/>
        <w:ind w:left="1260" w:right="20" w:firstLine="5"/>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provision for income tax is affected by income tax in a multinational tax environment. The income tax provision is an estimate determined based on current enacted tax laws and tax rates at each of its geographic locations, with the use of acceptable allocation methodologies based upon the Company’s organizational structure, operations and business mode of work, resulting in applicable taxable income attributable to each of the locations the Company operates in.</w:t>
      </w: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Company’s income tax provision consists of the following for the years ended December 31, 2024, 2023 and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06"/>
        </w:trPr>
        <w:tc>
          <w:tcPr>
            <w:tcW w:w="130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tax expense:</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Local</w:t>
            </w:r>
          </w:p>
        </w:tc>
        <w:tc>
          <w:tcPr>
            <w:tcW w:w="2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17,431</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13,374</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13,167</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Local</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(17,141)</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62,748</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21,550</w:t>
            </w: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(10,810)</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(9,215)</w:t>
            </w:r>
          </w:p>
        </w:tc>
        <w:tc>
          <w:tcPr>
            <w:tcW w:w="1500" w:type="dxa"/>
            <w:vAlign w:val="bottom"/>
          </w:tcPr>
          <w:p>
            <w:pPr>
              <w:spacing w:after="0"/>
              <w:rPr>
                <w:sz w:val="18"/>
                <w:szCs w:val="18"/>
                <w:color w:val="auto"/>
              </w:rPr>
            </w:pPr>
          </w:p>
        </w:tc>
      </w:tr>
      <w:tr>
        <w:trPr>
          <w:trHeight w:val="246"/>
        </w:trPr>
        <w:tc>
          <w:tcPr>
            <w:tcW w:w="130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net</w:t>
            </w:r>
          </w:p>
        </w:tc>
        <w:tc>
          <w:tcPr>
            <w:tcW w:w="2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25,502</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Pr>
          <w:p>
            <w:pPr>
              <w:spacing w:after="0"/>
              <w:rPr>
                <w:sz w:val="21"/>
                <w:szCs w:val="21"/>
                <w:color w:val="auto"/>
              </w:rPr>
            </w:pPr>
          </w:p>
        </w:tc>
      </w:tr>
      <w:tr>
        <w:trPr>
          <w:trHeight w:val="440"/>
        </w:trPr>
        <w:tc>
          <w:tcPr>
            <w:tcW w:w="13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2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6"/>
        </w:trPr>
        <w:tc>
          <w:tcPr>
            <w:tcW w:w="130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 (loss) before taxes:</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Local</w:t>
            </w:r>
          </w:p>
        </w:tc>
        <w:tc>
          <w:tcPr>
            <w:tcW w:w="2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242,879</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588,453</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295,438</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(25,452)</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(3,611)</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(3,465)</w:t>
            </w:r>
          </w:p>
        </w:tc>
        <w:tc>
          <w:tcPr>
            <w:tcW w:w="1500" w:type="dxa"/>
            <w:vAlign w:val="bottom"/>
          </w:tcPr>
          <w:p>
            <w:pPr>
              <w:spacing w:after="0"/>
              <w:rPr>
                <w:sz w:val="17"/>
                <w:szCs w:val="17"/>
                <w:color w:val="auto"/>
              </w:rPr>
            </w:pPr>
          </w:p>
        </w:tc>
      </w:tr>
      <w:tr>
        <w:trPr>
          <w:trHeight w:val="24"/>
        </w:trPr>
        <w:tc>
          <w:tcPr>
            <w:tcW w:w="1300" w:type="dxa"/>
            <w:vAlign w:val="bottom"/>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tcPr>
          <w:p>
            <w:pPr>
              <w:spacing w:after="0"/>
              <w:rPr>
                <w:sz w:val="2"/>
                <w:szCs w:val="2"/>
                <w:color w:val="auto"/>
              </w:rPr>
            </w:pPr>
          </w:p>
        </w:tc>
      </w:tr>
      <w:tr>
        <w:trPr>
          <w:trHeight w:val="206"/>
        </w:trPr>
        <w:tc>
          <w:tcPr>
            <w:tcW w:w="130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Total profit (loss) before taxes</w:t>
            </w:r>
          </w:p>
        </w:tc>
        <w:tc>
          <w:tcPr>
            <w:tcW w:w="26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217,427</w:t>
            </w:r>
          </w:p>
        </w:tc>
        <w:tc>
          <w:tcPr>
            <w:tcW w:w="16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584,842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291,973</w:t>
            </w:r>
          </w:p>
        </w:tc>
        <w:tc>
          <w:tcPr>
            <w:tcW w:w="15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545"/>
        </w:trPr>
        <w:tc>
          <w:tcPr>
            <w:tcW w:w="1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00" w:type="dxa"/>
            <w:vAlign w:val="bottom"/>
            <w:gridSpan w:val="2"/>
          </w:tcPr>
          <w:p>
            <w:pPr>
              <w:jc w:val="right"/>
              <w:ind w:right="1079"/>
              <w:spacing w:after="0"/>
              <w:rPr>
                <w:sz w:val="20"/>
                <w:szCs w:val="20"/>
                <w:color w:val="auto"/>
              </w:rPr>
            </w:pPr>
            <w:r>
              <w:rPr>
                <w:rFonts w:ascii="Times New Roman" w:cs="Times New Roman" w:eastAsia="Times New Roman" w:hAnsi="Times New Roman"/>
                <w:sz w:val="16"/>
                <w:szCs w:val="16"/>
                <w:color w:val="auto"/>
              </w:rPr>
              <w:t>F - 46</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7"/>
        </w:trPr>
        <w:tc>
          <w:tcPr>
            <w:tcW w:w="130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35"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18:</w:t>
      </w:r>
      <w:r>
        <w:rPr>
          <w:sz w:val="20"/>
          <w:szCs w:val="20"/>
          <w:color w:val="auto"/>
        </w:rPr>
        <w:tab/>
      </w:r>
      <w:r>
        <w:rPr>
          <w:rFonts w:ascii="Times New Roman" w:cs="Times New Roman" w:eastAsia="Times New Roman" w:hAnsi="Times New Roman"/>
          <w:sz w:val="15"/>
          <w:szCs w:val="15"/>
          <w:b w:val="1"/>
          <w:bCs w:val="1"/>
          <w:color w:val="auto"/>
        </w:rPr>
        <w:t>INCOME TAX (continued)</w:t>
      </w:r>
    </w:p>
    <w:p>
      <w:pPr>
        <w:spacing w:after="0" w:line="264" w:lineRule="exact"/>
        <w:rPr>
          <w:sz w:val="20"/>
          <w:szCs w:val="20"/>
          <w:color w:val="auto"/>
        </w:rPr>
      </w:pPr>
    </w:p>
    <w:p>
      <w:pPr>
        <w:ind w:left="1280" w:hanging="368"/>
        <w:spacing w:after="0"/>
        <w:tabs>
          <w:tab w:leader="none" w:pos="128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Components of Deferred Tax Asset/Liability</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The following is a summary of the components of the deferred tax assets and liabilities reflected in the balance sheets as of December 31, 2024 and 2023:</w:t>
      </w: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Details</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9"/>
                <w:szCs w:val="19"/>
                <w:color w:val="auto"/>
              </w:rPr>
            </w:pPr>
          </w:p>
        </w:tc>
      </w:tr>
      <w:tr>
        <w:trPr>
          <w:trHeight w:val="20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 and liability - long-term:</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operating loss carryforward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7,397</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9,889</w:t>
            </w:r>
          </w:p>
        </w:tc>
      </w:tr>
      <w:tr>
        <w:trPr>
          <w:trHeight w:val="206"/>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Employees compensation</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9,675</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7,853</w:t>
            </w:r>
          </w:p>
        </w:tc>
      </w:tr>
      <w:tr>
        <w:trPr>
          <w:trHeight w:val="20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Accruals and allowances</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11,355</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10,997</w:t>
            </w:r>
          </w:p>
        </w:tc>
      </w:tr>
      <w:tr>
        <w:trPr>
          <w:trHeight w:val="206"/>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credit</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24,689</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24,677</w:t>
            </w:r>
          </w:p>
        </w:tc>
      </w:tr>
      <w:tr>
        <w:trPr>
          <w:trHeight w:val="20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including Section 174 under U.S. Internal Revenue Code</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27,732</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19,582</w:t>
            </w:r>
          </w:p>
        </w:tc>
      </w:tr>
      <w:tr>
        <w:trPr>
          <w:trHeight w:val="206"/>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9,617</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12,199</w:t>
            </w:r>
          </w:p>
        </w:tc>
      </w:tr>
      <w:tr>
        <w:trPr>
          <w:trHeight w:val="210"/>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91,117</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87,319</w:t>
            </w: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Valuation allowance, see Note 18F below</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(31,613)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(20,238)</w:t>
            </w:r>
          </w:p>
        </w:tc>
      </w:tr>
      <w:tr>
        <w:trPr>
          <w:trHeight w:val="206"/>
        </w:trPr>
        <w:tc>
          <w:tcPr>
            <w:tcW w:w="6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59,504</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67,081</w:t>
            </w:r>
          </w:p>
        </w:tc>
        <w:tc>
          <w:tcPr>
            <w:tcW w:w="80" w:type="dxa"/>
            <w:vAlign w:val="bottom"/>
            <w:tcBorders>
              <w:top w:val="single" w:sz="8" w:color="CCEEFF"/>
            </w:tcBorders>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 long-term:</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6"/>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(64,859)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(72,254)</w:t>
            </w:r>
          </w:p>
        </w:tc>
      </w:tr>
      <w:tr>
        <w:trPr>
          <w:trHeight w:val="20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ROU - assets under operating leases</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(1,131)</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(1,609)</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(801)</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(838)</w:t>
            </w:r>
          </w:p>
        </w:tc>
      </w:tr>
      <w:tr>
        <w:trPr>
          <w:trHeight w:val="246"/>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82"/>
        </w:trPr>
        <w:tc>
          <w:tcPr>
            <w:tcW w:w="6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spacing w:after="0"/>
              <w:rPr>
                <w:sz w:val="15"/>
                <w:szCs w:val="15"/>
                <w:color w:val="auto"/>
              </w:rPr>
            </w:pPr>
          </w:p>
        </w:tc>
      </w:tr>
      <w:tr>
        <w:trPr>
          <w:trHeight w:val="246"/>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Presented in long term deferred tax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4"/>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Presented in long term deferred tax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(9,055)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(9,430)</w:t>
            </w:r>
          </w:p>
        </w:tc>
      </w:tr>
      <w:tr>
        <w:trPr>
          <w:trHeight w:val="20"/>
        </w:trPr>
        <w:tc>
          <w:tcPr>
            <w:tcW w:w="6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1280" w:hanging="368"/>
        <w:spacing w:after="0"/>
        <w:tabs>
          <w:tab w:leader="none" w:pos="128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Unrecognized Tax Benefit</w:t>
      </w:r>
    </w:p>
    <w:p>
      <w:pPr>
        <w:spacing w:after="0" w:line="265"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reconciliation of the beginning and ending amount of unrecognized tax benefits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Unrecognized</w:t>
            </w:r>
          </w:p>
        </w:tc>
        <w:tc>
          <w:tcPr>
            <w:tcW w:w="1500" w:type="dxa"/>
            <w:vAlign w:val="bottom"/>
          </w:tcPr>
          <w:p>
            <w:pPr>
              <w:spacing w:after="0"/>
              <w:rPr>
                <w:sz w:val="16"/>
                <w:szCs w:val="16"/>
                <w:color w:val="auto"/>
              </w:rPr>
            </w:pPr>
          </w:p>
        </w:tc>
      </w:tr>
      <w:tr>
        <w:trPr>
          <w:trHeight w:val="226"/>
        </w:trPr>
        <w:tc>
          <w:tcPr>
            <w:tcW w:w="13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3740" w:type="dxa"/>
            <w:vAlign w:val="bottom"/>
          </w:tcPr>
          <w:p>
            <w:pPr>
              <w:spacing w:after="0"/>
              <w:rPr>
                <w:sz w:val="19"/>
                <w:szCs w:val="19"/>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tax benefits</w:t>
            </w:r>
          </w:p>
        </w:tc>
        <w:tc>
          <w:tcPr>
            <w:tcW w:w="1500" w:type="dxa"/>
            <w:vAlign w:val="bottom"/>
          </w:tcPr>
          <w:p>
            <w:pPr>
              <w:spacing w:after="0"/>
              <w:rPr>
                <w:sz w:val="19"/>
                <w:szCs w:val="19"/>
                <w:color w:val="auto"/>
              </w:rPr>
            </w:pPr>
          </w:p>
        </w:tc>
      </w:tr>
      <w:tr>
        <w:trPr>
          <w:trHeight w:val="206"/>
        </w:trPr>
        <w:tc>
          <w:tcPr>
            <w:tcW w:w="130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374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9,217</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Additions for tax positions of current year</w:t>
            </w: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Reduction due to statute of limitations of prior years</w:t>
            </w:r>
          </w:p>
        </w:tc>
        <w:tc>
          <w:tcPr>
            <w:tcW w:w="37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500" w:type="dxa"/>
            <w:vAlign w:val="bottom"/>
          </w:tcPr>
          <w:p>
            <w:pPr>
              <w:spacing w:after="0"/>
              <w:rPr>
                <w:sz w:val="17"/>
                <w:szCs w:val="17"/>
                <w:color w:val="auto"/>
              </w:rPr>
            </w:pPr>
          </w:p>
        </w:tc>
      </w:tr>
      <w:tr>
        <w:trPr>
          <w:trHeight w:val="24"/>
        </w:trPr>
        <w:tc>
          <w:tcPr>
            <w:tcW w:w="1300" w:type="dxa"/>
            <w:vAlign w:val="bottom"/>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374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500" w:type="dxa"/>
            <w:vAlign w:val="bottom"/>
          </w:tcPr>
          <w:p>
            <w:pPr>
              <w:spacing w:after="0"/>
              <w:rPr>
                <w:sz w:val="2"/>
                <w:szCs w:val="2"/>
                <w:color w:val="auto"/>
              </w:rPr>
            </w:pPr>
          </w:p>
        </w:tc>
      </w:tr>
      <w:tr>
        <w:trPr>
          <w:trHeight w:val="206"/>
        </w:trPr>
        <w:tc>
          <w:tcPr>
            <w:tcW w:w="130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3740" w:type="dxa"/>
            <w:vAlign w:val="bottom"/>
          </w:tcPr>
          <w:p>
            <w:pPr>
              <w:spacing w:after="0"/>
              <w:rPr>
                <w:sz w:val="17"/>
                <w:szCs w:val="17"/>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8,944</w:t>
            </w:r>
          </w:p>
        </w:tc>
        <w:tc>
          <w:tcPr>
            <w:tcW w:w="15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08"/>
        </w:trPr>
        <w:tc>
          <w:tcPr>
            <w:tcW w:w="1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Unrecognized</w:t>
            </w:r>
          </w:p>
        </w:tc>
        <w:tc>
          <w:tcPr>
            <w:tcW w:w="1500" w:type="dxa"/>
            <w:vAlign w:val="bottom"/>
          </w:tcPr>
          <w:p>
            <w:pPr>
              <w:spacing w:after="0"/>
              <w:rPr>
                <w:sz w:val="24"/>
                <w:szCs w:val="24"/>
                <w:color w:val="auto"/>
              </w:rPr>
            </w:pPr>
          </w:p>
        </w:tc>
      </w:tr>
      <w:tr>
        <w:trPr>
          <w:trHeight w:val="226"/>
        </w:trPr>
        <w:tc>
          <w:tcPr>
            <w:tcW w:w="13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3740" w:type="dxa"/>
            <w:vAlign w:val="bottom"/>
          </w:tcPr>
          <w:p>
            <w:pPr>
              <w:spacing w:after="0"/>
              <w:rPr>
                <w:sz w:val="19"/>
                <w:szCs w:val="19"/>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tax benefits</w:t>
            </w:r>
          </w:p>
        </w:tc>
        <w:tc>
          <w:tcPr>
            <w:tcW w:w="1500" w:type="dxa"/>
            <w:vAlign w:val="bottom"/>
          </w:tcPr>
          <w:p>
            <w:pPr>
              <w:spacing w:after="0"/>
              <w:rPr>
                <w:sz w:val="19"/>
                <w:szCs w:val="19"/>
                <w:color w:val="auto"/>
              </w:rPr>
            </w:pPr>
          </w:p>
        </w:tc>
      </w:tr>
      <w:tr>
        <w:trPr>
          <w:trHeight w:val="206"/>
        </w:trPr>
        <w:tc>
          <w:tcPr>
            <w:tcW w:w="130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2023</w:t>
            </w:r>
          </w:p>
        </w:tc>
        <w:tc>
          <w:tcPr>
            <w:tcW w:w="3740" w:type="dxa"/>
            <w:vAlign w:val="bottom"/>
            <w:tcBorders>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8,490</w:t>
            </w:r>
          </w:p>
        </w:tc>
        <w:tc>
          <w:tcPr>
            <w:tcW w:w="1500" w:type="dxa"/>
            <w:vAlign w:val="bottom"/>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Additions for tax positions of current year</w:t>
            </w: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500" w:type="dxa"/>
            <w:vAlign w:val="bottom"/>
          </w:tcPr>
          <w:p>
            <w:pPr>
              <w:spacing w:after="0"/>
              <w:rPr>
                <w:sz w:val="17"/>
                <w:szCs w:val="17"/>
                <w:color w:val="auto"/>
              </w:rPr>
            </w:pPr>
          </w:p>
        </w:tc>
      </w:tr>
      <w:tr>
        <w:trPr>
          <w:trHeight w:val="210"/>
        </w:trPr>
        <w:tc>
          <w:tcPr>
            <w:tcW w:w="130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Reduction due to statute of limitations of prior years</w:t>
            </w:r>
          </w:p>
        </w:tc>
        <w:tc>
          <w:tcPr>
            <w:tcW w:w="3740" w:type="dxa"/>
            <w:vAlign w:val="bottom"/>
            <w:tcBorders>
              <w:bottom w:val="single" w:sz="8" w:color="CCEEFF"/>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r>
      <w:tr>
        <w:trPr>
          <w:trHeight w:val="206"/>
        </w:trPr>
        <w:tc>
          <w:tcPr>
            <w:tcW w:w="130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4000" w:type="dxa"/>
            <w:vAlign w:val="bottom"/>
            <w:gridSpan w:val="2"/>
          </w:tcPr>
          <w:p>
            <w:pPr>
              <w:ind w:left="37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9,217</w:t>
            </w:r>
          </w:p>
        </w:tc>
        <w:tc>
          <w:tcPr>
            <w:tcW w:w="150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508"/>
        </w:trPr>
        <w:tc>
          <w:tcPr>
            <w:tcW w:w="1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F - 47</w:t>
            </w: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7"/>
        </w:trPr>
        <w:tc>
          <w:tcPr>
            <w:tcW w:w="1300" w:type="dxa"/>
            <w:vAlign w:val="bottom"/>
            <w:tcBorders>
              <w:bottom w:val="single" w:sz="8" w:color="auto"/>
            </w:tcBorders>
          </w:tcPr>
          <w:p>
            <w:pPr>
              <w:spacing w:after="0"/>
              <w:rPr>
                <w:sz w:val="6"/>
                <w:szCs w:val="6"/>
                <w:color w:val="auto"/>
              </w:rPr>
            </w:pPr>
          </w:p>
        </w:tc>
        <w:tc>
          <w:tcPr>
            <w:tcW w:w="376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bl>
    <w:p>
      <w:pPr>
        <w:sectPr>
          <w:pgSz w:w="11900" w:h="16838" w:orient="portrait"/>
          <w:cols w:equalWidth="0" w:num="1">
            <w:col w:w="11260"/>
          </w:cols>
          <w:pgMar w:left="320" w:top="371" w:right="31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00" w:type="dxa"/>
            <w:vAlign w:val="bottom"/>
          </w:tcPr>
          <w:p>
            <w:pPr>
              <w:spacing w:after="0"/>
              <w:rPr>
                <w:sz w:val="18"/>
                <w:szCs w:val="18"/>
                <w:color w:val="auto"/>
              </w:rPr>
            </w:pPr>
          </w:p>
        </w:tc>
        <w:tc>
          <w:tcPr>
            <w:tcW w:w="7480" w:type="dxa"/>
            <w:vAlign w:val="bottom"/>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8"/>
              </w:rPr>
              <w:t>TOWER SEMICONDUCTOR LTD. AND SUBSIDIARIES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7480" w:type="dxa"/>
            <w:vAlign w:val="bottom"/>
          </w:tcPr>
          <w:p>
            <w:pPr>
              <w:jc w:val="center"/>
              <w:ind w:left="1076"/>
              <w:spacing w:after="0"/>
              <w:rPr>
                <w:sz w:val="20"/>
                <w:szCs w:val="20"/>
                <w:color w:val="auto"/>
              </w:rPr>
            </w:pPr>
            <w:r>
              <w:rPr>
                <w:rFonts w:ascii="Times New Roman" w:cs="Times New Roman" w:eastAsia="Times New Roman" w:hAnsi="Times New Roman"/>
                <w:sz w:val="18"/>
                <w:szCs w:val="18"/>
                <w:b w:val="1"/>
                <w:bCs w:val="1"/>
                <w:color w:val="auto"/>
                <w:w w:val="97"/>
              </w:rPr>
              <w:t>NOTES TO CONSOLIDATED FINANCIAL STATEMENTS</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0"/>
        </w:trPr>
        <w:tc>
          <w:tcPr>
            <w:tcW w:w="1300" w:type="dxa"/>
            <w:vAlign w:val="bottom"/>
          </w:tcPr>
          <w:p>
            <w:pPr>
              <w:spacing w:after="0"/>
              <w:rPr>
                <w:sz w:val="19"/>
                <w:szCs w:val="19"/>
                <w:color w:val="auto"/>
              </w:rPr>
            </w:pPr>
          </w:p>
        </w:tc>
        <w:tc>
          <w:tcPr>
            <w:tcW w:w="7480" w:type="dxa"/>
            <w:vAlign w:val="bottom"/>
          </w:tcPr>
          <w:p>
            <w:pPr>
              <w:jc w:val="center"/>
              <w:ind w:left="1076"/>
              <w:spacing w:after="0"/>
              <w:rPr>
                <w:sz w:val="20"/>
                <w:szCs w:val="20"/>
                <w:color w:val="auto"/>
              </w:rPr>
            </w:pPr>
            <w:r>
              <w:rPr>
                <w:rFonts w:ascii="Times New Roman" w:cs="Times New Roman" w:eastAsia="Times New Roman" w:hAnsi="Times New Roman"/>
                <w:sz w:val="18"/>
                <w:szCs w:val="18"/>
                <w:b w:val="1"/>
                <w:bCs w:val="1"/>
                <w:color w:val="auto"/>
                <w:w w:val="98"/>
              </w:rPr>
              <w:t>AS OF DECEMBER 31, 2024</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2"/>
        </w:trPr>
        <w:tc>
          <w:tcPr>
            <w:tcW w:w="1300" w:type="dxa"/>
            <w:vAlign w:val="bottom"/>
          </w:tcPr>
          <w:p>
            <w:pPr>
              <w:spacing w:after="0"/>
              <w:rPr>
                <w:sz w:val="20"/>
                <w:szCs w:val="20"/>
                <w:color w:val="auto"/>
              </w:rPr>
            </w:pPr>
          </w:p>
        </w:tc>
        <w:tc>
          <w:tcPr>
            <w:tcW w:w="7480" w:type="dxa"/>
            <w:vAlign w:val="bottom"/>
          </w:tcPr>
          <w:p>
            <w:pPr>
              <w:jc w:val="center"/>
              <w:ind w:left="1076"/>
              <w:spacing w:after="0"/>
              <w:rPr>
                <w:sz w:val="20"/>
                <w:szCs w:val="20"/>
                <w:color w:val="auto"/>
              </w:rPr>
            </w:pPr>
            <w:r>
              <w:rPr>
                <w:rFonts w:ascii="Times New Roman" w:cs="Times New Roman" w:eastAsia="Times New Roman" w:hAnsi="Times New Roman"/>
                <w:sz w:val="18"/>
                <w:szCs w:val="18"/>
                <w:color w:val="auto"/>
                <w:w w:val="98"/>
              </w:rPr>
              <w:t>(dollars in thousands, except per share data)</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0"/>
        </w:trPr>
        <w:tc>
          <w:tcPr>
            <w:tcW w:w="8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18:   INCOME TAX (continued)</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8"/>
        </w:trPr>
        <w:tc>
          <w:tcPr>
            <w:tcW w:w="8780" w:type="dxa"/>
            <w:vAlign w:val="bottom"/>
            <w:gridSpan w:val="2"/>
          </w:tcPr>
          <w:p>
            <w:pPr>
              <w:ind w:left="920"/>
              <w:spacing w:after="0"/>
              <w:rPr>
                <w:sz w:val="20"/>
                <w:szCs w:val="20"/>
                <w:color w:val="auto"/>
              </w:rPr>
            </w:pPr>
            <w:r>
              <w:rPr>
                <w:rFonts w:ascii="Times New Roman" w:cs="Times New Roman" w:eastAsia="Times New Roman" w:hAnsi="Times New Roman"/>
                <w:sz w:val="16"/>
                <w:szCs w:val="16"/>
                <w:b w:val="1"/>
                <w:bCs w:val="1"/>
                <w:color w:val="auto"/>
              </w:rPr>
              <w:t>D.   Unrecognized Tax Benefit (continued)</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Unrecognized</w:t>
            </w:r>
          </w:p>
        </w:tc>
      </w:tr>
      <w:tr>
        <w:trPr>
          <w:trHeight w:val="226"/>
        </w:trPr>
        <w:tc>
          <w:tcPr>
            <w:tcW w:w="130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tax benefits</w:t>
            </w:r>
          </w:p>
        </w:tc>
      </w:tr>
      <w:tr>
        <w:trPr>
          <w:trHeight w:val="206"/>
        </w:trPr>
        <w:tc>
          <w:tcPr>
            <w:tcW w:w="130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2022</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7,763</w:t>
            </w:r>
          </w:p>
        </w:tc>
        <w:tc>
          <w:tcPr>
            <w:tcW w:w="80" w:type="dxa"/>
            <w:vAlign w:val="bottom"/>
            <w:shd w:val="clear" w:color="auto" w:fill="CCEEFF"/>
          </w:tcPr>
          <w:p>
            <w:pPr>
              <w:spacing w:after="0"/>
              <w:rPr>
                <w:sz w:val="17"/>
                <w:szCs w:val="17"/>
                <w:color w:val="auto"/>
              </w:rPr>
            </w:pPr>
          </w:p>
        </w:tc>
      </w:tr>
      <w:tr>
        <w:trPr>
          <w:trHeight w:val="206"/>
        </w:trPr>
        <w:tc>
          <w:tcPr>
            <w:tcW w:w="130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Additions for tax positions of current year</w:t>
            </w:r>
          </w:p>
        </w:tc>
        <w:tc>
          <w:tcPr>
            <w:tcW w:w="3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727</w:t>
            </w:r>
          </w:p>
        </w:tc>
      </w:tr>
      <w:tr>
        <w:trPr>
          <w:trHeight w:val="210"/>
        </w:trPr>
        <w:tc>
          <w:tcPr>
            <w:tcW w:w="130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Reduction due to statute of limitations of prior years</w:t>
            </w: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130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8,490</w:t>
            </w:r>
          </w:p>
        </w:tc>
        <w:tc>
          <w:tcPr>
            <w:tcW w:w="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1260" w:hanging="348"/>
        <w:spacing w:after="0"/>
        <w:tabs>
          <w:tab w:leader="none" w:pos="126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Effective Income Tax</w:t>
      </w:r>
    </w:p>
    <w:p>
      <w:pPr>
        <w:spacing w:after="0" w:line="253"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reconciliation of the Israeli statutory income tax rate to the effective tax rate for the years ended December 31, 2024, 2023 and 2022:</w:t>
      </w:r>
    </w:p>
    <w:p>
      <w:pPr>
        <w:spacing w:after="0" w:line="264" w:lineRule="exact"/>
        <w:rPr>
          <w:sz w:val="20"/>
          <w:szCs w:val="20"/>
          <w:color w:val="auto"/>
        </w:rPr>
      </w:pPr>
    </w:p>
    <w:tbl>
      <w:tblPr>
        <w:tblLayout w:type="fixed"/>
        <w:tblInd w:w="1300" w:type="dxa"/>
        <w:tblCellMar>
          <w:top w:w="0" w:type="dxa"/>
          <w:left w:w="0" w:type="dxa"/>
          <w:bottom w:w="0" w:type="dxa"/>
          <w:right w:w="0" w:type="dxa"/>
        </w:tblCellMar>
      </w:tblP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Details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expense computed at statutory rates, see (*) below</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134,514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Effect of different tax rates in different jurisdictions and Preferred Enterprise</w:t>
            </w:r>
          </w:p>
        </w:tc>
        <w:tc>
          <w:tcPr>
            <w:tcW w:w="180" w:type="dxa"/>
            <w:vAlign w:val="bottom"/>
          </w:tcPr>
          <w:p>
            <w:pPr>
              <w:spacing w:after="0"/>
              <w:rPr>
                <w:sz w:val="16"/>
                <w:szCs w:val="16"/>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(36,588)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(89,487)</w:t>
            </w:r>
          </w:p>
        </w:tc>
        <w:tc>
          <w:tcPr>
            <w:tcW w:w="180" w:type="dxa"/>
            <w:vAlign w:val="bottom"/>
          </w:tcPr>
          <w:p>
            <w:pPr>
              <w:spacing w:after="0"/>
              <w:rPr>
                <w:sz w:val="16"/>
                <w:szCs w:val="16"/>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(46,012)</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Benefit</w:t>
            </w: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2,697</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5,911</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Permanent differences and other, net</w:t>
            </w: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17,588</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246"/>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10,205</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 The tax expense was computed based on the Israeli statutory corporate income tax rate of 23%.</w:t>
      </w:r>
    </w:p>
    <w:p>
      <w:pPr>
        <w:spacing w:after="0" w:line="261" w:lineRule="exact"/>
        <w:rPr>
          <w:sz w:val="20"/>
          <w:szCs w:val="20"/>
          <w:color w:val="auto"/>
        </w:rPr>
      </w:pPr>
    </w:p>
    <w:p>
      <w:pPr>
        <w:ind w:left="1280" w:hanging="368"/>
        <w:spacing w:after="0"/>
        <w:tabs>
          <w:tab w:leader="none" w:pos="1280"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 Operating Loss Carryforward</w:t>
      </w:r>
    </w:p>
    <w:p>
      <w:pPr>
        <w:spacing w:after="0" w:line="253"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Tower had no net operating loss carryforward.</w:t>
      </w:r>
    </w:p>
    <w:p>
      <w:pPr>
        <w:spacing w:after="0" w:line="263" w:lineRule="exact"/>
        <w:rPr>
          <w:rFonts w:ascii="Times New Roman" w:cs="Times New Roman" w:eastAsia="Times New Roman" w:hAnsi="Times New Roman"/>
          <w:sz w:val="16"/>
          <w:szCs w:val="16"/>
          <w:b w:val="1"/>
          <w:bCs w:val="1"/>
          <w:color w:val="auto"/>
        </w:rPr>
      </w:pPr>
    </w:p>
    <w:p>
      <w:pPr>
        <w:jc w:val="both"/>
        <w:ind w:left="1260" w:firstLine="5"/>
        <w:spacing w:after="0" w:line="27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Tower US Holdings had U.S. federal net operating loss carryforwards of approximately $29,000 of which approximately $21,000 does not expire and is subject to an annual taxable income limitation of 80%. The remaining federal tax loss carryforward of $8,000 will expire in 2028, unless previously utilized.</w:t>
      </w:r>
    </w:p>
    <w:p>
      <w:pPr>
        <w:spacing w:after="0" w:line="210" w:lineRule="exact"/>
        <w:rPr>
          <w:rFonts w:ascii="Times New Roman" w:cs="Times New Roman" w:eastAsia="Times New Roman" w:hAnsi="Times New Roman"/>
          <w:sz w:val="16"/>
          <w:szCs w:val="16"/>
          <w:b w:val="1"/>
          <w:bCs w:val="1"/>
          <w:color w:val="auto"/>
        </w:rPr>
      </w:pPr>
    </w:p>
    <w:p>
      <w:pPr>
        <w:ind w:left="1260" w:firstLine="5"/>
        <w:spacing w:after="0" w:line="28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Tower US Holdings had a California state net operating loss carryforward of approximately $11,000. The state tax loss carryforward will begin to expire in 2029, unless previously utilized.</w:t>
      </w:r>
    </w:p>
    <w:p>
      <w:pPr>
        <w:spacing w:after="0" w:line="202" w:lineRule="exact"/>
        <w:rPr>
          <w:rFonts w:ascii="Times New Roman" w:cs="Times New Roman" w:eastAsia="Times New Roman" w:hAnsi="Times New Roman"/>
          <w:sz w:val="16"/>
          <w:szCs w:val="16"/>
          <w:b w:val="1"/>
          <w:bCs w:val="1"/>
          <w:color w:val="auto"/>
        </w:rPr>
      </w:pPr>
    </w:p>
    <w:p>
      <w:pPr>
        <w:ind w:left="126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US Holdings recorded a valuation allowance thereby reducing the deferred tax asset balances of the U.S. federal and state net operating loss carryforward.</w:t>
      </w:r>
    </w:p>
    <w:p>
      <w:pPr>
        <w:spacing w:after="0" w:line="179"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TPSCo had no net operating loss carryforward.</w:t>
      </w:r>
    </w:p>
    <w:p>
      <w:pPr>
        <w:spacing w:after="0" w:line="263"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TSIT had net operating loss carryforward of approximately $5,500</w:t>
      </w:r>
    </w:p>
    <w:p>
      <w:pPr>
        <w:spacing w:after="0" w:line="263"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TSIT recorded a valuation allowance thereby reducing the deferred tax asset balances of net operating loss carryforward.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62865</wp:posOffset>
            </wp:positionV>
            <wp:extent cx="714629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6"/>
          <w:szCs w:val="16"/>
          <w:b w:val="1"/>
          <w:bCs w:val="1"/>
          <w:color w:val="auto"/>
        </w:rPr>
        <w:t>NOTE 18:</w:t>
      </w:r>
      <w:r>
        <w:rPr>
          <w:sz w:val="20"/>
          <w:szCs w:val="20"/>
          <w:color w:val="auto"/>
        </w:rPr>
        <w:tab/>
      </w:r>
      <w:r>
        <w:rPr>
          <w:rFonts w:ascii="Times New Roman" w:cs="Times New Roman" w:eastAsia="Times New Roman" w:hAnsi="Times New Roman"/>
          <w:sz w:val="15"/>
          <w:szCs w:val="15"/>
          <w:b w:val="1"/>
          <w:bCs w:val="1"/>
          <w:color w:val="auto"/>
        </w:rPr>
        <w:t>INCOME TAX (continued)</w:t>
      </w:r>
    </w:p>
    <w:p>
      <w:pPr>
        <w:spacing w:after="0" w:line="264" w:lineRule="exact"/>
        <w:rPr>
          <w:sz w:val="20"/>
          <w:szCs w:val="20"/>
          <w:color w:val="auto"/>
        </w:rPr>
      </w:pPr>
    </w:p>
    <w:p>
      <w:pPr>
        <w:ind w:left="1280" w:hanging="368"/>
        <w:spacing w:after="0"/>
        <w:tabs>
          <w:tab w:leader="none" w:pos="128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Final Tax Assessments</w:t>
      </w:r>
    </w:p>
    <w:p>
      <w:pPr>
        <w:spacing w:after="0" w:line="265" w:lineRule="exact"/>
        <w:rPr>
          <w:rFonts w:ascii="Times New Roman" w:cs="Times New Roman" w:eastAsia="Times New Roman" w:hAnsi="Times New Roman"/>
          <w:sz w:val="16"/>
          <w:szCs w:val="16"/>
          <w:b w:val="1"/>
          <w:bCs w:val="1"/>
          <w:color w:val="auto"/>
        </w:rPr>
      </w:pPr>
    </w:p>
    <w:p>
      <w:pPr>
        <w:ind w:left="12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possesses final tax assessments through the year 2021.</w:t>
      </w:r>
    </w:p>
    <w:p>
      <w:pPr>
        <w:spacing w:after="0" w:line="251" w:lineRule="exact"/>
        <w:rPr>
          <w:rFonts w:ascii="Times New Roman" w:cs="Times New Roman" w:eastAsia="Times New Roman" w:hAnsi="Times New Roman"/>
          <w:sz w:val="16"/>
          <w:szCs w:val="16"/>
          <w:b w:val="1"/>
          <w:bCs w:val="1"/>
          <w:color w:val="auto"/>
        </w:rPr>
      </w:pPr>
    </w:p>
    <w:p>
      <w:pPr>
        <w:ind w:left="1260" w:right="20" w:firstLine="5"/>
        <w:spacing w:after="0" w:line="30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Tower US Holdings files a consolidated tax return, including TSNB and TSSA. Tower US Holdings and its subsidiaries are subject to U.S. federal income tax as well as income tax in multiple states.</w:t>
      </w:r>
    </w:p>
    <w:p>
      <w:pPr>
        <w:spacing w:after="0" w:line="191" w:lineRule="exact"/>
        <w:rPr>
          <w:rFonts w:ascii="Times New Roman" w:cs="Times New Roman" w:eastAsia="Times New Roman" w:hAnsi="Times New Roman"/>
          <w:sz w:val="16"/>
          <w:szCs w:val="16"/>
          <w:b w:val="1"/>
          <w:bCs w:val="1"/>
          <w:color w:val="auto"/>
        </w:rPr>
      </w:pPr>
    </w:p>
    <w:p>
      <w:pPr>
        <w:jc w:val="both"/>
        <w:ind w:left="1260" w:firstLine="5"/>
        <w:spacing w:after="0" w:line="2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general, Tower US Holdings is no longer subject to U.S. federal income tax examinations for any of the years before 2021 and state and other U.S. local income tax examinations for any of the years before 2020.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200" w:lineRule="exact"/>
        <w:rPr>
          <w:rFonts w:ascii="Times New Roman" w:cs="Times New Roman" w:eastAsia="Times New Roman" w:hAnsi="Times New Roman"/>
          <w:sz w:val="16"/>
          <w:szCs w:val="16"/>
          <w:b w:val="1"/>
          <w:bCs w:val="1"/>
          <w:color w:val="auto"/>
        </w:rPr>
      </w:pPr>
    </w:p>
    <w:p>
      <w:pPr>
        <w:ind w:left="1260" w:right="5460"/>
        <w:spacing w:after="0" w:line="57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TPSCo possesses final income tax assessments through the year 2020. TSIT possesses no final income tax assessments.</w:t>
      </w:r>
    </w:p>
    <w:p>
      <w:pPr>
        <w:spacing w:after="0" w:line="1" w:lineRule="exact"/>
        <w:rPr>
          <w:rFonts w:ascii="Times New Roman" w:cs="Times New Roman" w:eastAsia="Times New Roman" w:hAnsi="Times New Roman"/>
          <w:sz w:val="16"/>
          <w:szCs w:val="16"/>
          <w:b w:val="1"/>
          <w:bCs w:val="1"/>
          <w:color w:val="auto"/>
        </w:rPr>
      </w:pPr>
    </w:p>
    <w:p>
      <w:pPr>
        <w:ind w:left="1280" w:hanging="368"/>
        <w:spacing w:after="0"/>
        <w:tabs>
          <w:tab w:leader="none" w:pos="128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Pillar Two Model</w:t>
      </w:r>
    </w:p>
    <w:p>
      <w:pPr>
        <w:spacing w:after="0" w:line="265" w:lineRule="exact"/>
        <w:rPr>
          <w:rFonts w:ascii="Times New Roman" w:cs="Times New Roman" w:eastAsia="Times New Roman" w:hAnsi="Times New Roman"/>
          <w:sz w:val="16"/>
          <w:szCs w:val="16"/>
          <w:b w:val="1"/>
          <w:bCs w:val="1"/>
          <w:color w:val="auto"/>
        </w:rPr>
      </w:pPr>
    </w:p>
    <w:p>
      <w:pPr>
        <w:jc w:val="both"/>
        <w:ind w:left="1260" w:right="20" w:firstLine="5"/>
        <w:spacing w:after="0" w:line="27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December 2021, the OECD released Pillar Two model rules imposed on large multinational corporations, with revenue above €750 million, a minimum effective corporate income tax rate of 15% in every jurisdiction in which they operate. As of December 31, 2024, the rules have been partially enacted in certain jurisdictions in which the Company operates, however did not impact the Company financial statements, nor its tax payments or liabilities. For all the periods ended December 31, 2024, the Company complied with the transitional safe harbor rules in each of its jurisdictions and it currently assumes that it will be able to postpone the application of the rules for periods that will commence after December 31, 2025.</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462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162560</wp:posOffset>
            </wp:positionV>
            <wp:extent cx="7146290"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6290" cy="3048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196215</wp:posOffset>
            </wp:positionV>
            <wp:extent cx="714629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99.2</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MANAGEMENT’S DISCUSSION AND ANALYSIS OF</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209"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16"/>
          <w:szCs w:val="16"/>
          <w:i w:val="1"/>
          <w:iCs w:val="1"/>
          <w:color w:val="auto"/>
        </w:rPr>
        <w:t>The information contained in this section should be read in conjunction with our consolidated financial statements as of December 31, 2024 and 2023 and the related notes for the years then ended. Our financial statements have been prepared in accordance with generally accepted accounting principles in the United States (“US GAAP”).</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certain statement of operations data as a percentage of total revenues for the years ended December 31, 2024 and 2023:</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Details</w:t>
            </w: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6"/>
                <w:szCs w:val="16"/>
                <w:color w:val="auto"/>
              </w:rPr>
            </w:pP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Restructuring gain from sale of machinery and equipment, net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expense (income), net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(0.4)</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Merger-contract termination fee, net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 income, net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Profit before income tax</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net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(0.7)</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Net profit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(profit) attributable to non-controlling interest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profit attributable to the company</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sets forth certain statement of operations data for the years ended December 31, 2024 and 2023 (dollars in thousands):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7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Details</w:t>
            </w:r>
          </w:p>
        </w:tc>
        <w:tc>
          <w:tcPr>
            <w:tcW w:w="160" w:type="dxa"/>
            <w:vAlign w:val="bottom"/>
          </w:tcPr>
          <w:p>
            <w:pPr>
              <w:spacing w:after="0"/>
              <w:rPr>
                <w:sz w:val="16"/>
                <w:szCs w:val="16"/>
                <w:color w:val="auto"/>
              </w:rPr>
            </w:pPr>
          </w:p>
        </w:tc>
        <w:tc>
          <w:tcPr>
            <w:tcW w:w="7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6"/>
                <w:szCs w:val="16"/>
                <w:color w:val="auto"/>
              </w:rPr>
            </w:pPr>
          </w:p>
        </w:tc>
      </w:tr>
      <w:tr>
        <w:trPr>
          <w:trHeight w:val="33"/>
        </w:trPr>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1,436,122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1,422,680</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1,096,680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1,069,161</w:t>
            </w:r>
          </w:p>
        </w:tc>
      </w:tr>
      <w:tr>
        <w:trPr>
          <w:trHeight w:val="206"/>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339,442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353,519</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79,808</w:t>
            </w:r>
          </w:p>
        </w:tc>
      </w:tr>
      <w:tr>
        <w:trPr>
          <w:trHeight w:val="206"/>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72,454</w:t>
            </w:r>
          </w:p>
        </w:tc>
      </w:tr>
      <w:tr>
        <w:trPr>
          <w:trHeight w:val="206"/>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Restructuring gain from sale of machinery and equipment, net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(52,168)</w:t>
            </w:r>
          </w:p>
        </w:tc>
      </w:tr>
      <w:tr>
        <w:trPr>
          <w:trHeight w:val="206"/>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expense (income), net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(6,270)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19,662</w:t>
            </w:r>
          </w:p>
        </w:tc>
      </w:tr>
      <w:tr>
        <w:trPr>
          <w:trHeight w:val="210"/>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Merger-contract termination fee, net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(313,501)</w:t>
            </w:r>
          </w:p>
        </w:tc>
      </w:tr>
      <w:tr>
        <w:trPr>
          <w:trHeight w:val="206"/>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191,314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547,264</w:t>
            </w:r>
          </w:p>
        </w:tc>
        <w:tc>
          <w:tcPr>
            <w:tcW w:w="8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 income, net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30,531</w:t>
            </w:r>
          </w:p>
        </w:tc>
      </w:tr>
      <w:tr>
        <w:trPr>
          <w:trHeight w:val="210"/>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(24,721)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7,047</w:t>
            </w:r>
          </w:p>
        </w:tc>
      </w:tr>
      <w:tr>
        <w:trPr>
          <w:trHeight w:val="206"/>
        </w:trPr>
        <w:tc>
          <w:tcPr>
            <w:tcW w:w="20" w:type="dxa"/>
            <w:vAlign w:val="bottom"/>
          </w:tcPr>
          <w:p>
            <w:pPr>
              <w:spacing w:after="0"/>
              <w:rPr>
                <w:sz w:val="17"/>
                <w:szCs w:val="17"/>
                <w:color w:val="auto"/>
              </w:rPr>
            </w:pPr>
          </w:p>
        </w:tc>
        <w:tc>
          <w:tcPr>
            <w:tcW w:w="6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Profit before income tax</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217,427</w:t>
            </w: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584,842</w:t>
            </w:r>
          </w:p>
        </w:tc>
        <w:tc>
          <w:tcPr>
            <w:tcW w:w="80" w:type="dxa"/>
            <w:vAlign w:val="bottom"/>
            <w:tcBorders>
              <w:top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net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(65,312)</w:t>
            </w:r>
          </w:p>
        </w:tc>
      </w:tr>
      <w:tr>
        <w:trPr>
          <w:trHeight w:val="206"/>
        </w:trPr>
        <w:tc>
          <w:tcPr>
            <w:tcW w:w="20" w:type="dxa"/>
            <w:vAlign w:val="bottom"/>
          </w:tcPr>
          <w:p>
            <w:pPr>
              <w:spacing w:after="0"/>
              <w:rPr>
                <w:sz w:val="17"/>
                <w:szCs w:val="17"/>
                <w:color w:val="auto"/>
              </w:rPr>
            </w:pPr>
          </w:p>
        </w:tc>
        <w:tc>
          <w:tcPr>
            <w:tcW w:w="6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Net profit</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207,222</w:t>
            </w: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519,530</w:t>
            </w:r>
          </w:p>
        </w:tc>
        <w:tc>
          <w:tcPr>
            <w:tcW w:w="80" w:type="dxa"/>
            <w:vAlign w:val="bottom"/>
            <w:tcBorders>
              <w:top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(profit) attributable to non-controlling interest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(1,036)</w:t>
            </w:r>
          </w:p>
        </w:tc>
      </w:tr>
      <w:tr>
        <w:trPr>
          <w:trHeight w:val="206"/>
        </w:trPr>
        <w:tc>
          <w:tcPr>
            <w:tcW w:w="20" w:type="dxa"/>
            <w:vAlign w:val="bottom"/>
          </w:tcPr>
          <w:p>
            <w:pPr>
              <w:spacing w:after="0"/>
              <w:rPr>
                <w:sz w:val="17"/>
                <w:szCs w:val="17"/>
                <w:color w:val="auto"/>
              </w:rPr>
            </w:pPr>
          </w:p>
        </w:tc>
        <w:tc>
          <w:tcPr>
            <w:tcW w:w="6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Net profit attributable to the company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207,864</w:t>
            </w: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518,494</w:t>
            </w:r>
          </w:p>
        </w:tc>
        <w:tc>
          <w:tcPr>
            <w:tcW w:w="8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714629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0"/>
          </w:cols>
          <w:pgMar w:left="320" w:top="387" w:right="319" w:bottom="1440" w:gutter="0" w:footer="0" w:header="0"/>
        </w:sectPr>
      </w:pPr>
    </w:p>
    <w:bookmarkStart w:id="55" w:name="page56"/>
    <w:bookmarkEnd w:id="55"/>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CONDENSED MANAGEMENT’S DISCUSSION AND ANALYSIS OF</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17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6"/>
          <w:szCs w:val="16"/>
          <w:b w:val="1"/>
          <w:bCs w:val="1"/>
          <w:color w:val="auto"/>
        </w:rPr>
        <w:t>Year ended December 31, 2024 compared to Year ended December 31,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2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color w:val="auto"/>
        </w:rPr>
        <w:t>Revenues for the year ended December 31, 2024 amounted to $1,436.1 million, as compared to $1,422.7 million for the year ended December 31, 2023, reflecting a $13.4 million or 1% year over year revenue increase.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Revenues</w:t>
      </w:r>
    </w:p>
    <w:p>
      <w:pPr>
        <w:spacing w:after="0" w:line="21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color w:val="auto"/>
        </w:rPr>
        <w:t>Cost of revenues for the year ended December 31, 2024 amounted to $1,096.7 million as compared to $1,069.2 million for the year ended December 31, 2023. The $27.5 million increase in cost of revenues reflects a 2.6% year over year cost increase, mainly due to higher depreciation and other manufacturing cost.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Gross Profit</w:t>
      </w:r>
    </w:p>
    <w:p>
      <w:pPr>
        <w:spacing w:after="0" w:line="2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Gross profit for the year ended December 31, 2024 amounted to $339.4 million as compared to $353.5 million for the year ended December 31, 2023. The $14.1 million decrease in gross profit resulted from the $27.5 million or 2.6% increase in cost of revenues, net of the $13.4 million or 1% increase in revenues, as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1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color w:val="auto"/>
        </w:rPr>
        <w:t>Research and development expenses for the year ended December 31, 2024, amounted to $79.4 million, as compared to $79.8 million for the year ended December 31, 2023, reflecting less than 0.5% decrease year over year.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Marketing, General and Administrative</w:t>
      </w:r>
    </w:p>
    <w:p>
      <w:pPr>
        <w:spacing w:after="0" w:line="21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color w:val="auto"/>
        </w:rPr>
        <w:t>Marketing, general and administrative expenses for the year ended December 31, 2024 amounted to $75.0 million, reflecting 5.2% of revenues as compared to $72.5 million for the year ended December 31, 2023, reflecting 5.1% of revenues.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 Gain from Sale of Machinery and Equipment, net</w:t>
      </w:r>
    </w:p>
    <w:p>
      <w:pPr>
        <w:spacing w:after="0" w:line="229" w:lineRule="exact"/>
        <w:rPr>
          <w:sz w:val="20"/>
          <w:szCs w:val="20"/>
          <w:color w:val="auto"/>
        </w:rPr>
      </w:pPr>
    </w:p>
    <w:p>
      <w:pPr>
        <w:jc w:val="both"/>
        <w:ind w:left="20" w:right="20"/>
        <w:spacing w:after="0" w:line="277" w:lineRule="auto"/>
        <w:rPr>
          <w:sz w:val="20"/>
          <w:szCs w:val="20"/>
          <w:color w:val="auto"/>
        </w:rPr>
      </w:pPr>
      <w:r>
        <w:rPr>
          <w:rFonts w:ascii="Times New Roman" w:cs="Times New Roman" w:eastAsia="Times New Roman" w:hAnsi="Times New Roman"/>
          <w:sz w:val="16"/>
          <w:szCs w:val="16"/>
          <w:color w:val="auto"/>
        </w:rPr>
        <w:t>Restructuring gain from sale of machinery and equipment, net, for the year ended December 31, 2023 amounted to $52.2 million and resulted from the gain on sale of machinery and equipment, net to third parties following the reorganization and restructuring of our Japan operations during 2022 as described in Note 13B(2) to our financial statements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Restructuring Expense (Income), net</w:t>
      </w:r>
    </w:p>
    <w:p>
      <w:pPr>
        <w:spacing w:after="0" w:line="229"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16"/>
          <w:szCs w:val="16"/>
          <w:color w:val="auto"/>
        </w:rPr>
        <w:t>Restructuring income, net, for the year ended December 31, 2024 amounted to $6.3 million, as compared to $19.7 million restructuring expense, net, for the year ended December 31, 2023, resulting from the reorganization and restructuring of our Japan operations executed during 2022, as described in Note 13B(2) to our financial statements for the year ended December 31, 2024.</w:t>
      </w:r>
    </w:p>
    <w:p>
      <w:pPr>
        <w:spacing w:after="0" w:line="3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47625</wp:posOffset>
            </wp:positionV>
            <wp:extent cx="714629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00"/>
          </w:cols>
          <w:pgMar w:left="880" w:top="327" w:right="319" w:bottom="1440" w:gutter="0" w:footer="0" w:header="0"/>
        </w:sectPr>
      </w:pPr>
    </w:p>
    <w:bookmarkStart w:id="56" w:name="page57"/>
    <w:bookmarkEnd w:id="56"/>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CONDENSED MANAGEMENT’S DISCUSSION AND ANALYSIS OF</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Merger-contract termination fee, net</w:t>
      </w:r>
    </w:p>
    <w:p>
      <w:pPr>
        <w:spacing w:after="0" w:line="21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color w:val="auto"/>
        </w:rPr>
        <w:t>Merger-contract termination fee, net, for the year ended December 31, 2023 amounted to $313.5 million, net of associated fees and was paid to the Company by Intel following the announced termination of their definitive agreement as described in Note 1 to our financial statements for the year ended December 31,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Profit</w:t>
      </w:r>
    </w:p>
    <w:p>
      <w:pPr>
        <w:spacing w:after="0" w:line="22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Operating profit for the year ended December 31, 2024 amounted to $191.3 million as compared to $547.3 million for the year ended December 31, 2023. The $356.0 million decrease in operating profit resulted mainly from the $313.5 million merger-contract termination fee, net, the $52.2 million restructuring gain from the sale of machinery and equipment, net during the year ended December 31, 2023 and the $14.1 million decrease in gross profit in the year ended December 31, 2024, offset by the $26.0 million increase in restructuring income, net, as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Financing Income, net</w:t>
      </w:r>
    </w:p>
    <w:p>
      <w:pPr>
        <w:spacing w:after="0" w:line="21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color w:val="auto"/>
        </w:rPr>
        <w:t>Financing income, net, for the year ended December 31, 2024 amounted to $50.8 million as compared to $30.5 million for the year ended December 31, 2023. The $20.3 million increase in financing income, net, is mainly due to higher interest income on higher amount of bank deposits.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Income (Expense), net</w:t>
      </w:r>
    </w:p>
    <w:p>
      <w:pPr>
        <w:spacing w:after="0" w:line="217" w:lineRule="exact"/>
        <w:rPr>
          <w:sz w:val="20"/>
          <w:szCs w:val="20"/>
          <w:color w:val="auto"/>
        </w:rPr>
      </w:pPr>
    </w:p>
    <w:p>
      <w:pPr>
        <w:jc w:val="both"/>
        <w:ind w:left="20" w:right="20"/>
        <w:spacing w:after="0" w:line="285" w:lineRule="auto"/>
        <w:rPr>
          <w:sz w:val="20"/>
          <w:szCs w:val="20"/>
          <w:color w:val="auto"/>
        </w:rPr>
      </w:pPr>
      <w:r>
        <w:rPr>
          <w:rFonts w:ascii="Times New Roman" w:cs="Times New Roman" w:eastAsia="Times New Roman" w:hAnsi="Times New Roman"/>
          <w:sz w:val="16"/>
          <w:szCs w:val="16"/>
          <w:color w:val="auto"/>
        </w:rPr>
        <w:t>Other expense, net, for the year ended December 31, 2024 amounted to $24.7 million as compared to other income, net, of $7.0 million for the year ended December 31, 2023. Other income (expense), net included mainly non-recurring, non-operational items, such as gains from the sale of investments in a privately-held companies and gains (losses) from sale of unused machinery and equipment.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 Expense, net</w:t>
      </w:r>
    </w:p>
    <w:p>
      <w:pPr>
        <w:spacing w:after="0" w:line="21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color w:val="auto"/>
        </w:rPr>
        <w:t>Income tax expense, net, for the year ended December 31, 2024 amounted to $10.2 million as compared to $65.3 million for the year ended December 31, 2023. The $55.1 million decrease in income tax expense, net, is mainly a result of $367.4 million decrease in profit before income tax for the year ended December 31, 2024 as compared to the year ended December 31, 2023, resulting mainly from the $313.5 million merger-contract termination fee, net included in operating profit for the year ended December 31, 2023, as described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Profit</w:t>
      </w:r>
    </w:p>
    <w:p>
      <w:pPr>
        <w:spacing w:after="0" w:line="21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Net profit for the year ended December 31, 2024 amounted to $207.2 million as compared to $519.5 million for the year ended December 31, 2023. The $312.3 million decrease in net profit is mainly due to the decrease in operating profit, offset by the decrease in income tax expense, net, described above.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Loss (Profit) Attributable to Non-Controlling Interest</w:t>
      </w:r>
    </w:p>
    <w:p>
      <w:pPr>
        <w:spacing w:after="0" w:line="21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color w:val="auto"/>
        </w:rPr>
        <w:t>Net loss attributable to non-controlling interest for the year ended December 31, 2024 amounted to $0.6 million as compared to net profit attributable to non-controlling interest of $1.0 million for the year ended December 31, 2023. The $1.6 million decrease resulted from the decrease of $3.4 million in TPSCo’s net profit (in which we hold 51%).</w:t>
      </w:r>
    </w:p>
    <w:p>
      <w:pPr>
        <w:spacing w:after="0" w:line="3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47625</wp:posOffset>
            </wp:positionV>
            <wp:extent cx="714629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00"/>
          </w:cols>
          <w:pgMar w:left="880" w:top="327" w:right="319" w:bottom="1440" w:gutter="0" w:footer="0" w:header="0"/>
        </w:sectPr>
      </w:pPr>
    </w:p>
    <w:bookmarkStart w:id="57" w:name="page58"/>
    <w:bookmarkEnd w:id="57"/>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CONDENSED MANAGEMENT’S DISCUSSION AND ANALYSIS OF</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Profit Attributable to the Company</w:t>
      </w:r>
    </w:p>
    <w:p>
      <w:pPr>
        <w:spacing w:after="0" w:line="21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color w:val="auto"/>
        </w:rPr>
        <w:t>Net profit attributable to the company for the year ended December 31, 2024 amounted to $207.9 million as compared to $518.5 million for the year ended December 31, 2023. The $310.6 million decrease in net profit attributable to the company is mainly due to the decrease in net profit of $312.3 million, offset by the decrease in net profit attributable to non-controlling interest of $1.6 million, as described above.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Currency Fluctuations</w:t>
      </w:r>
    </w:p>
    <w:p>
      <w:pPr>
        <w:spacing w:after="0" w:line="21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Company currently operates in four different regions: the United States, Japan, Israel and Italy. The functional currency of the Company’s entities in the United States, Israel and Italy is the US dollar (“USD”). The functional currency of the Company’s operations in Japan is the Japanese Yen (“JPY”). The Company’s expenses and costs are denominated mainly in USD, JPY, New Israeli Shekels (“NIS”) and Euro, revenues are denominated mainly in USD and JPY, and the cash from operations, investing and financing activities are denominated mainly in USD, JPY and NIS. Therefore, the Company is exposed to the risk of currency exchange rate fluctuations in Japan, Israel and Italy.</w:t>
      </w:r>
    </w:p>
    <w:p>
      <w:pPr>
        <w:spacing w:after="0" w:line="16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majority of TPSCo’s revenues are denominated in JPY and the majority of TPSCo’s expenses and costs are denominated in JPY, which limits the exposure to fluctuations of the USD-to-JPY exchange rate on TPSCo’s results of operations. In order to mitigate a portion of the net exposure to the USD-to-JPY exchange rate, the Company has engaged in cylinder hedging transactions to contain the currency’s fluctuation within a pre-defined, fixed range.</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During the year ended December 31, 2024, the USD appreciated against the JPY by 10.7%, as compared to 7.2% appreciation during the year ended December 31, 2023. The net effect of USD appreciation against the JPY on TPSCo’s assets and liabilities denominated in JPY is presented in the Cumulative Translation Adjustment as part of Other Comprehensive Income on the balance sheet.</w:t>
      </w:r>
    </w:p>
    <w:p>
      <w:pPr>
        <w:spacing w:after="0" w:line="162"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6"/>
          <w:szCs w:val="16"/>
          <w:color w:val="auto"/>
        </w:rPr>
        <w:t>The USD cost of the Company’s operations in Israel is influenced by changes in the USD-to-NIS exchange rate, with respect to expenses and costs that are denominated in NIS. During the year ended December 31, 2024, the USD appreciated against the NIS by 0.6%, as compared to 3.1% appreciation during the year ended December 31, 2023.</w:t>
      </w:r>
    </w:p>
    <w:p>
      <w:pPr>
        <w:spacing w:after="0" w:line="15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fluctuation of the USD against the NIS may affect the Company’s results of operations as it relates to the entity in Israel. Appreciation of the NIS may increase cost, in USD terms, of the Israeli facility such as utilities, taxes and labor costs that are denominated in NIS, which may lead to erosion of profit margins. The Company uses foreign currency cylinder and forward transactions to hedge a portion of this currency exposure to be contained within a pre-defined fixed range.</w:t>
      </w:r>
    </w:p>
    <w:p>
      <w:pPr>
        <w:spacing w:after="0" w:line="17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6"/>
          <w:szCs w:val="16"/>
          <w:color w:val="auto"/>
        </w:rPr>
        <w:t>The USD cost of the Company’s operations in Italy is influenced by changes in the USD-to-Euro exchange rate, with respect to expenses and costs that are denominated in Euro. During the year ended December 31, 2024, the USD depreciated against the Euro by 5.9%. This exposure is partially mitigated and contained within a pre-defined fixed range through foreign currency cylinder and forward transactions which the Company is engaging in.</w:t>
      </w:r>
    </w:p>
    <w:p>
      <w:pPr>
        <w:spacing w:after="0" w:line="3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47625</wp:posOffset>
            </wp:positionV>
            <wp:extent cx="714629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0700"/>
          </w:cols>
          <w:pgMar w:left="880" w:top="327" w:right="319" w:bottom="1440" w:gutter="0" w:footer="0" w:header="0"/>
        </w:sectPr>
      </w:pPr>
    </w:p>
    <w:bookmarkStart w:id="58" w:name="page59"/>
    <w:bookmarkEnd w:id="58"/>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TOWER SEMICONDUCTOR LTD. AND SUBSIDIARIES</w:t>
      </w:r>
    </w:p>
    <w:p>
      <w:pPr>
        <w:spacing w:after="0" w:line="2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CONDENSED MANAGEMENT’S DISCUSSION AND ANALYSIS OF</w:t>
      </w: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b w:val="1"/>
          <w:bCs w:val="1"/>
          <w:color w:val="auto"/>
        </w:rPr>
        <w:t>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As of December 31, 2024, the Company had an aggregate amount of $271.9 million in cash and cash equivalents, as compared to $260.7 million as of December 31, 2023. The main cash items during the year ended December 31, 2024 were as follows: $448.7 million net cash provided by operating activities; $431.7 million invested in property and equipment, net; $31.9 million received from proceeds from sales of short-term deposits and marketable securities, net; and $32.5 million debt repaid, net.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Short-term and long-term debt presented in the balance sheet as of December 31, 2024 amounted to $48.4 million and $132.4 million, respectively, and included loans, operating leases and capital leases.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w:t>
      </w:r>
    </w:p>
    <w:p>
      <w:pPr>
        <w:spacing w:after="0" w:line="217"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16"/>
          <w:szCs w:val="16"/>
          <w:color w:val="auto"/>
        </w:rPr>
        <w:t>The hostilities commenced October 2023 as described in Item 1D “Risk Factors” of our annual report on Form 20-F for the year ended December 31, 2023 under the caption “Risks Affecting Our Operations in Israel” continue, however recently a temporary cease fire has been declared. As of the date of this report, these hostilities have not had a material effect on the Company’s business and operations.</w:t>
      </w:r>
    </w:p>
    <w:p>
      <w:pPr>
        <w:spacing w:after="0" w:line="16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78105</wp:posOffset>
            </wp:positionV>
            <wp:extent cx="71462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162560</wp:posOffset>
            </wp:positionV>
            <wp:extent cx="7146290"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6290" cy="30480"/>
                    </a:xfrm>
                    <a:prstGeom prst="rect">
                      <a:avLst/>
                    </a:prstGeom>
                    <a:noFill/>
                  </pic:spPr>
                </pic:pic>
              </a:graphicData>
            </a:graphic>
          </wp:anchor>
        </w:drawing>
      </w:r>
    </w:p>
    <w:p>
      <w:pPr>
        <w:sectPr>
          <w:pgSz w:w="11900" w:h="16838" w:orient="portrait"/>
          <w:cols w:equalWidth="0" w:num="1">
            <w:col w:w="10680"/>
          </w:cols>
          <w:pgMar w:left="880" w:top="32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6290" cy="3048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196215</wp:posOffset>
            </wp:positionV>
            <wp:extent cx="714629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6290" cy="7620"/>
                    </a:xfrm>
                    <a:prstGeom prst="rect">
                      <a:avLst/>
                    </a:prstGeom>
                    <a:noFill/>
                  </pic:spPr>
                </pic:pic>
              </a:graphicData>
            </a:graphic>
          </wp:anchor>
        </w:drawing>
        <w:t>Exhibit 99.3</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215"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Nos. 333-204173 and 333-277536 on Form S-8 of our report dated February 27, 2025 relating to the consolidated financial statements of Tower Semiconductor Ltd appearing in this Report on Form 6-K of Tower Semiconductor Ltd filed on February 27,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Brightman Almagor Zohar &amp; Co.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Brightman Almagor Zohar &amp; Co.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Certified Public Accountants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Firm in The Deloitte Global Network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 Aviv, Israel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198755</wp:posOffset>
            </wp:positionV>
            <wp:extent cx="714629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283210</wp:posOffset>
            </wp:positionV>
            <wp:extent cx="7146290"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6290" cy="30480"/>
                    </a:xfrm>
                    <a:prstGeom prst="rect">
                      <a:avLst/>
                    </a:prstGeom>
                    <a:noFill/>
                  </pic:spPr>
                </pic:pic>
              </a:graphicData>
            </a:graphic>
          </wp:anchor>
        </w:drawing>
      </w:r>
    </w:p>
    <w:sectPr>
      <w:pgSz w:w="11900" w:h="16838" w:orient="portrait"/>
      <w:cols w:equalWidth="0" w:num="1">
        <w:col w:w="11260"/>
      </w:cols>
      <w:pgMar w:left="320" w:top="38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lvl w:ilvl="1">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upperLetter"/>
      <w:start w:val="1"/>
    </w:lvl>
  </w:abstractNum>
  <w:abstractNum w:abstractNumId="3">
    <w:nsid w:val="22221A70"/>
    <w:multiLevelType w:val="hybridMultilevel"/>
    <w:lvl w:ilvl="0">
      <w:lvlJc w:val="left"/>
      <w:lvlText w:val="%1."/>
      <w:numFmt w:val="upperLetter"/>
      <w:start w:val="7"/>
    </w:lvl>
  </w:abstractNum>
  <w:abstractNum w:abstractNumId="4">
    <w:nsid w:val="4516DDE9"/>
    <w:multiLevelType w:val="hybridMultilevel"/>
    <w:lvl w:ilvl="0">
      <w:lvlJc w:val="left"/>
      <w:lvlText w:val="%1."/>
      <w:numFmt w:val="upperLetter"/>
      <w:start w:val="8"/>
    </w:lvl>
  </w:abstractNum>
  <w:abstractNum w:abstractNumId="5">
    <w:nsid w:val="3006C83E"/>
    <w:multiLevelType w:val="hybridMultilevel"/>
    <w:lvl w:ilvl="0">
      <w:lvlJc w:val="left"/>
      <w:lvlText w:val="%1."/>
      <w:numFmt w:val="upperLetter"/>
      <w:start w:val="9"/>
    </w:lvl>
  </w:abstractNum>
  <w:abstractNum w:abstractNumId="6">
    <w:nsid w:val="614FD4A1"/>
    <w:multiLevelType w:val="hybridMultilevel"/>
    <w:lvl w:ilvl="0">
      <w:lvlJc w:val="left"/>
      <w:lvlText w:val="%1."/>
      <w:numFmt w:val="upperLetter"/>
      <w:start w:val="10"/>
    </w:lvl>
    <w:lvl w:ilvl="1">
      <w:lvlJc w:val="left"/>
      <w:lvlText w:val="•"/>
      <w:numFmt w:val="bullet"/>
      <w:start w:val="1"/>
    </w:lvl>
  </w:abstractNum>
  <w:abstractNum w:abstractNumId="7">
    <w:nsid w:val="419AC241"/>
    <w:multiLevelType w:val="hybridMultilevel"/>
    <w:lvl w:ilvl="0">
      <w:lvlJc w:val="left"/>
      <w:lvlText w:val="%1."/>
      <w:numFmt w:val="upperLetter"/>
      <w:start w:val="12"/>
    </w:lvl>
  </w:abstractNum>
  <w:abstractNum w:abstractNumId="8">
    <w:nsid w:val="5577F8E1"/>
    <w:multiLevelType w:val="hybridMultilevel"/>
    <w:lvl w:ilvl="0">
      <w:lvlJc w:val="left"/>
      <w:lvlText w:val="%1."/>
      <w:numFmt w:val="upperLetter"/>
      <w:start w:val="13"/>
    </w:lvl>
  </w:abstractNum>
  <w:abstractNum w:abstractNumId="9">
    <w:nsid w:val="440BADFC"/>
    <w:multiLevelType w:val="hybridMultilevel"/>
    <w:lvl w:ilvl="0">
      <w:lvlJc w:val="left"/>
      <w:lvlText w:val="%1."/>
      <w:numFmt w:val="upperLetter"/>
      <w:start w:val="14"/>
    </w:lvl>
  </w:abstractNum>
  <w:abstractNum w:abstractNumId="10">
    <w:nsid w:val="5072367"/>
    <w:multiLevelType w:val="hybridMultilevel"/>
    <w:lvl w:ilvl="0">
      <w:lvlJc w:val="left"/>
      <w:lvlText w:val="%1."/>
      <w:numFmt w:val="upperLetter"/>
      <w:start w:val="16"/>
    </w:lvl>
  </w:abstractNum>
  <w:abstractNum w:abstractNumId="11">
    <w:nsid w:val="3804823E"/>
    <w:multiLevelType w:val="hybridMultilevel"/>
    <w:lvl w:ilvl="0">
      <w:lvlJc w:val="left"/>
      <w:lvlText w:val="%1."/>
      <w:numFmt w:val="upperLetter"/>
      <w:start w:val="17"/>
    </w:lvl>
  </w:abstractNum>
  <w:abstractNum w:abstractNumId="12">
    <w:nsid w:val="77465F01"/>
    <w:multiLevelType w:val="hybridMultilevel"/>
    <w:lvl w:ilvl="0">
      <w:lvlJc w:val="left"/>
      <w:lvlText w:val="%1."/>
      <w:numFmt w:val="upperLetter"/>
      <w:start w:val="18"/>
    </w:lvl>
  </w:abstractNum>
  <w:abstractNum w:abstractNumId="13">
    <w:nsid w:val="7724C67E"/>
    <w:multiLevelType w:val="hybridMultilevel"/>
    <w:lvl w:ilvl="0">
      <w:lvlJc w:val="left"/>
      <w:lvlText w:val="%1."/>
      <w:numFmt w:val="upperLetter"/>
      <w:start w:val="22"/>
    </w:lvl>
  </w:abstractNum>
  <w:abstractNum w:abstractNumId="14">
    <w:nsid w:val="5C482A97"/>
    <w:multiLevelType w:val="hybridMultilevel"/>
    <w:lvl w:ilvl="0">
      <w:lvlJc w:val="left"/>
      <w:lvlText w:val="%1."/>
      <w:numFmt w:val="upperLetter"/>
      <w:start w:val="23"/>
    </w:lvl>
  </w:abstractNum>
  <w:abstractNum w:abstractNumId="15">
    <w:nsid w:val="2463B9EA"/>
    <w:multiLevelType w:val="hybridMultilevel"/>
    <w:lvl w:ilvl="0">
      <w:lvlJc w:val="left"/>
      <w:lvlText w:val="%1."/>
      <w:numFmt w:val="upperLetter"/>
      <w:start w:val="25"/>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upperLetter"/>
      <w:start w:val="3"/>
    </w:lvl>
  </w:abstractNum>
  <w:abstractNum w:abstractNumId="18">
    <w:nsid w:val="2D517796"/>
    <w:multiLevelType w:val="hybridMultilevel"/>
    <w:lvl w:ilvl="0">
      <w:lvlJc w:val="left"/>
      <w:lvlText w:val="D"/>
      <w:numFmt w:val="bullet"/>
      <w:start w:val="1"/>
    </w:lvl>
  </w:abstractNum>
  <w:abstractNum w:abstractNumId="19">
    <w:nsid w:val="580BD78F"/>
    <w:multiLevelType w:val="hybridMultilevel"/>
    <w:lvl w:ilvl="0">
      <w:lvlJc w:val="left"/>
      <w:lvlText w:val="%1."/>
      <w:numFmt w:val="upperLetter"/>
      <w:start w:val="4"/>
    </w:lvl>
  </w:abstractNum>
  <w:abstractNum w:abstractNumId="20">
    <w:nsid w:val="153EA438"/>
    <w:multiLevelType w:val="hybridMultilevel"/>
    <w:lvl w:ilvl="0">
      <w:lvlJc w:val="left"/>
      <w:lvlText w:val="%1."/>
      <w:numFmt w:val="upperLetter"/>
      <w:start w:val="5"/>
    </w:lvl>
  </w:abstractNum>
  <w:abstractNum w:abstractNumId="21">
    <w:nsid w:val="3855585C"/>
    <w:multiLevelType w:val="hybridMultilevel"/>
    <w:lvl w:ilvl="0">
      <w:lvlJc w:val="left"/>
      <w:lvlText w:val="%1."/>
      <w:numFmt w:val="upperLetter"/>
      <w:start w:val="5"/>
    </w:lvl>
  </w:abstractNum>
  <w:abstractNum w:abstractNumId="22">
    <w:nsid w:val="70A64E2A"/>
    <w:multiLevelType w:val="hybridMultilevel"/>
    <w:lvl w:ilvl="0">
      <w:lvlJc w:val="left"/>
      <w:lvlText w:val="%1."/>
      <w:numFmt w:val="upperLetter"/>
      <w:start w:val="1"/>
    </w:lvl>
  </w:abstractNum>
  <w:abstractNum w:abstractNumId="23">
    <w:nsid w:val="6A2342EC"/>
    <w:multiLevelType w:val="hybridMultilevel"/>
    <w:lvl w:ilvl="0">
      <w:lvlJc w:val="left"/>
      <w:lvlText w:val="%1."/>
      <w:numFmt w:val="upperLetter"/>
      <w:start w:val="1"/>
    </w:lvl>
  </w:abstractNum>
  <w:abstractNum w:abstractNumId="24">
    <w:nsid w:val="2A487CB0"/>
    <w:multiLevelType w:val="hybridMultilevel"/>
    <w:lvl w:ilvl="0">
      <w:lvlJc w:val="left"/>
      <w:lvlText w:val="%1."/>
      <w:numFmt w:val="upperLetter"/>
      <w:start w:val="2"/>
    </w:lvl>
  </w:abstractNum>
  <w:abstractNum w:abstractNumId="25">
    <w:nsid w:val="1D4ED43B"/>
    <w:multiLevelType w:val="hybridMultilevel"/>
    <w:lvl w:ilvl="0">
      <w:lvlJc w:val="left"/>
      <w:lvlText w:val="%1."/>
      <w:numFmt w:val="upperLetter"/>
      <w:start w:val="4"/>
    </w:lvl>
  </w:abstractNum>
  <w:abstractNum w:abstractNumId="26">
    <w:nsid w:val="725A06FB"/>
    <w:multiLevelType w:val="hybridMultilevel"/>
    <w:lvl w:ilvl="0">
      <w:lvlJc w:val="left"/>
      <w:lvlText w:val="%1."/>
      <w:numFmt w:val="upperLetter"/>
      <w:start w:val="5"/>
    </w:lvl>
  </w:abstractNum>
  <w:abstractNum w:abstractNumId="27">
    <w:nsid w:val="2CD89A32"/>
    <w:multiLevelType w:val="hybridMultilevel"/>
    <w:lvl w:ilvl="0">
      <w:lvlJc w:val="left"/>
      <w:lvlText w:val="%1."/>
      <w:numFmt w:val="upperLetter"/>
      <w:start w:val="1"/>
    </w:lvl>
  </w:abstractNum>
  <w:abstractNum w:abstractNumId="28">
    <w:nsid w:val="57E4CCAF"/>
    <w:multiLevelType w:val="hybridMultilevel"/>
    <w:lvl w:ilvl="0">
      <w:lvlJc w:val="left"/>
      <w:lvlText w:val="%1."/>
      <w:numFmt w:val="upperLetter"/>
      <w:start w:val="2"/>
    </w:lvl>
  </w:abstractNum>
  <w:abstractNum w:abstractNumId="29">
    <w:nsid w:val="7A6D8D3C"/>
    <w:multiLevelType w:val="hybridMultilevel"/>
    <w:lvl w:ilvl="0">
      <w:lvlJc w:val="left"/>
      <w:lvlText w:val="%1."/>
      <w:numFmt w:val="upperLetter"/>
      <w:start w:val="2"/>
    </w:lvl>
  </w:abstractNum>
  <w:abstractNum w:abstractNumId="30">
    <w:nsid w:val="4B588F54"/>
    <w:multiLevelType w:val="hybridMultilevel"/>
    <w:lvl w:ilvl="0">
      <w:lvlJc w:val="left"/>
      <w:lvlText w:val="%1."/>
      <w:numFmt w:val="upperLetter"/>
      <w:start w:val="2"/>
    </w:lvl>
  </w:abstractNum>
  <w:abstractNum w:abstractNumId="31">
    <w:nsid w:val="542289EC"/>
    <w:multiLevelType w:val="hybridMultilevel"/>
    <w:lvl w:ilvl="0">
      <w:lvlJc w:val="left"/>
      <w:lvlText w:val="%1."/>
      <w:numFmt w:val="upperLetter"/>
      <w:start w:val="2"/>
    </w:lvl>
  </w:abstractNum>
  <w:abstractNum w:abstractNumId="32">
    <w:nsid w:val="6DE91B18"/>
    <w:multiLevelType w:val="hybridMultilevel"/>
    <w:lvl w:ilvl="0">
      <w:lvlJc w:val="left"/>
      <w:lvlText w:val="%1."/>
      <w:numFmt w:val="upperLetter"/>
      <w:start w:val="2"/>
    </w:lvl>
  </w:abstractNum>
  <w:abstractNum w:abstractNumId="33">
    <w:nsid w:val="38437FDB"/>
    <w:multiLevelType w:val="hybridMultilevel"/>
    <w:lvl w:ilvl="0">
      <w:lvlJc w:val="left"/>
      <w:lvlText w:val="%1."/>
      <w:numFmt w:val="upperLetter"/>
      <w:start w:val="2"/>
    </w:lvl>
  </w:abstractNum>
  <w:abstractNum w:abstractNumId="34">
    <w:nsid w:val="7644A45C"/>
    <w:multiLevelType w:val="hybridMultilevel"/>
    <w:lvl w:ilvl="0">
      <w:lvlJc w:val="left"/>
      <w:lvlText w:val="%1."/>
      <w:numFmt w:val="upperLetter"/>
      <w:start w:val="1"/>
    </w:lvl>
    <w:lvl w:ilvl="1">
      <w:lvlJc w:val="left"/>
      <w:lvlText w:val="%2."/>
      <w:numFmt w:val="decimal"/>
      <w:start w:val="1"/>
    </w:lvl>
  </w:abstractNum>
  <w:abstractNum w:abstractNumId="35">
    <w:nsid w:val="32FFF902"/>
    <w:multiLevelType w:val="hybridMultilevel"/>
    <w:lvl w:ilvl="0">
      <w:lvlJc w:val="left"/>
      <w:lvlText w:val="%1."/>
      <w:numFmt w:val="upperLetter"/>
      <w:start w:val="2"/>
    </w:lvl>
  </w:abstractNum>
  <w:abstractNum w:abstractNumId="36">
    <w:nsid w:val="684A481A"/>
    <w:multiLevelType w:val="hybridMultilevel"/>
    <w:lvl w:ilvl="0">
      <w:lvlJc w:val="left"/>
      <w:lvlText w:val="%1."/>
      <w:numFmt w:val="upperLetter"/>
      <w:start w:val="3"/>
    </w:lvl>
  </w:abstractNum>
  <w:abstractNum w:abstractNumId="37">
    <w:nsid w:val="579478FE"/>
    <w:multiLevelType w:val="hybridMultilevel"/>
    <w:lvl w:ilvl="0">
      <w:lvlJc w:val="left"/>
      <w:lvlText w:val="%1."/>
      <w:numFmt w:val="upperLetter"/>
      <w:start w:val="5"/>
    </w:lvl>
  </w:abstractNum>
  <w:abstractNum w:abstractNumId="38">
    <w:nsid w:val="749ABB43"/>
    <w:multiLevelType w:val="hybridMultilevel"/>
    <w:lvl w:ilvl="0">
      <w:lvlJc w:val="left"/>
      <w:lvlText w:val="%1."/>
      <w:numFmt w:val="upperLetter"/>
      <w:start w:val="6"/>
    </w:lvl>
  </w:abstractNum>
  <w:abstractNum w:abstractNumId="39">
    <w:nsid w:val="3DC240FB"/>
    <w:multiLevelType w:val="hybridMultilevel"/>
    <w:lvl w:ilvl="0">
      <w:lvlJc w:val="left"/>
      <w:lvlText w:val="%1."/>
      <w:numFmt w:val="upperLetter"/>
      <w:start w:val="1"/>
    </w:lvl>
  </w:abstractNum>
  <w:abstractNum w:abstractNumId="40">
    <w:nsid w:val="1BA026FA"/>
    <w:multiLevelType w:val="hybridMultilevel"/>
    <w:lvl w:ilvl="0">
      <w:lvlJc w:val="left"/>
      <w:lvlText w:val="(%1)"/>
      <w:numFmt w:val="lowerRoman"/>
      <w:start w:val="1"/>
    </w:lvl>
  </w:abstractNum>
  <w:abstractNum w:abstractNumId="41">
    <w:nsid w:val="79A1DEAA"/>
    <w:multiLevelType w:val="hybridMultilevel"/>
    <w:lvl w:ilvl="0">
      <w:lvlJc w:val="left"/>
      <w:lvlText w:val="%1."/>
      <w:numFmt w:val="upperLetter"/>
      <w:start w:val="2"/>
    </w:lvl>
    <w:lvl w:ilvl="1">
      <w:lvlJc w:val="left"/>
      <w:lvlText w:val="(%2)"/>
      <w:numFmt w:val="lowerRoman"/>
      <w:start w:val="1"/>
    </w:lvl>
  </w:abstractNum>
  <w:abstractNum w:abstractNumId="42">
    <w:nsid w:val="75C6C33A"/>
    <w:multiLevelType w:val="hybridMultilevel"/>
    <w:lvl w:ilvl="0">
      <w:lvlJc w:val="left"/>
      <w:lvlText w:val="(%1)"/>
      <w:numFmt w:val="lowerRoman"/>
      <w:start w:val="1"/>
    </w:lvl>
  </w:abstractNum>
  <w:abstractNum w:abstractNumId="43">
    <w:nsid w:val="12E685FB"/>
    <w:multiLevelType w:val="hybridMultilevel"/>
    <w:lvl w:ilvl="0">
      <w:lvlJc w:val="left"/>
      <w:lvlText w:val="%1."/>
      <w:numFmt w:val="upperLetter"/>
      <w:start w:val="2"/>
    </w:lvl>
    <w:lvl w:ilvl="1">
      <w:lvlJc w:val="left"/>
      <w:lvlText w:val="(%2)"/>
      <w:numFmt w:val="lowerRoman"/>
      <w:start w:val="2"/>
    </w:lvl>
  </w:abstractNum>
  <w:abstractNum w:abstractNumId="44">
    <w:nsid w:val="70C6A529"/>
    <w:multiLevelType w:val="hybridMultilevel"/>
    <w:lvl w:ilvl="0">
      <w:lvlJc w:val="left"/>
      <w:lvlText w:val="(%1)"/>
      <w:numFmt w:val="decimal"/>
      <w:start w:val="2"/>
    </w:lvl>
    <w:lvl w:ilvl="1">
      <w:lvlJc w:val="left"/>
      <w:lvlText w:val="(*)"/>
      <w:numFmt w:val="bullet"/>
      <w:start w:val="1"/>
    </w:lvl>
  </w:abstractNum>
  <w:abstractNum w:abstractNumId="45">
    <w:nsid w:val="520EEDD1"/>
    <w:multiLevelType w:val="hybridMultilevel"/>
    <w:lvl w:ilvl="0">
      <w:lvlJc w:val="left"/>
      <w:lvlText w:val="%1."/>
      <w:numFmt w:val="upperLetter"/>
      <w:start w:val="2"/>
    </w:lvl>
  </w:abstractNum>
  <w:abstractNum w:abstractNumId="46">
    <w:nsid w:val="374A3FE6"/>
    <w:multiLevelType w:val="hybridMultilevel"/>
    <w:lvl w:ilvl="0">
      <w:lvlJc w:val="left"/>
      <w:lvlText w:val="%1."/>
      <w:numFmt w:val="upperLetter"/>
      <w:start w:val="3"/>
    </w:lvl>
  </w:abstractNum>
  <w:abstractNum w:abstractNumId="47">
    <w:nsid w:val="4F4EF005"/>
    <w:multiLevelType w:val="hybridMultilevel"/>
    <w:lvl w:ilvl="0">
      <w:lvlJc w:val="left"/>
      <w:lvlText w:val="%1."/>
      <w:numFmt w:val="upperLetter"/>
      <w:start w:val="1"/>
    </w:lvl>
  </w:abstractNum>
  <w:abstractNum w:abstractNumId="48">
    <w:nsid w:val="23F9C13C"/>
    <w:multiLevelType w:val="hybridMultilevel"/>
    <w:lvl w:ilvl="0">
      <w:lvlJc w:val="left"/>
      <w:lvlText w:val="%1."/>
      <w:numFmt w:val="upperLetter"/>
      <w:start w:val="2"/>
    </w:lvl>
  </w:abstractNum>
  <w:abstractNum w:abstractNumId="49">
    <w:nsid w:val="649BB77C"/>
    <w:multiLevelType w:val="hybridMultilevel"/>
    <w:lvl w:ilvl="0">
      <w:lvlJc w:val="left"/>
      <w:lvlText w:val="%1."/>
      <w:numFmt w:val="upperLetter"/>
      <w:start w:val="3"/>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lowerRoman"/>
      <w:start w:val="1"/>
    </w:lvl>
  </w:abstractNum>
  <w:abstractNum w:abstractNumId="52">
    <w:nsid w:val="1CF10FD8"/>
    <w:multiLevelType w:val="hybridMultilevel"/>
    <w:lvl w:ilvl="0">
      <w:lvlJc w:val="left"/>
      <w:lvlText w:val="%1."/>
      <w:numFmt w:val="upperLetter"/>
      <w:start w:val="1"/>
    </w:lvl>
  </w:abstractNum>
  <w:abstractNum w:abstractNumId="53">
    <w:nsid w:val="180115BE"/>
    <w:multiLevelType w:val="hybridMultilevel"/>
    <w:lvl w:ilvl="0">
      <w:lvlJc w:val="left"/>
      <w:lvlText w:val="%1."/>
      <w:numFmt w:val="upperLetter"/>
      <w:start w:val="2"/>
    </w:lvl>
  </w:abstractNum>
  <w:abstractNum w:abstractNumId="54">
    <w:nsid w:val="235BA861"/>
    <w:multiLevelType w:val="hybridMultilevel"/>
    <w:lvl w:ilvl="0">
      <w:lvlJc w:val="left"/>
      <w:lvlText w:val="%1"/>
      <w:numFmt w:val="upperLetter"/>
      <w:start w:val="1"/>
    </w:lvl>
    <w:lvl w:ilvl="1">
      <w:lvlJc w:val="left"/>
      <w:lvlText w:val="%2."/>
      <w:numFmt w:val="upperLetter"/>
      <w:start w:val="1"/>
    </w:lvl>
  </w:abstractNum>
  <w:abstractNum w:abstractNumId="55">
    <w:nsid w:val="47398C89"/>
    <w:multiLevelType w:val="hybridMultilevel"/>
    <w:lvl w:ilvl="0">
      <w:lvlJc w:val="left"/>
      <w:lvlText w:val="%1."/>
      <w:numFmt w:val="upperLetter"/>
      <w:start w:val="2"/>
    </w:lvl>
    <w:lvl w:ilvl="1">
      <w:lvlJc w:val="left"/>
      <w:lvlText w:val="%2"/>
      <w:numFmt w:val="upperLetter"/>
      <w:start w:val="1"/>
    </w:lvl>
  </w:abstractNum>
  <w:abstractNum w:abstractNumId="56">
    <w:nsid w:val="354FE9F9"/>
    <w:multiLevelType w:val="hybridMultilevel"/>
    <w:lvl w:ilvl="0">
      <w:lvlJc w:val="left"/>
      <w:lvlText w:val="%1."/>
      <w:numFmt w:val="upperLetter"/>
      <w:start w:val="3"/>
    </w:lvl>
  </w:abstractNum>
  <w:abstractNum w:abstractNumId="57">
    <w:nsid w:val="15B5AF5C"/>
    <w:multiLevelType w:val="hybridMultilevel"/>
    <w:lvl w:ilvl="0">
      <w:lvlJc w:val="left"/>
      <w:lvlText w:val="%1."/>
      <w:numFmt w:val="upperLetter"/>
      <w:start w:val="4"/>
    </w:lvl>
  </w:abstractNum>
  <w:abstractNum w:abstractNumId="58">
    <w:nsid w:val="741226BB"/>
    <w:multiLevelType w:val="hybridMultilevel"/>
    <w:lvl w:ilvl="0">
      <w:lvlJc w:val="left"/>
      <w:lvlText w:val="%1."/>
      <w:numFmt w:val="upperLetter"/>
      <w:start w:val="5"/>
    </w:lvl>
  </w:abstractNum>
  <w:abstractNum w:abstractNumId="59">
    <w:nsid w:val="D34B6A8"/>
    <w:multiLevelType w:val="hybridMultilevel"/>
    <w:lvl w:ilvl="0">
      <w:lvlJc w:val="left"/>
      <w:lvlText w:val="%1."/>
      <w:numFmt w:val="upperLetter"/>
      <w:start w:val="6"/>
    </w:lvl>
  </w:abstractNum>
  <w:abstractNum w:abstractNumId="60">
    <w:nsid w:val="10233C99"/>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2025-02-27T15:49:34Z</dcterms:created>
  <dcterms:modified xsi:type="dcterms:W3CDTF">2025-02-27T15:49:34Z</dcterms:modified>
</cp:coreProperties>
</file>