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19"/>
        <w:spacing w:after="0"/>
        <w:rPr>
          <w:sz w:val="20"/>
          <w:szCs w:val="20"/>
          <w:color w:val="auto"/>
        </w:rPr>
      </w:pPr>
      <w:r>
        <w:rPr>
          <w:rFonts w:ascii="Arial" w:cs="Arial" w:eastAsia="Arial" w:hAnsi="Arial"/>
          <w:sz w:val="25"/>
          <w:szCs w:val="25"/>
          <w:b w:val="1"/>
          <w:bCs w:val="1"/>
          <w:color w:val="auto"/>
        </w:rPr>
        <w:drawing>
          <wp:anchor simplePos="0" relativeHeight="251657728" behindDoc="1" locked="0" layoutInCell="0" allowOverlap="1">
            <wp:simplePos x="0" y="0"/>
            <wp:positionH relativeFrom="page">
              <wp:posOffset>208280</wp:posOffset>
            </wp:positionH>
            <wp:positionV relativeFrom="page">
              <wp:posOffset>166370</wp:posOffset>
            </wp:positionV>
            <wp:extent cx="7132320" cy="342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32320" cy="34290"/>
                    </a:xfrm>
                    <a:prstGeom prst="rect">
                      <a:avLst/>
                    </a:prstGeom>
                    <a:noFill/>
                  </pic:spPr>
                </pic:pic>
              </a:graphicData>
            </a:graphic>
          </wp:anchor>
        </w:drawing>
        <w:drawing>
          <wp:anchor simplePos="0" relativeHeight="251657728" behindDoc="1" locked="0" layoutInCell="0" allowOverlap="1">
            <wp:simplePos x="0" y="0"/>
            <wp:positionH relativeFrom="page">
              <wp:posOffset>208280</wp:posOffset>
            </wp:positionH>
            <wp:positionV relativeFrom="page">
              <wp:posOffset>286385</wp:posOffset>
            </wp:positionV>
            <wp:extent cx="7132320"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32320" cy="8255"/>
                    </a:xfrm>
                    <a:prstGeom prst="rect">
                      <a:avLst/>
                    </a:prstGeom>
                    <a:noFill/>
                  </pic:spPr>
                </pic:pic>
              </a:graphicData>
            </a:graphic>
          </wp:anchor>
        </w:drawing>
        <w:t>UNITED STATES</w:t>
      </w:r>
    </w:p>
    <w:p>
      <w:pPr>
        <w:spacing w:after="0" w:line="38" w:lineRule="exact"/>
        <w:rPr>
          <w:sz w:val="24"/>
          <w:szCs w:val="24"/>
          <w:color w:val="auto"/>
        </w:rPr>
      </w:pPr>
    </w:p>
    <w:p>
      <w:pPr>
        <w:jc w:val="center"/>
        <w:ind w:right="-19"/>
        <w:spacing w:after="0"/>
        <w:rPr>
          <w:sz w:val="20"/>
          <w:szCs w:val="20"/>
          <w:color w:val="auto"/>
        </w:rPr>
      </w:pPr>
      <w:r>
        <w:rPr>
          <w:rFonts w:ascii="Arial" w:cs="Arial" w:eastAsia="Arial" w:hAnsi="Arial"/>
          <w:sz w:val="25"/>
          <w:szCs w:val="25"/>
          <w:b w:val="1"/>
          <w:bCs w:val="1"/>
          <w:color w:val="auto"/>
        </w:rPr>
        <w:t>SECURITIES AND EXCHANGE COMMISSION</w:t>
      </w:r>
    </w:p>
    <w:p>
      <w:pPr>
        <w:spacing w:after="0" w:line="1" w:lineRule="exact"/>
        <w:rPr>
          <w:sz w:val="24"/>
          <w:szCs w:val="24"/>
          <w:color w:val="auto"/>
        </w:rPr>
      </w:pPr>
    </w:p>
    <w:p>
      <w:pPr>
        <w:jc w:val="center"/>
        <w:ind w:right="-19"/>
        <w:spacing w:after="0"/>
        <w:rPr>
          <w:sz w:val="20"/>
          <w:szCs w:val="20"/>
          <w:color w:val="auto"/>
        </w:rPr>
      </w:pPr>
      <w:r>
        <w:rPr>
          <w:rFonts w:ascii="Arial" w:cs="Arial" w:eastAsia="Arial" w:hAnsi="Arial"/>
          <w:sz w:val="22"/>
          <w:szCs w:val="22"/>
          <w:b w:val="1"/>
          <w:bCs w:val="1"/>
          <w:color w:val="auto"/>
        </w:rPr>
        <w:t>Washington, D.C. 20549</w:t>
      </w:r>
    </w:p>
    <w:p>
      <w:pPr>
        <w:spacing w:after="0" w:line="214" w:lineRule="exact"/>
        <w:rPr>
          <w:sz w:val="24"/>
          <w:szCs w:val="24"/>
          <w:color w:val="auto"/>
        </w:rPr>
      </w:pPr>
    </w:p>
    <w:p>
      <w:pPr>
        <w:jc w:val="center"/>
        <w:ind w:right="-19"/>
        <w:spacing w:after="0"/>
        <w:rPr>
          <w:sz w:val="20"/>
          <w:szCs w:val="20"/>
          <w:color w:val="auto"/>
        </w:rPr>
      </w:pPr>
      <w:r>
        <w:rPr>
          <w:rFonts w:ascii="Arial" w:cs="Arial" w:eastAsia="Arial" w:hAnsi="Arial"/>
          <w:sz w:val="25"/>
          <w:szCs w:val="25"/>
          <w:b w:val="1"/>
          <w:bCs w:val="1"/>
          <w:color w:val="auto"/>
        </w:rPr>
        <w:t>SCHEDULE 13G/A</w:t>
      </w:r>
    </w:p>
    <w:p>
      <w:pPr>
        <w:spacing w:after="0" w:line="34" w:lineRule="exact"/>
        <w:rPr>
          <w:sz w:val="24"/>
          <w:szCs w:val="24"/>
          <w:color w:val="auto"/>
        </w:rPr>
      </w:pPr>
    </w:p>
    <w:p>
      <w:pPr>
        <w:jc w:val="center"/>
        <w:ind w:right="-19"/>
        <w:spacing w:after="0"/>
        <w:rPr>
          <w:sz w:val="20"/>
          <w:szCs w:val="20"/>
          <w:color w:val="auto"/>
        </w:rPr>
      </w:pPr>
      <w:r>
        <w:rPr>
          <w:rFonts w:ascii="Arial" w:cs="Arial" w:eastAsia="Arial" w:hAnsi="Arial"/>
          <w:sz w:val="18"/>
          <w:szCs w:val="18"/>
          <w:b w:val="1"/>
          <w:bCs w:val="1"/>
          <w:color w:val="auto"/>
        </w:rPr>
        <w:t>(Amendment No. 2)*</w:t>
      </w:r>
    </w:p>
    <w:p>
      <w:pPr>
        <w:spacing w:after="0" w:line="7" w:lineRule="exact"/>
        <w:rPr>
          <w:sz w:val="24"/>
          <w:szCs w:val="24"/>
          <w:color w:val="auto"/>
        </w:rPr>
      </w:pPr>
    </w:p>
    <w:p>
      <w:pPr>
        <w:jc w:val="center"/>
        <w:ind w:right="-19"/>
        <w:spacing w:after="0"/>
        <w:rPr>
          <w:sz w:val="20"/>
          <w:szCs w:val="20"/>
          <w:color w:val="auto"/>
        </w:rPr>
      </w:pPr>
      <w:r>
        <w:rPr>
          <w:rFonts w:ascii="Arial" w:cs="Arial" w:eastAsia="Arial" w:hAnsi="Arial"/>
          <w:sz w:val="18"/>
          <w:szCs w:val="18"/>
          <w:b w:val="1"/>
          <w:bCs w:val="1"/>
          <w:color w:val="auto"/>
        </w:rPr>
        <w:t>(Rule 13d-102)</w:t>
      </w:r>
    </w:p>
    <w:p>
      <w:pPr>
        <w:spacing w:after="0" w:line="231" w:lineRule="exact"/>
        <w:rPr>
          <w:sz w:val="24"/>
          <w:szCs w:val="24"/>
          <w:color w:val="auto"/>
        </w:rPr>
      </w:pPr>
    </w:p>
    <w:p>
      <w:pPr>
        <w:jc w:val="center"/>
        <w:ind w:right="-19"/>
        <w:spacing w:after="0"/>
        <w:rPr>
          <w:sz w:val="20"/>
          <w:szCs w:val="20"/>
          <w:color w:val="auto"/>
        </w:rPr>
      </w:pPr>
      <w:r>
        <w:rPr>
          <w:rFonts w:ascii="Arial" w:cs="Arial" w:eastAsia="Arial" w:hAnsi="Arial"/>
          <w:sz w:val="22"/>
          <w:szCs w:val="22"/>
          <w:color w:val="auto"/>
        </w:rPr>
        <w:t>INFORMATION TO BE INCLUDED IN STATEMENTS FILED PURSUANT TO RULES 13d-1(b), (c) AND</w:t>
      </w:r>
    </w:p>
    <w:p>
      <w:pPr>
        <w:spacing w:after="0" w:line="8" w:lineRule="exact"/>
        <w:rPr>
          <w:sz w:val="24"/>
          <w:szCs w:val="24"/>
          <w:color w:val="auto"/>
        </w:rPr>
      </w:pPr>
    </w:p>
    <w:p>
      <w:pPr>
        <w:ind w:left="2420" w:hanging="302"/>
        <w:spacing w:after="0"/>
        <w:tabs>
          <w:tab w:leader="none" w:pos="2420" w:val="left"/>
        </w:tabs>
        <w:numPr>
          <w:ilvl w:val="0"/>
          <w:numId w:val="1"/>
        </w:numPr>
        <w:rPr>
          <w:rFonts w:ascii="Arial" w:cs="Arial" w:eastAsia="Arial" w:hAnsi="Arial"/>
          <w:sz w:val="22"/>
          <w:szCs w:val="22"/>
          <w:color w:val="auto"/>
        </w:rPr>
      </w:pPr>
      <w:r>
        <w:rPr>
          <w:rFonts w:ascii="Arial" w:cs="Arial" w:eastAsia="Arial" w:hAnsi="Arial"/>
          <w:sz w:val="22"/>
          <w:szCs w:val="22"/>
          <w:color w:val="auto"/>
        </w:rPr>
        <w:t>AND AMENDMENTS THERETO FILED PURSUANT TO RULE 13d-2(b)</w:t>
      </w:r>
    </w:p>
    <w:p>
      <w:pPr>
        <w:spacing w:after="0" w:line="215" w:lineRule="exact"/>
        <w:rPr>
          <w:rFonts w:ascii="Arial" w:cs="Arial" w:eastAsia="Arial" w:hAnsi="Arial"/>
          <w:sz w:val="22"/>
          <w:szCs w:val="22"/>
          <w:color w:val="auto"/>
        </w:rPr>
      </w:pPr>
    </w:p>
    <w:p>
      <w:pPr>
        <w:ind w:left="3100"/>
        <w:spacing w:after="0"/>
        <w:rPr>
          <w:rFonts w:ascii="Arial" w:cs="Arial" w:eastAsia="Arial" w:hAnsi="Arial"/>
          <w:sz w:val="22"/>
          <w:szCs w:val="22"/>
          <w:color w:val="auto"/>
        </w:rPr>
      </w:pPr>
      <w:r>
        <w:rPr>
          <w:rFonts w:ascii="Arial" w:cs="Arial" w:eastAsia="Arial" w:hAnsi="Arial"/>
          <w:sz w:val="22"/>
          <w:szCs w:val="22"/>
          <w:color w:val="auto"/>
        </w:rPr>
        <w:t>UNDER THE SECURITIES EXCHANGE ACT OF 1934</w:t>
      </w:r>
    </w:p>
    <w:p>
      <w:pPr>
        <w:spacing w:after="0" w:line="222" w:lineRule="exact"/>
        <w:rPr>
          <w:sz w:val="24"/>
          <w:szCs w:val="24"/>
          <w:color w:val="auto"/>
        </w:rPr>
      </w:pPr>
    </w:p>
    <w:p>
      <w:pPr>
        <w:jc w:val="center"/>
        <w:ind w:right="-19"/>
        <w:spacing w:after="0"/>
        <w:rPr>
          <w:sz w:val="20"/>
          <w:szCs w:val="20"/>
          <w:color w:val="auto"/>
        </w:rPr>
      </w:pPr>
      <w:r>
        <w:rPr>
          <w:rFonts w:ascii="Arial" w:cs="Arial" w:eastAsia="Arial" w:hAnsi="Arial"/>
          <w:sz w:val="29"/>
          <w:szCs w:val="29"/>
          <w:b w:val="1"/>
          <w:bCs w:val="1"/>
          <w:color w:val="auto"/>
        </w:rPr>
        <w:t>Tower Semiconductor Ltd.</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22860</wp:posOffset>
            </wp:positionV>
            <wp:extent cx="7132320" cy="1714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pacing w:after="0" w:line="29" w:lineRule="exact"/>
        <w:rPr>
          <w:sz w:val="24"/>
          <w:szCs w:val="24"/>
          <w:color w:val="auto"/>
        </w:rPr>
      </w:pPr>
    </w:p>
    <w:p>
      <w:pPr>
        <w:jc w:val="center"/>
        <w:ind w:right="-19"/>
        <w:spacing w:after="0"/>
        <w:rPr>
          <w:sz w:val="20"/>
          <w:szCs w:val="20"/>
          <w:color w:val="auto"/>
        </w:rPr>
      </w:pPr>
      <w:r>
        <w:rPr>
          <w:rFonts w:ascii="Arial" w:cs="Arial" w:eastAsia="Arial" w:hAnsi="Arial"/>
          <w:sz w:val="18"/>
          <w:szCs w:val="18"/>
          <w:color w:val="auto"/>
        </w:rPr>
        <w:t>(Name of Issuer)</w:t>
      </w:r>
    </w:p>
    <w:p>
      <w:pPr>
        <w:spacing w:after="0" w:line="221" w:lineRule="exact"/>
        <w:rPr>
          <w:sz w:val="24"/>
          <w:szCs w:val="24"/>
          <w:color w:val="auto"/>
        </w:rPr>
      </w:pPr>
    </w:p>
    <w:p>
      <w:pPr>
        <w:jc w:val="center"/>
        <w:ind w:right="-19"/>
        <w:spacing w:after="0"/>
        <w:rPr>
          <w:sz w:val="20"/>
          <w:szCs w:val="20"/>
          <w:color w:val="auto"/>
        </w:rPr>
      </w:pPr>
      <w:r>
        <w:rPr>
          <w:rFonts w:ascii="Arial" w:cs="Arial" w:eastAsia="Arial" w:hAnsi="Arial"/>
          <w:sz w:val="18"/>
          <w:szCs w:val="18"/>
          <w:b w:val="1"/>
          <w:bCs w:val="1"/>
          <w:color w:val="auto"/>
        </w:rPr>
        <w:t>Ordinary Shares, par value NIS 15.00 per share</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pacing w:after="0" w:line="20" w:lineRule="exact"/>
        <w:rPr>
          <w:sz w:val="24"/>
          <w:szCs w:val="24"/>
          <w:color w:val="auto"/>
        </w:rPr>
      </w:pPr>
    </w:p>
    <w:p>
      <w:pPr>
        <w:jc w:val="center"/>
        <w:ind w:right="-19"/>
        <w:spacing w:after="0"/>
        <w:rPr>
          <w:sz w:val="20"/>
          <w:szCs w:val="20"/>
          <w:color w:val="auto"/>
        </w:rPr>
      </w:pPr>
      <w:r>
        <w:rPr>
          <w:rFonts w:ascii="Arial" w:cs="Arial" w:eastAsia="Arial" w:hAnsi="Arial"/>
          <w:sz w:val="18"/>
          <w:szCs w:val="18"/>
          <w:color w:val="auto"/>
        </w:rPr>
        <w:t>(Title of Class of Securities)</w:t>
      </w:r>
    </w:p>
    <w:p>
      <w:pPr>
        <w:spacing w:after="0" w:line="221" w:lineRule="exact"/>
        <w:rPr>
          <w:sz w:val="24"/>
          <w:szCs w:val="24"/>
          <w:color w:val="auto"/>
        </w:rPr>
      </w:pPr>
    </w:p>
    <w:p>
      <w:pPr>
        <w:jc w:val="center"/>
        <w:ind w:right="20"/>
        <w:spacing w:after="0"/>
        <w:rPr>
          <w:sz w:val="20"/>
          <w:szCs w:val="20"/>
          <w:color w:val="auto"/>
        </w:rPr>
      </w:pPr>
      <w:r>
        <w:rPr>
          <w:rFonts w:ascii="Arial" w:cs="Arial" w:eastAsia="Arial" w:hAnsi="Arial"/>
          <w:sz w:val="18"/>
          <w:szCs w:val="18"/>
          <w:b w:val="1"/>
          <w:bCs w:val="1"/>
          <w:color w:val="auto"/>
        </w:rPr>
        <w:t>M87915274</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2379345</wp:posOffset>
            </wp:positionH>
            <wp:positionV relativeFrom="paragraph">
              <wp:posOffset>17145</wp:posOffset>
            </wp:positionV>
            <wp:extent cx="2374265" cy="1714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2374265" cy="17145"/>
                    </a:xfrm>
                    <a:prstGeom prst="rect">
                      <a:avLst/>
                    </a:prstGeom>
                    <a:noFill/>
                  </pic:spPr>
                </pic:pic>
              </a:graphicData>
            </a:graphic>
          </wp:anchor>
        </w:drawing>
      </w:r>
    </w:p>
    <w:p>
      <w:pPr>
        <w:spacing w:after="0" w:line="20" w:lineRule="exact"/>
        <w:rPr>
          <w:sz w:val="24"/>
          <w:szCs w:val="24"/>
          <w:color w:val="auto"/>
        </w:rPr>
      </w:pPr>
    </w:p>
    <w:p>
      <w:pPr>
        <w:jc w:val="center"/>
        <w:ind w:right="-19"/>
        <w:spacing w:after="0"/>
        <w:rPr>
          <w:sz w:val="20"/>
          <w:szCs w:val="20"/>
          <w:color w:val="auto"/>
        </w:rPr>
      </w:pPr>
      <w:r>
        <w:rPr>
          <w:rFonts w:ascii="Arial" w:cs="Arial" w:eastAsia="Arial" w:hAnsi="Arial"/>
          <w:sz w:val="18"/>
          <w:szCs w:val="18"/>
          <w:color w:val="auto"/>
        </w:rPr>
        <w:t>(CUSIP Number)</w:t>
      </w:r>
    </w:p>
    <w:p>
      <w:pPr>
        <w:spacing w:after="0" w:line="221" w:lineRule="exact"/>
        <w:rPr>
          <w:sz w:val="24"/>
          <w:szCs w:val="24"/>
          <w:color w:val="auto"/>
        </w:rPr>
      </w:pPr>
    </w:p>
    <w:p>
      <w:pPr>
        <w:jc w:val="center"/>
        <w:ind w:right="-19"/>
        <w:spacing w:after="0"/>
        <w:rPr>
          <w:sz w:val="20"/>
          <w:szCs w:val="20"/>
          <w:color w:val="auto"/>
        </w:rPr>
      </w:pPr>
      <w:r>
        <w:rPr>
          <w:rFonts w:ascii="Arial" w:cs="Arial" w:eastAsia="Arial" w:hAnsi="Arial"/>
          <w:sz w:val="18"/>
          <w:szCs w:val="18"/>
          <w:b w:val="1"/>
          <w:bCs w:val="1"/>
          <w:color w:val="auto"/>
        </w:rPr>
        <w:t>December 31, 2021</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pacing w:after="0" w:line="20" w:lineRule="exact"/>
        <w:rPr>
          <w:sz w:val="24"/>
          <w:szCs w:val="24"/>
          <w:color w:val="auto"/>
        </w:rPr>
      </w:pPr>
    </w:p>
    <w:p>
      <w:pPr>
        <w:jc w:val="center"/>
        <w:ind w:right="-19"/>
        <w:spacing w:after="0"/>
        <w:rPr>
          <w:sz w:val="20"/>
          <w:szCs w:val="20"/>
          <w:color w:val="auto"/>
        </w:rPr>
      </w:pPr>
      <w:r>
        <w:rPr>
          <w:rFonts w:ascii="Arial" w:cs="Arial" w:eastAsia="Arial" w:hAnsi="Arial"/>
          <w:sz w:val="18"/>
          <w:szCs w:val="18"/>
          <w:color w:val="auto"/>
        </w:rPr>
        <w:t>(Date of Event Which Requires Filing of this Statement)</w:t>
      </w:r>
    </w:p>
    <w:p>
      <w:pPr>
        <w:spacing w:after="0" w:line="245" w:lineRule="exact"/>
        <w:rPr>
          <w:sz w:val="24"/>
          <w:szCs w:val="24"/>
          <w:color w:val="auto"/>
        </w:rPr>
      </w:pPr>
    </w:p>
    <w:p>
      <w:pPr>
        <w:spacing w:after="0"/>
        <w:rPr>
          <w:sz w:val="20"/>
          <w:szCs w:val="20"/>
          <w:color w:val="auto"/>
        </w:rPr>
      </w:pPr>
      <w:r>
        <w:rPr>
          <w:rFonts w:ascii="Arial" w:cs="Arial" w:eastAsia="Arial" w:hAnsi="Arial"/>
          <w:sz w:val="22"/>
          <w:szCs w:val="22"/>
          <w:color w:val="auto"/>
        </w:rPr>
        <w:t>Check the following box to designate the rule pursuant to which the Schedule is filed:</w:t>
      </w:r>
    </w:p>
    <w:p>
      <w:pPr>
        <w:spacing w:after="0" w:line="247" w:lineRule="exact"/>
        <w:rPr>
          <w:sz w:val="24"/>
          <w:szCs w:val="24"/>
          <w:color w:val="auto"/>
        </w:rPr>
      </w:pPr>
    </w:p>
    <w:p>
      <w:pPr>
        <w:ind w:left="900" w:hanging="244"/>
        <w:spacing w:after="0"/>
        <w:tabs>
          <w:tab w:leader="none" w:pos="900" w:val="left"/>
        </w:tabs>
        <w:numPr>
          <w:ilvl w:val="0"/>
          <w:numId w:val="2"/>
        </w:numPr>
        <w:rPr>
          <w:rFonts w:ascii="MS PGothic" w:cs="MS PGothic" w:eastAsia="MS PGothic" w:hAnsi="MS PGothic"/>
          <w:sz w:val="22"/>
          <w:szCs w:val="22"/>
          <w:color w:val="auto"/>
        </w:rPr>
      </w:pPr>
      <w:r>
        <w:rPr>
          <w:rFonts w:ascii="Arial" w:cs="Arial" w:eastAsia="Arial" w:hAnsi="Arial"/>
          <w:sz w:val="22"/>
          <w:szCs w:val="22"/>
          <w:color w:val="auto"/>
        </w:rPr>
        <w:t>Rule 13d-1(b)</w:t>
      </w:r>
    </w:p>
    <w:p>
      <w:pPr>
        <w:spacing w:after="0" w:line="247" w:lineRule="exact"/>
        <w:rPr>
          <w:sz w:val="24"/>
          <w:szCs w:val="24"/>
          <w:color w:val="auto"/>
        </w:rPr>
      </w:pPr>
    </w:p>
    <w:p>
      <w:pPr>
        <w:ind w:left="900" w:hanging="244"/>
        <w:spacing w:after="0"/>
        <w:tabs>
          <w:tab w:leader="none" w:pos="900" w:val="left"/>
        </w:tabs>
        <w:numPr>
          <w:ilvl w:val="0"/>
          <w:numId w:val="3"/>
        </w:numPr>
        <w:rPr>
          <w:rFonts w:ascii="MS PGothic" w:cs="MS PGothic" w:eastAsia="MS PGothic" w:hAnsi="MS PGothic"/>
          <w:sz w:val="22"/>
          <w:szCs w:val="22"/>
          <w:color w:val="auto"/>
        </w:rPr>
      </w:pPr>
      <w:r>
        <w:rPr>
          <w:rFonts w:ascii="Arial" w:cs="Arial" w:eastAsia="Arial" w:hAnsi="Arial"/>
          <w:sz w:val="22"/>
          <w:szCs w:val="22"/>
          <w:color w:val="auto"/>
        </w:rPr>
        <w:t>Rule 13d-1(c)</w:t>
      </w:r>
    </w:p>
    <w:p>
      <w:pPr>
        <w:spacing w:after="0" w:line="247" w:lineRule="exact"/>
        <w:rPr>
          <w:sz w:val="24"/>
          <w:szCs w:val="24"/>
          <w:color w:val="auto"/>
        </w:rPr>
      </w:pPr>
    </w:p>
    <w:p>
      <w:pPr>
        <w:ind w:left="900" w:hanging="244"/>
        <w:spacing w:after="0"/>
        <w:tabs>
          <w:tab w:leader="none" w:pos="900" w:val="left"/>
        </w:tabs>
        <w:numPr>
          <w:ilvl w:val="1"/>
          <w:numId w:val="4"/>
        </w:numPr>
        <w:rPr>
          <w:rFonts w:ascii="MS PGothic" w:cs="MS PGothic" w:eastAsia="MS PGothic" w:hAnsi="MS PGothic"/>
          <w:sz w:val="22"/>
          <w:szCs w:val="22"/>
          <w:color w:val="auto"/>
        </w:rPr>
      </w:pPr>
      <w:r>
        <w:rPr>
          <w:rFonts w:ascii="Arial" w:cs="Arial" w:eastAsia="Arial" w:hAnsi="Arial"/>
          <w:sz w:val="22"/>
          <w:szCs w:val="22"/>
          <w:color w:val="auto"/>
        </w:rPr>
        <w:t>Rule 13d-1(d)</w:t>
      </w:r>
    </w:p>
    <w:p>
      <w:pPr>
        <w:spacing w:after="0" w:line="240" w:lineRule="exact"/>
        <w:rPr>
          <w:rFonts w:ascii="MS PGothic" w:cs="MS PGothic" w:eastAsia="MS PGothic" w:hAnsi="MS PGothic"/>
          <w:sz w:val="22"/>
          <w:szCs w:val="22"/>
          <w:color w:val="auto"/>
        </w:rPr>
      </w:pPr>
    </w:p>
    <w:p>
      <w:pPr>
        <w:ind w:left="340" w:hanging="324"/>
        <w:spacing w:after="0" w:line="277" w:lineRule="auto"/>
        <w:rPr>
          <w:rFonts w:ascii="MS PGothic" w:cs="MS PGothic" w:eastAsia="MS PGothic" w:hAnsi="MS PGothic"/>
          <w:sz w:val="22"/>
          <w:szCs w:val="22"/>
          <w:color w:val="auto"/>
        </w:rPr>
      </w:pPr>
      <w:r>
        <w:rPr>
          <w:rFonts w:ascii="Arial" w:cs="Arial" w:eastAsia="Arial" w:hAnsi="Arial"/>
          <w:sz w:val="18"/>
          <w:szCs w:val="18"/>
          <w:color w:val="auto"/>
        </w:rPr>
        <w:t>* The remainder of this cover page shall be filled out for a reporting person’s initial filing on this form with respect to the subject class of securities, and for any subsequent amendment containing information which would alter disclosures provided in a prior cover page.</w:t>
      </w:r>
    </w:p>
    <w:p>
      <w:pPr>
        <w:spacing w:after="0" w:line="190" w:lineRule="exact"/>
        <w:rPr>
          <w:sz w:val="24"/>
          <w:szCs w:val="24"/>
          <w:color w:val="auto"/>
        </w:rPr>
      </w:pPr>
    </w:p>
    <w:p>
      <w:pPr>
        <w:jc w:val="both"/>
        <w:ind w:left="340" w:right="20"/>
        <w:spacing w:after="0"/>
        <w:rPr>
          <w:sz w:val="20"/>
          <w:szCs w:val="20"/>
          <w:color w:val="auto"/>
        </w:rPr>
      </w:pPr>
      <w:r>
        <w:rPr>
          <w:rFonts w:ascii="Arial" w:cs="Arial" w:eastAsia="Arial" w:hAnsi="Arial"/>
          <w:sz w:val="22"/>
          <w:szCs w:val="22"/>
          <w:color w:val="auto"/>
        </w:rPr>
        <w:t>The information required on the remainder of this cover page shall not be deemed to be “filed” for the purpose of Section 18 of the Securities Exchange Act of 1934 (“Act”) or otherwise subject to the liabilities of that section of the Act but shall be subject to all other provisions of the Act (however, see the Notes).</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3175</wp:posOffset>
            </wp:positionH>
            <wp:positionV relativeFrom="paragraph">
              <wp:posOffset>215265</wp:posOffset>
            </wp:positionV>
            <wp:extent cx="7136130" cy="2984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136130" cy="29845"/>
                    </a:xfrm>
                    <a:prstGeom prst="rect">
                      <a:avLst/>
                    </a:prstGeom>
                    <a:noFill/>
                  </pic:spPr>
                </pic:pic>
              </a:graphicData>
            </a:graphic>
          </wp:anchor>
        </w:drawing>
      </w:r>
    </w:p>
    <w:p>
      <w:pPr>
        <w:sectPr>
          <w:pgSz w:w="11900" w:h="16838" w:orient="portrait"/>
          <w:cols w:equalWidth="0" w:num="1">
            <w:col w:w="11240"/>
          </w:cols>
          <w:pgMar w:left="320" w:top="873" w:right="339" w:bottom="1440" w:gutter="0" w:footer="0" w:header="0"/>
        </w:sectPr>
      </w:pPr>
    </w:p>
    <w:bookmarkStart w:id="1" w:name="page2"/>
    <w:bookmarkEnd w:id="1"/>
    <w:p>
      <w:pPr>
        <w:spacing w:after="0"/>
        <w:rPr>
          <w:sz w:val="20"/>
          <w:szCs w:val="20"/>
          <w:color w:val="auto"/>
        </w:rPr>
      </w:pPr>
      <w:r>
        <w:rPr>
          <w:rFonts w:ascii="Arial" w:cs="Arial" w:eastAsia="Arial" w:hAnsi="Arial"/>
          <w:sz w:val="22"/>
          <w:szCs w:val="22"/>
          <w:color w:val="auto"/>
        </w:rPr>
        <w:t xml:space="preserve">CUSIP NO. </w:t>
      </w:r>
      <w:r>
        <w:rPr>
          <w:rFonts w:ascii="Arial" w:cs="Arial" w:eastAsia="Arial" w:hAnsi="Arial"/>
          <w:sz w:val="22"/>
          <w:szCs w:val="22"/>
          <w:b w:val="1"/>
          <w:bCs w:val="1"/>
          <w:u w:val="single" w:color="auto"/>
          <w:color w:val="auto"/>
        </w:rPr>
        <w:t>M87915274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165100</wp:posOffset>
            </wp:positionV>
            <wp:extent cx="7132320" cy="610362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32320" cy="6103620"/>
                    </a:xfrm>
                    <a:prstGeom prst="rect">
                      <a:avLst/>
                    </a:prstGeom>
                    <a:noFill/>
                  </pic:spPr>
                </pic:pic>
              </a:graphicData>
            </a:graphic>
          </wp:anchor>
        </w:drawing>
      </w:r>
    </w:p>
    <w:p>
      <w:pPr>
        <w:spacing w:after="0" w:line="218" w:lineRule="exact"/>
        <w:rPr>
          <w:sz w:val="20"/>
          <w:szCs w:val="20"/>
          <w:color w:val="auto"/>
        </w:rPr>
      </w:pPr>
    </w:p>
    <w:p>
      <w:pPr>
        <w:ind w:left="1080" w:hanging="620"/>
        <w:spacing w:after="0"/>
        <w:tabs>
          <w:tab w:leader="none" w:pos="1080" w:val="left"/>
        </w:tabs>
        <w:numPr>
          <w:ilvl w:val="0"/>
          <w:numId w:val="5"/>
        </w:numPr>
        <w:rPr>
          <w:rFonts w:ascii="Arial" w:cs="Arial" w:eastAsia="Arial" w:hAnsi="Arial"/>
          <w:sz w:val="29"/>
          <w:szCs w:val="29"/>
          <w:color w:val="auto"/>
          <w:vertAlign w:val="superscript"/>
        </w:rPr>
      </w:pPr>
      <w:r>
        <w:rPr>
          <w:rFonts w:ascii="Arial" w:cs="Arial" w:eastAsia="Arial" w:hAnsi="Arial"/>
          <w:sz w:val="18"/>
          <w:szCs w:val="18"/>
          <w:color w:val="auto"/>
        </w:rPr>
        <w:t>Name of Reporting Persons</w:t>
      </w:r>
    </w:p>
    <w:p>
      <w:pPr>
        <w:spacing w:after="0" w:line="201" w:lineRule="exact"/>
        <w:rPr>
          <w:rFonts w:ascii="Arial" w:cs="Arial" w:eastAsia="Arial" w:hAnsi="Arial"/>
          <w:sz w:val="29"/>
          <w:szCs w:val="29"/>
          <w:color w:val="auto"/>
          <w:vertAlign w:val="superscript"/>
        </w:rPr>
      </w:pPr>
    </w:p>
    <w:p>
      <w:pPr>
        <w:ind w:left="1080"/>
        <w:spacing w:after="0"/>
        <w:rPr>
          <w:rFonts w:ascii="Arial" w:cs="Arial" w:eastAsia="Arial" w:hAnsi="Arial"/>
          <w:sz w:val="29"/>
          <w:szCs w:val="29"/>
          <w:color w:val="auto"/>
          <w:vertAlign w:val="superscript"/>
        </w:rPr>
      </w:pPr>
      <w:r>
        <w:rPr>
          <w:rFonts w:ascii="Arial" w:cs="Arial" w:eastAsia="Arial" w:hAnsi="Arial"/>
          <w:sz w:val="18"/>
          <w:szCs w:val="18"/>
          <w:color w:val="auto"/>
        </w:rPr>
        <w:t>Harel Insurance Investments &amp; Financial Services Ltd.</w:t>
      </w:r>
    </w:p>
    <w:p>
      <w:pPr>
        <w:spacing w:after="0" w:line="67" w:lineRule="exact"/>
        <w:rPr>
          <w:rFonts w:ascii="Arial" w:cs="Arial" w:eastAsia="Arial" w:hAnsi="Arial"/>
          <w:sz w:val="29"/>
          <w:szCs w:val="29"/>
          <w:color w:val="auto"/>
          <w:vertAlign w:val="superscript"/>
        </w:rPr>
      </w:pPr>
    </w:p>
    <w:p>
      <w:pPr>
        <w:ind w:left="1080" w:hanging="620"/>
        <w:spacing w:after="0"/>
        <w:tabs>
          <w:tab w:leader="none" w:pos="1080" w:val="left"/>
        </w:tabs>
        <w:numPr>
          <w:ilvl w:val="0"/>
          <w:numId w:val="5"/>
        </w:numPr>
        <w:rPr>
          <w:rFonts w:ascii="Arial" w:cs="Arial" w:eastAsia="Arial" w:hAnsi="Arial"/>
          <w:sz w:val="29"/>
          <w:szCs w:val="29"/>
          <w:color w:val="auto"/>
          <w:vertAlign w:val="superscript"/>
        </w:rPr>
      </w:pPr>
      <w:r>
        <w:rPr>
          <w:rFonts w:ascii="Arial" w:cs="Arial" w:eastAsia="Arial" w:hAnsi="Arial"/>
          <w:sz w:val="18"/>
          <w:szCs w:val="18"/>
          <w:color w:val="auto"/>
        </w:rPr>
        <w:t>Check the Appropriate Box if a Member of a Group</w:t>
      </w:r>
    </w:p>
    <w:p>
      <w:pPr>
        <w:spacing w:after="0" w:line="1" w:lineRule="exact"/>
        <w:rPr>
          <w:rFonts w:ascii="Arial" w:cs="Arial" w:eastAsia="Arial" w:hAnsi="Arial"/>
          <w:sz w:val="29"/>
          <w:szCs w:val="29"/>
          <w:color w:val="auto"/>
          <w:vertAlign w:val="superscript"/>
        </w:rPr>
      </w:pPr>
    </w:p>
    <w:p>
      <w:pPr>
        <w:ind w:left="1380" w:hanging="292"/>
        <w:spacing w:after="0" w:line="207" w:lineRule="exact"/>
        <w:tabs>
          <w:tab w:leader="none" w:pos="1380" w:val="left"/>
        </w:tabs>
        <w:numPr>
          <w:ilvl w:val="1"/>
          <w:numId w:val="5"/>
        </w:numPr>
        <w:rPr>
          <w:rFonts w:ascii="Arial" w:cs="Arial" w:eastAsia="Arial" w:hAnsi="Arial"/>
          <w:sz w:val="18"/>
          <w:szCs w:val="18"/>
          <w:color w:val="auto"/>
        </w:rPr>
      </w:pPr>
      <w:r>
        <w:rPr>
          <w:rFonts w:ascii="MS PGothic" w:cs="MS PGothic" w:eastAsia="MS PGothic" w:hAnsi="MS PGothic"/>
          <w:sz w:val="18"/>
          <w:szCs w:val="18"/>
          <w:color w:val="auto"/>
        </w:rPr>
        <w:t>☒</w:t>
      </w:r>
    </w:p>
    <w:p>
      <w:pPr>
        <w:spacing w:after="0" w:line="9" w:lineRule="exact"/>
        <w:rPr>
          <w:rFonts w:ascii="Arial" w:cs="Arial" w:eastAsia="Arial" w:hAnsi="Arial"/>
          <w:sz w:val="18"/>
          <w:szCs w:val="18"/>
          <w:color w:val="auto"/>
        </w:rPr>
      </w:pPr>
    </w:p>
    <w:p>
      <w:pPr>
        <w:ind w:left="1380" w:hanging="292"/>
        <w:spacing w:after="0" w:line="207" w:lineRule="exact"/>
        <w:tabs>
          <w:tab w:leader="none" w:pos="1380" w:val="left"/>
        </w:tabs>
        <w:numPr>
          <w:ilvl w:val="1"/>
          <w:numId w:val="5"/>
        </w:numPr>
        <w:rPr>
          <w:rFonts w:ascii="Arial" w:cs="Arial" w:eastAsia="Arial" w:hAnsi="Arial"/>
          <w:sz w:val="18"/>
          <w:szCs w:val="18"/>
          <w:color w:val="auto"/>
        </w:rPr>
      </w:pPr>
      <w:r>
        <w:rPr>
          <w:rFonts w:ascii="MS PGothic" w:cs="MS PGothic" w:eastAsia="MS PGothic" w:hAnsi="MS PGothic"/>
          <w:sz w:val="18"/>
          <w:szCs w:val="18"/>
          <w:color w:val="auto"/>
        </w:rPr>
        <w:t>☐</w:t>
      </w:r>
    </w:p>
    <w:p>
      <w:pPr>
        <w:spacing w:after="0" w:line="102" w:lineRule="exact"/>
        <w:rPr>
          <w:sz w:val="20"/>
          <w:szCs w:val="20"/>
          <w:color w:val="auto"/>
        </w:rPr>
      </w:pPr>
    </w:p>
    <w:tbl>
      <w:tblPr>
        <w:tblLayout w:type="fixed"/>
        <w:tblInd w:w="0" w:type="dxa"/>
        <w:tblCellMar>
          <w:top w:w="0" w:type="dxa"/>
          <w:left w:w="0" w:type="dxa"/>
          <w:bottom w:w="0" w:type="dxa"/>
          <w:right w:w="0" w:type="dxa"/>
        </w:tblCellMar>
      </w:tblPr>
      <w:tr>
        <w:trPr>
          <w:trHeight w:val="284"/>
        </w:trPr>
        <w:tc>
          <w:tcPr>
            <w:tcW w:w="1060" w:type="dxa"/>
            <w:vAlign w:val="bottom"/>
            <w:tcBorders>
              <w:right w:val="single" w:sz="8" w:color="CCEEFF"/>
            </w:tcBorders>
          </w:tcPr>
          <w:p>
            <w:pPr>
              <w:jc w:val="center"/>
              <w:spacing w:after="0"/>
              <w:rPr>
                <w:sz w:val="20"/>
                <w:szCs w:val="20"/>
                <w:color w:val="auto"/>
              </w:rPr>
            </w:pPr>
            <w:r>
              <w:rPr>
                <w:rFonts w:ascii="Arial" w:cs="Arial" w:eastAsia="Arial" w:hAnsi="Arial"/>
                <w:sz w:val="14"/>
                <w:szCs w:val="14"/>
                <w:color w:val="auto"/>
                <w:w w:val="85"/>
              </w:rPr>
              <w:t>3.</w:t>
            </w:r>
          </w:p>
        </w:tc>
        <w:tc>
          <w:tcPr>
            <w:tcW w:w="1320" w:type="dxa"/>
            <w:vAlign w:val="bottom"/>
            <w:tcBorders>
              <w:right w:val="single" w:sz="8" w:color="CCEEFF"/>
            </w:tcBorders>
            <w:gridSpan w:val="2"/>
            <w:shd w:val="clear" w:color="auto" w:fill="CCEEFF"/>
          </w:tcPr>
          <w:p>
            <w:pPr>
              <w:ind w:left="20"/>
              <w:spacing w:after="0"/>
              <w:rPr>
                <w:sz w:val="20"/>
                <w:szCs w:val="20"/>
                <w:color w:val="auto"/>
              </w:rPr>
            </w:pPr>
            <w:r>
              <w:rPr>
                <w:rFonts w:ascii="Arial" w:cs="Arial" w:eastAsia="Arial" w:hAnsi="Arial"/>
                <w:sz w:val="18"/>
                <w:szCs w:val="18"/>
                <w:color w:val="auto"/>
              </w:rPr>
              <w:t>SEC Use only</w:t>
            </w:r>
          </w:p>
        </w:tc>
        <w:tc>
          <w:tcPr>
            <w:tcW w:w="8860" w:type="dxa"/>
            <w:vAlign w:val="bottom"/>
            <w:shd w:val="clear" w:color="auto" w:fill="CCEEFF"/>
          </w:tcPr>
          <w:p>
            <w:pPr>
              <w:spacing w:after="0"/>
              <w:rPr>
                <w:sz w:val="24"/>
                <w:szCs w:val="24"/>
                <w:color w:val="auto"/>
              </w:rPr>
            </w:pPr>
          </w:p>
        </w:tc>
        <w:tc>
          <w:tcPr>
            <w:tcW w:w="0" w:type="dxa"/>
            <w:vAlign w:val="bottom"/>
          </w:tcPr>
          <w:p>
            <w:pPr>
              <w:spacing w:after="0"/>
              <w:rPr>
                <w:sz w:val="1"/>
                <w:szCs w:val="1"/>
                <w:color w:val="auto"/>
              </w:rPr>
            </w:pPr>
          </w:p>
        </w:tc>
      </w:tr>
      <w:tr>
        <w:trPr>
          <w:trHeight w:val="371"/>
        </w:trPr>
        <w:tc>
          <w:tcPr>
            <w:tcW w:w="1060" w:type="dxa"/>
            <w:vAlign w:val="bottom"/>
            <w:tcBorders>
              <w:bottom w:val="single" w:sz="8" w:color="auto"/>
              <w:right w:val="single" w:sz="8" w:color="CCEEFF"/>
            </w:tcBorders>
          </w:tcPr>
          <w:p>
            <w:pPr>
              <w:spacing w:after="0"/>
              <w:rPr>
                <w:sz w:val="24"/>
                <w:szCs w:val="24"/>
                <w:color w:val="auto"/>
              </w:rPr>
            </w:pPr>
          </w:p>
        </w:tc>
        <w:tc>
          <w:tcPr>
            <w:tcW w:w="560" w:type="dxa"/>
            <w:vAlign w:val="bottom"/>
            <w:tcBorders>
              <w:bottom w:val="single" w:sz="8" w:color="auto"/>
              <w:right w:val="single" w:sz="8" w:color="CCEEFF"/>
            </w:tcBorders>
            <w:shd w:val="clear" w:color="auto" w:fill="CCEEFF"/>
          </w:tcPr>
          <w:p>
            <w:pPr>
              <w:spacing w:after="0"/>
              <w:rPr>
                <w:sz w:val="24"/>
                <w:szCs w:val="24"/>
                <w:color w:val="auto"/>
              </w:rPr>
            </w:pPr>
          </w:p>
        </w:tc>
        <w:tc>
          <w:tcPr>
            <w:tcW w:w="760" w:type="dxa"/>
            <w:vAlign w:val="bottom"/>
            <w:tcBorders>
              <w:bottom w:val="single" w:sz="8" w:color="auto"/>
              <w:right w:val="single" w:sz="8" w:color="CCEEFF"/>
            </w:tcBorders>
            <w:shd w:val="clear" w:color="auto" w:fill="CCEEFF"/>
          </w:tcPr>
          <w:p>
            <w:pPr>
              <w:spacing w:after="0"/>
              <w:rPr>
                <w:sz w:val="24"/>
                <w:szCs w:val="24"/>
                <w:color w:val="auto"/>
              </w:rPr>
            </w:pPr>
          </w:p>
        </w:tc>
        <w:tc>
          <w:tcPr>
            <w:tcW w:w="8860" w:type="dxa"/>
            <w:vAlign w:val="bottom"/>
            <w:tcBorders>
              <w:bottom w:val="single" w:sz="8" w:color="auto"/>
            </w:tcBorders>
            <w:shd w:val="clear" w:color="auto" w:fill="CCEEFF"/>
          </w:tcPr>
          <w:p>
            <w:pPr>
              <w:spacing w:after="0"/>
              <w:rPr>
                <w:sz w:val="24"/>
                <w:szCs w:val="24"/>
                <w:color w:val="auto"/>
              </w:rPr>
            </w:pPr>
          </w:p>
        </w:tc>
        <w:tc>
          <w:tcPr>
            <w:tcW w:w="0" w:type="dxa"/>
            <w:vAlign w:val="bottom"/>
          </w:tcPr>
          <w:p>
            <w:pPr>
              <w:spacing w:after="0"/>
              <w:rPr>
                <w:sz w:val="1"/>
                <w:szCs w:val="1"/>
                <w:color w:val="auto"/>
              </w:rPr>
            </w:pPr>
          </w:p>
        </w:tc>
      </w:tr>
      <w:tr>
        <w:trPr>
          <w:trHeight w:val="284"/>
        </w:trPr>
        <w:tc>
          <w:tcPr>
            <w:tcW w:w="1060" w:type="dxa"/>
            <w:vAlign w:val="bottom"/>
          </w:tcPr>
          <w:p>
            <w:pPr>
              <w:jc w:val="center"/>
              <w:spacing w:after="0"/>
              <w:rPr>
                <w:sz w:val="20"/>
                <w:szCs w:val="20"/>
                <w:color w:val="auto"/>
              </w:rPr>
            </w:pPr>
            <w:r>
              <w:rPr>
                <w:rFonts w:ascii="Arial" w:cs="Arial" w:eastAsia="Arial" w:hAnsi="Arial"/>
                <w:sz w:val="14"/>
                <w:szCs w:val="14"/>
                <w:color w:val="auto"/>
                <w:w w:val="85"/>
              </w:rPr>
              <w:t>4.</w:t>
            </w:r>
          </w:p>
        </w:tc>
        <w:tc>
          <w:tcPr>
            <w:tcW w:w="10180" w:type="dxa"/>
            <w:vAlign w:val="bottom"/>
            <w:gridSpan w:val="3"/>
          </w:tcPr>
          <w:p>
            <w:pPr>
              <w:ind w:left="20"/>
              <w:spacing w:after="0"/>
              <w:rPr>
                <w:sz w:val="20"/>
                <w:szCs w:val="20"/>
                <w:color w:val="auto"/>
              </w:rPr>
            </w:pPr>
            <w:r>
              <w:rPr>
                <w:rFonts w:ascii="Arial" w:cs="Arial" w:eastAsia="Arial" w:hAnsi="Arial"/>
                <w:sz w:val="18"/>
                <w:szCs w:val="18"/>
                <w:color w:val="auto"/>
              </w:rPr>
              <w:t>Place of Organization</w:t>
            </w:r>
          </w:p>
        </w:tc>
        <w:tc>
          <w:tcPr>
            <w:tcW w:w="0" w:type="dxa"/>
            <w:vAlign w:val="bottom"/>
          </w:tcPr>
          <w:p>
            <w:pPr>
              <w:spacing w:after="0"/>
              <w:rPr>
                <w:sz w:val="1"/>
                <w:szCs w:val="1"/>
                <w:color w:val="auto"/>
              </w:rPr>
            </w:pPr>
          </w:p>
        </w:tc>
      </w:tr>
      <w:tr>
        <w:trPr>
          <w:trHeight w:val="432"/>
        </w:trPr>
        <w:tc>
          <w:tcPr>
            <w:tcW w:w="1060" w:type="dxa"/>
            <w:vAlign w:val="bottom"/>
          </w:tcPr>
          <w:p>
            <w:pPr>
              <w:spacing w:after="0"/>
              <w:rPr>
                <w:sz w:val="24"/>
                <w:szCs w:val="24"/>
                <w:color w:val="auto"/>
              </w:rPr>
            </w:pPr>
          </w:p>
        </w:tc>
        <w:tc>
          <w:tcPr>
            <w:tcW w:w="1320" w:type="dxa"/>
            <w:vAlign w:val="bottom"/>
            <w:gridSpan w:val="2"/>
          </w:tcPr>
          <w:p>
            <w:pPr>
              <w:ind w:left="20"/>
              <w:spacing w:after="0"/>
              <w:rPr>
                <w:sz w:val="20"/>
                <w:szCs w:val="20"/>
                <w:color w:val="auto"/>
              </w:rPr>
            </w:pPr>
            <w:r>
              <w:rPr>
                <w:rFonts w:ascii="Arial" w:cs="Arial" w:eastAsia="Arial" w:hAnsi="Arial"/>
                <w:sz w:val="18"/>
                <w:szCs w:val="18"/>
                <w:color w:val="auto"/>
              </w:rPr>
              <w:t>Israel</w:t>
            </w:r>
          </w:p>
        </w:tc>
        <w:tc>
          <w:tcPr>
            <w:tcW w:w="88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74"/>
        </w:trPr>
        <w:tc>
          <w:tcPr>
            <w:tcW w:w="1060" w:type="dxa"/>
            <w:vAlign w:val="bottom"/>
            <w:tcBorders>
              <w:bottom w:val="single" w:sz="8" w:color="auto"/>
            </w:tcBorders>
          </w:tcPr>
          <w:p>
            <w:pPr>
              <w:spacing w:after="0"/>
              <w:rPr>
                <w:sz w:val="6"/>
                <w:szCs w:val="6"/>
                <w:color w:val="auto"/>
              </w:rPr>
            </w:pPr>
          </w:p>
        </w:tc>
        <w:tc>
          <w:tcPr>
            <w:tcW w:w="560" w:type="dxa"/>
            <w:vAlign w:val="bottom"/>
            <w:tcBorders>
              <w:bottom w:val="single" w:sz="8" w:color="auto"/>
            </w:tcBorders>
          </w:tcPr>
          <w:p>
            <w:pPr>
              <w:spacing w:after="0"/>
              <w:rPr>
                <w:sz w:val="6"/>
                <w:szCs w:val="6"/>
                <w:color w:val="auto"/>
              </w:rPr>
            </w:pPr>
          </w:p>
        </w:tc>
        <w:tc>
          <w:tcPr>
            <w:tcW w:w="760" w:type="dxa"/>
            <w:vAlign w:val="bottom"/>
            <w:tcBorders>
              <w:bottom w:val="single" w:sz="8" w:color="auto"/>
            </w:tcBorders>
          </w:tcPr>
          <w:p>
            <w:pPr>
              <w:spacing w:after="0"/>
              <w:rPr>
                <w:sz w:val="6"/>
                <w:szCs w:val="6"/>
                <w:color w:val="auto"/>
              </w:rPr>
            </w:pPr>
          </w:p>
        </w:tc>
        <w:tc>
          <w:tcPr>
            <w:tcW w:w="8860" w:type="dxa"/>
            <w:vAlign w:val="bottom"/>
            <w:tcBorders>
              <w:bottom w:val="single" w:sz="8" w:color="auto"/>
            </w:tcBorders>
          </w:tcPr>
          <w:p>
            <w:pPr>
              <w:spacing w:after="0"/>
              <w:rPr>
                <w:sz w:val="6"/>
                <w:szCs w:val="6"/>
                <w:color w:val="auto"/>
              </w:rPr>
            </w:pPr>
          </w:p>
        </w:tc>
        <w:tc>
          <w:tcPr>
            <w:tcW w:w="0" w:type="dxa"/>
            <w:vAlign w:val="bottom"/>
          </w:tcPr>
          <w:p>
            <w:pPr>
              <w:spacing w:after="0"/>
              <w:rPr>
                <w:sz w:val="1"/>
                <w:szCs w:val="1"/>
                <w:color w:val="auto"/>
              </w:rPr>
            </w:pPr>
          </w:p>
        </w:tc>
      </w:tr>
      <w:tr>
        <w:trPr>
          <w:trHeight w:val="284"/>
        </w:trPr>
        <w:tc>
          <w:tcPr>
            <w:tcW w:w="1060" w:type="dxa"/>
            <w:vAlign w:val="bottom"/>
          </w:tcPr>
          <w:p>
            <w:pPr>
              <w:spacing w:after="0"/>
              <w:rPr>
                <w:sz w:val="24"/>
                <w:szCs w:val="24"/>
                <w:color w:val="auto"/>
              </w:rPr>
            </w:pPr>
          </w:p>
        </w:tc>
        <w:tc>
          <w:tcPr>
            <w:tcW w:w="560" w:type="dxa"/>
            <w:vAlign w:val="bottom"/>
            <w:tcBorders>
              <w:right w:val="single" w:sz="8" w:color="auto"/>
            </w:tcBorders>
          </w:tcPr>
          <w:p>
            <w:pPr>
              <w:spacing w:after="0"/>
              <w:rPr>
                <w:sz w:val="24"/>
                <w:szCs w:val="24"/>
                <w:color w:val="auto"/>
              </w:rPr>
            </w:pPr>
          </w:p>
        </w:tc>
        <w:tc>
          <w:tcPr>
            <w:tcW w:w="760" w:type="dxa"/>
            <w:vAlign w:val="bottom"/>
            <w:tcBorders>
              <w:right w:val="single" w:sz="8" w:color="auto"/>
            </w:tcBorders>
          </w:tcPr>
          <w:p>
            <w:pPr>
              <w:jc w:val="right"/>
              <w:ind w:right="268"/>
              <w:spacing w:after="0"/>
              <w:rPr>
                <w:sz w:val="20"/>
                <w:szCs w:val="20"/>
                <w:color w:val="auto"/>
              </w:rPr>
            </w:pPr>
            <w:r>
              <w:rPr>
                <w:rFonts w:ascii="Arial" w:cs="Arial" w:eastAsia="Arial" w:hAnsi="Arial"/>
                <w:sz w:val="14"/>
                <w:szCs w:val="14"/>
                <w:color w:val="auto"/>
              </w:rPr>
              <w:t>5.</w:t>
            </w:r>
          </w:p>
        </w:tc>
        <w:tc>
          <w:tcPr>
            <w:tcW w:w="8860" w:type="dxa"/>
            <w:vAlign w:val="bottom"/>
          </w:tcPr>
          <w:p>
            <w:pPr>
              <w:ind w:left="60"/>
              <w:spacing w:after="0"/>
              <w:rPr>
                <w:sz w:val="20"/>
                <w:szCs w:val="20"/>
                <w:color w:val="auto"/>
              </w:rPr>
            </w:pPr>
            <w:r>
              <w:rPr>
                <w:rFonts w:ascii="Arial" w:cs="Arial" w:eastAsia="Arial" w:hAnsi="Arial"/>
                <w:sz w:val="18"/>
                <w:szCs w:val="18"/>
                <w:color w:val="auto"/>
              </w:rPr>
              <w:t>Sole Voting Power</w:t>
            </w:r>
          </w:p>
        </w:tc>
        <w:tc>
          <w:tcPr>
            <w:tcW w:w="0" w:type="dxa"/>
            <w:vAlign w:val="bottom"/>
          </w:tcPr>
          <w:p>
            <w:pPr>
              <w:spacing w:after="0"/>
              <w:rPr>
                <w:sz w:val="1"/>
                <w:szCs w:val="1"/>
                <w:color w:val="auto"/>
              </w:rPr>
            </w:pPr>
          </w:p>
        </w:tc>
      </w:tr>
      <w:tr>
        <w:trPr>
          <w:trHeight w:val="432"/>
        </w:trPr>
        <w:tc>
          <w:tcPr>
            <w:tcW w:w="1060" w:type="dxa"/>
            <w:vAlign w:val="bottom"/>
          </w:tcPr>
          <w:p>
            <w:pPr>
              <w:spacing w:after="0"/>
              <w:rPr>
                <w:sz w:val="24"/>
                <w:szCs w:val="24"/>
                <w:color w:val="auto"/>
              </w:rPr>
            </w:pPr>
          </w:p>
        </w:tc>
        <w:tc>
          <w:tcPr>
            <w:tcW w:w="560" w:type="dxa"/>
            <w:vAlign w:val="bottom"/>
            <w:tcBorders>
              <w:right w:val="single" w:sz="8" w:color="auto"/>
            </w:tcBorders>
          </w:tcPr>
          <w:p>
            <w:pPr>
              <w:spacing w:after="0"/>
              <w:rPr>
                <w:sz w:val="24"/>
                <w:szCs w:val="24"/>
                <w:color w:val="auto"/>
              </w:rPr>
            </w:pPr>
          </w:p>
        </w:tc>
        <w:tc>
          <w:tcPr>
            <w:tcW w:w="760" w:type="dxa"/>
            <w:vAlign w:val="bottom"/>
            <w:tcBorders>
              <w:right w:val="single" w:sz="8" w:color="auto"/>
            </w:tcBorders>
          </w:tcPr>
          <w:p>
            <w:pPr>
              <w:spacing w:after="0"/>
              <w:rPr>
                <w:sz w:val="24"/>
                <w:szCs w:val="24"/>
                <w:color w:val="auto"/>
              </w:rPr>
            </w:pPr>
          </w:p>
        </w:tc>
        <w:tc>
          <w:tcPr>
            <w:tcW w:w="8860" w:type="dxa"/>
            <w:vAlign w:val="bottom"/>
          </w:tcPr>
          <w:p>
            <w:pPr>
              <w:ind w:left="60"/>
              <w:spacing w:after="0"/>
              <w:rPr>
                <w:sz w:val="20"/>
                <w:szCs w:val="20"/>
                <w:color w:val="auto"/>
              </w:rPr>
            </w:pPr>
            <w:r>
              <w:rPr>
                <w:rFonts w:ascii="Arial" w:cs="Arial" w:eastAsia="Arial" w:hAnsi="Arial"/>
                <w:sz w:val="18"/>
                <w:szCs w:val="18"/>
                <w:color w:val="auto"/>
              </w:rPr>
              <w:t>0</w:t>
            </w:r>
          </w:p>
        </w:tc>
        <w:tc>
          <w:tcPr>
            <w:tcW w:w="0" w:type="dxa"/>
            <w:vAlign w:val="bottom"/>
          </w:tcPr>
          <w:p>
            <w:pPr>
              <w:spacing w:after="0"/>
              <w:rPr>
                <w:sz w:val="1"/>
                <w:szCs w:val="1"/>
                <w:color w:val="auto"/>
              </w:rPr>
            </w:pPr>
          </w:p>
        </w:tc>
      </w:tr>
      <w:tr>
        <w:trPr>
          <w:trHeight w:val="74"/>
        </w:trPr>
        <w:tc>
          <w:tcPr>
            <w:tcW w:w="1060" w:type="dxa"/>
            <w:vAlign w:val="bottom"/>
            <w:vMerge w:val="restart"/>
          </w:tcPr>
          <w:p>
            <w:pPr>
              <w:ind w:left="100"/>
              <w:spacing w:after="0"/>
              <w:rPr>
                <w:sz w:val="20"/>
                <w:szCs w:val="20"/>
                <w:color w:val="auto"/>
              </w:rPr>
            </w:pPr>
            <w:r>
              <w:rPr>
                <w:rFonts w:ascii="Arial" w:cs="Arial" w:eastAsia="Arial" w:hAnsi="Arial"/>
                <w:sz w:val="18"/>
                <w:szCs w:val="18"/>
                <w:color w:val="auto"/>
              </w:rPr>
              <w:t>Number of</w:t>
            </w:r>
          </w:p>
        </w:tc>
        <w:tc>
          <w:tcPr>
            <w:tcW w:w="560" w:type="dxa"/>
            <w:vAlign w:val="bottom"/>
            <w:tcBorders>
              <w:right w:val="single" w:sz="8" w:color="auto"/>
            </w:tcBorders>
          </w:tcPr>
          <w:p>
            <w:pPr>
              <w:spacing w:after="0"/>
              <w:rPr>
                <w:sz w:val="6"/>
                <w:szCs w:val="6"/>
                <w:color w:val="auto"/>
              </w:rPr>
            </w:pPr>
          </w:p>
        </w:tc>
        <w:tc>
          <w:tcPr>
            <w:tcW w:w="760" w:type="dxa"/>
            <w:vAlign w:val="bottom"/>
            <w:tcBorders>
              <w:bottom w:val="single" w:sz="8" w:color="auto"/>
              <w:right w:val="single" w:sz="8" w:color="auto"/>
            </w:tcBorders>
          </w:tcPr>
          <w:p>
            <w:pPr>
              <w:spacing w:after="0"/>
              <w:rPr>
                <w:sz w:val="6"/>
                <w:szCs w:val="6"/>
                <w:color w:val="auto"/>
              </w:rPr>
            </w:pPr>
          </w:p>
        </w:tc>
        <w:tc>
          <w:tcPr>
            <w:tcW w:w="8860" w:type="dxa"/>
            <w:vAlign w:val="bottom"/>
            <w:tcBorders>
              <w:bottom w:val="single" w:sz="8" w:color="auto"/>
            </w:tcBorders>
          </w:tcPr>
          <w:p>
            <w:pPr>
              <w:spacing w:after="0"/>
              <w:rPr>
                <w:sz w:val="6"/>
                <w:szCs w:val="6"/>
                <w:color w:val="auto"/>
              </w:rPr>
            </w:pPr>
          </w:p>
        </w:tc>
        <w:tc>
          <w:tcPr>
            <w:tcW w:w="0" w:type="dxa"/>
            <w:vAlign w:val="bottom"/>
          </w:tcPr>
          <w:p>
            <w:pPr>
              <w:spacing w:after="0"/>
              <w:rPr>
                <w:sz w:val="1"/>
                <w:szCs w:val="1"/>
                <w:color w:val="auto"/>
              </w:rPr>
            </w:pPr>
          </w:p>
        </w:tc>
      </w:tr>
      <w:tr>
        <w:trPr>
          <w:trHeight w:val="242"/>
        </w:trPr>
        <w:tc>
          <w:tcPr>
            <w:tcW w:w="1060" w:type="dxa"/>
            <w:vAlign w:val="bottom"/>
            <w:vMerge w:val="continue"/>
          </w:tcPr>
          <w:p>
            <w:pPr>
              <w:spacing w:after="0"/>
              <w:rPr>
                <w:sz w:val="21"/>
                <w:szCs w:val="21"/>
                <w:color w:val="auto"/>
              </w:rPr>
            </w:pPr>
          </w:p>
        </w:tc>
        <w:tc>
          <w:tcPr>
            <w:tcW w:w="560" w:type="dxa"/>
            <w:vAlign w:val="bottom"/>
            <w:tcBorders>
              <w:right w:val="single" w:sz="8" w:color="auto"/>
            </w:tcBorders>
          </w:tcPr>
          <w:p>
            <w:pPr>
              <w:spacing w:after="0"/>
              <w:rPr>
                <w:sz w:val="21"/>
                <w:szCs w:val="21"/>
                <w:color w:val="auto"/>
              </w:rPr>
            </w:pPr>
          </w:p>
        </w:tc>
        <w:tc>
          <w:tcPr>
            <w:tcW w:w="760" w:type="dxa"/>
            <w:vAlign w:val="bottom"/>
            <w:tcBorders>
              <w:right w:val="single" w:sz="8" w:color="auto"/>
            </w:tcBorders>
          </w:tcPr>
          <w:p>
            <w:pPr>
              <w:jc w:val="right"/>
              <w:ind w:right="268"/>
              <w:spacing w:after="0"/>
              <w:rPr>
                <w:sz w:val="20"/>
                <w:szCs w:val="20"/>
                <w:color w:val="auto"/>
              </w:rPr>
            </w:pPr>
            <w:r>
              <w:rPr>
                <w:rFonts w:ascii="Arial" w:cs="Arial" w:eastAsia="Arial" w:hAnsi="Arial"/>
                <w:sz w:val="14"/>
                <w:szCs w:val="14"/>
                <w:color w:val="auto"/>
              </w:rPr>
              <w:t>6.</w:t>
            </w:r>
          </w:p>
        </w:tc>
        <w:tc>
          <w:tcPr>
            <w:tcW w:w="8860" w:type="dxa"/>
            <w:vAlign w:val="bottom"/>
          </w:tcPr>
          <w:p>
            <w:pPr>
              <w:ind w:left="60"/>
              <w:spacing w:after="0"/>
              <w:rPr>
                <w:sz w:val="20"/>
                <w:szCs w:val="20"/>
                <w:color w:val="auto"/>
              </w:rPr>
            </w:pPr>
            <w:r>
              <w:rPr>
                <w:rFonts w:ascii="Arial" w:cs="Arial" w:eastAsia="Arial" w:hAnsi="Arial"/>
                <w:sz w:val="18"/>
                <w:szCs w:val="18"/>
                <w:color w:val="auto"/>
              </w:rPr>
              <w:t>Shared Voting Power</w:t>
            </w:r>
          </w:p>
        </w:tc>
        <w:tc>
          <w:tcPr>
            <w:tcW w:w="0" w:type="dxa"/>
            <w:vAlign w:val="bottom"/>
          </w:tcPr>
          <w:p>
            <w:pPr>
              <w:spacing w:after="0"/>
              <w:rPr>
                <w:sz w:val="1"/>
                <w:szCs w:val="1"/>
                <w:color w:val="auto"/>
              </w:rPr>
            </w:pPr>
          </w:p>
        </w:tc>
      </w:tr>
      <w:tr>
        <w:trPr>
          <w:trHeight w:val="216"/>
        </w:trPr>
        <w:tc>
          <w:tcPr>
            <w:tcW w:w="1060" w:type="dxa"/>
            <w:vAlign w:val="bottom"/>
          </w:tcPr>
          <w:p>
            <w:pPr>
              <w:ind w:left="100"/>
              <w:spacing w:after="0"/>
              <w:rPr>
                <w:sz w:val="20"/>
                <w:szCs w:val="20"/>
                <w:color w:val="auto"/>
              </w:rPr>
            </w:pPr>
            <w:r>
              <w:rPr>
                <w:rFonts w:ascii="Arial" w:cs="Arial" w:eastAsia="Arial" w:hAnsi="Arial"/>
                <w:sz w:val="18"/>
                <w:szCs w:val="18"/>
                <w:color w:val="auto"/>
              </w:rPr>
              <w:t>Shares</w:t>
            </w:r>
          </w:p>
        </w:tc>
        <w:tc>
          <w:tcPr>
            <w:tcW w:w="560" w:type="dxa"/>
            <w:vAlign w:val="bottom"/>
            <w:tcBorders>
              <w:right w:val="single" w:sz="8" w:color="auto"/>
            </w:tcBorders>
          </w:tcPr>
          <w:p>
            <w:pPr>
              <w:spacing w:after="0"/>
              <w:rPr>
                <w:sz w:val="18"/>
                <w:szCs w:val="18"/>
                <w:color w:val="auto"/>
              </w:rPr>
            </w:pPr>
          </w:p>
        </w:tc>
        <w:tc>
          <w:tcPr>
            <w:tcW w:w="760" w:type="dxa"/>
            <w:vAlign w:val="bottom"/>
            <w:tcBorders>
              <w:right w:val="single" w:sz="8" w:color="auto"/>
            </w:tcBorders>
          </w:tcPr>
          <w:p>
            <w:pPr>
              <w:spacing w:after="0"/>
              <w:rPr>
                <w:sz w:val="18"/>
                <w:szCs w:val="18"/>
                <w:color w:val="auto"/>
              </w:rPr>
            </w:pPr>
          </w:p>
        </w:tc>
        <w:tc>
          <w:tcPr>
            <w:tcW w:w="88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060" w:type="dxa"/>
            <w:vAlign w:val="bottom"/>
          </w:tcPr>
          <w:p>
            <w:pPr>
              <w:ind w:left="100"/>
              <w:spacing w:after="0"/>
              <w:rPr>
                <w:sz w:val="20"/>
                <w:szCs w:val="20"/>
                <w:color w:val="auto"/>
              </w:rPr>
            </w:pPr>
            <w:r>
              <w:rPr>
                <w:rFonts w:ascii="Arial" w:cs="Arial" w:eastAsia="Arial" w:hAnsi="Arial"/>
                <w:sz w:val="18"/>
                <w:szCs w:val="18"/>
                <w:color w:val="auto"/>
              </w:rPr>
              <w:t>Beneficially</w:t>
            </w:r>
          </w:p>
        </w:tc>
        <w:tc>
          <w:tcPr>
            <w:tcW w:w="560" w:type="dxa"/>
            <w:vAlign w:val="bottom"/>
            <w:tcBorders>
              <w:right w:val="single" w:sz="8" w:color="auto"/>
            </w:tcBorders>
          </w:tcPr>
          <w:p>
            <w:pPr>
              <w:spacing w:after="0"/>
              <w:rPr>
                <w:sz w:val="18"/>
                <w:szCs w:val="18"/>
                <w:color w:val="auto"/>
              </w:rPr>
            </w:pPr>
          </w:p>
        </w:tc>
        <w:tc>
          <w:tcPr>
            <w:tcW w:w="760" w:type="dxa"/>
            <w:vAlign w:val="bottom"/>
            <w:tcBorders>
              <w:right w:val="single" w:sz="8" w:color="auto"/>
            </w:tcBorders>
          </w:tcPr>
          <w:p>
            <w:pPr>
              <w:spacing w:after="0"/>
              <w:rPr>
                <w:sz w:val="18"/>
                <w:szCs w:val="18"/>
                <w:color w:val="auto"/>
              </w:rPr>
            </w:pPr>
          </w:p>
        </w:tc>
        <w:tc>
          <w:tcPr>
            <w:tcW w:w="8860" w:type="dxa"/>
            <w:vAlign w:val="bottom"/>
          </w:tcPr>
          <w:p>
            <w:pPr>
              <w:ind w:left="60"/>
              <w:spacing w:after="0"/>
              <w:rPr>
                <w:sz w:val="20"/>
                <w:szCs w:val="20"/>
                <w:color w:val="auto"/>
              </w:rPr>
            </w:pPr>
            <w:r>
              <w:rPr>
                <w:rFonts w:ascii="Arial" w:cs="Arial" w:eastAsia="Arial" w:hAnsi="Arial"/>
                <w:sz w:val="18"/>
                <w:szCs w:val="18"/>
                <w:color w:val="auto"/>
              </w:rPr>
              <w:t>5,374,921 Ordinary Shares*</w:t>
            </w:r>
          </w:p>
        </w:tc>
        <w:tc>
          <w:tcPr>
            <w:tcW w:w="0" w:type="dxa"/>
            <w:vAlign w:val="bottom"/>
          </w:tcPr>
          <w:p>
            <w:pPr>
              <w:spacing w:after="0"/>
              <w:rPr>
                <w:sz w:val="1"/>
                <w:szCs w:val="1"/>
                <w:color w:val="auto"/>
              </w:rPr>
            </w:pPr>
          </w:p>
        </w:tc>
      </w:tr>
      <w:tr>
        <w:trPr>
          <w:trHeight w:val="116"/>
        </w:trPr>
        <w:tc>
          <w:tcPr>
            <w:tcW w:w="1060" w:type="dxa"/>
            <w:vAlign w:val="bottom"/>
            <w:vMerge w:val="restart"/>
          </w:tcPr>
          <w:p>
            <w:pPr>
              <w:ind w:left="100"/>
              <w:spacing w:after="0"/>
              <w:rPr>
                <w:sz w:val="20"/>
                <w:szCs w:val="20"/>
                <w:color w:val="auto"/>
              </w:rPr>
            </w:pPr>
            <w:r>
              <w:rPr>
                <w:rFonts w:ascii="Arial" w:cs="Arial" w:eastAsia="Arial" w:hAnsi="Arial"/>
                <w:sz w:val="18"/>
                <w:szCs w:val="18"/>
                <w:color w:val="auto"/>
              </w:rPr>
              <w:t>Owned by</w:t>
            </w:r>
          </w:p>
        </w:tc>
        <w:tc>
          <w:tcPr>
            <w:tcW w:w="560" w:type="dxa"/>
            <w:vAlign w:val="bottom"/>
            <w:tcBorders>
              <w:right w:val="single" w:sz="8" w:color="auto"/>
            </w:tcBorders>
          </w:tcPr>
          <w:p>
            <w:pPr>
              <w:spacing w:after="0"/>
              <w:rPr>
                <w:sz w:val="10"/>
                <w:szCs w:val="10"/>
                <w:color w:val="auto"/>
              </w:rPr>
            </w:pPr>
          </w:p>
        </w:tc>
        <w:tc>
          <w:tcPr>
            <w:tcW w:w="760" w:type="dxa"/>
            <w:vAlign w:val="bottom"/>
            <w:tcBorders>
              <w:bottom w:val="single" w:sz="8" w:color="auto"/>
              <w:right w:val="single" w:sz="8" w:color="auto"/>
            </w:tcBorders>
          </w:tcPr>
          <w:p>
            <w:pPr>
              <w:spacing w:after="0"/>
              <w:rPr>
                <w:sz w:val="10"/>
                <w:szCs w:val="10"/>
                <w:color w:val="auto"/>
              </w:rPr>
            </w:pPr>
          </w:p>
        </w:tc>
        <w:tc>
          <w:tcPr>
            <w:tcW w:w="8860" w:type="dxa"/>
            <w:vAlign w:val="bottom"/>
            <w:tcBorders>
              <w:bottom w:val="single" w:sz="8" w:color="auto"/>
            </w:tcBorders>
          </w:tcPr>
          <w:p>
            <w:pPr>
              <w:spacing w:after="0"/>
              <w:rPr>
                <w:sz w:val="10"/>
                <w:szCs w:val="10"/>
                <w:color w:val="auto"/>
              </w:rPr>
            </w:pPr>
          </w:p>
        </w:tc>
        <w:tc>
          <w:tcPr>
            <w:tcW w:w="0" w:type="dxa"/>
            <w:vAlign w:val="bottom"/>
          </w:tcPr>
          <w:p>
            <w:pPr>
              <w:spacing w:after="0"/>
              <w:rPr>
                <w:sz w:val="1"/>
                <w:szCs w:val="1"/>
                <w:color w:val="auto"/>
              </w:rPr>
            </w:pPr>
          </w:p>
        </w:tc>
      </w:tr>
      <w:tr>
        <w:trPr>
          <w:trHeight w:val="80"/>
        </w:trPr>
        <w:tc>
          <w:tcPr>
            <w:tcW w:w="1060" w:type="dxa"/>
            <w:vAlign w:val="bottom"/>
            <w:vMerge w:val="continue"/>
          </w:tcPr>
          <w:p>
            <w:pPr>
              <w:spacing w:after="0"/>
              <w:rPr>
                <w:sz w:val="6"/>
                <w:szCs w:val="6"/>
                <w:color w:val="auto"/>
              </w:rPr>
            </w:pPr>
          </w:p>
        </w:tc>
        <w:tc>
          <w:tcPr>
            <w:tcW w:w="560" w:type="dxa"/>
            <w:vAlign w:val="bottom"/>
            <w:tcBorders>
              <w:right w:val="single" w:sz="8" w:color="auto"/>
            </w:tcBorders>
          </w:tcPr>
          <w:p>
            <w:pPr>
              <w:spacing w:after="0"/>
              <w:rPr>
                <w:sz w:val="6"/>
                <w:szCs w:val="6"/>
                <w:color w:val="auto"/>
              </w:rPr>
            </w:pPr>
          </w:p>
        </w:tc>
        <w:tc>
          <w:tcPr>
            <w:tcW w:w="760" w:type="dxa"/>
            <w:vAlign w:val="bottom"/>
            <w:tcBorders>
              <w:right w:val="single" w:sz="8" w:color="auto"/>
            </w:tcBorders>
            <w:vMerge w:val="restart"/>
          </w:tcPr>
          <w:p>
            <w:pPr>
              <w:jc w:val="right"/>
              <w:ind w:right="268"/>
              <w:spacing w:after="0"/>
              <w:rPr>
                <w:sz w:val="20"/>
                <w:szCs w:val="20"/>
                <w:color w:val="auto"/>
              </w:rPr>
            </w:pPr>
            <w:r>
              <w:rPr>
                <w:rFonts w:ascii="Arial" w:cs="Arial" w:eastAsia="Arial" w:hAnsi="Arial"/>
                <w:sz w:val="14"/>
                <w:szCs w:val="14"/>
                <w:color w:val="auto"/>
              </w:rPr>
              <w:t>7.</w:t>
            </w:r>
          </w:p>
        </w:tc>
        <w:tc>
          <w:tcPr>
            <w:tcW w:w="8860" w:type="dxa"/>
            <w:vAlign w:val="bottom"/>
            <w:vMerge w:val="restart"/>
          </w:tcPr>
          <w:p>
            <w:pPr>
              <w:ind w:left="60"/>
              <w:spacing w:after="0"/>
              <w:rPr>
                <w:sz w:val="20"/>
                <w:szCs w:val="20"/>
                <w:color w:val="auto"/>
              </w:rPr>
            </w:pPr>
            <w:r>
              <w:rPr>
                <w:rFonts w:ascii="Arial" w:cs="Arial" w:eastAsia="Arial" w:hAnsi="Arial"/>
                <w:sz w:val="18"/>
                <w:szCs w:val="18"/>
                <w:color w:val="auto"/>
              </w:rPr>
              <w:t>Sole Dispositive Power</w:t>
            </w:r>
          </w:p>
        </w:tc>
        <w:tc>
          <w:tcPr>
            <w:tcW w:w="0" w:type="dxa"/>
            <w:vAlign w:val="bottom"/>
          </w:tcPr>
          <w:p>
            <w:pPr>
              <w:spacing w:after="0"/>
              <w:rPr>
                <w:sz w:val="1"/>
                <w:szCs w:val="1"/>
                <w:color w:val="auto"/>
              </w:rPr>
            </w:pPr>
          </w:p>
        </w:tc>
      </w:tr>
      <w:tr>
        <w:trPr>
          <w:trHeight w:val="216"/>
        </w:trPr>
        <w:tc>
          <w:tcPr>
            <w:tcW w:w="1060" w:type="dxa"/>
            <w:vAlign w:val="bottom"/>
          </w:tcPr>
          <w:p>
            <w:pPr>
              <w:ind w:left="100"/>
              <w:spacing w:after="0"/>
              <w:rPr>
                <w:sz w:val="20"/>
                <w:szCs w:val="20"/>
                <w:color w:val="auto"/>
              </w:rPr>
            </w:pPr>
            <w:r>
              <w:rPr>
                <w:rFonts w:ascii="Arial" w:cs="Arial" w:eastAsia="Arial" w:hAnsi="Arial"/>
                <w:sz w:val="18"/>
                <w:szCs w:val="18"/>
                <w:color w:val="auto"/>
              </w:rPr>
              <w:t>Each</w:t>
            </w:r>
          </w:p>
        </w:tc>
        <w:tc>
          <w:tcPr>
            <w:tcW w:w="560" w:type="dxa"/>
            <w:vAlign w:val="bottom"/>
            <w:tcBorders>
              <w:right w:val="single" w:sz="8" w:color="auto"/>
            </w:tcBorders>
          </w:tcPr>
          <w:p>
            <w:pPr>
              <w:spacing w:after="0"/>
              <w:rPr>
                <w:sz w:val="18"/>
                <w:szCs w:val="18"/>
                <w:color w:val="auto"/>
              </w:rPr>
            </w:pPr>
          </w:p>
        </w:tc>
        <w:tc>
          <w:tcPr>
            <w:tcW w:w="760" w:type="dxa"/>
            <w:vAlign w:val="bottom"/>
            <w:tcBorders>
              <w:right w:val="single" w:sz="8" w:color="auto"/>
            </w:tcBorders>
            <w:vMerge w:val="continue"/>
          </w:tcPr>
          <w:p>
            <w:pPr>
              <w:spacing w:after="0"/>
              <w:rPr>
                <w:sz w:val="18"/>
                <w:szCs w:val="18"/>
                <w:color w:val="auto"/>
              </w:rPr>
            </w:pPr>
          </w:p>
        </w:tc>
        <w:tc>
          <w:tcPr>
            <w:tcW w:w="886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060" w:type="dxa"/>
            <w:vAlign w:val="bottom"/>
          </w:tcPr>
          <w:p>
            <w:pPr>
              <w:ind w:left="100"/>
              <w:spacing w:after="0"/>
              <w:rPr>
                <w:sz w:val="20"/>
                <w:szCs w:val="20"/>
                <w:color w:val="auto"/>
              </w:rPr>
            </w:pPr>
            <w:r>
              <w:rPr>
                <w:rFonts w:ascii="Arial" w:cs="Arial" w:eastAsia="Arial" w:hAnsi="Arial"/>
                <w:sz w:val="18"/>
                <w:szCs w:val="18"/>
                <w:color w:val="auto"/>
              </w:rPr>
              <w:t>Reporting</w:t>
            </w:r>
          </w:p>
        </w:tc>
        <w:tc>
          <w:tcPr>
            <w:tcW w:w="560" w:type="dxa"/>
            <w:vAlign w:val="bottom"/>
            <w:tcBorders>
              <w:right w:val="single" w:sz="8" w:color="auto"/>
            </w:tcBorders>
          </w:tcPr>
          <w:p>
            <w:pPr>
              <w:spacing w:after="0"/>
              <w:rPr>
                <w:sz w:val="18"/>
                <w:szCs w:val="18"/>
                <w:color w:val="auto"/>
              </w:rPr>
            </w:pPr>
          </w:p>
        </w:tc>
        <w:tc>
          <w:tcPr>
            <w:tcW w:w="760" w:type="dxa"/>
            <w:vAlign w:val="bottom"/>
            <w:tcBorders>
              <w:right w:val="single" w:sz="8" w:color="auto"/>
            </w:tcBorders>
          </w:tcPr>
          <w:p>
            <w:pPr>
              <w:spacing w:after="0"/>
              <w:rPr>
                <w:sz w:val="18"/>
                <w:szCs w:val="18"/>
                <w:color w:val="auto"/>
              </w:rPr>
            </w:pPr>
          </w:p>
        </w:tc>
        <w:tc>
          <w:tcPr>
            <w:tcW w:w="8860" w:type="dxa"/>
            <w:vAlign w:val="bottom"/>
            <w:vMerge w:val="restart"/>
          </w:tcPr>
          <w:p>
            <w:pPr>
              <w:ind w:left="60"/>
              <w:spacing w:after="0"/>
              <w:rPr>
                <w:sz w:val="20"/>
                <w:szCs w:val="20"/>
                <w:color w:val="auto"/>
              </w:rPr>
            </w:pPr>
            <w:r>
              <w:rPr>
                <w:rFonts w:ascii="Arial" w:cs="Arial" w:eastAsia="Arial" w:hAnsi="Arial"/>
                <w:sz w:val="18"/>
                <w:szCs w:val="18"/>
                <w:color w:val="auto"/>
              </w:rPr>
              <w:t>0</w:t>
            </w:r>
          </w:p>
        </w:tc>
        <w:tc>
          <w:tcPr>
            <w:tcW w:w="0" w:type="dxa"/>
            <w:vAlign w:val="bottom"/>
          </w:tcPr>
          <w:p>
            <w:pPr>
              <w:spacing w:after="0"/>
              <w:rPr>
                <w:sz w:val="1"/>
                <w:szCs w:val="1"/>
                <w:color w:val="auto"/>
              </w:rPr>
            </w:pPr>
          </w:p>
        </w:tc>
      </w:tr>
      <w:tr>
        <w:trPr>
          <w:trHeight w:val="230"/>
        </w:trPr>
        <w:tc>
          <w:tcPr>
            <w:tcW w:w="1060" w:type="dxa"/>
            <w:vAlign w:val="bottom"/>
          </w:tcPr>
          <w:p>
            <w:pPr>
              <w:ind w:left="100"/>
              <w:spacing w:after="0"/>
              <w:rPr>
                <w:sz w:val="20"/>
                <w:szCs w:val="20"/>
                <w:color w:val="auto"/>
              </w:rPr>
            </w:pPr>
            <w:r>
              <w:rPr>
                <w:rFonts w:ascii="Arial" w:cs="Arial" w:eastAsia="Arial" w:hAnsi="Arial"/>
                <w:sz w:val="18"/>
                <w:szCs w:val="18"/>
                <w:color w:val="auto"/>
                <w:w w:val="89"/>
              </w:rPr>
              <w:t>Person With:</w:t>
            </w:r>
          </w:p>
        </w:tc>
        <w:tc>
          <w:tcPr>
            <w:tcW w:w="560" w:type="dxa"/>
            <w:vAlign w:val="bottom"/>
            <w:tcBorders>
              <w:right w:val="single" w:sz="8" w:color="auto"/>
            </w:tcBorders>
          </w:tcPr>
          <w:p>
            <w:pPr>
              <w:spacing w:after="0"/>
              <w:rPr>
                <w:sz w:val="20"/>
                <w:szCs w:val="20"/>
                <w:color w:val="auto"/>
              </w:rPr>
            </w:pPr>
          </w:p>
        </w:tc>
        <w:tc>
          <w:tcPr>
            <w:tcW w:w="760" w:type="dxa"/>
            <w:vAlign w:val="bottom"/>
            <w:tcBorders>
              <w:right w:val="single" w:sz="8" w:color="auto"/>
            </w:tcBorders>
          </w:tcPr>
          <w:p>
            <w:pPr>
              <w:spacing w:after="0"/>
              <w:rPr>
                <w:sz w:val="20"/>
                <w:szCs w:val="20"/>
                <w:color w:val="auto"/>
              </w:rPr>
            </w:pPr>
          </w:p>
        </w:tc>
        <w:tc>
          <w:tcPr>
            <w:tcW w:w="8860" w:type="dxa"/>
            <w:vAlign w:val="bottom"/>
            <w:vMerge w:val="continue"/>
          </w:tcPr>
          <w:p>
            <w:pPr>
              <w:spacing w:after="0"/>
              <w:rPr>
                <w:sz w:val="20"/>
                <w:szCs w:val="20"/>
                <w:color w:val="auto"/>
              </w:rPr>
            </w:pPr>
          </w:p>
        </w:tc>
        <w:tc>
          <w:tcPr>
            <w:tcW w:w="0" w:type="dxa"/>
            <w:vAlign w:val="bottom"/>
          </w:tcPr>
          <w:p>
            <w:pPr>
              <w:spacing w:after="0"/>
              <w:rPr>
                <w:sz w:val="1"/>
                <w:szCs w:val="1"/>
                <w:color w:val="auto"/>
              </w:rPr>
            </w:pPr>
          </w:p>
        </w:tc>
      </w:tr>
      <w:tr>
        <w:trPr>
          <w:trHeight w:val="48"/>
        </w:trPr>
        <w:tc>
          <w:tcPr>
            <w:tcW w:w="1060" w:type="dxa"/>
            <w:vAlign w:val="bottom"/>
          </w:tcPr>
          <w:p>
            <w:pPr>
              <w:spacing w:after="0"/>
              <w:rPr>
                <w:sz w:val="4"/>
                <w:szCs w:val="4"/>
                <w:color w:val="auto"/>
              </w:rPr>
            </w:pPr>
          </w:p>
        </w:tc>
        <w:tc>
          <w:tcPr>
            <w:tcW w:w="560" w:type="dxa"/>
            <w:vAlign w:val="bottom"/>
            <w:tcBorders>
              <w:right w:val="single" w:sz="8" w:color="auto"/>
            </w:tcBorders>
          </w:tcPr>
          <w:p>
            <w:pPr>
              <w:spacing w:after="0"/>
              <w:rPr>
                <w:sz w:val="4"/>
                <w:szCs w:val="4"/>
                <w:color w:val="auto"/>
              </w:rPr>
            </w:pPr>
          </w:p>
        </w:tc>
        <w:tc>
          <w:tcPr>
            <w:tcW w:w="760" w:type="dxa"/>
            <w:vAlign w:val="bottom"/>
            <w:tcBorders>
              <w:bottom w:val="single" w:sz="8" w:color="auto"/>
              <w:right w:val="single" w:sz="8" w:color="auto"/>
            </w:tcBorders>
          </w:tcPr>
          <w:p>
            <w:pPr>
              <w:spacing w:after="0"/>
              <w:rPr>
                <w:sz w:val="4"/>
                <w:szCs w:val="4"/>
                <w:color w:val="auto"/>
              </w:rPr>
            </w:pPr>
          </w:p>
        </w:tc>
        <w:tc>
          <w:tcPr>
            <w:tcW w:w="8860" w:type="dxa"/>
            <w:vAlign w:val="bottom"/>
            <w:tcBorders>
              <w:bottom w:val="single" w:sz="8" w:color="auto"/>
            </w:tcBorders>
          </w:tcPr>
          <w:p>
            <w:pPr>
              <w:spacing w:after="0"/>
              <w:rPr>
                <w:sz w:val="4"/>
                <w:szCs w:val="4"/>
                <w:color w:val="auto"/>
              </w:rPr>
            </w:pPr>
          </w:p>
        </w:tc>
        <w:tc>
          <w:tcPr>
            <w:tcW w:w="0" w:type="dxa"/>
            <w:vAlign w:val="bottom"/>
          </w:tcPr>
          <w:p>
            <w:pPr>
              <w:spacing w:after="0"/>
              <w:rPr>
                <w:sz w:val="1"/>
                <w:szCs w:val="1"/>
                <w:color w:val="auto"/>
              </w:rPr>
            </w:pPr>
          </w:p>
        </w:tc>
      </w:tr>
      <w:tr>
        <w:trPr>
          <w:trHeight w:val="284"/>
        </w:trPr>
        <w:tc>
          <w:tcPr>
            <w:tcW w:w="1060" w:type="dxa"/>
            <w:vAlign w:val="bottom"/>
          </w:tcPr>
          <w:p>
            <w:pPr>
              <w:spacing w:after="0"/>
              <w:rPr>
                <w:sz w:val="24"/>
                <w:szCs w:val="24"/>
                <w:color w:val="auto"/>
              </w:rPr>
            </w:pPr>
          </w:p>
        </w:tc>
        <w:tc>
          <w:tcPr>
            <w:tcW w:w="560" w:type="dxa"/>
            <w:vAlign w:val="bottom"/>
            <w:tcBorders>
              <w:right w:val="single" w:sz="8" w:color="auto"/>
            </w:tcBorders>
          </w:tcPr>
          <w:p>
            <w:pPr>
              <w:spacing w:after="0"/>
              <w:rPr>
                <w:sz w:val="24"/>
                <w:szCs w:val="24"/>
                <w:color w:val="auto"/>
              </w:rPr>
            </w:pPr>
          </w:p>
        </w:tc>
        <w:tc>
          <w:tcPr>
            <w:tcW w:w="760" w:type="dxa"/>
            <w:vAlign w:val="bottom"/>
            <w:tcBorders>
              <w:right w:val="single" w:sz="8" w:color="auto"/>
            </w:tcBorders>
          </w:tcPr>
          <w:p>
            <w:pPr>
              <w:jc w:val="right"/>
              <w:ind w:right="268"/>
              <w:spacing w:after="0"/>
              <w:rPr>
                <w:sz w:val="20"/>
                <w:szCs w:val="20"/>
                <w:color w:val="auto"/>
              </w:rPr>
            </w:pPr>
            <w:r>
              <w:rPr>
                <w:rFonts w:ascii="Arial" w:cs="Arial" w:eastAsia="Arial" w:hAnsi="Arial"/>
                <w:sz w:val="14"/>
                <w:szCs w:val="14"/>
                <w:color w:val="auto"/>
              </w:rPr>
              <w:t>8.</w:t>
            </w:r>
          </w:p>
        </w:tc>
        <w:tc>
          <w:tcPr>
            <w:tcW w:w="8860" w:type="dxa"/>
            <w:vAlign w:val="bottom"/>
          </w:tcPr>
          <w:p>
            <w:pPr>
              <w:ind w:left="60"/>
              <w:spacing w:after="0"/>
              <w:rPr>
                <w:sz w:val="20"/>
                <w:szCs w:val="20"/>
                <w:color w:val="auto"/>
              </w:rPr>
            </w:pPr>
            <w:r>
              <w:rPr>
                <w:rFonts w:ascii="Arial" w:cs="Arial" w:eastAsia="Arial" w:hAnsi="Arial"/>
                <w:sz w:val="18"/>
                <w:szCs w:val="18"/>
                <w:color w:val="auto"/>
              </w:rPr>
              <w:t>Shared Dispositive Power</w:t>
            </w:r>
          </w:p>
        </w:tc>
        <w:tc>
          <w:tcPr>
            <w:tcW w:w="0" w:type="dxa"/>
            <w:vAlign w:val="bottom"/>
          </w:tcPr>
          <w:p>
            <w:pPr>
              <w:spacing w:after="0"/>
              <w:rPr>
                <w:sz w:val="1"/>
                <w:szCs w:val="1"/>
                <w:color w:val="auto"/>
              </w:rPr>
            </w:pPr>
          </w:p>
        </w:tc>
      </w:tr>
      <w:tr>
        <w:trPr>
          <w:trHeight w:val="432"/>
        </w:trPr>
        <w:tc>
          <w:tcPr>
            <w:tcW w:w="1060" w:type="dxa"/>
            <w:vAlign w:val="bottom"/>
          </w:tcPr>
          <w:p>
            <w:pPr>
              <w:spacing w:after="0"/>
              <w:rPr>
                <w:sz w:val="24"/>
                <w:szCs w:val="24"/>
                <w:color w:val="auto"/>
              </w:rPr>
            </w:pPr>
          </w:p>
        </w:tc>
        <w:tc>
          <w:tcPr>
            <w:tcW w:w="560" w:type="dxa"/>
            <w:vAlign w:val="bottom"/>
            <w:tcBorders>
              <w:right w:val="single" w:sz="8" w:color="auto"/>
            </w:tcBorders>
          </w:tcPr>
          <w:p>
            <w:pPr>
              <w:spacing w:after="0"/>
              <w:rPr>
                <w:sz w:val="24"/>
                <w:szCs w:val="24"/>
                <w:color w:val="auto"/>
              </w:rPr>
            </w:pPr>
          </w:p>
        </w:tc>
        <w:tc>
          <w:tcPr>
            <w:tcW w:w="760" w:type="dxa"/>
            <w:vAlign w:val="bottom"/>
            <w:tcBorders>
              <w:right w:val="single" w:sz="8" w:color="auto"/>
            </w:tcBorders>
          </w:tcPr>
          <w:p>
            <w:pPr>
              <w:spacing w:after="0"/>
              <w:rPr>
                <w:sz w:val="24"/>
                <w:szCs w:val="24"/>
                <w:color w:val="auto"/>
              </w:rPr>
            </w:pPr>
          </w:p>
        </w:tc>
        <w:tc>
          <w:tcPr>
            <w:tcW w:w="8860" w:type="dxa"/>
            <w:vAlign w:val="bottom"/>
          </w:tcPr>
          <w:p>
            <w:pPr>
              <w:ind w:left="60"/>
              <w:spacing w:after="0"/>
              <w:rPr>
                <w:sz w:val="20"/>
                <w:szCs w:val="20"/>
                <w:color w:val="auto"/>
              </w:rPr>
            </w:pPr>
            <w:r>
              <w:rPr>
                <w:rFonts w:ascii="Arial" w:cs="Arial" w:eastAsia="Arial" w:hAnsi="Arial"/>
                <w:sz w:val="18"/>
                <w:szCs w:val="18"/>
                <w:color w:val="auto"/>
              </w:rPr>
              <w:t>5,375,056 Ordinary Shares*</w:t>
            </w:r>
          </w:p>
        </w:tc>
        <w:tc>
          <w:tcPr>
            <w:tcW w:w="0" w:type="dxa"/>
            <w:vAlign w:val="bottom"/>
          </w:tcPr>
          <w:p>
            <w:pPr>
              <w:spacing w:after="0"/>
              <w:rPr>
                <w:sz w:val="1"/>
                <w:szCs w:val="1"/>
                <w:color w:val="auto"/>
              </w:rPr>
            </w:pPr>
          </w:p>
        </w:tc>
      </w:tr>
      <w:tr>
        <w:trPr>
          <w:trHeight w:val="75"/>
        </w:trPr>
        <w:tc>
          <w:tcPr>
            <w:tcW w:w="1060" w:type="dxa"/>
            <w:vAlign w:val="bottom"/>
            <w:tcBorders>
              <w:bottom w:val="single" w:sz="8" w:color="auto"/>
            </w:tcBorders>
          </w:tcPr>
          <w:p>
            <w:pPr>
              <w:spacing w:after="0"/>
              <w:rPr>
                <w:sz w:val="6"/>
                <w:szCs w:val="6"/>
                <w:color w:val="auto"/>
              </w:rPr>
            </w:pPr>
          </w:p>
        </w:tc>
        <w:tc>
          <w:tcPr>
            <w:tcW w:w="560" w:type="dxa"/>
            <w:vAlign w:val="bottom"/>
            <w:tcBorders>
              <w:bottom w:val="single" w:sz="8" w:color="auto"/>
              <w:right w:val="single" w:sz="8" w:color="auto"/>
            </w:tcBorders>
          </w:tcPr>
          <w:p>
            <w:pPr>
              <w:spacing w:after="0"/>
              <w:rPr>
                <w:sz w:val="6"/>
                <w:szCs w:val="6"/>
                <w:color w:val="auto"/>
              </w:rPr>
            </w:pPr>
          </w:p>
        </w:tc>
        <w:tc>
          <w:tcPr>
            <w:tcW w:w="760" w:type="dxa"/>
            <w:vAlign w:val="bottom"/>
            <w:tcBorders>
              <w:bottom w:val="single" w:sz="8" w:color="auto"/>
              <w:right w:val="single" w:sz="8" w:color="auto"/>
            </w:tcBorders>
          </w:tcPr>
          <w:p>
            <w:pPr>
              <w:spacing w:after="0"/>
              <w:rPr>
                <w:sz w:val="6"/>
                <w:szCs w:val="6"/>
                <w:color w:val="auto"/>
              </w:rPr>
            </w:pPr>
          </w:p>
        </w:tc>
        <w:tc>
          <w:tcPr>
            <w:tcW w:w="8860" w:type="dxa"/>
            <w:vAlign w:val="bottom"/>
            <w:tcBorders>
              <w:bottom w:val="single" w:sz="8" w:color="auto"/>
            </w:tcBorders>
          </w:tcPr>
          <w:p>
            <w:pPr>
              <w:spacing w:after="0"/>
              <w:rPr>
                <w:sz w:val="6"/>
                <w:szCs w:val="6"/>
                <w:color w:val="auto"/>
              </w:rPr>
            </w:pPr>
          </w:p>
        </w:tc>
        <w:tc>
          <w:tcPr>
            <w:tcW w:w="0" w:type="dxa"/>
            <w:vAlign w:val="bottom"/>
          </w:tcPr>
          <w:p>
            <w:pPr>
              <w:spacing w:after="0"/>
              <w:rPr>
                <w:sz w:val="1"/>
                <w:szCs w:val="1"/>
                <w:color w:val="auto"/>
              </w:rPr>
            </w:pPr>
          </w:p>
        </w:tc>
      </w:tr>
      <w:tr>
        <w:trPr>
          <w:trHeight w:val="284"/>
        </w:trPr>
        <w:tc>
          <w:tcPr>
            <w:tcW w:w="1060" w:type="dxa"/>
            <w:vAlign w:val="bottom"/>
            <w:tcBorders>
              <w:right w:val="single" w:sz="8" w:color="auto"/>
            </w:tcBorders>
          </w:tcPr>
          <w:p>
            <w:pPr>
              <w:jc w:val="center"/>
              <w:spacing w:after="0"/>
              <w:rPr>
                <w:sz w:val="20"/>
                <w:szCs w:val="20"/>
                <w:color w:val="auto"/>
              </w:rPr>
            </w:pPr>
            <w:r>
              <w:rPr>
                <w:rFonts w:ascii="Arial" w:cs="Arial" w:eastAsia="Arial" w:hAnsi="Arial"/>
                <w:sz w:val="14"/>
                <w:szCs w:val="14"/>
                <w:color w:val="auto"/>
                <w:w w:val="85"/>
              </w:rPr>
              <w:t>9.</w:t>
            </w:r>
          </w:p>
        </w:tc>
        <w:tc>
          <w:tcPr>
            <w:tcW w:w="10180" w:type="dxa"/>
            <w:vAlign w:val="bottom"/>
            <w:gridSpan w:val="3"/>
          </w:tcPr>
          <w:p>
            <w:pPr>
              <w:ind w:left="20"/>
              <w:spacing w:after="0"/>
              <w:rPr>
                <w:sz w:val="20"/>
                <w:szCs w:val="20"/>
                <w:color w:val="auto"/>
              </w:rPr>
            </w:pPr>
            <w:r>
              <w:rPr>
                <w:rFonts w:ascii="Arial" w:cs="Arial" w:eastAsia="Arial" w:hAnsi="Arial"/>
                <w:sz w:val="18"/>
                <w:szCs w:val="18"/>
                <w:color w:val="auto"/>
              </w:rPr>
              <w:t>Aggregate Amount Beneficially Owned by Each Reporting Person</w:t>
            </w:r>
          </w:p>
        </w:tc>
        <w:tc>
          <w:tcPr>
            <w:tcW w:w="0" w:type="dxa"/>
            <w:vAlign w:val="bottom"/>
          </w:tcPr>
          <w:p>
            <w:pPr>
              <w:spacing w:after="0"/>
              <w:rPr>
                <w:sz w:val="1"/>
                <w:szCs w:val="1"/>
                <w:color w:val="auto"/>
              </w:rPr>
            </w:pPr>
          </w:p>
        </w:tc>
      </w:tr>
      <w:tr>
        <w:trPr>
          <w:trHeight w:val="432"/>
        </w:trPr>
        <w:tc>
          <w:tcPr>
            <w:tcW w:w="1060" w:type="dxa"/>
            <w:vAlign w:val="bottom"/>
            <w:tcBorders>
              <w:right w:val="single" w:sz="8" w:color="auto"/>
            </w:tcBorders>
          </w:tcPr>
          <w:p>
            <w:pPr>
              <w:spacing w:after="0"/>
              <w:rPr>
                <w:sz w:val="24"/>
                <w:szCs w:val="24"/>
                <w:color w:val="auto"/>
              </w:rPr>
            </w:pPr>
          </w:p>
        </w:tc>
        <w:tc>
          <w:tcPr>
            <w:tcW w:w="10180" w:type="dxa"/>
            <w:vAlign w:val="bottom"/>
            <w:gridSpan w:val="3"/>
          </w:tcPr>
          <w:p>
            <w:pPr>
              <w:ind w:left="20"/>
              <w:spacing w:after="0"/>
              <w:rPr>
                <w:sz w:val="20"/>
                <w:szCs w:val="20"/>
                <w:color w:val="auto"/>
              </w:rPr>
            </w:pPr>
            <w:r>
              <w:rPr>
                <w:rFonts w:ascii="Arial" w:cs="Arial" w:eastAsia="Arial" w:hAnsi="Arial"/>
                <w:sz w:val="18"/>
                <w:szCs w:val="18"/>
                <w:color w:val="auto"/>
              </w:rPr>
              <w:t>5,375,056 Ordinary Shares*</w:t>
            </w:r>
          </w:p>
        </w:tc>
        <w:tc>
          <w:tcPr>
            <w:tcW w:w="0" w:type="dxa"/>
            <w:vAlign w:val="bottom"/>
          </w:tcPr>
          <w:p>
            <w:pPr>
              <w:spacing w:after="0"/>
              <w:rPr>
                <w:sz w:val="1"/>
                <w:szCs w:val="1"/>
                <w:color w:val="auto"/>
              </w:rPr>
            </w:pPr>
          </w:p>
        </w:tc>
      </w:tr>
      <w:tr>
        <w:trPr>
          <w:trHeight w:val="75"/>
        </w:trPr>
        <w:tc>
          <w:tcPr>
            <w:tcW w:w="1060" w:type="dxa"/>
            <w:vAlign w:val="bottom"/>
            <w:tcBorders>
              <w:bottom w:val="single" w:sz="8" w:color="auto"/>
              <w:right w:val="single" w:sz="8" w:color="auto"/>
            </w:tcBorders>
          </w:tcPr>
          <w:p>
            <w:pPr>
              <w:spacing w:after="0"/>
              <w:rPr>
                <w:sz w:val="6"/>
                <w:szCs w:val="6"/>
                <w:color w:val="auto"/>
              </w:rPr>
            </w:pPr>
          </w:p>
        </w:tc>
        <w:tc>
          <w:tcPr>
            <w:tcW w:w="10180" w:type="dxa"/>
            <w:vAlign w:val="bottom"/>
            <w:tcBorders>
              <w:bottom w:val="single" w:sz="8" w:color="auto"/>
            </w:tcBorders>
            <w:gridSpan w:val="3"/>
          </w:tcPr>
          <w:p>
            <w:pPr>
              <w:spacing w:after="0"/>
              <w:rPr>
                <w:sz w:val="6"/>
                <w:szCs w:val="6"/>
                <w:color w:val="auto"/>
              </w:rPr>
            </w:pPr>
          </w:p>
        </w:tc>
        <w:tc>
          <w:tcPr>
            <w:tcW w:w="0" w:type="dxa"/>
            <w:vAlign w:val="bottom"/>
          </w:tcPr>
          <w:p>
            <w:pPr>
              <w:spacing w:after="0"/>
              <w:rPr>
                <w:sz w:val="1"/>
                <w:szCs w:val="1"/>
                <w:color w:val="auto"/>
              </w:rPr>
            </w:pPr>
          </w:p>
        </w:tc>
      </w:tr>
      <w:tr>
        <w:trPr>
          <w:trHeight w:val="283"/>
        </w:trPr>
        <w:tc>
          <w:tcPr>
            <w:tcW w:w="1060" w:type="dxa"/>
            <w:vAlign w:val="bottom"/>
            <w:tcBorders>
              <w:right w:val="single" w:sz="8" w:color="auto"/>
            </w:tcBorders>
          </w:tcPr>
          <w:p>
            <w:pPr>
              <w:jc w:val="center"/>
              <w:spacing w:after="0"/>
              <w:rPr>
                <w:sz w:val="20"/>
                <w:szCs w:val="20"/>
                <w:color w:val="auto"/>
              </w:rPr>
            </w:pPr>
            <w:r>
              <w:rPr>
                <w:rFonts w:ascii="Arial" w:cs="Arial" w:eastAsia="Arial" w:hAnsi="Arial"/>
                <w:sz w:val="14"/>
                <w:szCs w:val="14"/>
                <w:color w:val="auto"/>
                <w:w w:val="92"/>
              </w:rPr>
              <w:t>10.</w:t>
            </w:r>
          </w:p>
        </w:tc>
        <w:tc>
          <w:tcPr>
            <w:tcW w:w="10180" w:type="dxa"/>
            <w:vAlign w:val="bottom"/>
            <w:gridSpan w:val="3"/>
          </w:tcPr>
          <w:p>
            <w:pPr>
              <w:ind w:left="20"/>
              <w:spacing w:after="0"/>
              <w:rPr>
                <w:sz w:val="20"/>
                <w:szCs w:val="20"/>
                <w:color w:val="auto"/>
              </w:rPr>
            </w:pPr>
            <w:r>
              <w:rPr>
                <w:rFonts w:ascii="Arial" w:cs="Arial" w:eastAsia="Arial" w:hAnsi="Arial"/>
                <w:sz w:val="18"/>
                <w:szCs w:val="18"/>
                <w:color w:val="auto"/>
              </w:rPr>
              <w:t>Check if the Aggregate Amount in Row (9) Excludes Certain Shares</w:t>
            </w:r>
          </w:p>
        </w:tc>
        <w:tc>
          <w:tcPr>
            <w:tcW w:w="0" w:type="dxa"/>
            <w:vAlign w:val="bottom"/>
          </w:tcPr>
          <w:p>
            <w:pPr>
              <w:spacing w:after="0"/>
              <w:rPr>
                <w:sz w:val="1"/>
                <w:szCs w:val="1"/>
                <w:color w:val="auto"/>
              </w:rPr>
            </w:pPr>
          </w:p>
        </w:tc>
      </w:tr>
      <w:tr>
        <w:trPr>
          <w:trHeight w:val="452"/>
        </w:trPr>
        <w:tc>
          <w:tcPr>
            <w:tcW w:w="1060" w:type="dxa"/>
            <w:vAlign w:val="bottom"/>
            <w:tcBorders>
              <w:right w:val="single" w:sz="8" w:color="auto"/>
            </w:tcBorders>
          </w:tcPr>
          <w:p>
            <w:pPr>
              <w:spacing w:after="0"/>
              <w:rPr>
                <w:sz w:val="24"/>
                <w:szCs w:val="24"/>
                <w:color w:val="auto"/>
              </w:rPr>
            </w:pPr>
          </w:p>
        </w:tc>
        <w:tc>
          <w:tcPr>
            <w:tcW w:w="1320" w:type="dxa"/>
            <w:vAlign w:val="bottom"/>
            <w:gridSpan w:val="2"/>
          </w:tcPr>
          <w:p>
            <w:pPr>
              <w:ind w:left="20"/>
              <w:spacing w:after="0" w:line="181" w:lineRule="exact"/>
              <w:rPr>
                <w:sz w:val="20"/>
                <w:szCs w:val="20"/>
                <w:color w:val="auto"/>
              </w:rPr>
            </w:pPr>
            <w:r>
              <w:rPr>
                <w:rFonts w:ascii="MS PGothic" w:cs="MS PGothic" w:eastAsia="MS PGothic" w:hAnsi="MS PGothic"/>
                <w:sz w:val="18"/>
                <w:szCs w:val="18"/>
                <w:color w:val="auto"/>
              </w:rPr>
              <w:t>☐</w:t>
            </w:r>
          </w:p>
        </w:tc>
        <w:tc>
          <w:tcPr>
            <w:tcW w:w="88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55"/>
        </w:trPr>
        <w:tc>
          <w:tcPr>
            <w:tcW w:w="1060" w:type="dxa"/>
            <w:vAlign w:val="bottom"/>
            <w:tcBorders>
              <w:bottom w:val="single" w:sz="8" w:color="auto"/>
              <w:right w:val="single" w:sz="8" w:color="auto"/>
            </w:tcBorders>
          </w:tcPr>
          <w:p>
            <w:pPr>
              <w:spacing w:after="0"/>
              <w:rPr>
                <w:sz w:val="4"/>
                <w:szCs w:val="4"/>
                <w:color w:val="auto"/>
              </w:rPr>
            </w:pPr>
          </w:p>
        </w:tc>
        <w:tc>
          <w:tcPr>
            <w:tcW w:w="10180" w:type="dxa"/>
            <w:vAlign w:val="bottom"/>
            <w:tcBorders>
              <w:bottom w:val="single" w:sz="8" w:color="auto"/>
            </w:tcBorders>
            <w:gridSpan w:val="3"/>
          </w:tcPr>
          <w:p>
            <w:pPr>
              <w:spacing w:after="0"/>
              <w:rPr>
                <w:sz w:val="4"/>
                <w:szCs w:val="4"/>
                <w:color w:val="auto"/>
              </w:rPr>
            </w:pPr>
          </w:p>
        </w:tc>
        <w:tc>
          <w:tcPr>
            <w:tcW w:w="0" w:type="dxa"/>
            <w:vAlign w:val="bottom"/>
          </w:tcPr>
          <w:p>
            <w:pPr>
              <w:spacing w:after="0"/>
              <w:rPr>
                <w:sz w:val="1"/>
                <w:szCs w:val="1"/>
                <w:color w:val="auto"/>
              </w:rPr>
            </w:pPr>
          </w:p>
        </w:tc>
      </w:tr>
      <w:tr>
        <w:trPr>
          <w:trHeight w:val="283"/>
        </w:trPr>
        <w:tc>
          <w:tcPr>
            <w:tcW w:w="1060" w:type="dxa"/>
            <w:vAlign w:val="bottom"/>
            <w:tcBorders>
              <w:right w:val="single" w:sz="8" w:color="auto"/>
            </w:tcBorders>
          </w:tcPr>
          <w:p>
            <w:pPr>
              <w:jc w:val="center"/>
              <w:spacing w:after="0"/>
              <w:rPr>
                <w:sz w:val="20"/>
                <w:szCs w:val="20"/>
                <w:color w:val="auto"/>
              </w:rPr>
            </w:pPr>
            <w:r>
              <w:rPr>
                <w:rFonts w:ascii="Arial" w:cs="Arial" w:eastAsia="Arial" w:hAnsi="Arial"/>
                <w:sz w:val="14"/>
                <w:szCs w:val="14"/>
                <w:color w:val="auto"/>
                <w:w w:val="92"/>
              </w:rPr>
              <w:t>11.</w:t>
            </w:r>
          </w:p>
        </w:tc>
        <w:tc>
          <w:tcPr>
            <w:tcW w:w="10180" w:type="dxa"/>
            <w:vAlign w:val="bottom"/>
            <w:gridSpan w:val="3"/>
          </w:tcPr>
          <w:p>
            <w:pPr>
              <w:ind w:left="20"/>
              <w:spacing w:after="0"/>
              <w:rPr>
                <w:sz w:val="20"/>
                <w:szCs w:val="20"/>
                <w:color w:val="auto"/>
              </w:rPr>
            </w:pPr>
            <w:r>
              <w:rPr>
                <w:rFonts w:ascii="Arial" w:cs="Arial" w:eastAsia="Arial" w:hAnsi="Arial"/>
                <w:sz w:val="18"/>
                <w:szCs w:val="18"/>
                <w:color w:val="auto"/>
              </w:rPr>
              <w:t>Percent of Class Represented by Amount in Row (9)</w:t>
            </w:r>
          </w:p>
        </w:tc>
        <w:tc>
          <w:tcPr>
            <w:tcW w:w="0" w:type="dxa"/>
            <w:vAlign w:val="bottom"/>
          </w:tcPr>
          <w:p>
            <w:pPr>
              <w:spacing w:after="0"/>
              <w:rPr>
                <w:sz w:val="1"/>
                <w:szCs w:val="1"/>
                <w:color w:val="auto"/>
              </w:rPr>
            </w:pPr>
          </w:p>
        </w:tc>
      </w:tr>
      <w:tr>
        <w:trPr>
          <w:trHeight w:val="432"/>
        </w:trPr>
        <w:tc>
          <w:tcPr>
            <w:tcW w:w="1060" w:type="dxa"/>
            <w:vAlign w:val="bottom"/>
            <w:tcBorders>
              <w:right w:val="single" w:sz="8" w:color="auto"/>
            </w:tcBorders>
          </w:tcPr>
          <w:p>
            <w:pPr>
              <w:spacing w:after="0"/>
              <w:rPr>
                <w:sz w:val="24"/>
                <w:szCs w:val="24"/>
                <w:color w:val="auto"/>
              </w:rPr>
            </w:pPr>
          </w:p>
        </w:tc>
        <w:tc>
          <w:tcPr>
            <w:tcW w:w="1320" w:type="dxa"/>
            <w:vAlign w:val="bottom"/>
            <w:gridSpan w:val="2"/>
          </w:tcPr>
          <w:p>
            <w:pPr>
              <w:ind w:left="20"/>
              <w:spacing w:after="0"/>
              <w:rPr>
                <w:sz w:val="20"/>
                <w:szCs w:val="20"/>
                <w:color w:val="auto"/>
              </w:rPr>
            </w:pPr>
            <w:r>
              <w:rPr>
                <w:rFonts w:ascii="Arial" w:cs="Arial" w:eastAsia="Arial" w:hAnsi="Arial"/>
                <w:sz w:val="18"/>
                <w:szCs w:val="18"/>
                <w:color w:val="auto"/>
              </w:rPr>
              <w:t>4.9%**</w:t>
            </w:r>
          </w:p>
        </w:tc>
        <w:tc>
          <w:tcPr>
            <w:tcW w:w="88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74"/>
        </w:trPr>
        <w:tc>
          <w:tcPr>
            <w:tcW w:w="1060" w:type="dxa"/>
            <w:vAlign w:val="bottom"/>
            <w:tcBorders>
              <w:bottom w:val="single" w:sz="8" w:color="auto"/>
              <w:right w:val="single" w:sz="8" w:color="auto"/>
            </w:tcBorders>
          </w:tcPr>
          <w:p>
            <w:pPr>
              <w:spacing w:after="0"/>
              <w:rPr>
                <w:sz w:val="6"/>
                <w:szCs w:val="6"/>
                <w:color w:val="auto"/>
              </w:rPr>
            </w:pPr>
          </w:p>
        </w:tc>
        <w:tc>
          <w:tcPr>
            <w:tcW w:w="10180" w:type="dxa"/>
            <w:vAlign w:val="bottom"/>
            <w:tcBorders>
              <w:bottom w:val="single" w:sz="8" w:color="auto"/>
            </w:tcBorders>
            <w:gridSpan w:val="3"/>
          </w:tcPr>
          <w:p>
            <w:pPr>
              <w:spacing w:after="0"/>
              <w:rPr>
                <w:sz w:val="6"/>
                <w:szCs w:val="6"/>
                <w:color w:val="auto"/>
              </w:rPr>
            </w:pPr>
          </w:p>
        </w:tc>
        <w:tc>
          <w:tcPr>
            <w:tcW w:w="0" w:type="dxa"/>
            <w:vAlign w:val="bottom"/>
          </w:tcPr>
          <w:p>
            <w:pPr>
              <w:spacing w:after="0"/>
              <w:rPr>
                <w:sz w:val="1"/>
                <w:szCs w:val="1"/>
                <w:color w:val="auto"/>
              </w:rPr>
            </w:pPr>
          </w:p>
        </w:tc>
      </w:tr>
      <w:tr>
        <w:trPr>
          <w:trHeight w:val="284"/>
        </w:trPr>
        <w:tc>
          <w:tcPr>
            <w:tcW w:w="1060" w:type="dxa"/>
            <w:vAlign w:val="bottom"/>
            <w:tcBorders>
              <w:right w:val="single" w:sz="8" w:color="auto"/>
            </w:tcBorders>
          </w:tcPr>
          <w:p>
            <w:pPr>
              <w:jc w:val="center"/>
              <w:spacing w:after="0"/>
              <w:rPr>
                <w:sz w:val="20"/>
                <w:szCs w:val="20"/>
                <w:color w:val="auto"/>
              </w:rPr>
            </w:pPr>
            <w:r>
              <w:rPr>
                <w:rFonts w:ascii="Arial" w:cs="Arial" w:eastAsia="Arial" w:hAnsi="Arial"/>
                <w:sz w:val="14"/>
                <w:szCs w:val="14"/>
                <w:color w:val="auto"/>
                <w:w w:val="92"/>
              </w:rPr>
              <w:t>12.</w:t>
            </w:r>
          </w:p>
        </w:tc>
        <w:tc>
          <w:tcPr>
            <w:tcW w:w="10180" w:type="dxa"/>
            <w:vAlign w:val="bottom"/>
            <w:gridSpan w:val="3"/>
          </w:tcPr>
          <w:p>
            <w:pPr>
              <w:ind w:left="20"/>
              <w:spacing w:after="0"/>
              <w:rPr>
                <w:sz w:val="20"/>
                <w:szCs w:val="20"/>
                <w:color w:val="auto"/>
              </w:rPr>
            </w:pPr>
            <w:r>
              <w:rPr>
                <w:rFonts w:ascii="Arial" w:cs="Arial" w:eastAsia="Arial" w:hAnsi="Arial"/>
                <w:sz w:val="18"/>
                <w:szCs w:val="18"/>
                <w:color w:val="auto"/>
              </w:rPr>
              <w:t>Type of Reporting Person:</w:t>
            </w:r>
          </w:p>
        </w:tc>
        <w:tc>
          <w:tcPr>
            <w:tcW w:w="0" w:type="dxa"/>
            <w:vAlign w:val="bottom"/>
          </w:tcPr>
          <w:p>
            <w:pPr>
              <w:spacing w:after="0"/>
              <w:rPr>
                <w:sz w:val="1"/>
                <w:szCs w:val="1"/>
                <w:color w:val="auto"/>
              </w:rPr>
            </w:pPr>
          </w:p>
        </w:tc>
      </w:tr>
      <w:tr>
        <w:trPr>
          <w:trHeight w:val="432"/>
        </w:trPr>
        <w:tc>
          <w:tcPr>
            <w:tcW w:w="1060" w:type="dxa"/>
            <w:vAlign w:val="bottom"/>
            <w:tcBorders>
              <w:right w:val="single" w:sz="8" w:color="auto"/>
            </w:tcBorders>
          </w:tcPr>
          <w:p>
            <w:pPr>
              <w:spacing w:after="0"/>
              <w:rPr>
                <w:sz w:val="24"/>
                <w:szCs w:val="24"/>
                <w:color w:val="auto"/>
              </w:rPr>
            </w:pPr>
          </w:p>
        </w:tc>
        <w:tc>
          <w:tcPr>
            <w:tcW w:w="1320" w:type="dxa"/>
            <w:vAlign w:val="bottom"/>
            <w:gridSpan w:val="2"/>
          </w:tcPr>
          <w:p>
            <w:pPr>
              <w:ind w:left="20"/>
              <w:spacing w:after="0"/>
              <w:rPr>
                <w:sz w:val="20"/>
                <w:szCs w:val="20"/>
                <w:color w:val="auto"/>
              </w:rPr>
            </w:pPr>
            <w:r>
              <w:rPr>
                <w:rFonts w:ascii="Arial" w:cs="Arial" w:eastAsia="Arial" w:hAnsi="Arial"/>
                <w:sz w:val="18"/>
                <w:szCs w:val="18"/>
                <w:color w:val="auto"/>
              </w:rPr>
              <w:t>CO</w:t>
            </w:r>
          </w:p>
        </w:tc>
        <w:tc>
          <w:tcPr>
            <w:tcW w:w="88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74"/>
        </w:trPr>
        <w:tc>
          <w:tcPr>
            <w:tcW w:w="1060" w:type="dxa"/>
            <w:vAlign w:val="bottom"/>
            <w:tcBorders>
              <w:bottom w:val="single" w:sz="8" w:color="auto"/>
              <w:right w:val="single" w:sz="8" w:color="auto"/>
            </w:tcBorders>
          </w:tcPr>
          <w:p>
            <w:pPr>
              <w:spacing w:after="0"/>
              <w:rPr>
                <w:sz w:val="6"/>
                <w:szCs w:val="6"/>
                <w:color w:val="auto"/>
              </w:rPr>
            </w:pPr>
          </w:p>
        </w:tc>
        <w:tc>
          <w:tcPr>
            <w:tcW w:w="560" w:type="dxa"/>
            <w:vAlign w:val="bottom"/>
            <w:tcBorders>
              <w:bottom w:val="single" w:sz="8" w:color="auto"/>
            </w:tcBorders>
          </w:tcPr>
          <w:p>
            <w:pPr>
              <w:spacing w:after="0"/>
              <w:rPr>
                <w:sz w:val="6"/>
                <w:szCs w:val="6"/>
                <w:color w:val="auto"/>
              </w:rPr>
            </w:pPr>
          </w:p>
        </w:tc>
        <w:tc>
          <w:tcPr>
            <w:tcW w:w="760" w:type="dxa"/>
            <w:vAlign w:val="bottom"/>
            <w:tcBorders>
              <w:bottom w:val="single" w:sz="8" w:color="auto"/>
            </w:tcBorders>
          </w:tcPr>
          <w:p>
            <w:pPr>
              <w:spacing w:after="0"/>
              <w:rPr>
                <w:sz w:val="6"/>
                <w:szCs w:val="6"/>
                <w:color w:val="auto"/>
              </w:rPr>
            </w:pPr>
          </w:p>
        </w:tc>
        <w:tc>
          <w:tcPr>
            <w:tcW w:w="8860" w:type="dxa"/>
            <w:vAlign w:val="bottom"/>
            <w:tcBorders>
              <w:bottom w:val="single" w:sz="8" w:color="auto"/>
            </w:tcBorders>
          </w:tcPr>
          <w:p>
            <w:pPr>
              <w:spacing w:after="0"/>
              <w:rPr>
                <w:sz w:val="6"/>
                <w:szCs w:val="6"/>
                <w:color w:val="auto"/>
              </w:rPr>
            </w:pPr>
          </w:p>
        </w:tc>
        <w:tc>
          <w:tcPr>
            <w:tcW w:w="0" w:type="dxa"/>
            <w:vAlign w:val="bottom"/>
          </w:tcPr>
          <w:p>
            <w:pPr>
              <w:spacing w:after="0"/>
              <w:rPr>
                <w:sz w:val="1"/>
                <w:szCs w:val="1"/>
                <w:color w:val="auto"/>
              </w:rPr>
            </w:pPr>
          </w:p>
        </w:tc>
      </w:tr>
    </w:tbl>
    <w:p>
      <w:pPr>
        <w:spacing w:after="0" w:line="222" w:lineRule="exact"/>
        <w:rPr>
          <w:sz w:val="20"/>
          <w:szCs w:val="20"/>
          <w:color w:val="auto"/>
        </w:rPr>
      </w:pPr>
    </w:p>
    <w:p>
      <w:pPr>
        <w:spacing w:after="0"/>
        <w:rPr>
          <w:sz w:val="20"/>
          <w:szCs w:val="20"/>
          <w:color w:val="auto"/>
        </w:rPr>
      </w:pPr>
      <w:r>
        <w:rPr>
          <w:rFonts w:ascii="Arial" w:cs="Arial" w:eastAsia="Arial" w:hAnsi="Arial"/>
          <w:sz w:val="22"/>
          <w:szCs w:val="22"/>
          <w:color w:val="auto"/>
        </w:rPr>
        <w:t>*See Item 4.</w:t>
      </w:r>
    </w:p>
    <w:p>
      <w:pPr>
        <w:spacing w:after="0" w:line="21" w:lineRule="exact"/>
        <w:rPr>
          <w:sz w:val="20"/>
          <w:szCs w:val="20"/>
          <w:color w:val="auto"/>
        </w:rPr>
      </w:pPr>
    </w:p>
    <w:p>
      <w:pPr>
        <w:ind w:right="200" w:firstLine="8"/>
        <w:spacing w:after="0" w:line="259" w:lineRule="auto"/>
        <w:tabs>
          <w:tab w:leader="none" w:pos="270" w:val="left"/>
        </w:tabs>
        <w:numPr>
          <w:ilvl w:val="0"/>
          <w:numId w:val="6"/>
        </w:numPr>
        <w:rPr>
          <w:rFonts w:ascii="Arial" w:cs="Arial" w:eastAsia="Arial" w:hAnsi="Arial"/>
          <w:sz w:val="22"/>
          <w:szCs w:val="22"/>
          <w:color w:val="auto"/>
        </w:rPr>
      </w:pPr>
      <w:r>
        <w:rPr>
          <w:rFonts w:ascii="Arial" w:cs="Arial" w:eastAsia="Arial" w:hAnsi="Arial"/>
          <w:sz w:val="22"/>
          <w:szCs w:val="22"/>
          <w:color w:val="auto"/>
        </w:rPr>
        <w:t>Based on information received from the Issuer, there were 108,883,257 Ordinary Shares of the Issuer issued and outstanding as of December 31, 2021.</w:t>
      </w:r>
    </w:p>
    <w:p>
      <w:pPr>
        <w:spacing w:after="0" w:line="200" w:lineRule="exact"/>
        <w:rPr>
          <w:rFonts w:ascii="Arial" w:cs="Arial" w:eastAsia="Arial" w:hAnsi="Arial"/>
          <w:sz w:val="22"/>
          <w:szCs w:val="22"/>
          <w:color w:val="auto"/>
        </w:rPr>
      </w:pPr>
    </w:p>
    <w:p>
      <w:pPr>
        <w:spacing w:after="0" w:line="210" w:lineRule="exact"/>
        <w:rPr>
          <w:rFonts w:ascii="Arial" w:cs="Arial" w:eastAsia="Arial" w:hAnsi="Arial"/>
          <w:sz w:val="22"/>
          <w:szCs w:val="22"/>
          <w:color w:val="auto"/>
        </w:rPr>
      </w:pPr>
    </w:p>
    <w:p>
      <w:pPr>
        <w:ind w:left="5580" w:hanging="76"/>
        <w:spacing w:after="0"/>
        <w:tabs>
          <w:tab w:leader="none" w:pos="5580" w:val="left"/>
        </w:tabs>
        <w:numPr>
          <w:ilvl w:val="1"/>
          <w:numId w:val="6"/>
        </w:numPr>
        <w:rPr>
          <w:rFonts w:ascii="Arial" w:cs="Arial" w:eastAsia="Arial" w:hAnsi="Arial"/>
          <w:sz w:val="14"/>
          <w:szCs w:val="14"/>
          <w:color w:val="auto"/>
        </w:rPr>
      </w:pPr>
      <w:r>
        <w:rPr>
          <w:rFonts w:ascii="Arial" w:cs="Arial" w:eastAsia="Arial" w:hAnsi="Arial"/>
          <w:sz w:val="14"/>
          <w:szCs w:val="14"/>
          <w:color w:val="auto"/>
        </w:rPr>
        <w:t>2 -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38100</wp:posOffset>
            </wp:positionV>
            <wp:extent cx="7132320" cy="1714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355" w:right="339" w:bottom="1440" w:gutter="0" w:footer="0" w:header="0"/>
        </w:sectPr>
      </w:pPr>
    </w:p>
    <w:bookmarkStart w:id="2" w:name="page3"/>
    <w:bookmarkEnd w:id="2"/>
    <w:p>
      <w:pPr>
        <w:spacing w:after="0"/>
        <w:rPr>
          <w:sz w:val="20"/>
          <w:szCs w:val="20"/>
          <w:color w:val="auto"/>
        </w:rPr>
      </w:pPr>
      <w:r>
        <w:rPr>
          <w:rFonts w:ascii="Arial" w:cs="Arial" w:eastAsia="Arial" w:hAnsi="Arial"/>
          <w:sz w:val="22"/>
          <w:szCs w:val="22"/>
          <w:b w:val="1"/>
          <w:bCs w:val="1"/>
          <w:color w:val="auto"/>
        </w:rPr>
        <w:t>Item 1.</w:t>
      </w:r>
    </w:p>
    <w:p>
      <w:pPr>
        <w:spacing w:after="0" w:line="247" w:lineRule="exact"/>
        <w:rPr>
          <w:sz w:val="20"/>
          <w:szCs w:val="20"/>
          <w:color w:val="auto"/>
        </w:rPr>
      </w:pPr>
    </w:p>
    <w:p>
      <w:pPr>
        <w:ind w:left="660" w:hanging="652"/>
        <w:spacing w:after="0"/>
        <w:tabs>
          <w:tab w:leader="none" w:pos="660" w:val="left"/>
        </w:tabs>
        <w:numPr>
          <w:ilvl w:val="0"/>
          <w:numId w:val="7"/>
        </w:numPr>
        <w:rPr>
          <w:rFonts w:ascii="Arial" w:cs="Arial" w:eastAsia="Arial" w:hAnsi="Arial"/>
          <w:sz w:val="18"/>
          <w:szCs w:val="18"/>
          <w:color w:val="auto"/>
        </w:rPr>
      </w:pPr>
      <w:r>
        <w:rPr>
          <w:rFonts w:ascii="Arial" w:cs="Arial" w:eastAsia="Arial" w:hAnsi="Arial"/>
          <w:sz w:val="18"/>
          <w:szCs w:val="18"/>
          <w:color w:val="auto"/>
        </w:rPr>
        <w:t>Name of Issuer:</w:t>
      </w:r>
    </w:p>
    <w:p>
      <w:pPr>
        <w:spacing w:after="0" w:line="252" w:lineRule="exact"/>
        <w:rPr>
          <w:rFonts w:ascii="Arial" w:cs="Arial" w:eastAsia="Arial" w:hAnsi="Arial"/>
          <w:sz w:val="18"/>
          <w:szCs w:val="18"/>
          <w:color w:val="auto"/>
        </w:rPr>
      </w:pPr>
    </w:p>
    <w:p>
      <w:pPr>
        <w:ind w:left="660"/>
        <w:spacing w:after="0"/>
        <w:rPr>
          <w:rFonts w:ascii="Arial" w:cs="Arial" w:eastAsia="Arial" w:hAnsi="Arial"/>
          <w:sz w:val="18"/>
          <w:szCs w:val="18"/>
          <w:color w:val="auto"/>
        </w:rPr>
      </w:pPr>
      <w:r>
        <w:rPr>
          <w:rFonts w:ascii="Arial" w:cs="Arial" w:eastAsia="Arial" w:hAnsi="Arial"/>
          <w:sz w:val="18"/>
          <w:szCs w:val="18"/>
          <w:color w:val="auto"/>
        </w:rPr>
        <w:t>Tower Semiconductor Ltd. (the “Issuer”).</w:t>
      </w:r>
    </w:p>
    <w:p>
      <w:pPr>
        <w:spacing w:after="0" w:line="252" w:lineRule="exact"/>
        <w:rPr>
          <w:rFonts w:ascii="Arial" w:cs="Arial" w:eastAsia="Arial" w:hAnsi="Arial"/>
          <w:sz w:val="18"/>
          <w:szCs w:val="18"/>
          <w:color w:val="auto"/>
        </w:rPr>
      </w:pPr>
    </w:p>
    <w:p>
      <w:pPr>
        <w:ind w:left="660" w:hanging="652"/>
        <w:spacing w:after="0"/>
        <w:tabs>
          <w:tab w:leader="none" w:pos="660" w:val="left"/>
        </w:tabs>
        <w:numPr>
          <w:ilvl w:val="0"/>
          <w:numId w:val="7"/>
        </w:numPr>
        <w:rPr>
          <w:rFonts w:ascii="Arial" w:cs="Arial" w:eastAsia="Arial" w:hAnsi="Arial"/>
          <w:sz w:val="18"/>
          <w:szCs w:val="18"/>
          <w:color w:val="auto"/>
        </w:rPr>
      </w:pPr>
      <w:r>
        <w:rPr>
          <w:rFonts w:ascii="Arial" w:cs="Arial" w:eastAsia="Arial" w:hAnsi="Arial"/>
          <w:sz w:val="18"/>
          <w:szCs w:val="18"/>
          <w:color w:val="auto"/>
        </w:rPr>
        <w:t>Address of Issuer’s Principal Executive Offices:</w:t>
      </w:r>
    </w:p>
    <w:p>
      <w:pPr>
        <w:spacing w:after="0" w:line="245" w:lineRule="exact"/>
        <w:rPr>
          <w:sz w:val="20"/>
          <w:szCs w:val="20"/>
          <w:color w:val="auto"/>
        </w:rPr>
      </w:pPr>
    </w:p>
    <w:p>
      <w:pPr>
        <w:ind w:left="660"/>
        <w:spacing w:after="0"/>
        <w:rPr>
          <w:sz w:val="20"/>
          <w:szCs w:val="20"/>
          <w:color w:val="auto"/>
        </w:rPr>
      </w:pPr>
      <w:r>
        <w:rPr>
          <w:rFonts w:ascii="Arial" w:cs="Arial" w:eastAsia="Arial" w:hAnsi="Arial"/>
          <w:sz w:val="22"/>
          <w:szCs w:val="22"/>
          <w:color w:val="auto"/>
        </w:rPr>
        <w:t>Ramat Gavriel Industrial Park, P.O. Box 619, Migdal Haemek, 23105 Israel.</w:t>
      </w:r>
    </w:p>
    <w:p>
      <w:pPr>
        <w:spacing w:after="0" w:line="227"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Item 2.</w:t>
      </w:r>
    </w:p>
    <w:p>
      <w:pPr>
        <w:spacing w:after="0" w:line="246" w:lineRule="exact"/>
        <w:rPr>
          <w:sz w:val="20"/>
          <w:szCs w:val="20"/>
          <w:color w:val="auto"/>
        </w:rPr>
      </w:pPr>
    </w:p>
    <w:p>
      <w:pPr>
        <w:spacing w:after="0"/>
        <w:tabs>
          <w:tab w:leader="none" w:pos="640" w:val="left"/>
        </w:tabs>
        <w:rPr>
          <w:sz w:val="20"/>
          <w:szCs w:val="20"/>
          <w:color w:val="auto"/>
        </w:rPr>
      </w:pPr>
      <w:r>
        <w:rPr>
          <w:rFonts w:ascii="Arial" w:cs="Arial" w:eastAsia="Arial" w:hAnsi="Arial"/>
          <w:sz w:val="18"/>
          <w:szCs w:val="18"/>
          <w:color w:val="auto"/>
        </w:rPr>
        <w:t>(a)-(c)</w:t>
      </w:r>
      <w:r>
        <w:rPr>
          <w:sz w:val="20"/>
          <w:szCs w:val="20"/>
          <w:color w:val="auto"/>
        </w:rPr>
        <w:tab/>
      </w:r>
      <w:r>
        <w:rPr>
          <w:rFonts w:ascii="Arial" w:cs="Arial" w:eastAsia="Arial" w:hAnsi="Arial"/>
          <w:sz w:val="16"/>
          <w:szCs w:val="16"/>
          <w:color w:val="auto"/>
        </w:rPr>
        <w:t>Name of Person Filing, address and citizenship:</w:t>
      </w:r>
    </w:p>
    <w:p>
      <w:pPr>
        <w:spacing w:after="0" w:line="245" w:lineRule="exact"/>
        <w:rPr>
          <w:sz w:val="20"/>
          <w:szCs w:val="20"/>
          <w:color w:val="auto"/>
        </w:rPr>
      </w:pPr>
    </w:p>
    <w:p>
      <w:pPr>
        <w:ind w:left="660"/>
        <w:spacing w:after="0"/>
        <w:rPr>
          <w:sz w:val="20"/>
          <w:szCs w:val="20"/>
          <w:color w:val="auto"/>
        </w:rPr>
      </w:pPr>
      <w:r>
        <w:rPr>
          <w:rFonts w:ascii="Arial" w:cs="Arial" w:eastAsia="Arial" w:hAnsi="Arial"/>
          <w:sz w:val="22"/>
          <w:szCs w:val="22"/>
          <w:color w:val="auto"/>
        </w:rPr>
        <w:t>The following entity is referred to as the “Reporting Person” in this Statement:</w:t>
      </w:r>
    </w:p>
    <w:p>
      <w:pPr>
        <w:spacing w:after="0" w:line="240" w:lineRule="exact"/>
        <w:rPr>
          <w:sz w:val="20"/>
          <w:szCs w:val="20"/>
          <w:color w:val="auto"/>
        </w:rPr>
      </w:pPr>
    </w:p>
    <w:p>
      <w:pPr>
        <w:ind w:left="660" w:right="120"/>
        <w:spacing w:after="0" w:line="277" w:lineRule="auto"/>
        <w:rPr>
          <w:sz w:val="20"/>
          <w:szCs w:val="20"/>
          <w:color w:val="auto"/>
        </w:rPr>
      </w:pPr>
      <w:r>
        <w:rPr>
          <w:rFonts w:ascii="Arial" w:cs="Arial" w:eastAsia="Arial" w:hAnsi="Arial"/>
          <w:sz w:val="18"/>
          <w:szCs w:val="18"/>
          <w:color w:val="auto"/>
        </w:rPr>
        <w:t>Harel Insurance Investments &amp; Financial Services Ltd., an Israeli public company, with a principal business address at Harel House; 3 Aba Hillel Street; Ramat Gan 52118, Israel.</w:t>
      </w:r>
    </w:p>
    <w:p>
      <w:pPr>
        <w:spacing w:after="0" w:line="197" w:lineRule="exact"/>
        <w:rPr>
          <w:sz w:val="20"/>
          <w:szCs w:val="20"/>
          <w:color w:val="auto"/>
        </w:rPr>
      </w:pPr>
    </w:p>
    <w:p>
      <w:pPr>
        <w:ind w:left="660" w:hanging="652"/>
        <w:spacing w:after="0"/>
        <w:tabs>
          <w:tab w:leader="none" w:pos="660" w:val="left"/>
        </w:tabs>
        <w:numPr>
          <w:ilvl w:val="0"/>
          <w:numId w:val="8"/>
        </w:numPr>
        <w:rPr>
          <w:rFonts w:ascii="Arial" w:cs="Arial" w:eastAsia="Arial" w:hAnsi="Arial"/>
          <w:sz w:val="18"/>
          <w:szCs w:val="18"/>
          <w:color w:val="auto"/>
        </w:rPr>
      </w:pPr>
      <w:r>
        <w:rPr>
          <w:rFonts w:ascii="Arial" w:cs="Arial" w:eastAsia="Arial" w:hAnsi="Arial"/>
          <w:sz w:val="18"/>
          <w:szCs w:val="18"/>
          <w:color w:val="auto"/>
        </w:rPr>
        <w:t>Title of Class of Securities:</w:t>
      </w:r>
    </w:p>
    <w:p>
      <w:pPr>
        <w:spacing w:after="0" w:line="245" w:lineRule="exact"/>
        <w:rPr>
          <w:sz w:val="20"/>
          <w:szCs w:val="20"/>
          <w:color w:val="auto"/>
        </w:rPr>
      </w:pPr>
    </w:p>
    <w:p>
      <w:pPr>
        <w:ind w:left="660"/>
        <w:spacing w:after="0"/>
        <w:rPr>
          <w:sz w:val="20"/>
          <w:szCs w:val="20"/>
          <w:color w:val="auto"/>
        </w:rPr>
      </w:pPr>
      <w:r>
        <w:rPr>
          <w:rFonts w:ascii="Arial" w:cs="Arial" w:eastAsia="Arial" w:hAnsi="Arial"/>
          <w:sz w:val="22"/>
          <w:szCs w:val="22"/>
          <w:color w:val="auto"/>
        </w:rPr>
        <w:t>Ordinary Shares, par value NIS 15.00 per share (the “Ordinary Shares”).</w:t>
      </w:r>
    </w:p>
    <w:p>
      <w:pPr>
        <w:spacing w:after="0" w:line="240" w:lineRule="exact"/>
        <w:rPr>
          <w:sz w:val="20"/>
          <w:szCs w:val="20"/>
          <w:color w:val="auto"/>
        </w:rPr>
      </w:pPr>
    </w:p>
    <w:p>
      <w:pPr>
        <w:ind w:left="660" w:hanging="652"/>
        <w:spacing w:after="0"/>
        <w:tabs>
          <w:tab w:leader="none" w:pos="660" w:val="left"/>
        </w:tabs>
        <w:numPr>
          <w:ilvl w:val="0"/>
          <w:numId w:val="9"/>
        </w:numPr>
        <w:rPr>
          <w:rFonts w:ascii="Arial" w:cs="Arial" w:eastAsia="Arial" w:hAnsi="Arial"/>
          <w:sz w:val="18"/>
          <w:szCs w:val="18"/>
          <w:color w:val="auto"/>
        </w:rPr>
      </w:pPr>
      <w:r>
        <w:rPr>
          <w:rFonts w:ascii="Arial" w:cs="Arial" w:eastAsia="Arial" w:hAnsi="Arial"/>
          <w:sz w:val="18"/>
          <w:szCs w:val="18"/>
          <w:color w:val="auto"/>
        </w:rPr>
        <w:t>CUSIP Number:</w:t>
      </w:r>
    </w:p>
    <w:p>
      <w:pPr>
        <w:spacing w:after="0" w:line="245" w:lineRule="exact"/>
        <w:rPr>
          <w:sz w:val="20"/>
          <w:szCs w:val="20"/>
          <w:color w:val="auto"/>
        </w:rPr>
      </w:pPr>
    </w:p>
    <w:p>
      <w:pPr>
        <w:ind w:left="660"/>
        <w:spacing w:after="0"/>
        <w:rPr>
          <w:sz w:val="20"/>
          <w:szCs w:val="20"/>
          <w:color w:val="auto"/>
        </w:rPr>
      </w:pPr>
      <w:r>
        <w:rPr>
          <w:rFonts w:ascii="Arial" w:cs="Arial" w:eastAsia="Arial" w:hAnsi="Arial"/>
          <w:sz w:val="22"/>
          <w:szCs w:val="22"/>
          <w:color w:val="auto"/>
        </w:rPr>
        <w:t>M87915274</w:t>
      </w:r>
    </w:p>
    <w:p>
      <w:pPr>
        <w:spacing w:after="0" w:line="23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3. If this statement is filed pursuant to §§240.13d-1(b) or 240.13d-2(b) or (c), check whether the person filing is a:</w:t>
      </w:r>
    </w:p>
    <w:p>
      <w:pPr>
        <w:spacing w:after="0" w:line="256" w:lineRule="exact"/>
        <w:rPr>
          <w:sz w:val="20"/>
          <w:szCs w:val="20"/>
          <w:color w:val="auto"/>
        </w:rPr>
      </w:pPr>
    </w:p>
    <w:p>
      <w:pPr>
        <w:ind w:left="660"/>
        <w:spacing w:after="0"/>
        <w:rPr>
          <w:sz w:val="20"/>
          <w:szCs w:val="20"/>
          <w:color w:val="auto"/>
        </w:rPr>
      </w:pPr>
      <w:r>
        <w:rPr>
          <w:rFonts w:ascii="Arial" w:cs="Arial" w:eastAsia="Arial" w:hAnsi="Arial"/>
          <w:sz w:val="18"/>
          <w:szCs w:val="18"/>
          <w:color w:val="auto"/>
        </w:rPr>
        <w:t>Not Applicable.</w:t>
      </w:r>
    </w:p>
    <w:p>
      <w:pPr>
        <w:spacing w:after="0" w:line="24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4. Ownership</w:t>
      </w:r>
    </w:p>
    <w:p>
      <w:pPr>
        <w:spacing w:after="0" w:line="262" w:lineRule="exact"/>
        <w:rPr>
          <w:sz w:val="20"/>
          <w:szCs w:val="20"/>
          <w:color w:val="auto"/>
        </w:rPr>
      </w:pPr>
    </w:p>
    <w:p>
      <w:pPr>
        <w:jc w:val="both"/>
        <w:ind w:firstLine="638"/>
        <w:spacing w:after="0" w:line="272" w:lineRule="auto"/>
        <w:rPr>
          <w:sz w:val="20"/>
          <w:szCs w:val="20"/>
          <w:color w:val="auto"/>
        </w:rPr>
      </w:pPr>
      <w:r>
        <w:rPr>
          <w:rFonts w:ascii="Arial" w:cs="Arial" w:eastAsia="Arial" w:hAnsi="Arial"/>
          <w:sz w:val="21"/>
          <w:szCs w:val="21"/>
          <w:color w:val="auto"/>
        </w:rPr>
        <w:t>Of the 5,375,056 Ordinary Shares reported in this Statement as beneficially owned by the Reporting Person (i) 5,372,551 Ordinary Shares are held for members of the public through, among others, provident funds and/or mutual funds and/or pension funds and/or insurance policies and/or exchange traded funds, which are managed by subsidiaries of the Reporting Person, each of which subsidiaries operates under independent management and makes independent voting and investment decisions, (ii) 135 Ordinary Shares are held by third-party client accounts managed by a subsidiary of the Reporting Person as portfolio managers, which subsidiary operates under independent management and makes independent investment decisions and has no voting power in the securities held in such client accounts, and (iii) 2,370 Ordinary Shares are beneficially held for its own account. Consequently, this Statement shall not be construed as an admission by the Reporting Person that it is the beneficial owner of more than 2,370 Ordinary Shares.</w:t>
      </w:r>
    </w:p>
    <w:p>
      <w:pPr>
        <w:spacing w:after="0" w:line="196" w:lineRule="exact"/>
        <w:rPr>
          <w:sz w:val="20"/>
          <w:szCs w:val="20"/>
          <w:color w:val="auto"/>
        </w:rPr>
      </w:pPr>
    </w:p>
    <w:p>
      <w:pPr>
        <w:jc w:val="both"/>
        <w:ind w:firstLine="648"/>
        <w:spacing w:after="0" w:line="250" w:lineRule="auto"/>
        <w:rPr>
          <w:sz w:val="20"/>
          <w:szCs w:val="20"/>
          <w:color w:val="auto"/>
        </w:rPr>
      </w:pPr>
      <w:r>
        <w:rPr>
          <w:rFonts w:ascii="Arial" w:cs="Arial" w:eastAsia="Arial" w:hAnsi="Arial"/>
          <w:sz w:val="22"/>
          <w:szCs w:val="22"/>
          <w:color w:val="auto"/>
        </w:rPr>
        <w:t>Except as set forth above, see items 5-11 of the cover pages hereto for beneficial ownership, percentage of class and dispositive power of the Reporting Person, which are incorporated herein.</w:t>
      </w:r>
    </w:p>
    <w:p>
      <w:pPr>
        <w:spacing w:after="0" w:line="20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5. Ownership of Five Percent or Less of a Class</w:t>
      </w:r>
    </w:p>
    <w:p>
      <w:pPr>
        <w:spacing w:after="0" w:line="262" w:lineRule="exact"/>
        <w:rPr>
          <w:sz w:val="20"/>
          <w:szCs w:val="20"/>
          <w:color w:val="auto"/>
        </w:rPr>
      </w:pPr>
    </w:p>
    <w:p>
      <w:pPr>
        <w:ind w:left="660" w:right="780"/>
        <w:spacing w:after="0" w:line="284" w:lineRule="exact"/>
        <w:rPr>
          <w:sz w:val="20"/>
          <w:szCs w:val="20"/>
          <w:color w:val="auto"/>
        </w:rPr>
      </w:pPr>
      <w:r>
        <w:rPr>
          <w:rFonts w:ascii="Arial" w:cs="Arial" w:eastAsia="Arial" w:hAnsi="Arial"/>
          <w:sz w:val="21"/>
          <w:szCs w:val="21"/>
          <w:color w:val="auto"/>
        </w:rPr>
        <w:t xml:space="preserve">If this statement is being filed to report the fact that as of the date hereof the reporting person has ceased to be the beneficial owner of more than 5 percent of the class of securities, check the following </w:t>
      </w:r>
      <w:r>
        <w:rPr>
          <w:rFonts w:ascii="MS PGothic" w:cs="MS PGothic" w:eastAsia="MS PGothic" w:hAnsi="MS PGothic"/>
          <w:sz w:val="21"/>
          <w:szCs w:val="21"/>
          <w:color w:val="auto"/>
        </w:rPr>
        <w:t>☒</w:t>
      </w:r>
      <w:r>
        <w:rPr>
          <w:rFonts w:ascii="Arial" w:cs="Arial" w:eastAsia="Arial" w:hAnsi="Arial"/>
          <w:sz w:val="21"/>
          <w:szCs w:val="21"/>
          <w:color w:val="auto"/>
        </w:rPr>
        <w:t>.</w:t>
      </w:r>
    </w:p>
    <w:p>
      <w:pPr>
        <w:spacing w:after="0" w:line="23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6. Ownership of More than Five Percent on Behalf of Another Person</w:t>
      </w:r>
    </w:p>
    <w:p>
      <w:pPr>
        <w:spacing w:after="0" w:line="249" w:lineRule="exact"/>
        <w:rPr>
          <w:sz w:val="20"/>
          <w:szCs w:val="20"/>
          <w:color w:val="auto"/>
        </w:rPr>
      </w:pPr>
    </w:p>
    <w:p>
      <w:pPr>
        <w:ind w:left="660"/>
        <w:spacing w:after="0"/>
        <w:rPr>
          <w:sz w:val="20"/>
          <w:szCs w:val="20"/>
          <w:color w:val="auto"/>
        </w:rPr>
      </w:pPr>
      <w:r>
        <w:rPr>
          <w:rFonts w:ascii="Arial" w:cs="Arial" w:eastAsia="Arial" w:hAnsi="Arial"/>
          <w:sz w:val="22"/>
          <w:szCs w:val="22"/>
          <w:color w:val="auto"/>
        </w:rPr>
        <w:t>Not Applicable.</w:t>
      </w:r>
    </w:p>
    <w:p>
      <w:pPr>
        <w:sectPr>
          <w:pgSz w:w="11900" w:h="16838" w:orient="portrait"/>
          <w:cols w:equalWidth="0" w:num="1">
            <w:col w:w="11240"/>
          </w:cols>
          <w:pgMar w:left="320" w:top="111" w:right="339" w:bottom="1440" w:gutter="0" w:footer="0" w:header="0"/>
        </w:sectPr>
      </w:pPr>
    </w:p>
    <w:p>
      <w:pPr>
        <w:spacing w:after="0" w:line="200" w:lineRule="exact"/>
        <w:rPr>
          <w:sz w:val="20"/>
          <w:szCs w:val="20"/>
          <w:color w:val="auto"/>
        </w:rPr>
      </w:pPr>
    </w:p>
    <w:p>
      <w:pPr>
        <w:spacing w:after="0" w:line="211" w:lineRule="exact"/>
        <w:rPr>
          <w:sz w:val="20"/>
          <w:szCs w:val="20"/>
          <w:color w:val="auto"/>
        </w:rPr>
      </w:pPr>
    </w:p>
    <w:p>
      <w:pPr>
        <w:jc w:val="center"/>
        <w:spacing w:after="0"/>
        <w:rPr>
          <w:sz w:val="20"/>
          <w:szCs w:val="20"/>
          <w:color w:val="auto"/>
        </w:rPr>
      </w:pPr>
      <w:r>
        <w:rPr>
          <w:rFonts w:ascii="Arial" w:cs="Arial" w:eastAsia="Arial" w:hAnsi="Arial"/>
          <w:sz w:val="13"/>
          <w:szCs w:val="13"/>
          <w:color w:val="auto"/>
        </w:rPr>
        <w:t>- 3 -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45720</wp:posOffset>
            </wp:positionV>
            <wp:extent cx="7132320" cy="1714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11" w:right="339" w:bottom="1440" w:gutter="0" w:footer="0" w:header="0"/>
          <w:type w:val="continuous"/>
        </w:sectPr>
      </w:pPr>
    </w:p>
    <w:bookmarkStart w:id="3" w:name="page4"/>
    <w:bookmarkEnd w:id="3"/>
    <w:p>
      <w:pPr>
        <w:spacing w:after="0"/>
        <w:rPr>
          <w:sz w:val="20"/>
          <w:szCs w:val="20"/>
          <w:color w:val="auto"/>
        </w:rPr>
      </w:pPr>
      <w:r>
        <w:rPr>
          <w:rFonts w:ascii="Arial" w:cs="Arial" w:eastAsia="Arial" w:hAnsi="Arial"/>
          <w:sz w:val="17"/>
          <w:szCs w:val="17"/>
          <w:b w:val="1"/>
          <w:bCs w:val="1"/>
          <w:color w:val="auto"/>
        </w:rPr>
        <w:t>Item 7. Identification and Classification of the Subsidiary, Which Acquired the Security Being Reported on by the Parent Holding Company</w:t>
      </w:r>
    </w:p>
    <w:p>
      <w:pPr>
        <w:spacing w:after="0" w:line="260" w:lineRule="exact"/>
        <w:rPr>
          <w:sz w:val="20"/>
          <w:szCs w:val="20"/>
          <w:color w:val="auto"/>
        </w:rPr>
      </w:pPr>
    </w:p>
    <w:p>
      <w:pPr>
        <w:ind w:left="660"/>
        <w:spacing w:after="0"/>
        <w:rPr>
          <w:sz w:val="20"/>
          <w:szCs w:val="20"/>
          <w:color w:val="auto"/>
        </w:rPr>
      </w:pPr>
      <w:r>
        <w:rPr>
          <w:rFonts w:ascii="Arial" w:cs="Arial" w:eastAsia="Arial" w:hAnsi="Arial"/>
          <w:sz w:val="22"/>
          <w:szCs w:val="22"/>
          <w:color w:val="auto"/>
        </w:rPr>
        <w:t>Not Applicable.</w:t>
      </w:r>
    </w:p>
    <w:p>
      <w:pPr>
        <w:spacing w:after="0" w:line="23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8. Identification and Classification of Members of the Group</w:t>
      </w:r>
    </w:p>
    <w:p>
      <w:pPr>
        <w:spacing w:after="0" w:line="249" w:lineRule="exact"/>
        <w:rPr>
          <w:sz w:val="20"/>
          <w:szCs w:val="20"/>
          <w:color w:val="auto"/>
        </w:rPr>
      </w:pPr>
    </w:p>
    <w:p>
      <w:pPr>
        <w:ind w:left="660"/>
        <w:spacing w:after="0"/>
        <w:rPr>
          <w:sz w:val="20"/>
          <w:szCs w:val="20"/>
          <w:color w:val="auto"/>
        </w:rPr>
      </w:pPr>
      <w:r>
        <w:rPr>
          <w:rFonts w:ascii="Arial" w:cs="Arial" w:eastAsia="Arial" w:hAnsi="Arial"/>
          <w:sz w:val="22"/>
          <w:szCs w:val="22"/>
          <w:color w:val="auto"/>
        </w:rPr>
        <w:t>Not Applicable.</w:t>
      </w:r>
    </w:p>
    <w:p>
      <w:pPr>
        <w:spacing w:after="0" w:line="23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9. Notice of Dissolution of Group</w:t>
      </w:r>
    </w:p>
    <w:p>
      <w:pPr>
        <w:spacing w:after="0" w:line="249" w:lineRule="exact"/>
        <w:rPr>
          <w:sz w:val="20"/>
          <w:szCs w:val="20"/>
          <w:color w:val="auto"/>
        </w:rPr>
      </w:pPr>
    </w:p>
    <w:p>
      <w:pPr>
        <w:ind w:left="660"/>
        <w:spacing w:after="0"/>
        <w:rPr>
          <w:sz w:val="20"/>
          <w:szCs w:val="20"/>
          <w:color w:val="auto"/>
        </w:rPr>
      </w:pPr>
      <w:r>
        <w:rPr>
          <w:rFonts w:ascii="Arial" w:cs="Arial" w:eastAsia="Arial" w:hAnsi="Arial"/>
          <w:sz w:val="22"/>
          <w:szCs w:val="22"/>
          <w:color w:val="auto"/>
        </w:rPr>
        <w:t>Not Applicable.</w:t>
      </w:r>
    </w:p>
    <w:p>
      <w:pPr>
        <w:spacing w:after="0" w:line="23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10.Certification</w:t>
      </w:r>
    </w:p>
    <w:p>
      <w:pPr>
        <w:spacing w:after="0" w:line="249" w:lineRule="exact"/>
        <w:rPr>
          <w:sz w:val="20"/>
          <w:szCs w:val="20"/>
          <w:color w:val="auto"/>
        </w:rPr>
      </w:pPr>
    </w:p>
    <w:p>
      <w:pPr>
        <w:jc w:val="both"/>
        <w:ind w:firstLine="648"/>
        <w:spacing w:after="0" w:line="297" w:lineRule="auto"/>
        <w:rPr>
          <w:sz w:val="20"/>
          <w:szCs w:val="20"/>
          <w:color w:val="auto"/>
        </w:rPr>
      </w:pPr>
      <w:r>
        <w:rPr>
          <w:rFonts w:ascii="Arial" w:cs="Arial" w:eastAsia="Arial" w:hAnsi="Arial"/>
          <w:sz w:val="19"/>
          <w:szCs w:val="19"/>
          <w:color w:val="auto"/>
        </w:rPr>
        <w:t>By signing below I certify that, to the best of my knowledge and belief, the securities referred to above were not acquired and are not held for the purpose of or with the effect of changing or influencing the control of the issuer of the securities and were not acquired and are not held in connection with or as a participant in any transaction having that purpose or effect.</w:t>
      </w:r>
    </w:p>
    <w:p>
      <w:pPr>
        <w:spacing w:after="0" w:line="96" w:lineRule="exact"/>
        <w:rPr>
          <w:sz w:val="20"/>
          <w:szCs w:val="20"/>
          <w:color w:val="auto"/>
        </w:rPr>
      </w:pPr>
    </w:p>
    <w:p>
      <w:pPr>
        <w:jc w:val="center"/>
        <w:ind w:right="-19"/>
        <w:spacing w:after="0"/>
        <w:rPr>
          <w:sz w:val="20"/>
          <w:szCs w:val="20"/>
          <w:color w:val="auto"/>
        </w:rPr>
      </w:pPr>
      <w:r>
        <w:rPr>
          <w:rFonts w:ascii="Arial" w:cs="Arial" w:eastAsia="Arial" w:hAnsi="Arial"/>
          <w:sz w:val="14"/>
          <w:szCs w:val="14"/>
          <w:color w:val="auto"/>
        </w:rPr>
        <w:t>- 4 -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38100</wp:posOffset>
            </wp:positionV>
            <wp:extent cx="7132320" cy="1714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20"/>
          </w:cols>
          <w:pgMar w:left="320" w:top="121" w:right="359" w:bottom="1440" w:gutter="0" w:footer="0" w:header="0"/>
        </w:sectPr>
      </w:pPr>
    </w:p>
    <w:bookmarkStart w:id="4" w:name="page5"/>
    <w:bookmarkEnd w:id="4"/>
    <w:p>
      <w:pPr>
        <w:jc w:val="center"/>
        <w:ind w:right="-19"/>
        <w:spacing w:after="0"/>
        <w:rPr>
          <w:sz w:val="20"/>
          <w:szCs w:val="20"/>
          <w:color w:val="auto"/>
        </w:rPr>
      </w:pPr>
      <w:r>
        <w:rPr>
          <w:rFonts w:ascii="Arial" w:cs="Arial" w:eastAsia="Arial" w:hAnsi="Arial"/>
          <w:sz w:val="22"/>
          <w:szCs w:val="22"/>
          <w:b w:val="1"/>
          <w:bCs w:val="1"/>
          <w:color w:val="auto"/>
        </w:rPr>
        <w:t>SIGNATURES</w:t>
      </w:r>
    </w:p>
    <w:p>
      <w:pPr>
        <w:spacing w:after="0" w:line="240" w:lineRule="exact"/>
        <w:rPr>
          <w:sz w:val="20"/>
          <w:szCs w:val="20"/>
          <w:color w:val="auto"/>
        </w:rPr>
      </w:pPr>
    </w:p>
    <w:p>
      <w:pPr>
        <w:ind w:firstLine="324"/>
        <w:spacing w:after="0" w:line="250" w:lineRule="auto"/>
        <w:rPr>
          <w:sz w:val="20"/>
          <w:szCs w:val="20"/>
          <w:color w:val="auto"/>
        </w:rPr>
      </w:pPr>
      <w:r>
        <w:rPr>
          <w:rFonts w:ascii="Arial" w:cs="Arial" w:eastAsia="Arial" w:hAnsi="Arial"/>
          <w:sz w:val="22"/>
          <w:szCs w:val="22"/>
          <w:color w:val="auto"/>
        </w:rPr>
        <w:t>After reasonable inquiry and to the best of my knowledge and belief, I certify that the information set forth in this statement is true, complete and correct.</w:t>
      </w:r>
    </w:p>
    <w:p>
      <w:pPr>
        <w:spacing w:after="0" w:line="209" w:lineRule="exact"/>
        <w:rPr>
          <w:sz w:val="20"/>
          <w:szCs w:val="20"/>
          <w:color w:val="auto"/>
        </w:rPr>
      </w:pPr>
    </w:p>
    <w:p>
      <w:pPr>
        <w:spacing w:after="0"/>
        <w:rPr>
          <w:sz w:val="20"/>
          <w:szCs w:val="20"/>
          <w:color w:val="auto"/>
        </w:rPr>
      </w:pPr>
      <w:r>
        <w:rPr>
          <w:rFonts w:ascii="Arial" w:cs="Arial" w:eastAsia="Arial" w:hAnsi="Arial"/>
          <w:sz w:val="18"/>
          <w:szCs w:val="18"/>
          <w:color w:val="auto"/>
        </w:rPr>
        <w:t>January 31, 2022</w:t>
      </w:r>
    </w:p>
    <w:p>
      <w:pPr>
        <w:spacing w:after="0" w:line="225" w:lineRule="exact"/>
        <w:rPr>
          <w:sz w:val="20"/>
          <w:szCs w:val="20"/>
          <w:color w:val="auto"/>
        </w:rPr>
      </w:pPr>
    </w:p>
    <w:p>
      <w:pPr>
        <w:ind w:left="5620"/>
        <w:spacing w:after="0"/>
        <w:rPr>
          <w:sz w:val="20"/>
          <w:szCs w:val="20"/>
          <w:color w:val="auto"/>
        </w:rPr>
      </w:pPr>
      <w:r>
        <w:rPr>
          <w:rFonts w:ascii="Arial" w:cs="Arial" w:eastAsia="Arial" w:hAnsi="Arial"/>
          <w:sz w:val="18"/>
          <w:szCs w:val="18"/>
          <w:color w:val="auto"/>
        </w:rPr>
        <w:t>HAREL INSURANCE INVESTMENTS AND FINANCIAL SERVICES</w:t>
      </w:r>
    </w:p>
    <w:p>
      <w:pPr>
        <w:spacing w:after="0" w:line="23" w:lineRule="exact"/>
        <w:rPr>
          <w:sz w:val="20"/>
          <w:szCs w:val="20"/>
          <w:color w:val="auto"/>
        </w:rPr>
      </w:pPr>
    </w:p>
    <w:p>
      <w:pPr>
        <w:ind w:left="5620"/>
        <w:spacing w:after="0"/>
        <w:rPr>
          <w:sz w:val="20"/>
          <w:szCs w:val="20"/>
          <w:color w:val="auto"/>
        </w:rPr>
      </w:pPr>
      <w:r>
        <w:rPr>
          <w:rFonts w:ascii="Arial" w:cs="Arial" w:eastAsia="Arial" w:hAnsi="Arial"/>
          <w:sz w:val="18"/>
          <w:szCs w:val="18"/>
          <w:color w:val="auto"/>
        </w:rPr>
        <w:t>LTD.</w:t>
      </w:r>
    </w:p>
    <w:p>
      <w:pPr>
        <w:spacing w:after="0" w:line="211" w:lineRule="exact"/>
        <w:rPr>
          <w:sz w:val="20"/>
          <w:szCs w:val="20"/>
          <w:color w:val="auto"/>
        </w:rPr>
      </w:pPr>
    </w:p>
    <w:p>
      <w:pPr>
        <w:ind w:left="5620"/>
        <w:spacing w:after="0"/>
        <w:rPr>
          <w:sz w:val="20"/>
          <w:szCs w:val="20"/>
          <w:color w:val="auto"/>
        </w:rPr>
      </w:pPr>
      <w:r>
        <w:rPr>
          <w:rFonts w:ascii="Arial" w:cs="Arial" w:eastAsia="Arial" w:hAnsi="Arial"/>
          <w:sz w:val="18"/>
          <w:szCs w:val="18"/>
          <w:color w:val="auto"/>
        </w:rPr>
        <w:t xml:space="preserve">BY: </w:t>
      </w:r>
      <w:r>
        <w:rPr>
          <w:rFonts w:ascii="Arial" w:cs="Arial" w:eastAsia="Arial" w:hAnsi="Arial"/>
          <w:sz w:val="18"/>
          <w:szCs w:val="18"/>
          <w:u w:val="single" w:color="auto"/>
          <w:color w:val="auto"/>
        </w:rPr>
        <w:t>/s/ Uri Rabinovitz</w:t>
      </w:r>
    </w:p>
    <w:p>
      <w:pPr>
        <w:spacing w:after="0" w:line="23" w:lineRule="exact"/>
        <w:rPr>
          <w:sz w:val="20"/>
          <w:szCs w:val="20"/>
          <w:color w:val="auto"/>
        </w:rPr>
      </w:pPr>
    </w:p>
    <w:p>
      <w:pPr>
        <w:ind w:left="5620"/>
        <w:spacing w:after="0"/>
        <w:rPr>
          <w:sz w:val="20"/>
          <w:szCs w:val="20"/>
          <w:color w:val="auto"/>
        </w:rPr>
      </w:pPr>
      <w:r>
        <w:rPr>
          <w:rFonts w:ascii="Arial" w:cs="Arial" w:eastAsia="Arial" w:hAnsi="Arial"/>
          <w:sz w:val="18"/>
          <w:szCs w:val="18"/>
          <w:color w:val="auto"/>
        </w:rPr>
        <w:t>Name, Title: Uri Rabinovitz, Vice President</w:t>
      </w:r>
    </w:p>
    <w:p>
      <w:pPr>
        <w:spacing w:after="0" w:line="231" w:lineRule="exact"/>
        <w:rPr>
          <w:sz w:val="20"/>
          <w:szCs w:val="20"/>
          <w:color w:val="auto"/>
        </w:rPr>
      </w:pPr>
    </w:p>
    <w:p>
      <w:pPr>
        <w:jc w:val="center"/>
        <w:ind w:right="-19"/>
        <w:spacing w:after="0"/>
        <w:rPr>
          <w:sz w:val="20"/>
          <w:szCs w:val="20"/>
          <w:color w:val="auto"/>
        </w:rPr>
      </w:pPr>
      <w:r>
        <w:rPr>
          <w:rFonts w:ascii="Arial" w:cs="Arial" w:eastAsia="Arial" w:hAnsi="Arial"/>
          <w:sz w:val="22"/>
          <w:szCs w:val="22"/>
          <w:color w:val="auto"/>
        </w:rPr>
        <w:t>- 5 -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75565</wp:posOffset>
            </wp:positionV>
            <wp:extent cx="7132320" cy="889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13232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170180</wp:posOffset>
            </wp:positionV>
            <wp:extent cx="7132320" cy="3429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132320" cy="34290"/>
                    </a:xfrm>
                    <a:prstGeom prst="rect">
                      <a:avLst/>
                    </a:prstGeom>
                    <a:noFill/>
                  </pic:spPr>
                </pic:pic>
              </a:graphicData>
            </a:graphic>
          </wp:anchor>
        </w:drawing>
      </w:r>
    </w:p>
    <w:sectPr>
      <w:pgSz w:w="11900" w:h="16838" w:orient="portrait"/>
      <w:cols w:equalWidth="0" w:num="1">
        <w:col w:w="11240"/>
      </w:cols>
      <w:pgMar w:left="320" w:top="112"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46E87CCD"/>
    <w:multiLevelType w:val="hybridMultilevel"/>
    <w:lvl w:ilvl="0">
      <w:lvlJc w:val="left"/>
      <w:lvlText w:val="(%1)"/>
      <w:numFmt w:val="lowerLetter"/>
      <w:start w:val="4"/>
    </w:lvl>
  </w:abstractNum>
  <w:abstractNum w:abstractNumId="1">
    <w:nsid w:val="3D1B58BA"/>
    <w:multiLevelType w:val="hybridMultilevel"/>
    <w:lvl w:ilvl="0">
      <w:lvlJc w:val="left"/>
      <w:lvlText w:val="☐"/>
      <w:numFmt w:val="bullet"/>
      <w:start w:val="1"/>
    </w:lvl>
  </w:abstractNum>
  <w:abstractNum w:abstractNumId="2">
    <w:nsid w:val="507ED7AB"/>
    <w:multiLevelType w:val="hybridMultilevel"/>
    <w:lvl w:ilvl="0">
      <w:lvlJc w:val="left"/>
      <w:lvlText w:val="☒"/>
      <w:numFmt w:val="bullet"/>
      <w:start w:val="1"/>
    </w:lvl>
  </w:abstractNum>
  <w:abstractNum w:abstractNumId="3">
    <w:nsid w:val="2EB141F2"/>
    <w:multiLevelType w:val="hybridMultilevel"/>
    <w:lvl w:ilvl="0">
      <w:lvlJc w:val="left"/>
      <w:lvlText w:val="*"/>
      <w:numFmt w:val="bullet"/>
      <w:start w:val="1"/>
    </w:lvl>
    <w:lvl w:ilvl="1">
      <w:lvlJc w:val="left"/>
      <w:lvlText w:val="☐"/>
      <w:numFmt w:val="bullet"/>
      <w:start w:val="1"/>
    </w:lvl>
  </w:abstractNum>
  <w:abstractNum w:abstractNumId="4">
    <w:nsid w:val="41B71EFB"/>
    <w:multiLevelType w:val="hybridMultilevel"/>
    <w:lvl w:ilvl="0">
      <w:lvlJc w:val="left"/>
      <w:lvlText w:val="%1."/>
      <w:numFmt w:val="decimal"/>
      <w:start w:val="1"/>
    </w:lvl>
    <w:lvl w:ilvl="1">
      <w:lvlJc w:val="left"/>
      <w:lvlText w:val="(%2)"/>
      <w:numFmt w:val="lowerLetter"/>
      <w:start w:val="1"/>
    </w:lvl>
  </w:abstractNum>
  <w:abstractNum w:abstractNumId="5">
    <w:nsid w:val="79E2A9E3"/>
    <w:multiLevelType w:val="hybridMultilevel"/>
    <w:lvl w:ilvl="0">
      <w:lvlJc w:val="left"/>
      <w:lvlText w:val="**"/>
      <w:numFmt w:val="bullet"/>
      <w:start w:val="1"/>
    </w:lvl>
    <w:lvl w:ilvl="1">
      <w:lvlJc w:val="left"/>
      <w:lvlText w:val="-"/>
      <w:numFmt w:val="bullet"/>
      <w:start w:val="1"/>
    </w:lvl>
  </w:abstractNum>
  <w:abstractNum w:abstractNumId="6">
    <w:nsid w:val="7545E146"/>
    <w:multiLevelType w:val="hybridMultilevel"/>
    <w:lvl w:ilvl="0">
      <w:lvlJc w:val="left"/>
      <w:lvlText w:val="(%1)"/>
      <w:numFmt w:val="lowerLetter"/>
      <w:start w:val="1"/>
    </w:lvl>
  </w:abstractNum>
  <w:abstractNum w:abstractNumId="7">
    <w:nsid w:val="515F007C"/>
    <w:multiLevelType w:val="hybridMultilevel"/>
    <w:lvl w:ilvl="0">
      <w:lvlJc w:val="left"/>
      <w:lvlText w:val="(%1)"/>
      <w:numFmt w:val="lowerLetter"/>
      <w:start w:val="4"/>
    </w:lvl>
  </w:abstractNum>
  <w:abstractNum w:abstractNumId="8">
    <w:nsid w:val="5BD062C2"/>
    <w:multiLevelType w:val="hybridMultilevel"/>
    <w:lvl w:ilvl="0">
      <w:lvlJc w:val="left"/>
      <w:lvlText w:val="(%1)"/>
      <w:numFmt w:val="lowerLetter"/>
      <w:start w:val="5"/>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2022-01-31T09:37:53Z</dcterms:created>
  <dcterms:modified xsi:type="dcterms:W3CDTF">2022-01-31T09:37:53Z</dcterms:modified>
</cp:coreProperties>
</file>