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9)*</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Tower Semiconductor Ltd.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Ordinary Shares, par value NIS 15.00 per share</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M87915274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September 30, 2024</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39"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39"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w:t>
      </w:r>
      <w:r>
        <w:rPr>
          <w:rFonts w:ascii="Times New Roman" w:cs="Times New Roman" w:eastAsia="Times New Roman" w:hAnsi="Times New Roman"/>
          <w:sz w:val="18"/>
          <w:szCs w:val="18"/>
          <w:i w:val="1"/>
          <w:iCs w:val="1"/>
          <w:color w:val="auto"/>
        </w:rPr>
        <w:t>Securities Exchange Act</w:t>
      </w:r>
      <w:r>
        <w:rPr>
          <w:rFonts w:ascii="Times New Roman" w:cs="Times New Roman" w:eastAsia="Times New Roman" w:hAnsi="Times New Roman"/>
          <w:sz w:val="18"/>
          <w:szCs w:val="18"/>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71361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6"/>
        </w:trPr>
        <w:tc>
          <w:tcPr>
            <w:tcW w:w="4100" w:type="dxa"/>
            <w:vAlign w:val="bottom"/>
            <w:tcBorders>
              <w:bottom w:val="single" w:sz="8" w:color="auto"/>
            </w:tcBorders>
          </w:tcPr>
          <w:p>
            <w:pPr>
              <w:spacing w:after="0"/>
              <w:rPr>
                <w:sz w:val="2"/>
                <w:szCs w:val="2"/>
                <w:color w:val="auto"/>
              </w:rPr>
            </w:pPr>
          </w:p>
        </w:tc>
        <w:tc>
          <w:tcPr>
            <w:tcW w:w="398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M87915274</w:t>
            </w:r>
          </w:p>
        </w:tc>
        <w:tc>
          <w:tcPr>
            <w:tcW w:w="3980" w:type="dxa"/>
            <w:vAlign w:val="bottom"/>
            <w:vMerge w:val="continue"/>
          </w:tcPr>
          <w:p>
            <w:pPr>
              <w:spacing w:after="0"/>
              <w:rPr>
                <w:sz w:val="20"/>
                <w:szCs w:val="20"/>
                <w:color w:val="auto"/>
              </w:rPr>
            </w:pPr>
          </w:p>
        </w:tc>
        <w:tc>
          <w:tcPr>
            <w:tcW w:w="31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6146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146165"/>
                    </a:xfrm>
                    <a:prstGeom prst="rect">
                      <a:avLst/>
                    </a:prstGeom>
                    <a:noFill/>
                  </pic:spPr>
                </pic:pic>
              </a:graphicData>
            </a:graphic>
          </wp:anchor>
        </w:drawing>
      </w:r>
    </w:p>
    <w:p>
      <w:pPr>
        <w:spacing w:after="0" w:line="177" w:lineRule="exact"/>
        <w:rPr>
          <w:sz w:val="20"/>
          <w:szCs w:val="20"/>
          <w:color w:val="auto"/>
        </w:rPr>
      </w:pPr>
    </w:p>
    <w:p>
      <w:pPr>
        <w:ind w:left="1980" w:hanging="1056"/>
        <w:spacing w:after="0"/>
        <w:tabs>
          <w:tab w:leader="none" w:pos="1980" w:val="left"/>
        </w:tabs>
        <w:numPr>
          <w:ilvl w:val="0"/>
          <w:numId w:val="4"/>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color w:val="auto"/>
        </w:rPr>
        <w:t>NAME OF REPORTING PERSONS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Phoenix Financial Ltd.</w:t>
      </w:r>
    </w:p>
    <w:p>
      <w:pPr>
        <w:spacing w:after="0" w:line="85" w:lineRule="exact"/>
        <w:rPr>
          <w:sz w:val="20"/>
          <w:szCs w:val="20"/>
          <w:color w:val="auto"/>
        </w:rPr>
      </w:pPr>
    </w:p>
    <w:p>
      <w:pPr>
        <w:ind w:left="1980" w:hanging="1056"/>
        <w:spacing w:after="0"/>
        <w:tabs>
          <w:tab w:leader="none" w:pos="1980" w:val="left"/>
        </w:tabs>
        <w:numPr>
          <w:ilvl w:val="0"/>
          <w:numId w:val="5"/>
        </w:numPr>
        <w:rPr>
          <w:rFonts w:ascii="Times New Roman" w:cs="Times New Roman" w:eastAsia="Times New Roman" w:hAnsi="Times New Roman"/>
          <w:sz w:val="29"/>
          <w:szCs w:val="29"/>
          <w:b w:val="1"/>
          <w:bCs w:val="1"/>
          <w:color w:val="auto"/>
          <w:vertAlign w:val="superscript"/>
        </w:rPr>
      </w:pPr>
      <w:r>
        <w:rPr>
          <w:rFonts w:ascii="Times New Roman" w:cs="Times New Roman" w:eastAsia="Times New Roman" w:hAnsi="Times New Roman"/>
          <w:sz w:val="18"/>
          <w:szCs w:val="18"/>
          <w:color w:val="auto"/>
        </w:rPr>
        <w:t>CHECK THE APPROPRIATE BOX IF A MEMBER OF A GROUP  (See instructions)</w:t>
      </w:r>
    </w:p>
    <w:p>
      <w:pPr>
        <w:spacing w:after="0" w:line="1" w:lineRule="exact"/>
        <w:rPr>
          <w:rFonts w:ascii="Times New Roman" w:cs="Times New Roman" w:eastAsia="Times New Roman" w:hAnsi="Times New Roman"/>
          <w:sz w:val="29"/>
          <w:szCs w:val="29"/>
          <w:b w:val="1"/>
          <w:bCs w:val="1"/>
          <w:color w:val="auto"/>
          <w:vertAlign w:val="superscript"/>
        </w:rPr>
      </w:pPr>
    </w:p>
    <w:p>
      <w:pPr>
        <w:ind w:left="2380" w:hanging="239"/>
        <w:spacing w:after="0" w:line="207" w:lineRule="exact"/>
        <w:tabs>
          <w:tab w:leader="none" w:pos="23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 w:lineRule="exact"/>
        <w:rPr>
          <w:rFonts w:ascii="Times New Roman" w:cs="Times New Roman" w:eastAsia="Times New Roman" w:hAnsi="Times New Roman"/>
          <w:sz w:val="18"/>
          <w:szCs w:val="18"/>
          <w:color w:val="auto"/>
        </w:rPr>
      </w:pPr>
    </w:p>
    <w:p>
      <w:pPr>
        <w:ind w:left="2400" w:hanging="259"/>
        <w:spacing w:after="0" w:line="207" w:lineRule="exact"/>
        <w:tabs>
          <w:tab w:leader="none" w:pos="240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3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9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680" w:type="dxa"/>
            <w:vAlign w:val="bottom"/>
            <w:tcBorders>
              <w:bottom w:val="single" w:sz="8" w:color="auto"/>
              <w:right w:val="single" w:sz="8" w:color="CCEEFF"/>
            </w:tcBorders>
            <w:shd w:val="clear" w:color="auto" w:fill="CCEEFF"/>
          </w:tcPr>
          <w:p>
            <w:pPr>
              <w:spacing w:after="0"/>
              <w:rPr>
                <w:sz w:val="24"/>
                <w:szCs w:val="24"/>
                <w:color w:val="auto"/>
              </w:rPr>
            </w:pPr>
          </w:p>
        </w:tc>
        <w:tc>
          <w:tcPr>
            <w:tcW w:w="7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9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5</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92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78"/>
              <w:spacing w:after="0"/>
              <w:rPr>
                <w:sz w:val="20"/>
                <w:szCs w:val="20"/>
                <w:color w:val="auto"/>
              </w:rPr>
            </w:pPr>
            <w:r>
              <w:rPr>
                <w:rFonts w:ascii="Times New Roman" w:cs="Times New Roman" w:eastAsia="Times New Roman" w:hAnsi="Times New Roman"/>
                <w:sz w:val="18"/>
                <w:szCs w:val="18"/>
                <w:color w:val="auto"/>
                <w:w w:val="99"/>
              </w:rPr>
              <w:t>NUMBER OF</w:t>
            </w: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6</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6,418,466.48(*)</w:t>
            </w:r>
          </w:p>
        </w:tc>
        <w:tc>
          <w:tcPr>
            <w:tcW w:w="0" w:type="dxa"/>
            <w:vAlign w:val="bottom"/>
          </w:tcPr>
          <w:p>
            <w:pPr>
              <w:spacing w:after="0"/>
              <w:rPr>
                <w:sz w:val="1"/>
                <w:szCs w:val="1"/>
                <w:color w:val="auto"/>
              </w:rPr>
            </w:pPr>
          </w:p>
        </w:tc>
      </w:tr>
      <w:tr>
        <w:trPr>
          <w:trHeight w:val="140"/>
        </w:trPr>
        <w:tc>
          <w:tcPr>
            <w:tcW w:w="1920" w:type="dxa"/>
            <w:vAlign w:val="bottom"/>
            <w:vMerge w:val="restart"/>
          </w:tcPr>
          <w:p>
            <w:pPr>
              <w:jc w:val="center"/>
              <w:ind w:left="98"/>
              <w:spacing w:after="0"/>
              <w:rPr>
                <w:sz w:val="20"/>
                <w:szCs w:val="20"/>
                <w:color w:val="auto"/>
              </w:rPr>
            </w:pPr>
            <w:r>
              <w:rPr>
                <w:rFonts w:ascii="Times New Roman" w:cs="Times New Roman" w:eastAsia="Times New Roman" w:hAnsi="Times New Roman"/>
                <w:sz w:val="18"/>
                <w:szCs w:val="18"/>
                <w:color w:val="auto"/>
                <w:w w:val="97"/>
              </w:rPr>
              <w:t>BENEFICIALLY</w:t>
            </w: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920" w:type="dxa"/>
            <w:vAlign w:val="bottom"/>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920" w:type="dxa"/>
            <w:vAlign w:val="bottom"/>
          </w:tcPr>
          <w:p>
            <w:pPr>
              <w:jc w:val="center"/>
              <w:ind w:left="78"/>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7</w:t>
            </w:r>
          </w:p>
        </w:tc>
        <w:tc>
          <w:tcPr>
            <w:tcW w:w="7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9"/>
        </w:trPr>
        <w:tc>
          <w:tcPr>
            <w:tcW w:w="1920" w:type="dxa"/>
            <w:vAlign w:val="bottom"/>
            <w:vMerge w:val="restart"/>
          </w:tcPr>
          <w:p>
            <w:pPr>
              <w:jc w:val="center"/>
              <w:ind w:left="98"/>
              <w:spacing w:after="0"/>
              <w:rPr>
                <w:sz w:val="20"/>
                <w:szCs w:val="20"/>
                <w:color w:val="auto"/>
              </w:rPr>
            </w:pPr>
            <w:r>
              <w:rPr>
                <w:rFonts w:ascii="Times New Roman" w:cs="Times New Roman" w:eastAsia="Times New Roman" w:hAnsi="Times New Roman"/>
                <w:sz w:val="18"/>
                <w:szCs w:val="18"/>
                <w:color w:val="auto"/>
              </w:rPr>
              <w:t>EACH</w:t>
            </w:r>
          </w:p>
        </w:tc>
        <w:tc>
          <w:tcPr>
            <w:tcW w:w="7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20" w:type="dxa"/>
            <w:vAlign w:val="bottom"/>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8"/>
              </w:rPr>
              <w:t>REPORTING</w:t>
            </w: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9"/>
        </w:trPr>
        <w:tc>
          <w:tcPr>
            <w:tcW w:w="1920" w:type="dxa"/>
            <w:vAlign w:val="bottom"/>
            <w:vMerge w:val="restart"/>
          </w:tcPr>
          <w:p>
            <w:pPr>
              <w:jc w:val="center"/>
              <w:ind w:left="78"/>
              <w:spacing w:after="0" w:line="174" w:lineRule="exact"/>
              <w:rPr>
                <w:sz w:val="20"/>
                <w:szCs w:val="20"/>
                <w:color w:val="auto"/>
              </w:rPr>
            </w:pPr>
            <w:r>
              <w:rPr>
                <w:rFonts w:ascii="Times New Roman" w:cs="Times New Roman" w:eastAsia="Times New Roman" w:hAnsi="Times New Roman"/>
                <w:sz w:val="18"/>
                <w:szCs w:val="18"/>
                <w:color w:val="auto"/>
                <w:w w:val="99"/>
              </w:rPr>
              <w:t>PERSON WITH</w:t>
            </w:r>
          </w:p>
        </w:tc>
        <w:tc>
          <w:tcPr>
            <w:tcW w:w="7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20" w:type="dxa"/>
            <w:vAlign w:val="bottom"/>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8</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6,418,466.48(*)</w:t>
            </w:r>
          </w:p>
        </w:tc>
        <w:tc>
          <w:tcPr>
            <w:tcW w:w="0" w:type="dxa"/>
            <w:vAlign w:val="bottom"/>
          </w:tcPr>
          <w:p>
            <w:pPr>
              <w:spacing w:after="0"/>
              <w:rPr>
                <w:sz w:val="1"/>
                <w:szCs w:val="1"/>
                <w:color w:val="auto"/>
              </w:rPr>
            </w:pPr>
          </w:p>
        </w:tc>
      </w:tr>
      <w:tr>
        <w:trPr>
          <w:trHeight w:val="88"/>
        </w:trPr>
        <w:tc>
          <w:tcPr>
            <w:tcW w:w="1920" w:type="dxa"/>
            <w:vAlign w:val="bottom"/>
            <w:tcBorders>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6,418,466.48(*)</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20" w:type="dxa"/>
            <w:vAlign w:val="bottom"/>
            <w:tcBorders>
              <w:bottom w:val="single" w:sz="8" w:color="auto"/>
              <w:right w:val="single" w:sz="8" w:color="auto"/>
            </w:tcBorders>
          </w:tcPr>
          <w:p>
            <w:pPr>
              <w:spacing w:after="0"/>
              <w:rPr>
                <w:sz w:val="7"/>
                <w:szCs w:val="7"/>
                <w:color w:val="auto"/>
              </w:rPr>
            </w:pPr>
          </w:p>
        </w:tc>
        <w:tc>
          <w:tcPr>
            <w:tcW w:w="932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0"/>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920" w:type="dxa"/>
            <w:vAlign w:val="bottom"/>
            <w:tcBorders>
              <w:bottom w:val="single" w:sz="8" w:color="auto"/>
              <w:right w:val="single" w:sz="8" w:color="auto"/>
            </w:tcBorders>
          </w:tcPr>
          <w:p>
            <w:pPr>
              <w:spacing w:after="0"/>
              <w:rPr>
                <w:sz w:val="4"/>
                <w:szCs w:val="4"/>
                <w:color w:val="auto"/>
              </w:rPr>
            </w:pPr>
          </w:p>
        </w:tc>
        <w:tc>
          <w:tcPr>
            <w:tcW w:w="93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11</w:t>
            </w:r>
          </w:p>
        </w:tc>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5.77% (*)(**)</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920" w:type="dxa"/>
            <w:vAlign w:val="bottom"/>
            <w:tcBorders>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9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beneficial ownership of the securities reported herein is described in Item 4(a).</w:t>
      </w:r>
    </w:p>
    <w:p>
      <w:pPr>
        <w:spacing w:after="0" w:line="239" w:lineRule="exact"/>
        <w:rPr>
          <w:sz w:val="20"/>
          <w:szCs w:val="20"/>
          <w:color w:val="auto"/>
        </w:rPr>
      </w:pPr>
    </w:p>
    <w:p>
      <w:pPr>
        <w:ind w:left="5580" w:right="3160" w:hanging="5572"/>
        <w:spacing w:after="0" w:line="563" w:lineRule="auto"/>
        <w:tabs>
          <w:tab w:leader="none" w:pos="3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111,290,803 Ordinary Shares outstanding as of October 15, 2024 (as reported on Bloomberg LP).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25" w:lineRule="exact"/>
        <w:rPr>
          <w:sz w:val="20"/>
          <w:szCs w:val="20"/>
          <w:color w:val="auto"/>
        </w:rPr>
      </w:pPr>
    </w:p>
    <w:p>
      <w:pPr>
        <w:ind w:left="1460" w:hanging="867"/>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Ramat Gavriel Industrial Park, P.O. Box 619, Migdal Haemek 2310502, Israel</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Name of Person Filing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Phoenix Financial Ltd.</w:t>
      </w:r>
    </w:p>
    <w:p>
      <w:pPr>
        <w:spacing w:after="0" w:line="252" w:lineRule="exact"/>
        <w:rPr>
          <w:sz w:val="20"/>
          <w:szCs w:val="20"/>
          <w:color w:val="auto"/>
        </w:rPr>
      </w:pPr>
    </w:p>
    <w:p>
      <w:pPr>
        <w:ind w:left="1420"/>
        <w:spacing w:after="0" w:line="266" w:lineRule="auto"/>
        <w:rPr>
          <w:sz w:val="20"/>
          <w:szCs w:val="20"/>
          <w:color w:val="auto"/>
        </w:rPr>
      </w:pPr>
      <w:r>
        <w:rPr>
          <w:rFonts w:ascii="Times New Roman" w:cs="Times New Roman" w:eastAsia="Times New Roman" w:hAnsi="Times New Roman"/>
          <w:sz w:val="18"/>
          <w:szCs w:val="18"/>
          <w:color w:val="auto"/>
        </w:rPr>
        <w:t>The securities reported herein are beneficially owned by various direct or indirect, majority or wholly-owned subsidiaries of Phoenix Financial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203" w:lineRule="exact"/>
        <w:rPr>
          <w:sz w:val="20"/>
          <w:szCs w:val="20"/>
          <w:color w:val="auto"/>
        </w:rPr>
      </w:pPr>
    </w:p>
    <w:p>
      <w:pPr>
        <w:ind w:left="1480" w:hanging="649"/>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Phoenix Financial Ltd. is Derech Hashalom 53, Givataim, 53454, Israel.</w:t>
      </w:r>
    </w:p>
    <w:p>
      <w:pPr>
        <w:spacing w:after="0" w:line="225" w:lineRule="exact"/>
        <w:rPr>
          <w:rFonts w:ascii="Times New Roman" w:cs="Times New Roman" w:eastAsia="Times New Roman" w:hAnsi="Times New Roman"/>
          <w:sz w:val="18"/>
          <w:szCs w:val="18"/>
          <w:color w:val="auto"/>
        </w:rPr>
      </w:pPr>
    </w:p>
    <w:p>
      <w:pPr>
        <w:ind w:left="1480" w:hanging="649"/>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Phoenix Financial Ltd. - Israel</w:t>
      </w:r>
    </w:p>
    <w:p>
      <w:pPr>
        <w:spacing w:after="0" w:line="238" w:lineRule="exact"/>
        <w:rPr>
          <w:rFonts w:ascii="Times New Roman" w:cs="Times New Roman" w:eastAsia="Times New Roman" w:hAnsi="Times New Roman"/>
          <w:sz w:val="18"/>
          <w:szCs w:val="18"/>
          <w:color w:val="auto"/>
        </w:rPr>
      </w:pPr>
    </w:p>
    <w:p>
      <w:pPr>
        <w:ind w:left="1480" w:hanging="649"/>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NIS 15.00 per share</w:t>
      </w:r>
    </w:p>
    <w:p>
      <w:pPr>
        <w:spacing w:after="0" w:line="238" w:lineRule="exact"/>
        <w:rPr>
          <w:rFonts w:ascii="Times New Roman" w:cs="Times New Roman" w:eastAsia="Times New Roman" w:hAnsi="Times New Roman"/>
          <w:sz w:val="18"/>
          <w:szCs w:val="18"/>
          <w:color w:val="auto"/>
        </w:rPr>
      </w:pPr>
    </w:p>
    <w:p>
      <w:pPr>
        <w:ind w:left="1460" w:right="8540" w:hanging="629"/>
        <w:spacing w:after="0" w:line="498" w:lineRule="auto"/>
        <w:tabs>
          <w:tab w:leader="none" w:pos="14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r>
        <w:rPr>
          <w:rFonts w:ascii="Times New Roman" w:cs="Times New Roman" w:eastAsia="Times New Roman" w:hAnsi="Times New Roman"/>
          <w:sz w:val="18"/>
          <w:szCs w:val="18"/>
          <w:color w:val="auto"/>
        </w:rPr>
        <w:t>: M87915274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r>
              <w:rPr>
                <w:rFonts w:ascii="Times New Roman" w:cs="Times New Roman" w:eastAsia="Times New Roman" w:hAnsi="Times New Roman"/>
                <w:sz w:val="18"/>
                <w:szCs w:val="18"/>
                <w:color w:val="auto"/>
              </w:rPr>
              <w:t>.</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Not applicable.</w:t>
            </w:r>
          </w:p>
        </w:tc>
      </w:tr>
      <w:tr>
        <w:trPr>
          <w:trHeight w:val="391"/>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Ownership:</w:t>
            </w:r>
          </w:p>
        </w:tc>
      </w:tr>
      <w:tr>
        <w:trPr>
          <w:trHeight w:val="20"/>
        </w:trPr>
        <w:tc>
          <w:tcPr>
            <w:tcW w:w="1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420" w:hanging="656"/>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9 of cover page of each reporting person.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361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 w:name="page4"/>
    <w:bookmarkEnd w:id="3"/>
    <w:p>
      <w:pPr>
        <w:jc w:val="both"/>
        <w:ind w:left="656"/>
        <w:spacing w:after="0" w:line="255" w:lineRule="auto"/>
        <w:rPr>
          <w:sz w:val="20"/>
          <w:szCs w:val="20"/>
          <w:color w:val="auto"/>
        </w:rPr>
      </w:pPr>
      <w:r>
        <w:rPr>
          <w:rFonts w:ascii="Times New Roman" w:cs="Times New Roman" w:eastAsia="Times New Roman" w:hAnsi="Times New Roman"/>
          <w:sz w:val="18"/>
          <w:szCs w:val="18"/>
          <w:color w:val="auto"/>
        </w:rPr>
        <w:t>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and each of Filing Persons and Subsidiaries disclaims beneficial ownership of any such Ordinary Shares.</w:t>
      </w:r>
    </w:p>
    <w:p>
      <w:pPr>
        <w:spacing w:after="0" w:line="200" w:lineRule="exact"/>
        <w:rPr>
          <w:sz w:val="20"/>
          <w:szCs w:val="20"/>
          <w:color w:val="auto"/>
        </w:rPr>
      </w:pPr>
    </w:p>
    <w:p>
      <w:pPr>
        <w:spacing w:after="0" w:line="205" w:lineRule="exact"/>
        <w:rPr>
          <w:sz w:val="20"/>
          <w:szCs w:val="20"/>
          <w:color w:val="auto"/>
        </w:rPr>
      </w:pPr>
    </w:p>
    <w:tbl>
      <w:tblPr>
        <w:tblLayout w:type="fixed"/>
        <w:tblInd w:w="656"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September 30, 2024, the securities reported herein were held as follows: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7"/>
        </w:trPr>
        <w:tc>
          <w:tcPr>
            <w:tcW w:w="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30"/>
        </w:trPr>
        <w:tc>
          <w:tcPr>
            <w:tcW w:w="4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total</w:t>
            </w:r>
          </w:p>
        </w:tc>
      </w:tr>
      <w:tr>
        <w:trPr>
          <w:trHeight w:val="216"/>
        </w:trPr>
        <w:tc>
          <w:tcPr>
            <w:tcW w:w="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Ordinary</w:t>
            </w:r>
          </w:p>
        </w:tc>
      </w:tr>
      <w:tr>
        <w:trPr>
          <w:trHeight w:val="229"/>
        </w:trPr>
        <w:tc>
          <w:tcPr>
            <w:tcW w:w="4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45"/>
        </w:trPr>
        <w:tc>
          <w:tcPr>
            <w:tcW w:w="4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9"/>
        </w:trPr>
        <w:tc>
          <w:tcPr>
            <w:tcW w:w="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Phoenix Investments House - "nostro" accounts</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The Phoenix Investments House - provident funds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Phoenix Investments House - trust funds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2,474,478.77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The Phoenix "nostro" accounts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Phoenix pension and provident funds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73,628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Linked insurance policies of Phoenix</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16,088.71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for Israeli shares (1)</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3,854,271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Partnership for investing in shares indexes (1)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for international shares (1)</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Halman - Aldubi Provident and Pension Funds Ltd.</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left="976" w:hanging="342"/>
        <w:spacing w:after="0" w:line="282" w:lineRule="auto"/>
        <w:tabs>
          <w:tab w:leader="none" w:pos="9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161" w:lineRule="exact"/>
        <w:rPr>
          <w:rFonts w:ascii="Times New Roman" w:cs="Times New Roman" w:eastAsia="Times New Roman" w:hAnsi="Times New Roman"/>
          <w:sz w:val="18"/>
          <w:szCs w:val="18"/>
          <w:color w:val="auto"/>
        </w:rPr>
      </w:pPr>
    </w:p>
    <w:p>
      <w:pPr>
        <w:ind w:left="656" w:hanging="656"/>
        <w:spacing w:after="0"/>
        <w:tabs>
          <w:tab w:leader="none" w:pos="6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11 of cover page of each reporting person</w:t>
      </w:r>
    </w:p>
    <w:p>
      <w:pPr>
        <w:spacing w:after="0" w:line="225" w:lineRule="exact"/>
        <w:rPr>
          <w:rFonts w:ascii="Times New Roman" w:cs="Times New Roman" w:eastAsia="Times New Roman" w:hAnsi="Times New Roman"/>
          <w:sz w:val="18"/>
          <w:szCs w:val="18"/>
          <w:color w:val="auto"/>
        </w:rPr>
      </w:pPr>
    </w:p>
    <w:p>
      <w:pPr>
        <w:ind w:left="656" w:hanging="656"/>
        <w:spacing w:after="0"/>
        <w:tabs>
          <w:tab w:leader="none" w:pos="6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such person has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16" w:hanging="647"/>
        <w:spacing w:after="0"/>
        <w:tabs>
          <w:tab w:leader="none" w:pos="141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4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cover page of each reporting person</w:t>
      </w:r>
    </w:p>
    <w:p>
      <w:pPr>
        <w:spacing w:after="0" w:line="225" w:lineRule="exact"/>
        <w:rPr>
          <w:rFonts w:ascii="Times New Roman" w:cs="Times New Roman" w:eastAsia="Times New Roman" w:hAnsi="Times New Roman"/>
          <w:sz w:val="18"/>
          <w:szCs w:val="18"/>
          <w:color w:val="auto"/>
        </w:rPr>
      </w:pPr>
    </w:p>
    <w:p>
      <w:pPr>
        <w:ind w:left="1416" w:hanging="647"/>
        <w:spacing w:after="0"/>
        <w:tabs>
          <w:tab w:leader="none" w:pos="141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4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cover page of each reporting person and note in Item 4(a) above</w:t>
      </w:r>
    </w:p>
    <w:p>
      <w:pPr>
        <w:spacing w:after="0" w:line="225" w:lineRule="exact"/>
        <w:rPr>
          <w:rFonts w:ascii="Times New Roman" w:cs="Times New Roman" w:eastAsia="Times New Roman" w:hAnsi="Times New Roman"/>
          <w:sz w:val="18"/>
          <w:szCs w:val="18"/>
          <w:color w:val="auto"/>
        </w:rPr>
      </w:pPr>
    </w:p>
    <w:p>
      <w:pPr>
        <w:ind w:left="1416" w:right="5300" w:hanging="647"/>
        <w:spacing w:after="0" w:line="530" w:lineRule="auto"/>
        <w:tabs>
          <w:tab w:leader="none" w:pos="1416"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See row 7 of cover page of each reporting person</w:t>
      </w:r>
    </w:p>
    <w:p>
      <w:pPr>
        <w:ind w:left="1416" w:hanging="647"/>
        <w:spacing w:after="0"/>
        <w:tabs>
          <w:tab w:leader="none" w:pos="141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4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8 of cover page of each reporting person and note in Item 4(a) above</w:t>
      </w:r>
    </w:p>
    <w:p>
      <w:pPr>
        <w:spacing w:after="0" w:line="200" w:lineRule="exact"/>
        <w:rPr>
          <w:sz w:val="20"/>
          <w:szCs w:val="20"/>
          <w:color w:val="auto"/>
        </w:rPr>
      </w:pPr>
    </w:p>
    <w:p>
      <w:pPr>
        <w:spacing w:after="0" w:line="214" w:lineRule="exact"/>
        <w:rPr>
          <w:sz w:val="20"/>
          <w:szCs w:val="20"/>
          <w:color w:val="auto"/>
        </w:rPr>
      </w:pPr>
    </w:p>
    <w:p>
      <w:pPr>
        <w:ind w:left="4816"/>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76"/>
          </w:cols>
          <w:pgMar w:left="1084" w:top="553" w:right="339" w:bottom="1440" w:gutter="0" w:footer="0" w:header="0"/>
        </w:sectPr>
      </w:pPr>
    </w:p>
    <w:bookmarkStart w:id="4" w:name="page5"/>
    <w:bookmarkEnd w:id="4"/>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 or</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u w:val="single" w:color="auto"/>
          <w:color w:val="auto"/>
        </w:rPr>
        <w:t>Control Person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 w:name="page6"/>
    <w:bookmarkEnd w:id="5"/>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361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Phoenix Financial Ltd.</w:t>
      </w:r>
    </w:p>
    <w:p>
      <w:pPr>
        <w:spacing w:after="0" w:line="24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u w:val="single" w:color="auto"/>
          <w:color w:val="auto"/>
        </w:rPr>
        <w:t>/s/ Eli Schwartz</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Eli Schwartz*</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Executive Vice President - Chief Financial Officer</w:t>
      </w:r>
    </w:p>
    <w:p>
      <w:pPr>
        <w:spacing w:after="0" w:line="2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u w:val="single" w:color="auto"/>
          <w:color w:val="auto"/>
        </w:rPr>
        <w:t>/s/ Haggai Schreiber</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Haggai Schreiber*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Executive Vice President - Chief Investment Officer</w:t>
      </w:r>
    </w:p>
    <w:p>
      <w:pPr>
        <w:spacing w:after="0" w:line="220" w:lineRule="exact"/>
        <w:rPr>
          <w:sz w:val="20"/>
          <w:szCs w:val="20"/>
          <w:color w:val="auto"/>
        </w:rPr>
      </w:pPr>
    </w:p>
    <w:p>
      <w:pPr>
        <w:ind w:left="5580" w:right="1760" w:hanging="5572"/>
        <w:spacing w:after="0" w:line="563" w:lineRule="auto"/>
        <w:tabs>
          <w:tab w:leader="none" w:pos="1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duly authorized by resolution of the Board of Directors, notice of which is attached as Exhibit 1 to this Schedule 13G.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7" w:name="page8"/>
    <w:bookmarkEnd w:id="7"/>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20" w:lineRule="exact"/>
        <w:rPr>
          <w:sz w:val="20"/>
          <w:szCs w:val="20"/>
          <w:color w:val="auto"/>
        </w:rPr>
      </w:pPr>
    </w:p>
    <w:p>
      <w:pPr>
        <w:ind w:left="1120" w:hanging="1106"/>
        <w:spacing w:after="0" w:line="297" w:lineRule="auto"/>
        <w:tabs>
          <w:tab w:leader="none" w:pos="1100" w:val="left"/>
        </w:tabs>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Exhibit 1</w:t>
        </w:r>
      </w:hyperlink>
      <w:r>
        <w:rPr>
          <w:rFonts w:ascii="Times New Roman" w:cs="Times New Roman" w:eastAsia="Times New Roman" w:hAnsi="Times New Roman"/>
          <w:sz w:val="18"/>
          <w:szCs w:val="18"/>
          <w:u w:val="single" w:color="auto"/>
          <w:color w:val="0000EE"/>
        </w:rPr>
        <w:tab/>
      </w:r>
      <w:hyperlink r:id="rId17">
        <w:r>
          <w:rPr>
            <w:rFonts w:ascii="Times New Roman" w:cs="Times New Roman" w:eastAsia="Times New Roman" w:hAnsi="Times New Roman"/>
            <w:sz w:val="18"/>
            <w:szCs w:val="18"/>
            <w:u w:val="single" w:color="auto"/>
            <w:color w:val="0000EE"/>
          </w:rPr>
          <w:t>Notice of resolution of the Board of Directors of Phoenix Financial Ltd., dated as of December 12, 2019 (incorporated herein by reference</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to Exhibit 3 to the Schedule 13G filed on February 7, 2022).</w:t>
        </w:r>
      </w:hyperlink>
    </w:p>
    <w:p>
      <w:pPr>
        <w:spacing w:after="0" w:line="149" w:lineRule="exact"/>
        <w:rPr>
          <w:rFonts w:ascii="Times New Roman" w:cs="Times New Roman" w:eastAsia="Times New Roman" w:hAnsi="Times New Roman"/>
          <w:sz w:val="18"/>
          <w:szCs w:val="18"/>
          <w:u w:val="single" w:color="auto"/>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71361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sectPr>
      <w:pgSz w:w="11900" w:h="16838" w:orient="portrait"/>
      <w:cols w:equalWidth="0" w:num="1">
        <w:col w:w="11060"/>
      </w:cols>
      <w:pgMar w:left="320" w:top="33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lvl w:ilvl="1">
      <w:lvlJc w:val="left"/>
      <w:lvlText w:val="(%2)"/>
      <w:numFmt w:val="lowerLetter"/>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
    <w:nsid w:val="1190CDE7"/>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7" Type="http://schemas.openxmlformats.org/officeDocument/2006/relationships/hyperlink" Target="https://www.sec.gov/Archives/edgar/data/928876/000117891322000404/exhibit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2024-11-14T05:37:06Z</dcterms:created>
  <dcterms:modified xsi:type="dcterms:W3CDTF">2024-11-14T05:37:06Z</dcterms:modified>
</cp:coreProperties>
</file>