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June 2022 No. 2</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9"/>
          <w:szCs w:val="19"/>
          <w:b w:val="1"/>
          <w:bCs w:val="1"/>
          <w:color w:val="auto"/>
        </w:rPr>
        <w:t>On June 8, 2022, the Registrant announces a Webinar Showcasing Key</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Process and PDK Features of Its Silicon Photonics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June 8, 2022</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 w:name="page4"/>
    <w:bookmarkEnd w:id="3"/>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985520" cy="5740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85520" cy="574040"/>
                    </a:xfrm>
                    <a:prstGeom prst="rect">
                      <a:avLst/>
                    </a:prstGeom>
                    <a:noFill/>
                  </pic:spPr>
                </pic:pic>
              </a:graphicData>
            </a:graphic>
          </wp:anchor>
        </w:drawing>
      </w:r>
    </w:p>
    <w:p>
      <w:pPr>
        <w:ind w:left="1780"/>
        <w:spacing w:after="0"/>
        <w:tabs>
          <w:tab w:leader="none" w:pos="734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6"/>
          <w:szCs w:val="16"/>
          <w:i w:val="1"/>
          <w:iCs w:val="1"/>
          <w:color w:val="auto"/>
        </w:rPr>
        <w:t>FOR IMMEDIATE RELEASE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Tower Semiconductor to Showcase K</w:t>
      </w:r>
      <w:r>
        <w:rPr>
          <w:rFonts w:ascii="Arial" w:cs="Arial" w:eastAsia="Arial" w:hAnsi="Arial"/>
          <w:sz w:val="22"/>
          <w:szCs w:val="22"/>
          <w:b w:val="1"/>
          <w:bCs w:val="1"/>
          <w:color w:val="auto"/>
        </w:rPr>
        <w:t>ey Process and PDK Features of Its Silicon Photonics Process</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 xml:space="preserve">Webinar will </w:t>
      </w:r>
      <w:r>
        <w:rPr>
          <w:rFonts w:ascii="Arial" w:cs="Arial" w:eastAsia="Arial" w:hAnsi="Arial"/>
          <w:sz w:val="22"/>
          <w:szCs w:val="22"/>
          <w:b w:val="1"/>
          <w:bCs w:val="1"/>
          <w:i w:val="1"/>
          <w:iCs w:val="1"/>
          <w:color w:val="auto"/>
        </w:rPr>
        <w:t>demonstrate an end-to-end design flow for PIC design on Tower’s PH18 Process</w:t>
      </w:r>
    </w:p>
    <w:p>
      <w:pPr>
        <w:spacing w:after="0" w:line="287"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b w:val="1"/>
          <w:bCs w:val="1"/>
          <w:color w:val="auto"/>
        </w:rPr>
        <w:t xml:space="preserve">MIGDAL HAEMEK, Israel, June 8, 2022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Tower Semiconductor</w:t>
      </w:r>
      <w:r>
        <w:rPr>
          <w:rFonts w:ascii="Arial" w:cs="Arial" w:eastAsia="Arial" w:hAnsi="Arial"/>
          <w:sz w:val="22"/>
          <w:szCs w:val="22"/>
          <w:b w:val="1"/>
          <w:bCs w:val="1"/>
          <w:color w:val="auto"/>
        </w:rPr>
        <w:t xml:space="preserve"> </w:t>
      </w:r>
      <w:r>
        <w:rPr>
          <w:rFonts w:ascii="Arial" w:cs="Arial" w:eastAsia="Arial" w:hAnsi="Arial"/>
          <w:sz w:val="22"/>
          <w:szCs w:val="22"/>
          <w:color w:val="auto"/>
        </w:rPr>
        <w:t>(NASDAQ/TASE: TSEM), the leading foundry of high-value analog semiconductor solutions, today announced a webinar titled “</w:t>
      </w:r>
      <w:r>
        <w:rPr>
          <w:rFonts w:ascii="Arial" w:cs="Arial" w:eastAsia="Arial" w:hAnsi="Arial"/>
          <w:sz w:val="22"/>
          <w:szCs w:val="22"/>
          <w:b w:val="1"/>
          <w:bCs w:val="1"/>
          <w:color w:val="auto"/>
        </w:rPr>
        <w:t>Develop and Verify Designs Using a Silicon</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Photonics Platform with Integrated Lasers”. </w:t>
      </w:r>
      <w:r>
        <w:rPr>
          <w:rFonts w:ascii="Arial" w:cs="Arial" w:eastAsia="Arial" w:hAnsi="Arial"/>
          <w:sz w:val="22"/>
          <w:szCs w:val="22"/>
          <w:color w:val="auto"/>
        </w:rPr>
        <w:t>The webinar will be hosted by technology and design enablement experts and</w:t>
      </w:r>
      <w:r>
        <w:rPr>
          <w:rFonts w:ascii="Arial" w:cs="Arial" w:eastAsia="Arial" w:hAnsi="Arial"/>
          <w:sz w:val="22"/>
          <w:szCs w:val="22"/>
          <w:b w:val="1"/>
          <w:bCs w:val="1"/>
          <w:color w:val="auto"/>
        </w:rPr>
        <w:t xml:space="preserve"> </w:t>
      </w:r>
      <w:r>
        <w:rPr>
          <w:rFonts w:ascii="Arial" w:cs="Arial" w:eastAsia="Arial" w:hAnsi="Arial"/>
          <w:sz w:val="22"/>
          <w:szCs w:val="22"/>
          <w:color w:val="auto"/>
        </w:rPr>
        <w:t>will introduce key process and process design kit (PDK) features of Tower’s PH18 process. Attendees will see a demonstration of an end-to-end design flow using Synopsys products for photonic integrated circuit (PIC) design together with Tower’s silicon photonics platform which includes OpenLight’s groundbreaking technology with InP-based integrated lasers, amplifiers, modulators and photodetectors. The platform targets datacom, telecom, LiDAR, healthcare, HPC, AI, and optical computing applications.</w:t>
      </w:r>
    </w:p>
    <w:p>
      <w:pPr>
        <w:spacing w:after="0" w:line="252" w:lineRule="exact"/>
        <w:rPr>
          <w:sz w:val="20"/>
          <w:szCs w:val="20"/>
          <w:color w:val="auto"/>
        </w:rPr>
      </w:pPr>
    </w:p>
    <w:p>
      <w:pPr>
        <w:ind w:right="20"/>
        <w:spacing w:after="0" w:line="305" w:lineRule="auto"/>
        <w:rPr>
          <w:sz w:val="20"/>
          <w:szCs w:val="20"/>
          <w:color w:val="auto"/>
        </w:rPr>
      </w:pPr>
      <w:r>
        <w:rPr>
          <w:rFonts w:ascii="Arial" w:cs="Arial" w:eastAsia="Arial" w:hAnsi="Arial"/>
          <w:sz w:val="19"/>
          <w:szCs w:val="19"/>
          <w:color w:val="auto"/>
        </w:rPr>
        <w:t>As the optical transceiver market moves from 400Gb/s to 800Gb/s, many complex analog components are required to assemble energy-efficient and cost-effective optical modules. This webinar will examine an 800G-DR8 PIC design case study to show how to accurately develop PIC designs with a focus on co-simulating and synthesizing an integrated laser. The webinar showcases key process and PDK features of Tower’s PH18 process along with OpenLight’s silicon photonics platform with integrated lasers and the industry’s only unified electronic and photonic design solution comprising of Synopsys OptoCompiler™, Synopsys OptSim™, Synopsys PrimeSim™ and Synopsys IC Validator™ products. These solutions and techniques help improve performance and scalability, while reducing cost of design for some of the world’s most exciting and growing markets. The 800G-DR8 PIC example can be extrapolated to develop PICs for other applications that can benefit from silicon photonics.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The webinar will be held on June 28, 2022 (schedule below) and requires advanced registration.</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Develop and Verify Designs Using a Silicon Photonics Platform with Integrated Lasers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Session 1 </w:t>
      </w:r>
      <w:r>
        <w:rPr>
          <w:rFonts w:ascii="Arial" w:cs="Arial" w:eastAsia="Arial" w:hAnsi="Arial"/>
          <w:sz w:val="22"/>
          <w:szCs w:val="22"/>
          <w:color w:val="auto"/>
        </w:rPr>
        <w:t>– China 11:00am</w:t>
      </w:r>
      <w:r>
        <w:rPr>
          <w:rFonts w:ascii="Arial" w:cs="Arial" w:eastAsia="Arial" w:hAnsi="Arial"/>
          <w:sz w:val="22"/>
          <w:szCs w:val="22"/>
          <w:b w:val="1"/>
          <w:bCs w:val="1"/>
          <w:color w:val="auto"/>
        </w:rPr>
        <w:t xml:space="preserve"> | </w:t>
      </w:r>
      <w:r>
        <w:rPr>
          <w:rFonts w:ascii="Arial" w:cs="Arial" w:eastAsia="Arial" w:hAnsi="Arial"/>
          <w:sz w:val="22"/>
          <w:szCs w:val="22"/>
          <w:color w:val="auto"/>
        </w:rPr>
        <w:t>Japan 12:00pm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Session 2 </w:t>
      </w:r>
      <w:r>
        <w:rPr>
          <w:rFonts w:ascii="Arial" w:cs="Arial" w:eastAsia="Arial" w:hAnsi="Arial"/>
          <w:sz w:val="22"/>
          <w:szCs w:val="22"/>
          <w:color w:val="auto"/>
        </w:rPr>
        <w:t>– USA PST 9:00am</w:t>
      </w:r>
      <w:r>
        <w:rPr>
          <w:rFonts w:ascii="Arial" w:cs="Arial" w:eastAsia="Arial" w:hAnsi="Arial"/>
          <w:sz w:val="22"/>
          <w:szCs w:val="22"/>
          <w:b w:val="1"/>
          <w:bCs w:val="1"/>
          <w:color w:val="auto"/>
        </w:rPr>
        <w:t xml:space="preserve"> | </w:t>
      </w:r>
      <w:r>
        <w:rPr>
          <w:rFonts w:ascii="Arial" w:cs="Arial" w:eastAsia="Arial" w:hAnsi="Arial"/>
          <w:sz w:val="22"/>
          <w:szCs w:val="22"/>
          <w:color w:val="auto"/>
        </w:rPr>
        <w:t>Europe (Germany) 6:00pm</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Speakers:</w:t>
            </w:r>
          </w:p>
        </w:tc>
        <w:tc>
          <w:tcPr>
            <w:tcW w:w="4660" w:type="dxa"/>
            <w:vAlign w:val="bottom"/>
          </w:tcPr>
          <w:p>
            <w:pPr>
              <w:spacing w:after="0"/>
              <w:rPr>
                <w:sz w:val="18"/>
                <w:szCs w:val="18"/>
                <w:color w:val="auto"/>
              </w:rPr>
            </w:pPr>
          </w:p>
        </w:tc>
      </w:tr>
      <w:tr>
        <w:trPr>
          <w:trHeight w:val="453"/>
        </w:trPr>
        <w:tc>
          <w:tcPr>
            <w:tcW w:w="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Jae Shin</w:t>
            </w:r>
          </w:p>
        </w:tc>
        <w:tc>
          <w:tcPr>
            <w:tcW w:w="20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 xml:space="preserve">Director of Design Enablement, </w:t>
            </w:r>
            <w:r>
              <w:rPr>
                <w:rFonts w:ascii="Arial" w:cs="Arial" w:eastAsia="Arial" w:hAnsi="Arial"/>
                <w:sz w:val="18"/>
                <w:szCs w:val="18"/>
                <w:b w:val="1"/>
                <w:bCs w:val="1"/>
                <w:color w:val="auto"/>
              </w:rPr>
              <w:t>OpenLight</w:t>
            </w:r>
          </w:p>
        </w:tc>
      </w:tr>
      <w:tr>
        <w:trPr>
          <w:trHeight w:val="418"/>
        </w:trPr>
        <w:tc>
          <w:tcPr>
            <w:tcW w:w="960" w:type="dxa"/>
            <w:vAlign w:val="bottom"/>
            <w:gridSpan w:val="2"/>
          </w:tcPr>
          <w:p>
            <w:pPr>
              <w:spacing w:after="0"/>
              <w:rPr>
                <w:sz w:val="20"/>
                <w:szCs w:val="20"/>
                <w:color w:val="auto"/>
              </w:rPr>
            </w:pPr>
            <w:r>
              <w:rPr>
                <w:rFonts w:ascii="Arial" w:cs="Arial" w:eastAsia="Arial" w:hAnsi="Arial"/>
                <w:sz w:val="18"/>
                <w:szCs w:val="18"/>
                <w:color w:val="auto"/>
              </w:rPr>
              <w:t>Daniel</w:t>
            </w:r>
          </w:p>
        </w:tc>
        <w:tc>
          <w:tcPr>
            <w:tcW w:w="4660" w:type="dxa"/>
            <w:vAlign w:val="bottom"/>
          </w:tcPr>
          <w:p>
            <w:pPr>
              <w:ind w:left="180"/>
              <w:spacing w:after="0"/>
              <w:rPr>
                <w:sz w:val="20"/>
                <w:szCs w:val="20"/>
                <w:color w:val="auto"/>
              </w:rPr>
            </w:pPr>
            <w:r>
              <w:rPr>
                <w:rFonts w:ascii="Arial" w:cs="Arial" w:eastAsia="Arial" w:hAnsi="Arial"/>
                <w:sz w:val="18"/>
                <w:szCs w:val="18"/>
                <w:color w:val="auto"/>
              </w:rPr>
              <w:t xml:space="preserve">VP of Business Development &amp; Strategy, </w:t>
            </w:r>
            <w:r>
              <w:rPr>
                <w:rFonts w:ascii="Arial" w:cs="Arial" w:eastAsia="Arial" w:hAnsi="Arial"/>
                <w:sz w:val="18"/>
                <w:szCs w:val="18"/>
                <w:b w:val="1"/>
                <w:bCs w:val="1"/>
                <w:color w:val="auto"/>
              </w:rPr>
              <w:t>OpenLight</w:t>
            </w:r>
          </w:p>
        </w:tc>
      </w:tr>
      <w:tr>
        <w:trPr>
          <w:trHeight w:val="230"/>
        </w:trPr>
        <w:tc>
          <w:tcPr>
            <w:tcW w:w="960" w:type="dxa"/>
            <w:vAlign w:val="bottom"/>
            <w:gridSpan w:val="2"/>
          </w:tcPr>
          <w:p>
            <w:pPr>
              <w:spacing w:after="0"/>
              <w:rPr>
                <w:sz w:val="20"/>
                <w:szCs w:val="20"/>
                <w:color w:val="auto"/>
              </w:rPr>
            </w:pPr>
            <w:r>
              <w:rPr>
                <w:rFonts w:ascii="Arial" w:cs="Arial" w:eastAsia="Arial" w:hAnsi="Arial"/>
                <w:sz w:val="18"/>
                <w:szCs w:val="18"/>
                <w:color w:val="auto"/>
              </w:rPr>
              <w:t>Sparacin</w:t>
            </w:r>
          </w:p>
        </w:tc>
        <w:tc>
          <w:tcPr>
            <w:tcW w:w="4660" w:type="dxa"/>
            <w:vAlign w:val="bottom"/>
          </w:tcPr>
          <w:p>
            <w:pPr>
              <w:spacing w:after="0"/>
              <w:rPr>
                <w:sz w:val="20"/>
                <w:szCs w:val="20"/>
                <w:color w:val="auto"/>
              </w:rPr>
            </w:pP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color w:val="auto"/>
              </w:rPr>
              <w:t>Luis Orbe</w:t>
            </w:r>
          </w:p>
        </w:tc>
        <w:tc>
          <w:tcPr>
            <w:tcW w:w="4660" w:type="dxa"/>
            <w:vAlign w:val="bottom"/>
          </w:tcPr>
          <w:p>
            <w:pPr>
              <w:ind w:left="180"/>
              <w:spacing w:after="0"/>
              <w:rPr>
                <w:sz w:val="20"/>
                <w:szCs w:val="20"/>
                <w:color w:val="auto"/>
              </w:rPr>
            </w:pPr>
            <w:r>
              <w:rPr>
                <w:rFonts w:ascii="Arial" w:cs="Arial" w:eastAsia="Arial" w:hAnsi="Arial"/>
                <w:sz w:val="18"/>
                <w:szCs w:val="18"/>
                <w:color w:val="auto"/>
                <w:w w:val="89"/>
              </w:rPr>
              <w:t xml:space="preserve">Customer Support Coordinator, Photonic Solutions, </w:t>
            </w:r>
            <w:r>
              <w:rPr>
                <w:rFonts w:ascii="Arial" w:cs="Arial" w:eastAsia="Arial" w:hAnsi="Arial"/>
                <w:sz w:val="18"/>
                <w:szCs w:val="18"/>
                <w:b w:val="1"/>
                <w:bCs w:val="1"/>
                <w:color w:val="auto"/>
                <w:w w:val="89"/>
              </w:rPr>
              <w:t>Synopsys</w:t>
            </w:r>
          </w:p>
        </w:tc>
      </w:tr>
      <w:tr>
        <w:trPr>
          <w:trHeight w:val="418"/>
        </w:trPr>
        <w:tc>
          <w:tcPr>
            <w:tcW w:w="960" w:type="dxa"/>
            <w:vAlign w:val="bottom"/>
            <w:gridSpan w:val="2"/>
          </w:tcPr>
          <w:p>
            <w:pPr>
              <w:spacing w:after="0"/>
              <w:rPr>
                <w:sz w:val="20"/>
                <w:szCs w:val="20"/>
                <w:color w:val="auto"/>
              </w:rPr>
            </w:pPr>
            <w:r>
              <w:rPr>
                <w:rFonts w:ascii="Arial" w:cs="Arial" w:eastAsia="Arial" w:hAnsi="Arial"/>
                <w:sz w:val="18"/>
                <w:szCs w:val="18"/>
                <w:color w:val="auto"/>
              </w:rPr>
              <w:t>Samir</w:t>
            </w:r>
          </w:p>
        </w:tc>
        <w:tc>
          <w:tcPr>
            <w:tcW w:w="4660" w:type="dxa"/>
            <w:vAlign w:val="bottom"/>
          </w:tcPr>
          <w:p>
            <w:pPr>
              <w:ind w:left="180"/>
              <w:spacing w:after="0"/>
              <w:rPr>
                <w:sz w:val="20"/>
                <w:szCs w:val="20"/>
                <w:color w:val="auto"/>
              </w:rPr>
            </w:pPr>
            <w:r>
              <w:rPr>
                <w:rFonts w:ascii="Arial" w:cs="Arial" w:eastAsia="Arial" w:hAnsi="Arial"/>
                <w:sz w:val="18"/>
                <w:szCs w:val="18"/>
                <w:color w:val="auto"/>
                <w:w w:val="97"/>
              </w:rPr>
              <w:t xml:space="preserve">Sr. Director, Design Enablement, </w:t>
            </w:r>
            <w:r>
              <w:rPr>
                <w:rFonts w:ascii="Arial" w:cs="Arial" w:eastAsia="Arial" w:hAnsi="Arial"/>
                <w:sz w:val="18"/>
                <w:szCs w:val="18"/>
                <w:b w:val="1"/>
                <w:bCs w:val="1"/>
                <w:color w:val="auto"/>
                <w:w w:val="97"/>
              </w:rPr>
              <w:t>Tower Semiconductor</w:t>
            </w:r>
          </w:p>
        </w:tc>
      </w:tr>
      <w:tr>
        <w:trPr>
          <w:trHeight w:val="230"/>
        </w:trPr>
        <w:tc>
          <w:tcPr>
            <w:tcW w:w="960" w:type="dxa"/>
            <w:vAlign w:val="bottom"/>
            <w:gridSpan w:val="2"/>
          </w:tcPr>
          <w:p>
            <w:pPr>
              <w:spacing w:after="0"/>
              <w:rPr>
                <w:sz w:val="20"/>
                <w:szCs w:val="20"/>
                <w:color w:val="auto"/>
              </w:rPr>
            </w:pPr>
            <w:r>
              <w:rPr>
                <w:rFonts w:ascii="Arial" w:cs="Arial" w:eastAsia="Arial" w:hAnsi="Arial"/>
                <w:sz w:val="18"/>
                <w:szCs w:val="18"/>
                <w:color w:val="auto"/>
              </w:rPr>
              <w:t>Chaudhry</w:t>
            </w:r>
          </w:p>
        </w:tc>
        <w:tc>
          <w:tcPr>
            <w:tcW w:w="4660" w:type="dxa"/>
            <w:vAlign w:val="bottom"/>
          </w:tcPr>
          <w:p>
            <w:pPr>
              <w:spacing w:after="0"/>
              <w:rPr>
                <w:sz w:val="20"/>
                <w:szCs w:val="20"/>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For additional details and registration, please visit the event webpage </w:t>
      </w:r>
      <w:r>
        <w:rPr>
          <w:rFonts w:ascii="Arial" w:cs="Arial" w:eastAsia="Arial" w:hAnsi="Arial"/>
          <w:sz w:val="22"/>
          <w:szCs w:val="22"/>
          <w:i w:val="1"/>
          <w:iCs w:val="1"/>
          <w:u w:val="single" w:color="auto"/>
          <w:color w:val="auto"/>
        </w:rPr>
        <w:t>here</w:t>
      </w:r>
      <w:r>
        <w:rPr>
          <w:rFonts w:ascii="Arial" w:cs="Arial" w:eastAsia="Arial" w:hAnsi="Arial"/>
          <w:sz w:val="22"/>
          <w:szCs w:val="22"/>
          <w:i w:val="1"/>
          <w:iCs w:val="1"/>
          <w:color w:val="auto"/>
        </w:rPr>
        <w:t>: https://towersemi.com/webinars/.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three facilities in Japan (two 200mm and one 300mm) which it owns through its 51% holdings in TPSCo and is sharing a 300mm manufacturing facility being established in Italy with ST. For more information, please visit: </w:t>
      </w:r>
      <w:r>
        <w:rPr>
          <w:rFonts w:ascii="Arial" w:cs="Arial" w:eastAsia="Arial" w:hAnsi="Arial"/>
          <w:sz w:val="21"/>
          <w:szCs w:val="21"/>
          <w:u w:val="single" w:color="auto"/>
          <w:color w:val="auto"/>
        </w:rPr>
        <w:t>www.towersemi.com</w:t>
      </w:r>
      <w:r>
        <w:rPr>
          <w:rFonts w:ascii="Arial" w:cs="Arial" w:eastAsia="Arial" w:hAnsi="Arial"/>
          <w:sz w:val="21"/>
          <w:szCs w:val="21"/>
          <w:color w:val="auto"/>
        </w:rPr>
        <w:t>.</w:t>
      </w:r>
    </w:p>
    <w:p>
      <w:pPr>
        <w:sectPr>
          <w:pgSz w:w="11900" w:h="16838" w:orient="portrait"/>
          <w:cols w:equalWidth="0" w:num="1">
            <w:col w:w="11240"/>
          </w:cols>
          <w:pgMar w:left="320" w:top="1440" w:right="339" w:bottom="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Safe Harbor Regarding Forward-Looking Statements</w:t>
      </w:r>
    </w:p>
    <w:p>
      <w:pPr>
        <w:spacing w:after="0" w:line="27" w:lineRule="exact"/>
        <w:rPr>
          <w:sz w:val="20"/>
          <w:szCs w:val="20"/>
          <w:color w:val="auto"/>
        </w:rPr>
      </w:pPr>
    </w:p>
    <w:p>
      <w:pPr>
        <w:spacing w:after="0" w:line="307"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Levy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12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2022-06-08T05:12:53Z</dcterms:created>
  <dcterms:modified xsi:type="dcterms:W3CDTF">2022-06-08T05:12:53Z</dcterms:modified>
</cp:coreProperties>
</file>