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9"/>
        <w:spacing w:after="0"/>
        <w:rPr>
          <w:sz w:val="20"/>
          <w:szCs w:val="20"/>
          <w:color w:val="auto"/>
        </w:rPr>
      </w:pPr>
      <w:r>
        <w:rPr>
          <w:rFonts w:ascii="Courier New" w:cs="Courier New" w:eastAsia="Courier New" w:hAnsi="Courier New"/>
          <w:sz w:val="15"/>
          <w:szCs w:val="15"/>
          <w:color w:val="auto"/>
        </w:rPr>
        <w:t>FORM 6-K</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the month of August 2007 (No. 2)</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TOWER SEMICONDUCTOR LTD.</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180"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RAMAT GAVRIEL INDUSTRIAL PARK</w:t>
      </w:r>
    </w:p>
    <w:p>
      <w:pPr>
        <w:spacing w:after="0" w:line="5"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P.O. BOX 619, MIGDAL HAEMEK, ISRAEL 23105</w:t>
      </w:r>
    </w:p>
    <w:p>
      <w:pPr>
        <w:spacing w:after="0" w:line="5"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0" w:lineRule="exact"/>
        <w:rPr>
          <w:sz w:val="24"/>
          <w:szCs w:val="24"/>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5" w:lineRule="exact"/>
        <w:rPr>
          <w:sz w:val="24"/>
          <w:szCs w:val="24"/>
          <w:color w:val="auto"/>
        </w:rPr>
      </w:pPr>
    </w:p>
    <w:p>
      <w:pPr>
        <w:ind w:left="2260"/>
        <w:spacing w:after="0"/>
        <w:tabs>
          <w:tab w:leader="none" w:pos="388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5"/>
          <w:szCs w:val="15"/>
          <w:color w:val="auto"/>
        </w:rPr>
        <w:t>Form 40-F [_]</w:t>
      </w:r>
    </w:p>
    <w:p>
      <w:pPr>
        <w:spacing w:after="0" w:line="180" w:lineRule="exact"/>
        <w:rPr>
          <w:sz w:val="24"/>
          <w:szCs w:val="24"/>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4" w:lineRule="exact"/>
        <w:rPr>
          <w:sz w:val="24"/>
          <w:szCs w:val="24"/>
          <w:color w:val="auto"/>
        </w:rPr>
      </w:pPr>
    </w:p>
    <w:p>
      <w:pPr>
        <w:ind w:left="2820"/>
        <w:spacing w:after="0"/>
        <w:tabs>
          <w:tab w:leader="none" w:pos="3880" w:val="left"/>
        </w:tabs>
        <w:rPr>
          <w:sz w:val="20"/>
          <w:szCs w:val="20"/>
          <w:color w:val="auto"/>
        </w:rPr>
      </w:pPr>
      <w:r>
        <w:rPr>
          <w:rFonts w:ascii="Courier New" w:cs="Courier New" w:eastAsia="Courier New" w:hAnsi="Courier New"/>
          <w:sz w:val="15"/>
          <w:szCs w:val="15"/>
          <w:color w:val="auto"/>
        </w:rPr>
        <w:t>Yes [_]</w:t>
      </w:r>
      <w:r>
        <w:rPr>
          <w:sz w:val="20"/>
          <w:szCs w:val="20"/>
          <w:color w:val="auto"/>
        </w:rPr>
        <w:tab/>
      </w:r>
      <w:r>
        <w:rPr>
          <w:rFonts w:ascii="Courier New" w:cs="Courier New" w:eastAsia="Courier New" w:hAnsi="Courier New"/>
          <w:sz w:val="14"/>
          <w:szCs w:val="14"/>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On August 15, 2007, the Registrant announced its financial results for the six and three months ended June 30, 2007. Attached hereto are the following exhibits</w:t>
      </w:r>
    </w:p>
    <w:p>
      <w:pPr>
        <w:spacing w:after="0" w:line="174" w:lineRule="exact"/>
        <w:rPr>
          <w:sz w:val="24"/>
          <w:szCs w:val="24"/>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Exhibit 99.1</w:t>
      </w:r>
      <w:r>
        <w:rPr>
          <w:sz w:val="20"/>
          <w:szCs w:val="20"/>
          <w:color w:val="auto"/>
        </w:rPr>
        <w:tab/>
      </w:r>
      <w:r>
        <w:rPr>
          <w:rFonts w:ascii="Courier New" w:cs="Courier New" w:eastAsia="Courier New" w:hAnsi="Courier New"/>
          <w:sz w:val="15"/>
          <w:szCs w:val="15"/>
          <w:color w:val="auto"/>
        </w:rPr>
        <w:t>Press release dated August 15, 2007</w:t>
      </w:r>
    </w:p>
    <w:p>
      <w:pPr>
        <w:sectPr>
          <w:pgSz w:w="11900" w:h="16838" w:orient="portrait"/>
          <w:cols w:equalWidth="0" w:num="1">
            <w:col w:w="10219"/>
          </w:cols>
          <w:pgMar w:left="240" w:top="409" w:right="1440" w:bottom="1440" w:gutter="0" w:footer="0" w:header="0"/>
        </w:sectPr>
      </w:pPr>
    </w:p>
    <w:bookmarkStart w:id="1" w:name="page2"/>
    <w:bookmarkEnd w:id="1"/>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19"/>
          </w:cols>
          <w:pgMar w:left="240" w:top="817"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15, 2007</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Nati Somekh Gilboa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 Somekh Gilboa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2">
            <w:col w:w="4080" w:space="720"/>
            <w:col w:w="5419"/>
          </w:cols>
          <w:pgMar w:left="240" w:top="817" w:right="1440" w:bottom="1440" w:gutter="0" w:footer="0" w:header="0"/>
          <w:type w:val="continuous"/>
        </w:sectPr>
      </w:pPr>
    </w:p>
    <w:bookmarkStart w:id="2" w:name="page3"/>
    <w:bookmarkEnd w:id="2"/>
    <w:p>
      <w:pPr>
        <w:jc w:val="right"/>
        <w:ind w:right="2959"/>
        <w:spacing w:after="0"/>
        <w:rPr>
          <w:sz w:val="20"/>
          <w:szCs w:val="20"/>
          <w:color w:val="auto"/>
        </w:rPr>
      </w:pPr>
      <w:r>
        <w:rPr>
          <w:rFonts w:ascii="Courier New" w:cs="Courier New" w:eastAsia="Courier New" w:hAnsi="Courier New"/>
          <w:sz w:val="15"/>
          <w:szCs w:val="15"/>
          <w:color w:val="auto"/>
        </w:rPr>
        <w:t>EXHIBIT 99.1</w:t>
      </w:r>
    </w:p>
    <w:p>
      <w:pPr>
        <w:spacing w:after="0" w:line="180"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TOWER SEMICONDUCTOR REPORTS 28 PERCENT YEAR-OVER-YEAR</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REVENUE GROWTH IN THE SECOND QUARTER 2007 AND 40</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PERCENT GROWTH IN THE FIRST HALF 2007</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COMPANY RECORDS POSITIVE CASH FLOW FROM OPERATIONS AND POSITIVE EBITDA</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AND ACHIEVES EIGHTH CONSECUTIVE QUARTERLY REVENUE GROWTH</w:t>
      </w:r>
    </w:p>
    <w:p>
      <w:pPr>
        <w:spacing w:after="0" w:line="180"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MIGDAL HAEMEK, Israel - August 15, 2007 - Tower Semiconductor Ltd. (Nasdaq: TSEM, TASE: TSEM), an independent specialty foundry, today announced second quarter 2007 financial results.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HIGHLIGHTS:</w:t>
      </w:r>
    </w:p>
    <w:p>
      <w:pPr>
        <w:spacing w:after="0" w:line="180" w:lineRule="exact"/>
        <w:rPr>
          <w:sz w:val="20"/>
          <w:szCs w:val="20"/>
          <w:color w:val="auto"/>
        </w:rPr>
      </w:pPr>
    </w:p>
    <w:p>
      <w:pPr>
        <w:ind w:left="900" w:right="3139" w:hanging="452"/>
        <w:spacing w:after="0" w:line="247"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Achieved record quarterly revenues of $57.1 million representing the eighth consecutive quarter of revenue growth, representing year-over-year growth of approximately 28 percent</w:t>
      </w:r>
    </w:p>
    <w:p>
      <w:pPr>
        <w:spacing w:after="0" w:line="174" w:lineRule="exact"/>
        <w:rPr>
          <w:rFonts w:ascii="Courier New" w:cs="Courier New" w:eastAsia="Courier New" w:hAnsi="Courier New"/>
          <w:sz w:val="15"/>
          <w:szCs w:val="15"/>
          <w:color w:val="auto"/>
        </w:rPr>
      </w:pPr>
    </w:p>
    <w:p>
      <w:pPr>
        <w:ind w:left="900" w:right="3039" w:hanging="452"/>
        <w:spacing w:after="0" w:line="247"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Achieved positive cash flow from operations for the third consecutive quarter and positive EBITDA for the seventh consecutive quarter</w:t>
      </w:r>
    </w:p>
    <w:p>
      <w:pPr>
        <w:spacing w:after="0" w:line="174" w:lineRule="exact"/>
        <w:rPr>
          <w:rFonts w:ascii="Courier New" w:cs="Courier New" w:eastAsia="Courier New" w:hAnsi="Courier New"/>
          <w:sz w:val="15"/>
          <w:szCs w:val="15"/>
          <w:color w:val="auto"/>
        </w:rPr>
      </w:pPr>
    </w:p>
    <w:p>
      <w:pPr>
        <w:ind w:left="900" w:right="2959" w:hanging="452"/>
        <w:spacing w:after="0" w:line="247"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Achieved 40 percent revenue growth in the first half of 2007, compared to the same period for 2006</w:t>
      </w:r>
    </w:p>
    <w:p>
      <w:pPr>
        <w:spacing w:after="0" w:line="174" w:lineRule="exact"/>
        <w:rPr>
          <w:rFonts w:ascii="Courier New" w:cs="Courier New" w:eastAsia="Courier New" w:hAnsi="Courier New"/>
          <w:sz w:val="15"/>
          <w:szCs w:val="15"/>
          <w:color w:val="auto"/>
        </w:rPr>
      </w:pPr>
    </w:p>
    <w:p>
      <w:pPr>
        <w:ind w:left="900" w:right="3219" w:hanging="452"/>
        <w:spacing w:after="0" w:line="247"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Plans to Further expand Fab2 capacity at a low cost model, to be funded by the previously announced long-term bonds financing and by credit lines from banks &amp; Israel Corporation.</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For the second quarter of 2007, the Company reported total revenues of $57.1 million, representing a 28 percent increase as compared to revenues of $44.6 million reported in the second quarter of 2006. For the first half of 2007, the Company reported total revenues of $112.7 million, representing a 40 percent increase when compared to revenues of $80.4 million reported in the first half of 2006. Net loss in accordance with Generally Accepted Accounting Principles (GAAP) for the second quarter of 2007 has improved by $9.2 million to $34.4 million, or $0.28 per share, as compared to a GAAP net loss of $43.6 million, or $0.55 per share, for the second quarter of 2006. Non-GAAP gross profit (as described and reconciled below) for the second quarter of 2007 was $19.2 million, representing a gross margin of 34 percent. Non-GAAP operating profit (as described and reconciled below) for the second quarter of 2007 was $11.5 million, representing a 20 percent operating margin.</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second quarter 2007 marked the two year anniversary of Tower's new management team", Said Russell Ellwanger, chief executive officer of Tower Semiconductor. "The ensuing 8 quarters demonstrated sequential Sales growth, resulting in a 3x sales increase and a $25 million positive shift in cash flow from operations as compared to two years ago quarterly run rate. We have continued to run at very high utilization levels in Fab 2, and even with the capacity ramp reaching 24,000 wafer starts per month in the third quarter of 2007, we will need to increase the capacity further to fully meet the current as well as longer term forecasted customer demand. To this end, we have raised moneys in, predominantly, non share diluting, long term debt vehicles, to enable the next phase of fab 2 capacity ramp targeting acquisition of low cost, short period of return tool sets. We have experienced a recent decrease in the Fab 1 utilization rates, which we expect will be corrected in the second half of Q4 and will remain high throughout 2008, as a function of multiple new projects with several very large customers. We see our overall business strong and target continued sequential growth."</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OUTLOOK:</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Tower forecasts revenue in the third quarter 2007 to be between $56 and $60 million, which will represent between 9 and 17 percent year-over-year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2007 FINANCIAL RESULTS CONFERENCE CALL AND WEB CAST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Tower will host a conference call to discuss these results on Wednesday, August 15, 2007, at 10 a.m. Eastern Standard Time / 5 p.m. Israel time. To participate, please call: 1-888-668-9141 (U.S. toll-free number) or 972-3-918-0687 (international) and mention ID code: TOWER. Callers in Israel are invited to call locally by dialing 03-918-0687. The conference call will also be Web cast live at http://www.earnings.com and at www.towersemi.com and will be available thereafter on both Web sites for replay for 90 days, starting at approximately 2 p.m. Eastern Standard Time on the day of the call.</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 used in this release, the term EBITDA consists of loss, according to GAAP (Generally Accepted Accounting Principles), excluding interest and financing expenses (net), tax and depreciation and amortization expenses. EBITDA is not a required GAAP financial measure and may not be comparable to a similarly titled measure employed by other companies. EBITDA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This release, including the financial tables below, presents other financial information that may be considered "non-GAAP financial measures" under Regulation G and related reporting requirements promulgated by the Securities</w:t>
      </w:r>
    </w:p>
    <w:p>
      <w:pPr>
        <w:sectPr>
          <w:pgSz w:w="11900" w:h="16838" w:orient="portrait"/>
          <w:cols w:equalWidth="0" w:num="1">
            <w:col w:w="10219"/>
          </w:cols>
          <w:pgMar w:left="240" w:top="316" w:right="1440" w:bottom="0" w:gutter="0" w:footer="0" w:header="0"/>
        </w:sectPr>
      </w:pPr>
    </w:p>
    <w:bookmarkStart w:id="3" w:name="page4"/>
    <w:bookmarkEnd w:id="3"/>
    <w:p>
      <w:pPr>
        <w:ind w:right="2959"/>
        <w:spacing w:after="0" w:line="246" w:lineRule="auto"/>
        <w:rPr>
          <w:sz w:val="20"/>
          <w:szCs w:val="20"/>
          <w:color w:val="auto"/>
        </w:rPr>
      </w:pPr>
      <w:r>
        <w:rPr>
          <w:rFonts w:ascii="Courier New" w:cs="Courier New" w:eastAsia="Courier New" w:hAnsi="Courier New"/>
          <w:sz w:val="15"/>
          <w:szCs w:val="15"/>
          <w:color w:val="auto"/>
        </w:rPr>
        <w:t>and Exchange Commission as they apply to our company. These non-GAAP financial measures exclude (1) depreciation and amortization expenses and (2) compensation expenses in respect of options granted to directors, officers and employees. Non-GAAP financial measures should be evaluated in conjunction with, and are not a substitute for, GAAP financial measures. The tables also present the GAAP financial measures which are most comparable to the non-GAAP financial measures, as well a reconciliation between the non-GAAP financial measures and the most comparable GAAP financial measures. The non-GAAP financial information presented herein should not be considered in isolation from or as a substitute for operating income, net income or loss, cash flows provided by operating, investing and financing activities, or other income or cash flow statement data prepared in accordance with GAAP.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and raising the funds therefor, (ii) the cyclical nature of the semiconductor industry and the resulting periodic overcapacity, fluctuations in operating results, future average selling price erosion that may be more severe than our expectations, (iii) having sufficient funds to operate the company in the short-term and the funding needs for its ramp-up plan, (iv) operating our facilities at satisfactory utilization rates which is critical in order to defray the high level of fixed costs associated with operating a foundry and reduce our losses, (v) our ability to satisfy the covenants stipulated in our amended credit facility agreement, (vi) our ability to capitalize on increases in demand for foundry services, (vii) meeting the conditions to receive</w:t>
      </w:r>
    </w:p>
    <w:p>
      <w:pPr>
        <w:sectPr>
          <w:pgSz w:w="11900" w:h="16838" w:orient="portrait"/>
          <w:cols w:equalWidth="0" w:num="1">
            <w:col w:w="10219"/>
          </w:cols>
          <w:pgMar w:left="240" w:top="141" w:right="1440" w:bottom="1440" w:gutter="0" w:footer="0" w:header="0"/>
        </w:sectPr>
      </w:pPr>
    </w:p>
    <w:bookmarkStart w:id="4" w:name="page5"/>
    <w:bookmarkEnd w:id="4"/>
    <w:p>
      <w:pPr>
        <w:ind w:right="2959"/>
        <w:spacing w:after="0" w:line="246" w:lineRule="auto"/>
        <w:rPr>
          <w:sz w:val="20"/>
          <w:szCs w:val="20"/>
          <w:color w:val="auto"/>
        </w:rPr>
      </w:pPr>
      <w:r>
        <w:rPr>
          <w:rFonts w:ascii="Courier New" w:cs="Courier New" w:eastAsia="Courier New" w:hAnsi="Courier New"/>
          <w:sz w:val="15"/>
          <w:szCs w:val="15"/>
          <w:color w:val="auto"/>
        </w:rPr>
        <w:t>Israeli government grants and tax benefits approved for Fab 2 and obtaining the approval of the Israeli Investment Center for a new expansion program, (viii) attracting additional customers, (ix) not receiving orders from our wafer partners and customers, (x) failing to maintain and develop our technology processes and services, (xi) competing effectively, (xii) our large amount of debt and our ability to repay our short-term and long-term debt on a timely basis, (xiii) achieving acceptable device yields, product performance and delivery times, (xiv) the timely development, internal qualification and customer acceptance of new processes and products, (xv) the entering into and the consummation of definitive agreements with Israel Corporation Ltd. and the banks based on the terms of the letters of intent previously disclosed on July 16, 2007, including the receipt of corporate and/or other approvals as required under applicable law, which, following the determination of our audit committee and board of directors that the transactions are on market terms, in the ordinary course of business and to our benefit, may include our shareholders approval if we receive by the end of August 29, 2007 (Israel time) a written request by any shareholder or shareholders who hold at least 1% of our issued and outstanding shares to bring the terms of such transactions to a shareholders meeting, (xvi) the entering into and the consummation of agreements to purchase the equipment to increase Fab2 capacity beyond 24,000 wafers per month and timely installation thereof, and (xvii) business interruption due to terror attacks, earthquakes, other acts of God and the security situation in Israel.</w:t>
      </w:r>
    </w:p>
    <w:p>
      <w:pPr>
        <w:spacing w:after="0" w:line="18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 more complete discussion of risks and uncertainties that may affect the accuracy of forward-looking statements included in this press release or which may otherwise affect our business is included under the heading "Risk Factors" in our most recent filings on Forms 20-F, F-3 and 6-K, as were filed with the Securities and Exchange Commission and the Israel Securities Authority. Future results may differ materially from those previously reported. The Company does not intend to update, and expressly disclaims any obligation to update, the information contained in this release.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Tower Semiconductor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Noit Levi, +972 4 604 7066</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noitle@towersemi.com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Shelton Group</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Jim Mathias, (972) 239-5119 ext. 115</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jmathias@sheltongroup.com</w:t>
      </w:r>
    </w:p>
    <w:p>
      <w:pPr>
        <w:sectPr>
          <w:pgSz w:w="11900" w:h="16838" w:orient="portrait"/>
          <w:cols w:equalWidth="0" w:num="1">
            <w:col w:w="10219"/>
          </w:cols>
          <w:pgMar w:left="240" w:top="817" w:right="1440" w:bottom="1440" w:gutter="0" w:footer="0" w:header="0"/>
        </w:sectPr>
      </w:pPr>
    </w:p>
    <w:bookmarkStart w:id="5" w:name="page6"/>
    <w:bookmarkEnd w:id="5"/>
    <w:p>
      <w:pPr>
        <w:jc w:val="center"/>
        <w:ind w:right="287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2620"/>
              <w:spacing w:after="0"/>
              <w:rPr>
                <w:sz w:val="20"/>
                <w:szCs w:val="20"/>
                <w:color w:val="auto"/>
              </w:rPr>
            </w:pPr>
            <w:r>
              <w:rPr>
                <w:rFonts w:ascii="Courier New" w:cs="Courier New" w:eastAsia="Courier New" w:hAnsi="Courier New"/>
                <w:sz w:val="15"/>
                <w:szCs w:val="15"/>
                <w:color w:val="auto"/>
              </w:rPr>
              <w:t>(DOLLARS IN THOUSANDS)</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50"/>
        </w:trPr>
        <w:tc>
          <w:tcPr>
            <w:tcW w:w="5000" w:type="dxa"/>
            <w:vAlign w:val="bottom"/>
          </w:tcPr>
          <w:p>
            <w:pPr>
              <w:spacing w:after="0"/>
              <w:rPr>
                <w:sz w:val="24"/>
                <w:szCs w:val="24"/>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2007</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2006</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350"/>
        </w:trPr>
        <w:tc>
          <w:tcPr>
            <w:tcW w:w="500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CASH, CASH EQUIVALENTS AND DEPOSITS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$ 20,723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$ 40,940</w:t>
            </w: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RECEIVABLE</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45,476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31,498</w:t>
            </w: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RECEIVABLES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2,769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5,425</w:t>
            </w: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37,691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34,763</w:t>
            </w: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CURRENT ASSETS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1,465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1,473</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108,124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114,099</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 NET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507,414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539,292</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INTANGIBLE ASSETS, NET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39,482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44,981</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OTHER ASSETS, NET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1,303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1,346</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ind w:left="1080"/>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$656,323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$699,718</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0"/>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CURRENT MATURITIES OF CONVERTIBLE DEBENTURES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6,611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6,632</w:t>
            </w: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PAYABLE</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55,922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55,128</w:t>
            </w:r>
          </w:p>
        </w:tc>
      </w:tr>
      <w:tr>
        <w:trPr>
          <w:trHeight w:val="175"/>
        </w:trPr>
        <w:tc>
          <w:tcPr>
            <w:tcW w:w="5000" w:type="dxa"/>
            <w:vAlign w:val="bottom"/>
          </w:tcPr>
          <w:p>
            <w:pPr>
              <w:ind w:left="620"/>
              <w:spacing w:after="0"/>
              <w:rPr>
                <w:sz w:val="20"/>
                <w:szCs w:val="20"/>
                <w:color w:val="auto"/>
              </w:rPr>
            </w:pPr>
            <w:r>
              <w:rPr>
                <w:rFonts w:ascii="Courier New" w:cs="Courier New" w:eastAsia="Courier New" w:hAnsi="Courier New"/>
                <w:sz w:val="15"/>
                <w:szCs w:val="15"/>
                <w:color w:val="auto"/>
              </w:rPr>
              <w:t>OTHER CURRENT LIABILITIES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20,907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22,096</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000" w:type="dxa"/>
            <w:vAlign w:val="bottom"/>
          </w:tcPr>
          <w:p>
            <w:pPr>
              <w:ind w:left="1080"/>
              <w:spacing w:after="0"/>
              <w:rPr>
                <w:sz w:val="20"/>
                <w:szCs w:val="20"/>
                <w:color w:val="auto"/>
              </w:rPr>
            </w:pPr>
            <w:r>
              <w:rPr>
                <w:rFonts w:ascii="Courier New" w:cs="Courier New" w:eastAsia="Courier New" w:hAnsi="Courier New"/>
                <w:sz w:val="15"/>
                <w:szCs w:val="15"/>
                <w:color w:val="auto"/>
              </w:rPr>
              <w:t>TOTAL CURRENT LIABILITIES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83,440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83,856</w:t>
            </w: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LONG-TERM DEBT FROM BANKS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360,689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356,947</w:t>
            </w: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58,609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62,175</w:t>
            </w: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LONG-TERM CUSTOMERS' ADVANCES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42,070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46,042</w:t>
            </w: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19,441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17,708</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ind w:left="1080"/>
              <w:spacing w:after="0"/>
              <w:rPr>
                <w:sz w:val="20"/>
                <w:szCs w:val="20"/>
                <w:color w:val="auto"/>
              </w:rPr>
            </w:pPr>
            <w:r>
              <w:rPr>
                <w:rFonts w:ascii="Courier New" w:cs="Courier New" w:eastAsia="Courier New" w:hAnsi="Courier New"/>
                <w:sz w:val="15"/>
                <w:szCs w:val="15"/>
                <w:color w:val="auto"/>
              </w:rPr>
              <w:t>TOTAL LIABILITIES</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564,249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566,728</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ind w:left="360"/>
              <w:spacing w:after="0"/>
              <w:rPr>
                <w:sz w:val="20"/>
                <w:szCs w:val="20"/>
                <w:color w:val="auto"/>
              </w:rPr>
            </w:pPr>
            <w:r>
              <w:rPr>
                <w:rFonts w:ascii="Courier New" w:cs="Courier New" w:eastAsia="Courier New" w:hAnsi="Courier New"/>
                <w:sz w:val="15"/>
                <w:szCs w:val="15"/>
                <w:color w:val="auto"/>
              </w:rPr>
              <w:t>SHAREHOLDERS' EQUITY</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92,074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132,990</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5000" w:type="dxa"/>
            <w:vAlign w:val="bottom"/>
          </w:tcPr>
          <w:p>
            <w:pPr>
              <w:ind w:left="10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$656,323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$699,718</w:t>
            </w:r>
          </w:p>
        </w:tc>
      </w:tr>
      <w:tr>
        <w:trPr>
          <w:trHeight w:val="175"/>
        </w:trPr>
        <w:tc>
          <w:tcPr>
            <w:tcW w:w="500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817" w:right="1440" w:bottom="1440" w:gutter="0" w:footer="0" w:header="0"/>
        </w:sectPr>
      </w:pPr>
    </w:p>
    <w:bookmarkStart w:id="6" w:name="page7"/>
    <w:bookmarkEnd w:id="6"/>
    <w:p>
      <w:pPr>
        <w:jc w:val="center"/>
        <w:ind w:right="4153"/>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5" w:lineRule="exact"/>
        <w:rPr>
          <w:sz w:val="20"/>
          <w:szCs w:val="20"/>
          <w:color w:val="auto"/>
        </w:rPr>
      </w:pPr>
    </w:p>
    <w:p>
      <w:pPr>
        <w:jc w:val="center"/>
        <w:ind w:right="4153"/>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72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99"/>
        </w:trPr>
        <w:tc>
          <w:tcPr>
            <w:tcW w:w="4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w w:val="99"/>
              </w:rPr>
              <w:t>SIX MONTHS ENDED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center"/>
              <w:ind w:left="564"/>
              <w:spacing w:after="0"/>
              <w:rPr>
                <w:sz w:val="20"/>
                <w:szCs w:val="20"/>
                <w:color w:val="auto"/>
              </w:rPr>
            </w:pPr>
            <w:r>
              <w:rPr>
                <w:rFonts w:ascii="Courier New" w:cs="Courier New" w:eastAsia="Courier New" w:hAnsi="Courier New"/>
                <w:sz w:val="15"/>
                <w:szCs w:val="15"/>
                <w:color w:val="auto"/>
              </w:rPr>
              <w:t>THREE MONTHS ENDED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4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w w:val="99"/>
              </w:rPr>
              <w:t>JUNE 30,</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2"/>
          </w:tcPr>
          <w:p>
            <w:pPr>
              <w:jc w:val="center"/>
              <w:ind w:right="244"/>
              <w:spacing w:after="0"/>
              <w:rPr>
                <w:sz w:val="20"/>
                <w:szCs w:val="20"/>
                <w:color w:val="auto"/>
              </w:rPr>
            </w:pPr>
            <w:r>
              <w:rPr>
                <w:rFonts w:ascii="Courier New" w:cs="Courier New" w:eastAsia="Courier New" w:hAnsi="Courier New"/>
                <w:sz w:val="15"/>
                <w:szCs w:val="15"/>
                <w:color w:val="auto"/>
                <w:w w:val="99"/>
              </w:rPr>
              <w:t>JUNE 30,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4080" w:type="dxa"/>
            <w:vAlign w:val="bottom"/>
          </w:tcPr>
          <w:p>
            <w:pPr>
              <w:spacing w:after="0"/>
              <w:rPr>
                <w:sz w:val="15"/>
                <w:szCs w:val="15"/>
                <w:color w:val="auto"/>
              </w:rPr>
            </w:pPr>
          </w:p>
        </w:tc>
        <w:tc>
          <w:tcPr>
            <w:tcW w:w="3820" w:type="dxa"/>
            <w:vAlign w:val="bottom"/>
            <w:gridSpan w:val="5"/>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2007</w:t>
            </w:r>
          </w:p>
        </w:tc>
        <w:tc>
          <w:tcPr>
            <w:tcW w:w="500" w:type="dxa"/>
            <w:vAlign w:val="bottom"/>
          </w:tcPr>
          <w:p>
            <w:pPr>
              <w:spacing w:after="0"/>
              <w:rPr>
                <w:sz w:val="15"/>
                <w:szCs w:val="15"/>
                <w:color w:val="auto"/>
              </w:rPr>
            </w:pPr>
          </w:p>
        </w:tc>
        <w:tc>
          <w:tcPr>
            <w:tcW w:w="1040" w:type="dxa"/>
            <w:vAlign w:val="bottom"/>
          </w:tcPr>
          <w:p>
            <w:pPr>
              <w:jc w:val="center"/>
              <w:ind w:right="524"/>
              <w:spacing w:after="0"/>
              <w:rPr>
                <w:sz w:val="20"/>
                <w:szCs w:val="20"/>
                <w:color w:val="auto"/>
              </w:rPr>
            </w:pPr>
            <w:r>
              <w:rPr>
                <w:rFonts w:ascii="Courier New" w:cs="Courier New" w:eastAsia="Courier New" w:hAnsi="Courier New"/>
                <w:sz w:val="15"/>
                <w:szCs w:val="15"/>
                <w:color w:val="auto"/>
                <w:w w:val="99"/>
              </w:rPr>
              <w:t>2006</w:t>
            </w:r>
          </w:p>
        </w:tc>
        <w:tc>
          <w:tcPr>
            <w:tcW w:w="22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2005</w:t>
            </w:r>
          </w:p>
        </w:tc>
        <w:tc>
          <w:tcPr>
            <w:tcW w:w="32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2007</w:t>
            </w:r>
          </w:p>
        </w:tc>
        <w:tc>
          <w:tcPr>
            <w:tcW w:w="320" w:type="dxa"/>
            <w:vAlign w:val="bottom"/>
          </w:tcPr>
          <w:p>
            <w:pPr>
              <w:spacing w:after="0"/>
              <w:rPr>
                <w:sz w:val="15"/>
                <w:szCs w:val="15"/>
                <w:color w:val="auto"/>
              </w:rPr>
            </w:pPr>
          </w:p>
        </w:tc>
        <w:tc>
          <w:tcPr>
            <w:tcW w:w="1080" w:type="dxa"/>
            <w:vAlign w:val="bottom"/>
          </w:tcPr>
          <w:p>
            <w:pPr>
              <w:jc w:val="center"/>
              <w:ind w:right="564"/>
              <w:spacing w:after="0"/>
              <w:rPr>
                <w:sz w:val="20"/>
                <w:szCs w:val="20"/>
                <w:color w:val="auto"/>
              </w:rPr>
            </w:pPr>
            <w:r>
              <w:rPr>
                <w:rFonts w:ascii="Courier New" w:cs="Courier New" w:eastAsia="Courier New" w:hAnsi="Courier New"/>
                <w:sz w:val="15"/>
                <w:szCs w:val="15"/>
                <w:color w:val="auto"/>
                <w:w w:val="99"/>
              </w:rPr>
              <w:t>2006</w:t>
            </w:r>
          </w:p>
        </w:tc>
        <w:tc>
          <w:tcPr>
            <w:tcW w:w="180" w:type="dxa"/>
            <w:vAlign w:val="bottom"/>
          </w:tcPr>
          <w:p>
            <w:pPr>
              <w:spacing w:after="0"/>
              <w:rPr>
                <w:sz w:val="15"/>
                <w:szCs w:val="15"/>
                <w:color w:val="auto"/>
              </w:rPr>
            </w:pPr>
          </w:p>
        </w:tc>
        <w:tc>
          <w:tcPr>
            <w:tcW w:w="7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GAAP</w:t>
            </w:r>
          </w:p>
        </w:tc>
        <w:tc>
          <w:tcPr>
            <w:tcW w:w="500" w:type="dxa"/>
            <w:vAlign w:val="bottom"/>
          </w:tcPr>
          <w:p>
            <w:pPr>
              <w:spacing w:after="0"/>
              <w:rPr>
                <w:sz w:val="15"/>
                <w:szCs w:val="15"/>
                <w:color w:val="auto"/>
              </w:rPr>
            </w:pPr>
          </w:p>
        </w:tc>
        <w:tc>
          <w:tcPr>
            <w:tcW w:w="1040" w:type="dxa"/>
            <w:vAlign w:val="bottom"/>
          </w:tcPr>
          <w:p>
            <w:pPr>
              <w:jc w:val="center"/>
              <w:ind w:right="524"/>
              <w:spacing w:after="0"/>
              <w:rPr>
                <w:sz w:val="20"/>
                <w:szCs w:val="20"/>
                <w:color w:val="auto"/>
              </w:rPr>
            </w:pPr>
            <w:r>
              <w:rPr>
                <w:rFonts w:ascii="Courier New" w:cs="Courier New" w:eastAsia="Courier New" w:hAnsi="Courier New"/>
                <w:sz w:val="15"/>
                <w:szCs w:val="15"/>
                <w:color w:val="auto"/>
                <w:w w:val="99"/>
              </w:rPr>
              <w:t>GAAP</w:t>
            </w:r>
          </w:p>
        </w:tc>
        <w:tc>
          <w:tcPr>
            <w:tcW w:w="220" w:type="dxa"/>
            <w:vAlign w:val="bottom"/>
          </w:tcPr>
          <w:p>
            <w:pPr>
              <w:spacing w:after="0"/>
              <w:rPr>
                <w:sz w:val="15"/>
                <w:szCs w:val="15"/>
                <w:color w:val="auto"/>
              </w:rPr>
            </w:pPr>
          </w:p>
        </w:tc>
        <w:tc>
          <w:tcPr>
            <w:tcW w:w="9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GAAP</w:t>
            </w:r>
          </w:p>
        </w:tc>
        <w:tc>
          <w:tcPr>
            <w:tcW w:w="320" w:type="dxa"/>
            <w:vAlign w:val="bottom"/>
          </w:tcPr>
          <w:p>
            <w:pPr>
              <w:spacing w:after="0"/>
              <w:rPr>
                <w:sz w:val="15"/>
                <w:szCs w:val="15"/>
                <w:color w:val="auto"/>
              </w:rPr>
            </w:pPr>
          </w:p>
        </w:tc>
        <w:tc>
          <w:tcPr>
            <w:tcW w:w="9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GAAP</w:t>
            </w:r>
          </w:p>
        </w:tc>
        <w:tc>
          <w:tcPr>
            <w:tcW w:w="320" w:type="dxa"/>
            <w:vAlign w:val="bottom"/>
          </w:tcPr>
          <w:p>
            <w:pPr>
              <w:spacing w:after="0"/>
              <w:rPr>
                <w:sz w:val="15"/>
                <w:szCs w:val="15"/>
                <w:color w:val="auto"/>
              </w:rPr>
            </w:pPr>
          </w:p>
        </w:tc>
        <w:tc>
          <w:tcPr>
            <w:tcW w:w="1080" w:type="dxa"/>
            <w:vAlign w:val="bottom"/>
          </w:tcPr>
          <w:p>
            <w:pPr>
              <w:jc w:val="center"/>
              <w:ind w:right="564"/>
              <w:spacing w:after="0"/>
              <w:rPr>
                <w:sz w:val="20"/>
                <w:szCs w:val="20"/>
                <w:color w:val="auto"/>
              </w:rPr>
            </w:pPr>
            <w:r>
              <w:rPr>
                <w:rFonts w:ascii="Courier New" w:cs="Courier New" w:eastAsia="Courier New" w:hAnsi="Courier New"/>
                <w:sz w:val="15"/>
                <w:szCs w:val="15"/>
                <w:color w:val="auto"/>
                <w:w w:val="99"/>
              </w:rPr>
              <w:t>GAAP</w:t>
            </w:r>
          </w:p>
        </w:tc>
        <w:tc>
          <w:tcPr>
            <w:tcW w:w="180" w:type="dxa"/>
            <w:vAlign w:val="bottom"/>
          </w:tcPr>
          <w:p>
            <w:pPr>
              <w:spacing w:after="0"/>
              <w:rPr>
                <w:sz w:val="15"/>
                <w:szCs w:val="15"/>
                <w:color w:val="auto"/>
              </w:rPr>
            </w:pPr>
          </w:p>
        </w:tc>
        <w:tc>
          <w:tcPr>
            <w:tcW w:w="76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GAAP</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$ 112,666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80,430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50,375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57,062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44,555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27,208</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142,878</w:t>
            </w:r>
          </w:p>
        </w:tc>
        <w:tc>
          <w:tcPr>
            <w:tcW w:w="50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126,422</w:t>
            </w:r>
          </w:p>
        </w:tc>
        <w:tc>
          <w:tcPr>
            <w:tcW w:w="2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122,468</w:t>
            </w:r>
          </w:p>
        </w:tc>
        <w:tc>
          <w:tcPr>
            <w:tcW w:w="3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71,384</w:t>
            </w:r>
          </w:p>
        </w:tc>
        <w:tc>
          <w:tcPr>
            <w:tcW w:w="320" w:type="dxa"/>
            <w:vAlign w:val="bottom"/>
          </w:tcPr>
          <w:p>
            <w:pPr>
              <w:spacing w:after="0"/>
              <w:rPr>
                <w:sz w:val="24"/>
                <w:szCs w:val="2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65,142</w:t>
            </w:r>
          </w:p>
        </w:tc>
        <w:tc>
          <w:tcPr>
            <w:tcW w:w="18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61,254</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ind w:left="720"/>
              <w:spacing w:after="0"/>
              <w:rPr>
                <w:sz w:val="20"/>
                <w:szCs w:val="20"/>
                <w:color w:val="auto"/>
              </w:rPr>
            </w:pPr>
            <w:r>
              <w:rPr>
                <w:rFonts w:ascii="Courier New" w:cs="Courier New" w:eastAsia="Courier New" w:hAnsi="Courier New"/>
                <w:sz w:val="15"/>
                <w:szCs w:val="15"/>
                <w:color w:val="auto"/>
              </w:rPr>
              <w:t>GROSS PROFIT (LOSS)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(30,212)</w:t>
            </w:r>
          </w:p>
        </w:tc>
        <w:tc>
          <w:tcPr>
            <w:tcW w:w="500" w:type="dxa"/>
            <w:vAlign w:val="bottom"/>
          </w:tcPr>
          <w:p>
            <w:pPr>
              <w:spacing w:after="0"/>
              <w:rPr>
                <w:sz w:val="24"/>
                <w:szCs w:val="24"/>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(45,992)</w:t>
            </w:r>
          </w:p>
        </w:tc>
        <w:tc>
          <w:tcPr>
            <w:tcW w:w="22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(72,093)</w:t>
            </w:r>
          </w:p>
        </w:tc>
        <w:tc>
          <w:tcPr>
            <w:tcW w:w="32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(14,322)</w:t>
            </w:r>
          </w:p>
        </w:tc>
        <w:tc>
          <w:tcPr>
            <w:tcW w:w="320" w:type="dxa"/>
            <w:vAlign w:val="bottom"/>
          </w:tcPr>
          <w:p>
            <w:pPr>
              <w:spacing w:after="0"/>
              <w:rPr>
                <w:sz w:val="24"/>
                <w:szCs w:val="24"/>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(20,587)</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(34,046)</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6,952</w:t>
            </w:r>
          </w:p>
        </w:tc>
        <w:tc>
          <w:tcPr>
            <w:tcW w:w="50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6,928</w:t>
            </w:r>
          </w:p>
        </w:tc>
        <w:tc>
          <w:tcPr>
            <w:tcW w:w="2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8,649</w:t>
            </w:r>
          </w:p>
        </w:tc>
        <w:tc>
          <w:tcPr>
            <w:tcW w:w="3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3,355</w:t>
            </w:r>
          </w:p>
        </w:tc>
        <w:tc>
          <w:tcPr>
            <w:tcW w:w="320" w:type="dxa"/>
            <w:vAlign w:val="bottom"/>
          </w:tcPr>
          <w:p>
            <w:pPr>
              <w:spacing w:after="0"/>
              <w:rPr>
                <w:sz w:val="24"/>
                <w:szCs w:val="2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3,574</w:t>
            </w:r>
          </w:p>
        </w:tc>
        <w:tc>
          <w:tcPr>
            <w:tcW w:w="18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3,886</w:t>
            </w:r>
          </w:p>
        </w:tc>
      </w:tr>
      <w:tr>
        <w:trPr>
          <w:trHeight w:val="175"/>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MARKETING, GENERAL&amp;ADMINISTRATIVE</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15,176</w:t>
            </w:r>
          </w:p>
        </w:tc>
        <w:tc>
          <w:tcPr>
            <w:tcW w:w="50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10,798</w:t>
            </w:r>
          </w:p>
        </w:tc>
        <w:tc>
          <w:tcPr>
            <w:tcW w:w="2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8,766</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7,351</w:t>
            </w:r>
          </w:p>
        </w:tc>
        <w:tc>
          <w:tcPr>
            <w:tcW w:w="320" w:type="dxa"/>
            <w:vAlign w:val="bottom"/>
          </w:tcPr>
          <w:p>
            <w:pPr>
              <w:spacing w:after="0"/>
              <w:rPr>
                <w:sz w:val="15"/>
                <w:szCs w:val="15"/>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5,474</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4,238</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22,128</w:t>
            </w:r>
          </w:p>
        </w:tc>
        <w:tc>
          <w:tcPr>
            <w:tcW w:w="50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17,726</w:t>
            </w:r>
          </w:p>
        </w:tc>
        <w:tc>
          <w:tcPr>
            <w:tcW w:w="2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17,415</w:t>
            </w:r>
          </w:p>
        </w:tc>
        <w:tc>
          <w:tcPr>
            <w:tcW w:w="3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10,706</w:t>
            </w:r>
          </w:p>
        </w:tc>
        <w:tc>
          <w:tcPr>
            <w:tcW w:w="320" w:type="dxa"/>
            <w:vAlign w:val="bottom"/>
          </w:tcPr>
          <w:p>
            <w:pPr>
              <w:spacing w:after="0"/>
              <w:rPr>
                <w:sz w:val="24"/>
                <w:szCs w:val="2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9,048</w:t>
            </w:r>
          </w:p>
        </w:tc>
        <w:tc>
          <w:tcPr>
            <w:tcW w:w="18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8,124</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ind w:left="720"/>
              <w:spacing w:after="0"/>
              <w:rPr>
                <w:sz w:val="20"/>
                <w:szCs w:val="20"/>
                <w:color w:val="auto"/>
              </w:rPr>
            </w:pPr>
            <w:r>
              <w:rPr>
                <w:rFonts w:ascii="Courier New" w:cs="Courier New" w:eastAsia="Courier New" w:hAnsi="Courier New"/>
                <w:sz w:val="15"/>
                <w:szCs w:val="15"/>
                <w:color w:val="auto"/>
              </w:rPr>
              <w:t>OPERATING PROFIT (LOSS)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(52,340)</w:t>
            </w:r>
          </w:p>
        </w:tc>
        <w:tc>
          <w:tcPr>
            <w:tcW w:w="500" w:type="dxa"/>
            <w:vAlign w:val="bottom"/>
          </w:tcPr>
          <w:p>
            <w:pPr>
              <w:spacing w:after="0"/>
              <w:rPr>
                <w:sz w:val="24"/>
                <w:szCs w:val="24"/>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(63,718)</w:t>
            </w:r>
          </w:p>
        </w:tc>
        <w:tc>
          <w:tcPr>
            <w:tcW w:w="22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(89,508)</w:t>
            </w:r>
          </w:p>
        </w:tc>
        <w:tc>
          <w:tcPr>
            <w:tcW w:w="32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(25,028)</w:t>
            </w:r>
          </w:p>
        </w:tc>
        <w:tc>
          <w:tcPr>
            <w:tcW w:w="320" w:type="dxa"/>
            <w:vAlign w:val="bottom"/>
          </w:tcPr>
          <w:p>
            <w:pPr>
              <w:spacing w:after="0"/>
              <w:rPr>
                <w:sz w:val="24"/>
                <w:szCs w:val="24"/>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(29,635)</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(42,170)</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FINANCING EXPENSE, NET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(19,554)</w:t>
            </w:r>
          </w:p>
        </w:tc>
        <w:tc>
          <w:tcPr>
            <w:tcW w:w="500" w:type="dxa"/>
            <w:vAlign w:val="bottom"/>
          </w:tcPr>
          <w:p>
            <w:pPr>
              <w:spacing w:after="0"/>
              <w:rPr>
                <w:sz w:val="24"/>
                <w:szCs w:val="24"/>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(25,575)</w:t>
            </w:r>
          </w:p>
        </w:tc>
        <w:tc>
          <w:tcPr>
            <w:tcW w:w="22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(15,528)</w:t>
            </w:r>
          </w:p>
        </w:tc>
        <w:tc>
          <w:tcPr>
            <w:tcW w:w="32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(9,406)</w:t>
            </w:r>
          </w:p>
        </w:tc>
        <w:tc>
          <w:tcPr>
            <w:tcW w:w="320" w:type="dxa"/>
            <w:vAlign w:val="bottom"/>
          </w:tcPr>
          <w:p>
            <w:pPr>
              <w:spacing w:after="0"/>
              <w:rPr>
                <w:sz w:val="24"/>
                <w:szCs w:val="24"/>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(14,051)</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(7,353)</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w:t>
            </w:r>
          </w:p>
        </w:tc>
        <w:tc>
          <w:tcPr>
            <w:tcW w:w="500" w:type="dxa"/>
            <w:vAlign w:val="bottom"/>
          </w:tcPr>
          <w:p>
            <w:pPr>
              <w:spacing w:after="0"/>
              <w:rPr>
                <w:sz w:val="24"/>
                <w:szCs w:val="24"/>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591</w:t>
            </w:r>
          </w:p>
        </w:tc>
        <w:tc>
          <w:tcPr>
            <w:tcW w:w="2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2,476</w:t>
            </w:r>
          </w:p>
        </w:tc>
        <w:tc>
          <w:tcPr>
            <w:tcW w:w="320" w:type="dxa"/>
            <w:vAlign w:val="bottom"/>
          </w:tcPr>
          <w:p>
            <w:pPr>
              <w:spacing w:after="0"/>
              <w:rPr>
                <w:sz w:val="24"/>
                <w:szCs w:val="24"/>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24"/>
                <w:szCs w:val="2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24"/>
                <w:szCs w:val="24"/>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2,283</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ind w:left="1180"/>
              <w:spacing w:after="0"/>
              <w:rPr>
                <w:sz w:val="20"/>
                <w:szCs w:val="20"/>
                <w:color w:val="auto"/>
              </w:rPr>
            </w:pPr>
            <w:r>
              <w:rPr>
                <w:rFonts w:ascii="Courier New" w:cs="Courier New" w:eastAsia="Courier New" w:hAnsi="Courier New"/>
                <w:sz w:val="15"/>
                <w:szCs w:val="15"/>
                <w:color w:val="auto"/>
              </w:rPr>
              <w:t>NET LOSS FOR THE PERIOD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(71,821)</w:t>
            </w:r>
          </w:p>
        </w:tc>
        <w:tc>
          <w:tcPr>
            <w:tcW w:w="1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(88,702)</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$(102,560)</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(34,430)</w:t>
            </w:r>
          </w:p>
        </w:tc>
        <w:tc>
          <w:tcPr>
            <w:tcW w:w="14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(43,646)</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(47,240)</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LOSS PER ORDINARY SHARE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0"/>
        </w:trPr>
        <w:tc>
          <w:tcPr>
            <w:tcW w:w="4080" w:type="dxa"/>
            <w:vAlign w:val="bottom"/>
          </w:tcPr>
          <w:p>
            <w:pPr>
              <w:ind w:left="540"/>
              <w:spacing w:after="0"/>
              <w:rPr>
                <w:sz w:val="20"/>
                <w:szCs w:val="20"/>
                <w:color w:val="auto"/>
              </w:rPr>
            </w:pPr>
            <w:r>
              <w:rPr>
                <w:rFonts w:ascii="Courier New" w:cs="Courier New" w:eastAsia="Courier New" w:hAnsi="Courier New"/>
                <w:sz w:val="15"/>
                <w:szCs w:val="15"/>
                <w:color w:val="auto"/>
              </w:rPr>
              <w:t>(*)  BASIC AND DILUTED LOSS PER SHARE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(0.63)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4080" w:type="dxa"/>
            <w:vAlign w:val="bottom"/>
          </w:tcPr>
          <w:p>
            <w:pPr>
              <w:ind w:left="720"/>
              <w:spacing w:after="0"/>
              <w:rPr>
                <w:sz w:val="20"/>
                <w:szCs w:val="20"/>
                <w:color w:val="auto"/>
              </w:rPr>
            </w:pPr>
            <w:r>
              <w:rPr>
                <w:rFonts w:ascii="Courier New" w:cs="Courier New" w:eastAsia="Courier New" w:hAnsi="Courier New"/>
                <w:sz w:val="15"/>
                <w:szCs w:val="15"/>
                <w:color w:val="auto"/>
              </w:rPr>
              <w:t>SHARES OUTSTANDING - IN THOUSANDS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113,584</w:t>
            </w:r>
          </w:p>
        </w:tc>
        <w:tc>
          <w:tcPr>
            <w:tcW w:w="50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75,313</w:t>
            </w:r>
          </w:p>
        </w:tc>
        <w:tc>
          <w:tcPr>
            <w:tcW w:w="2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65,946</w:t>
            </w:r>
          </w:p>
        </w:tc>
        <w:tc>
          <w:tcPr>
            <w:tcW w:w="3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122,014</w:t>
            </w:r>
          </w:p>
        </w:tc>
        <w:tc>
          <w:tcPr>
            <w:tcW w:w="320" w:type="dxa"/>
            <w:vAlign w:val="bottom"/>
          </w:tcPr>
          <w:p>
            <w:pPr>
              <w:spacing w:after="0"/>
              <w:rPr>
                <w:sz w:val="15"/>
                <w:szCs w:val="15"/>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78,716</w:t>
            </w:r>
          </w:p>
        </w:tc>
        <w:tc>
          <w:tcPr>
            <w:tcW w:w="18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66,190</w:t>
            </w:r>
          </w:p>
        </w:tc>
      </w:tr>
      <w:tr>
        <w:trPr>
          <w:trHeight w:val="175"/>
        </w:trPr>
        <w:tc>
          <w:tcPr>
            <w:tcW w:w="40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447" w:right="4440" w:hanging="447"/>
        <w:spacing w:after="0" w:line="246" w:lineRule="auto"/>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LOSS PER SHARE IN ACCORDANCE WITH U.S. GAAP FOR THE SIX AND THREE MONTHS PERIODS ENDED JUNE 30, 2007 ARE $0.65 AND $0.28,</w:t>
      </w:r>
    </w:p>
    <w:p>
      <w:pPr>
        <w:spacing w:after="0" w:line="1" w:lineRule="exact"/>
        <w:rPr>
          <w:rFonts w:ascii="Courier New" w:cs="Courier New" w:eastAsia="Courier New" w:hAnsi="Courier New"/>
          <w:sz w:val="15"/>
          <w:szCs w:val="15"/>
          <w:color w:val="auto"/>
        </w:rPr>
      </w:pPr>
    </w:p>
    <w:p>
      <w:pPr>
        <w:ind w:left="447" w:right="4340"/>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RESPECTIVELY, FOR THE SIX AND THREE MONTHS PERIODS ENDED JUNE 30, 2006 ARE $1.16 AND $0.60, RESPECTIVELY, AND ARE THE SAME AS THE ISR. GAAP DATA FOR THE SIX AND THREE MONTHS PERIODS ENDED JUNE 30, 2005.</w:t>
      </w:r>
    </w:p>
    <w:p>
      <w:pPr>
        <w:sectPr>
          <w:pgSz w:w="11900" w:h="16838" w:orient="portrait"/>
          <w:cols w:equalWidth="0" w:num="1">
            <w:col w:w="11527"/>
          </w:cols>
          <w:pgMar w:left="233" w:top="817" w:right="139" w:bottom="1440" w:gutter="0" w:footer="0" w:header="0"/>
        </w:sectPr>
      </w:pPr>
    </w:p>
    <w:bookmarkStart w:id="7" w:name="page8"/>
    <w:bookmarkEnd w:id="7"/>
    <w:p>
      <w:pPr>
        <w:jc w:val="center"/>
        <w:ind w:right="4073"/>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5" w:lineRule="exact"/>
        <w:rPr>
          <w:sz w:val="20"/>
          <w:szCs w:val="20"/>
          <w:color w:val="auto"/>
        </w:rPr>
      </w:pPr>
    </w:p>
    <w:p>
      <w:pPr>
        <w:jc w:val="center"/>
        <w:ind w:right="4073"/>
        <w:spacing w:after="0"/>
        <w:rPr>
          <w:sz w:val="20"/>
          <w:szCs w:val="20"/>
          <w:color w:val="auto"/>
        </w:rPr>
      </w:pPr>
      <w:r>
        <w:rPr>
          <w:rFonts w:ascii="Courier New" w:cs="Courier New" w:eastAsia="Courier New" w:hAnsi="Courier New"/>
          <w:sz w:val="15"/>
          <w:szCs w:val="15"/>
          <w:color w:val="auto"/>
        </w:rPr>
        <w:t>RECONCILIATION OF REPORTED GAAP TO NON-GAAP</w:t>
      </w:r>
    </w:p>
    <w:p>
      <w:pPr>
        <w:spacing w:after="0" w:line="5" w:lineRule="exact"/>
        <w:rPr>
          <w:sz w:val="20"/>
          <w:szCs w:val="20"/>
          <w:color w:val="auto"/>
        </w:rPr>
      </w:pPr>
    </w:p>
    <w:p>
      <w:pPr>
        <w:jc w:val="center"/>
        <w:ind w:right="4073"/>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3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SIX MONTHS ENDED</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spacing w:after="0"/>
              <w:rPr>
                <w:sz w:val="24"/>
                <w:szCs w:val="24"/>
                <w:color w:val="auto"/>
              </w:rPr>
            </w:pPr>
          </w:p>
        </w:tc>
      </w:tr>
      <w:tr>
        <w:trPr>
          <w:trHeight w:val="175"/>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 2007</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JUNE 30, 2007</w:t>
            </w:r>
          </w:p>
        </w:tc>
        <w:tc>
          <w:tcPr>
            <w:tcW w:w="100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400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820" w:type="dxa"/>
            <w:vAlign w:val="bottom"/>
            <w:gridSpan w:val="5"/>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DEPRECIATION,</w:t>
            </w:r>
          </w:p>
        </w:tc>
        <w:tc>
          <w:tcPr>
            <w:tcW w:w="100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AMORTIZATION AND</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AMORTIZATION AND</w:t>
            </w:r>
          </w:p>
        </w:tc>
        <w:tc>
          <w:tcPr>
            <w:tcW w:w="100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STOCK BASED</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STOCK BASED</w:t>
            </w:r>
          </w:p>
        </w:tc>
        <w:tc>
          <w:tcPr>
            <w:tcW w:w="100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COMPENSATION</w:t>
            </w:r>
          </w:p>
        </w:tc>
        <w:tc>
          <w:tcPr>
            <w:tcW w:w="100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EXPENSES</w:t>
            </w:r>
          </w:p>
        </w:tc>
        <w:tc>
          <w:tcPr>
            <w:tcW w:w="1000" w:type="dxa"/>
            <w:vAlign w:val="bottom"/>
          </w:tcPr>
          <w:p>
            <w:pPr>
              <w:spacing w:after="0"/>
              <w:rPr>
                <w:sz w:val="15"/>
                <w:szCs w:val="15"/>
                <w:color w:val="auto"/>
              </w:rPr>
            </w:pPr>
          </w:p>
        </w:tc>
      </w:tr>
      <w:tr>
        <w:trPr>
          <w:trHeight w:val="175"/>
        </w:trPr>
        <w:tc>
          <w:tcPr>
            <w:tcW w:w="3620" w:type="dxa"/>
            <w:vAlign w:val="bottom"/>
          </w:tcPr>
          <w:p>
            <w:pPr>
              <w:spacing w:after="0"/>
              <w:rPr>
                <w:sz w:val="15"/>
                <w:szCs w:val="15"/>
                <w:color w:val="auto"/>
              </w:rPr>
            </w:pPr>
          </w:p>
        </w:tc>
        <w:tc>
          <w:tcPr>
            <w:tcW w:w="28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NON-GAAP (SEE A, B, C BELOW)</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GAAP</w:t>
            </w:r>
          </w:p>
        </w:tc>
        <w:tc>
          <w:tcPr>
            <w:tcW w:w="28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NON-GAAP (SEE A, B, C BELOW)</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GAAP</w:t>
            </w:r>
          </w:p>
        </w:tc>
      </w:tr>
      <w:tr>
        <w:trPr>
          <w:trHeight w:val="175"/>
        </w:trPr>
        <w:tc>
          <w:tcPr>
            <w:tcW w:w="3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$ 112,666</w:t>
            </w:r>
          </w:p>
        </w:tc>
        <w:tc>
          <w:tcPr>
            <w:tcW w:w="5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$ 112,666</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57,062</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57,062</w:t>
            </w: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72,607</w:t>
            </w:r>
          </w:p>
        </w:tc>
        <w:tc>
          <w:tcPr>
            <w:tcW w:w="500" w:type="dxa"/>
            <w:vAlign w:val="bottom"/>
          </w:tcPr>
          <w:p>
            <w:pPr>
              <w:spacing w:after="0"/>
              <w:rPr>
                <w:sz w:val="24"/>
                <w:szCs w:val="24"/>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70,271(A)</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142,878</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37,889</w:t>
            </w:r>
          </w:p>
        </w:tc>
        <w:tc>
          <w:tcPr>
            <w:tcW w:w="440" w:type="dxa"/>
            <w:vAlign w:val="bottom"/>
          </w:tcPr>
          <w:p>
            <w:pPr>
              <w:spacing w:after="0"/>
              <w:rPr>
                <w:sz w:val="24"/>
                <w:szCs w:val="24"/>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33,495(A)</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71,384</w:t>
            </w:r>
          </w:p>
        </w:tc>
      </w:tr>
      <w:tr>
        <w:trPr>
          <w:trHeight w:val="175"/>
        </w:trPr>
        <w:tc>
          <w:tcPr>
            <w:tcW w:w="3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620" w:type="dxa"/>
            <w:vAlign w:val="bottom"/>
          </w:tcPr>
          <w:p>
            <w:pPr>
              <w:ind w:left="720"/>
              <w:spacing w:after="0"/>
              <w:rPr>
                <w:sz w:val="20"/>
                <w:szCs w:val="20"/>
                <w:color w:val="auto"/>
              </w:rPr>
            </w:pPr>
            <w:r>
              <w:rPr>
                <w:rFonts w:ascii="Courier New" w:cs="Courier New" w:eastAsia="Courier New" w:hAnsi="Courier New"/>
                <w:sz w:val="15"/>
                <w:szCs w:val="15"/>
                <w:color w:val="auto"/>
              </w:rPr>
              <w:t>GROSS PROFIT (LOSS)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40,059</w:t>
            </w:r>
          </w:p>
        </w:tc>
        <w:tc>
          <w:tcPr>
            <w:tcW w:w="500" w:type="dxa"/>
            <w:vAlign w:val="bottom"/>
          </w:tcPr>
          <w:p>
            <w:pPr>
              <w:spacing w:after="0"/>
              <w:rPr>
                <w:sz w:val="24"/>
                <w:szCs w:val="24"/>
                <w:color w:val="auto"/>
              </w:rPr>
            </w:pP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(70,271)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(30,212)</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19,173</w:t>
            </w:r>
          </w:p>
        </w:tc>
        <w:tc>
          <w:tcPr>
            <w:tcW w:w="440" w:type="dxa"/>
            <w:vAlign w:val="bottom"/>
          </w:tcPr>
          <w:p>
            <w:pPr>
              <w:spacing w:after="0"/>
              <w:rPr>
                <w:sz w:val="24"/>
                <w:szCs w:val="24"/>
                <w:color w:val="auto"/>
              </w:rPr>
            </w:pP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(33,495)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(14,322)</w:t>
            </w:r>
          </w:p>
        </w:tc>
      </w:tr>
      <w:tr>
        <w:trPr>
          <w:trHeight w:val="175"/>
        </w:trPr>
        <w:tc>
          <w:tcPr>
            <w:tcW w:w="3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0"/>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5,227</w:t>
            </w:r>
          </w:p>
        </w:tc>
        <w:tc>
          <w:tcPr>
            <w:tcW w:w="500" w:type="dxa"/>
            <w:vAlign w:val="bottom"/>
          </w:tcPr>
          <w:p>
            <w:pPr>
              <w:spacing w:after="0"/>
              <w:rPr>
                <w:sz w:val="24"/>
                <w:szCs w:val="24"/>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1,725(B)</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6,952</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2,475</w:t>
            </w:r>
          </w:p>
        </w:tc>
        <w:tc>
          <w:tcPr>
            <w:tcW w:w="440" w:type="dxa"/>
            <w:vAlign w:val="bottom"/>
          </w:tcPr>
          <w:p>
            <w:pPr>
              <w:spacing w:after="0"/>
              <w:rPr>
                <w:sz w:val="24"/>
                <w:szCs w:val="24"/>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880(B)</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3,355</w:t>
            </w:r>
          </w:p>
        </w:tc>
      </w:tr>
      <w:tr>
        <w:trPr>
          <w:trHeight w:val="175"/>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MARKETING, GENERAL&amp;ADMINISTRATIVE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11,468</w:t>
            </w:r>
          </w:p>
        </w:tc>
        <w:tc>
          <w:tcPr>
            <w:tcW w:w="50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3,708(C)</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15,176</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5,164</w:t>
            </w:r>
          </w:p>
        </w:tc>
        <w:tc>
          <w:tcPr>
            <w:tcW w:w="440" w:type="dxa"/>
            <w:vAlign w:val="bottom"/>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2,187(C)</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7,351</w:t>
            </w:r>
          </w:p>
        </w:tc>
      </w:tr>
      <w:tr>
        <w:trPr>
          <w:trHeight w:val="175"/>
        </w:trPr>
        <w:tc>
          <w:tcPr>
            <w:tcW w:w="3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6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16,695</w:t>
            </w:r>
          </w:p>
        </w:tc>
        <w:tc>
          <w:tcPr>
            <w:tcW w:w="500" w:type="dxa"/>
            <w:vAlign w:val="bottom"/>
          </w:tcPr>
          <w:p>
            <w:pPr>
              <w:spacing w:after="0"/>
              <w:rPr>
                <w:sz w:val="24"/>
                <w:szCs w:val="24"/>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5,433</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22,128</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7,639</w:t>
            </w:r>
          </w:p>
        </w:tc>
        <w:tc>
          <w:tcPr>
            <w:tcW w:w="440" w:type="dxa"/>
            <w:vAlign w:val="bottom"/>
          </w:tcPr>
          <w:p>
            <w:pPr>
              <w:spacing w:after="0"/>
              <w:rPr>
                <w:sz w:val="24"/>
                <w:szCs w:val="24"/>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3,067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10,706</w:t>
            </w:r>
          </w:p>
        </w:tc>
      </w:tr>
      <w:tr>
        <w:trPr>
          <w:trHeight w:val="175"/>
        </w:trPr>
        <w:tc>
          <w:tcPr>
            <w:tcW w:w="3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620" w:type="dxa"/>
            <w:vAlign w:val="bottom"/>
          </w:tcPr>
          <w:p>
            <w:pPr>
              <w:ind w:left="720"/>
              <w:spacing w:after="0"/>
              <w:rPr>
                <w:sz w:val="20"/>
                <w:szCs w:val="20"/>
                <w:color w:val="auto"/>
              </w:rPr>
            </w:pPr>
            <w:r>
              <w:rPr>
                <w:rFonts w:ascii="Courier New" w:cs="Courier New" w:eastAsia="Courier New" w:hAnsi="Courier New"/>
                <w:sz w:val="15"/>
                <w:szCs w:val="15"/>
                <w:color w:val="auto"/>
              </w:rPr>
              <w:t>OPERATING PROFIT (LOSS)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23,364</w:t>
            </w:r>
          </w:p>
        </w:tc>
        <w:tc>
          <w:tcPr>
            <w:tcW w:w="18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 (75,704)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(52,340)</w:t>
            </w:r>
          </w:p>
        </w:tc>
        <w:tc>
          <w:tcPr>
            <w:tcW w:w="3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11,534</w:t>
            </w:r>
          </w:p>
        </w:tc>
        <w:tc>
          <w:tcPr>
            <w:tcW w:w="17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 (36,562)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(25,028)</w:t>
            </w:r>
          </w:p>
        </w:tc>
      </w:tr>
      <w:tr>
        <w:trPr>
          <w:trHeight w:val="175"/>
        </w:trPr>
        <w:tc>
          <w:tcPr>
            <w:tcW w:w="3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left="447" w:right="4360" w:hanging="447"/>
        <w:spacing w:after="0" w:line="246"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DEPRECIATION AND AMORTIZATION EXPENSES IN THE AMOUNTS OF $69,916 AND $33,295 FOR THE SIX AND THREE MONTHS ENDED JUNE 30 2007, RESPECTIVELY AND STOCK BASED COMPENSATION EXPENSES IN THE AMOUNTS OF $355 AND $200 FOR THE SIX AND THREE MONTHS ENDED JUNE 30 2007, RESPECTIVELY.</w:t>
      </w:r>
    </w:p>
    <w:p>
      <w:pPr>
        <w:spacing w:after="0" w:line="177" w:lineRule="exact"/>
        <w:rPr>
          <w:rFonts w:ascii="Courier New" w:cs="Courier New" w:eastAsia="Courier New" w:hAnsi="Courier New"/>
          <w:sz w:val="15"/>
          <w:szCs w:val="15"/>
          <w:color w:val="auto"/>
        </w:rPr>
      </w:pPr>
    </w:p>
    <w:p>
      <w:pPr>
        <w:ind w:left="447" w:right="4180" w:hanging="447"/>
        <w:spacing w:after="0" w:line="246" w:lineRule="auto"/>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DEPRECIATION AND AMORTIZATION EXPENSES IN THE AMOUNTS OF $1,427AND $721 FOR THE SIX AND THREE MONTHS ENDED JUNE 30 2007, RESPECTIVELY AND STOCK BASED COMPENSATION EXPENSES IN THE AMOUNTS OF $298 AND $159 FOR THE SIX AND THREE MONTHS ENDED JUNE 30 2007, RESPECTIVELY.</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DEPRECIATION AND AMORTIZATION EXPENSES IN THE AMOUNTS OF $20 AND</w:t>
      </w:r>
    </w:p>
    <w:p>
      <w:pPr>
        <w:spacing w:after="0" w:line="4" w:lineRule="exact"/>
        <w:rPr>
          <w:rFonts w:ascii="Courier New" w:cs="Courier New" w:eastAsia="Courier New" w:hAnsi="Courier New"/>
          <w:sz w:val="15"/>
          <w:szCs w:val="15"/>
          <w:color w:val="auto"/>
        </w:rPr>
      </w:pPr>
    </w:p>
    <w:p>
      <w:pPr>
        <w:jc w:val="both"/>
        <w:ind w:left="447" w:right="4180"/>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 FOR THE SIX AND THREE MONTHS ENDED JUNE 30 2007, RESPECTIVELY AND STOCK BASED COMPENSATION EXPENSES IN THE AMOUNTS OF $3,688 AND $2,170 FOR THE SIX AND THREE MONTHS ENDED JUNE 30 2007, RESPECTIVELY.</w:t>
      </w:r>
    </w:p>
    <w:sectPr>
      <w:pgSz w:w="11900" w:h="16838" w:orient="portrait"/>
      <w:cols w:equalWidth="0" w:num="1">
        <w:col w:w="11447"/>
      </w:cols>
      <w:pgMar w:left="233" w:top="6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2019-12-14T03:26:38Z</dcterms:created>
  <dcterms:modified xsi:type="dcterms:W3CDTF">2019-12-14T03:26:38Z</dcterms:modified>
</cp:coreProperties>
</file>