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99"/>
        <w:spacing w:after="0"/>
        <w:rPr>
          <w:sz w:val="20"/>
          <w:szCs w:val="20"/>
          <w:color w:val="auto"/>
        </w:rPr>
      </w:pPr>
      <w:r>
        <w:rPr>
          <w:rFonts w:ascii="Courier New" w:cs="Courier New" w:eastAsia="Courier New" w:hAnsi="Courier New"/>
          <w:sz w:val="13"/>
          <w:szCs w:val="13"/>
          <w:color w:val="auto"/>
        </w:rPr>
        <w:t>FORM 6-K</w:t>
      </w:r>
    </w:p>
    <w:p>
      <w:pPr>
        <w:spacing w:after="0" w:line="157"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3"/>
          <w:szCs w:val="13"/>
          <w:color w:val="auto"/>
        </w:rPr>
        <w:t>SECURITIES AND EXCHANGE COMMISSION</w:t>
      </w:r>
    </w:p>
    <w:p>
      <w:pPr>
        <w:spacing w:after="0" w:line="157"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3"/>
          <w:szCs w:val="13"/>
          <w:color w:val="auto"/>
        </w:rPr>
        <w:t>Washington, D.C. 20549</w:t>
      </w:r>
    </w:p>
    <w:p>
      <w:pPr>
        <w:spacing w:after="0" w:line="157"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3"/>
          <w:szCs w:val="13"/>
          <w:color w:val="auto"/>
        </w:rPr>
        <w:t>For the month of June 2006 No. 8</w:t>
      </w:r>
    </w:p>
    <w:p>
      <w:pPr>
        <w:spacing w:after="0" w:line="157"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3"/>
          <w:szCs w:val="13"/>
          <w:color w:val="auto"/>
        </w:rPr>
        <w:t>TOWER SEMICONDUCTOR LTD.</w:t>
      </w:r>
    </w:p>
    <w:p>
      <w:pPr>
        <w:spacing w:after="0" w:line="5" w:lineRule="exact"/>
        <w:rPr>
          <w:sz w:val="24"/>
          <w:szCs w:val="24"/>
          <w:color w:val="auto"/>
        </w:rPr>
      </w:pPr>
    </w:p>
    <w:p>
      <w:pPr>
        <w:jc w:val="center"/>
        <w:ind w:right="3819"/>
        <w:spacing w:after="0"/>
        <w:rPr>
          <w:sz w:val="20"/>
          <w:szCs w:val="20"/>
          <w:color w:val="auto"/>
        </w:rPr>
      </w:pPr>
      <w:r>
        <w:rPr>
          <w:rFonts w:ascii="Courier New" w:cs="Courier New" w:eastAsia="Courier New" w:hAnsi="Courier New"/>
          <w:sz w:val="13"/>
          <w:szCs w:val="13"/>
          <w:color w:val="auto"/>
        </w:rPr>
        <w:t>(Translation of registrant's name into English)</w:t>
      </w:r>
    </w:p>
    <w:p>
      <w:pPr>
        <w:spacing w:after="0" w:line="157" w:lineRule="exact"/>
        <w:rPr>
          <w:sz w:val="24"/>
          <w:szCs w:val="24"/>
          <w:color w:val="auto"/>
        </w:rPr>
      </w:pPr>
    </w:p>
    <w:p>
      <w:pPr>
        <w:jc w:val="center"/>
        <w:ind w:right="3819"/>
        <w:spacing w:after="0"/>
        <w:rPr>
          <w:sz w:val="20"/>
          <w:szCs w:val="20"/>
          <w:color w:val="auto"/>
        </w:rPr>
      </w:pPr>
      <w:r>
        <w:rPr>
          <w:rFonts w:ascii="Courier New" w:cs="Courier New" w:eastAsia="Courier New" w:hAnsi="Courier New"/>
          <w:sz w:val="13"/>
          <w:szCs w:val="13"/>
          <w:color w:val="auto"/>
        </w:rPr>
        <w:t>RAMAT GAVRIEL INDUSTRIAL PARK</w:t>
      </w:r>
    </w:p>
    <w:p>
      <w:pPr>
        <w:spacing w:after="0" w:line="5" w:lineRule="exact"/>
        <w:rPr>
          <w:sz w:val="24"/>
          <w:szCs w:val="24"/>
          <w:color w:val="auto"/>
        </w:rPr>
      </w:pPr>
    </w:p>
    <w:p>
      <w:pPr>
        <w:ind w:left="1580"/>
        <w:spacing w:after="0"/>
        <w:rPr>
          <w:sz w:val="20"/>
          <w:szCs w:val="20"/>
          <w:color w:val="auto"/>
        </w:rPr>
      </w:pPr>
      <w:r>
        <w:rPr>
          <w:rFonts w:ascii="Courier New" w:cs="Courier New" w:eastAsia="Courier New" w:hAnsi="Courier New"/>
          <w:sz w:val="13"/>
          <w:szCs w:val="13"/>
          <w:color w:val="auto"/>
        </w:rPr>
        <w:t>P.O. BOX 619, MIGDAL HAEMEK, ISRAEL 23105</w:t>
      </w:r>
    </w:p>
    <w:p>
      <w:pPr>
        <w:spacing w:after="0" w:line="5" w:lineRule="exact"/>
        <w:rPr>
          <w:sz w:val="24"/>
          <w:szCs w:val="24"/>
          <w:color w:val="auto"/>
        </w:rPr>
      </w:pPr>
    </w:p>
    <w:p>
      <w:pPr>
        <w:ind w:left="1580"/>
        <w:spacing w:after="0"/>
        <w:rPr>
          <w:sz w:val="20"/>
          <w:szCs w:val="20"/>
          <w:color w:val="auto"/>
        </w:rPr>
      </w:pPr>
      <w:r>
        <w:rPr>
          <w:rFonts w:ascii="Courier New" w:cs="Courier New" w:eastAsia="Courier New" w:hAnsi="Courier New"/>
          <w:sz w:val="13"/>
          <w:szCs w:val="13"/>
          <w:color w:val="auto"/>
        </w:rPr>
        <w:t>(Address of principal executive offices)</w:t>
      </w:r>
    </w:p>
    <w:p>
      <w:pPr>
        <w:spacing w:after="0" w:line="309" w:lineRule="exact"/>
        <w:rPr>
          <w:sz w:val="24"/>
          <w:szCs w:val="24"/>
          <w:color w:val="auto"/>
        </w:rPr>
      </w:pPr>
    </w:p>
    <w:p>
      <w:pPr>
        <w:ind w:right="4219" w:firstLine="396"/>
        <w:spacing w:after="0" w:line="249" w:lineRule="auto"/>
        <w:rPr>
          <w:sz w:val="20"/>
          <w:szCs w:val="20"/>
          <w:color w:val="auto"/>
        </w:rPr>
      </w:pPr>
      <w:r>
        <w:rPr>
          <w:rFonts w:ascii="Courier New" w:cs="Courier New" w:eastAsia="Courier New" w:hAnsi="Courier New"/>
          <w:sz w:val="13"/>
          <w:szCs w:val="13"/>
          <w:color w:val="auto"/>
        </w:rPr>
        <w:t>Indicate by check mark whether the registrant files or will file annual reports under cover Form 20-F or Form 40-F.</w:t>
      </w:r>
    </w:p>
    <w:p>
      <w:pPr>
        <w:spacing w:after="0" w:line="151" w:lineRule="exact"/>
        <w:rPr>
          <w:sz w:val="24"/>
          <w:szCs w:val="24"/>
          <w:color w:val="auto"/>
        </w:rPr>
      </w:pPr>
    </w:p>
    <w:p>
      <w:pPr>
        <w:ind w:left="1980"/>
        <w:spacing w:after="0"/>
        <w:tabs>
          <w:tab w:leader="none" w:pos="3380" w:val="left"/>
        </w:tabs>
        <w:rPr>
          <w:sz w:val="20"/>
          <w:szCs w:val="20"/>
          <w:color w:val="auto"/>
        </w:rPr>
      </w:pPr>
      <w:r>
        <w:rPr>
          <w:rFonts w:ascii="Courier New" w:cs="Courier New" w:eastAsia="Courier New" w:hAnsi="Courier New"/>
          <w:sz w:val="13"/>
          <w:szCs w:val="13"/>
          <w:color w:val="auto"/>
        </w:rPr>
        <w:t>Form 20-F [X]</w:t>
      </w:r>
      <w:r>
        <w:rPr>
          <w:sz w:val="20"/>
          <w:szCs w:val="20"/>
          <w:color w:val="auto"/>
        </w:rPr>
        <w:tab/>
      </w:r>
      <w:r>
        <w:rPr>
          <w:rFonts w:ascii="Courier New" w:cs="Courier New" w:eastAsia="Courier New" w:hAnsi="Courier New"/>
          <w:sz w:val="13"/>
          <w:szCs w:val="13"/>
          <w:color w:val="auto"/>
        </w:rPr>
        <w:t>Form 40-F [_]</w:t>
      </w:r>
    </w:p>
    <w:p>
      <w:pPr>
        <w:spacing w:after="0" w:line="157" w:lineRule="exact"/>
        <w:rPr>
          <w:sz w:val="24"/>
          <w:szCs w:val="24"/>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2" w:lineRule="exact"/>
        <w:rPr>
          <w:sz w:val="24"/>
          <w:szCs w:val="24"/>
          <w:color w:val="auto"/>
        </w:rPr>
      </w:pPr>
    </w:p>
    <w:p>
      <w:pPr>
        <w:ind w:left="2460"/>
        <w:spacing w:after="0"/>
        <w:tabs>
          <w:tab w:leader="none" w:pos="3380" w:val="left"/>
        </w:tabs>
        <w:rPr>
          <w:sz w:val="20"/>
          <w:szCs w:val="20"/>
          <w:color w:val="auto"/>
        </w:rPr>
      </w:pPr>
      <w:r>
        <w:rPr>
          <w:rFonts w:ascii="Courier New" w:cs="Courier New" w:eastAsia="Courier New" w:hAnsi="Courier New"/>
          <w:sz w:val="13"/>
          <w:szCs w:val="13"/>
          <w:color w:val="auto"/>
        </w:rPr>
        <w:t>Yes [_]</w:t>
      </w:r>
      <w:r>
        <w:rPr>
          <w:sz w:val="20"/>
          <w:szCs w:val="20"/>
          <w:color w:val="auto"/>
        </w:rPr>
        <w:tab/>
      </w:r>
      <w:r>
        <w:rPr>
          <w:rFonts w:ascii="Courier New" w:cs="Courier New" w:eastAsia="Courier New" w:hAnsi="Courier New"/>
          <w:sz w:val="13"/>
          <w:szCs w:val="13"/>
          <w:color w:val="auto"/>
        </w:rPr>
        <w:t>No [X]</w:t>
      </w:r>
    </w:p>
    <w:p>
      <w:pPr>
        <w:spacing w:after="0" w:line="200" w:lineRule="exact"/>
        <w:rPr>
          <w:sz w:val="24"/>
          <w:szCs w:val="24"/>
          <w:color w:val="auto"/>
        </w:rPr>
      </w:pPr>
    </w:p>
    <w:p>
      <w:pPr>
        <w:spacing w:after="0" w:line="241" w:lineRule="exact"/>
        <w:rPr>
          <w:sz w:val="24"/>
          <w:szCs w:val="24"/>
          <w:color w:val="auto"/>
        </w:rPr>
      </w:pPr>
    </w:p>
    <w:p>
      <w:pPr>
        <w:ind w:right="3979" w:firstLine="396"/>
        <w:spacing w:after="0" w:line="248" w:lineRule="auto"/>
        <w:rPr>
          <w:sz w:val="20"/>
          <w:szCs w:val="20"/>
          <w:color w:val="auto"/>
        </w:rPr>
      </w:pPr>
      <w:r>
        <w:rPr>
          <w:rFonts w:ascii="Courier New" w:cs="Courier New" w:eastAsia="Courier New" w:hAnsi="Courier New"/>
          <w:sz w:val="13"/>
          <w:szCs w:val="13"/>
          <w:color w:val="auto"/>
        </w:rPr>
        <w:t>Attached hereto and incorporated herein by reference are portions of a prospectus published in Israel and filed with the Israel Securities Authority and the Tel Aviv Stock Exchange. The prospectus relates to the underwritten offering to the public in Israel of units consisting of convertible debentures, warrants for shares, and options to purchase convertible debentures. The prospectus includes certain updated information regarding the Registrant. The prospectus, as attached hereto, excludes the Hebrew language portions including information regarding the offering and securities being offered. Summary information regarding the offering and the securities being offered is included in the Registrant's press release included in the Report on Form 6-K filed by the Registrant on June 21, 2006.</w:t>
      </w:r>
    </w:p>
    <w:p>
      <w:pPr>
        <w:spacing w:after="0" w:line="152" w:lineRule="exact"/>
        <w:rPr>
          <w:sz w:val="24"/>
          <w:szCs w:val="24"/>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The securities offering being made pursuant to the Israeli prospectus is being made in Israel to residents of Israel only. The securities being so offered have not and will not be registered under the Securities Act of 1933, as amended, and may not be offered or sold in the United States or to U.S. persons, absent registration or an applicable exemption.</w:t>
      </w:r>
    </w:p>
    <w:p>
      <w:pPr>
        <w:spacing w:after="0" w:line="152" w:lineRule="exact"/>
        <w:rPr>
          <w:sz w:val="24"/>
          <w:szCs w:val="24"/>
          <w:color w:val="auto"/>
        </w:rPr>
      </w:pPr>
    </w:p>
    <w:p>
      <w:pPr>
        <w:ind w:right="4299" w:firstLine="396"/>
        <w:spacing w:after="0" w:line="248" w:lineRule="auto"/>
        <w:rPr>
          <w:sz w:val="20"/>
          <w:szCs w:val="20"/>
          <w:color w:val="auto"/>
        </w:rPr>
      </w:pPr>
      <w:r>
        <w:rPr>
          <w:rFonts w:ascii="Courier New" w:cs="Courier New" w:eastAsia="Courier New" w:hAnsi="Courier New"/>
          <w:sz w:val="13"/>
          <w:szCs w:val="13"/>
          <w:color w:val="auto"/>
        </w:rPr>
        <w:t>This Form 6-K is being incorporated by reference into all effective Registration Statements filed by the Registrant under the Securities Act of 1933.</w:t>
      </w:r>
    </w:p>
    <w:p>
      <w:pPr>
        <w:spacing w:after="0" w:line="200" w:lineRule="exact"/>
        <w:rPr>
          <w:sz w:val="24"/>
          <w:szCs w:val="24"/>
          <w:color w:val="auto"/>
        </w:rPr>
      </w:pPr>
    </w:p>
    <w:p>
      <w:pPr>
        <w:spacing w:after="0" w:line="389"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3"/>
          <w:szCs w:val="13"/>
          <w:color w:val="auto"/>
        </w:rPr>
        <w:t>SIGNATURES</w:t>
      </w:r>
    </w:p>
    <w:p>
      <w:pPr>
        <w:spacing w:after="0" w:line="157" w:lineRule="exact"/>
        <w:rPr>
          <w:sz w:val="24"/>
          <w:szCs w:val="24"/>
          <w:color w:val="auto"/>
        </w:rPr>
      </w:pPr>
    </w:p>
    <w:p>
      <w:pPr>
        <w:ind w:right="4139" w:firstLine="396"/>
        <w:spacing w:after="0" w:line="248" w:lineRule="auto"/>
        <w:rPr>
          <w:sz w:val="20"/>
          <w:szCs w:val="20"/>
          <w:color w:val="auto"/>
        </w:rPr>
      </w:pPr>
      <w:r>
        <w:rPr>
          <w:rFonts w:ascii="Courier New" w:cs="Courier New" w:eastAsia="Courier New" w:hAnsi="Courier New"/>
          <w:sz w:val="13"/>
          <w:szCs w:val="13"/>
          <w:color w:val="auto"/>
        </w:rPr>
        <w:t>Pursuant to the requirements of the Securities Exchange Act of 1934, the registrant has duly caused this report to be signed on its behalf by the undersigned, thereunto duly authorized.</w:t>
      </w:r>
    </w:p>
    <w:p>
      <w:pPr>
        <w:spacing w:after="0" w:line="304" w:lineRule="exact"/>
        <w:rPr>
          <w:sz w:val="24"/>
          <w:szCs w:val="24"/>
          <w:color w:val="auto"/>
        </w:rPr>
      </w:pPr>
    </w:p>
    <w:p>
      <w:pPr>
        <w:jc w:val="center"/>
        <w:ind w:right="-60"/>
        <w:spacing w:after="0"/>
        <w:rPr>
          <w:sz w:val="20"/>
          <w:szCs w:val="20"/>
          <w:color w:val="auto"/>
        </w:rPr>
      </w:pPr>
      <w:r>
        <w:rPr>
          <w:rFonts w:ascii="Courier New" w:cs="Courier New" w:eastAsia="Courier New" w:hAnsi="Courier New"/>
          <w:sz w:val="13"/>
          <w:szCs w:val="13"/>
          <w:color w:val="auto"/>
        </w:rPr>
        <w:t>TOWER SEMICONDUCTOR LTD.</w:t>
      </w:r>
    </w:p>
    <w:p>
      <w:pPr>
        <w:sectPr>
          <w:pgSz w:w="11900" w:h="16838" w:orient="portrait"/>
          <w:cols w:equalWidth="0" w:num="1">
            <w:col w:w="10239"/>
          </w:cols>
          <w:pgMar w:left="220" w:top="222" w:right="1440" w:bottom="0" w:gutter="0" w:footer="0" w:header="0"/>
        </w:sectPr>
      </w:pPr>
    </w:p>
    <w:p>
      <w:pPr>
        <w:spacing w:after="0" w:line="309"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Date:</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June 26, 2006</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By: /s/ Nati Somekh Gilboa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Nati Somekh Gilboa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278130</wp:posOffset>
            </wp:positionH>
            <wp:positionV relativeFrom="paragraph">
              <wp:posOffset>85725</wp:posOffset>
            </wp:positionV>
            <wp:extent cx="1398270" cy="457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8270" cy="45720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3">
            <w:col w:w="400" w:space="160"/>
            <w:col w:w="2920" w:space="720"/>
            <w:col w:w="6039"/>
          </w:cols>
          <w:pgMar w:left="220" w:top="22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3819"/>
        <w:spacing w:after="0"/>
        <w:rPr>
          <w:sz w:val="20"/>
          <w:szCs w:val="20"/>
          <w:color w:val="auto"/>
        </w:rPr>
      </w:pPr>
      <w:r>
        <w:rPr>
          <w:rFonts w:ascii="Courier New" w:cs="Courier New" w:eastAsia="Courier New" w:hAnsi="Courier New"/>
          <w:sz w:val="13"/>
          <w:szCs w:val="13"/>
          <w:color w:val="auto"/>
        </w:rPr>
        <w:t>SELECTED PORTIONS OF THE PROSPECTUS PUBLISHED IN ISRAEL</w:t>
      </w:r>
    </w:p>
    <w:p>
      <w:pPr>
        <w:spacing w:after="0" w:line="5" w:lineRule="exact"/>
        <w:rPr>
          <w:sz w:val="24"/>
          <w:szCs w:val="24"/>
          <w:color w:val="auto"/>
        </w:rPr>
      </w:pPr>
    </w:p>
    <w:p>
      <w:pPr>
        <w:jc w:val="center"/>
        <w:ind w:right="3819"/>
        <w:spacing w:after="0"/>
        <w:rPr>
          <w:sz w:val="20"/>
          <w:szCs w:val="20"/>
          <w:color w:val="auto"/>
        </w:rPr>
      </w:pPr>
      <w:r>
        <w:rPr>
          <w:rFonts w:ascii="Courier New" w:cs="Courier New" w:eastAsia="Courier New" w:hAnsi="Courier New"/>
          <w:sz w:val="13"/>
          <w:szCs w:val="13"/>
          <w:color w:val="auto"/>
        </w:rPr>
        <w:t>ON JUNE 21, 2006 AND FILED WITH THE ISRAEL SECURITIES AUTHORITY</w:t>
      </w:r>
    </w:p>
    <w:p>
      <w:pPr>
        <w:spacing w:after="0" w:line="5" w:lineRule="exact"/>
        <w:rPr>
          <w:sz w:val="24"/>
          <w:szCs w:val="24"/>
          <w:color w:val="auto"/>
        </w:rPr>
      </w:pPr>
    </w:p>
    <w:p>
      <w:pPr>
        <w:jc w:val="center"/>
        <w:ind w:right="3819"/>
        <w:spacing w:after="0"/>
        <w:rPr>
          <w:sz w:val="20"/>
          <w:szCs w:val="20"/>
          <w:color w:val="auto"/>
        </w:rPr>
      </w:pPr>
      <w:r>
        <w:rPr>
          <w:rFonts w:ascii="Courier New" w:cs="Courier New" w:eastAsia="Courier New" w:hAnsi="Courier New"/>
          <w:sz w:val="13"/>
          <w:szCs w:val="13"/>
          <w:color w:val="auto"/>
        </w:rPr>
        <w:t>AND THE TEL AVIV STOCK EXCHANGE</w:t>
      </w: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148"/>
        </w:trPr>
        <w:tc>
          <w:tcPr>
            <w:tcW w:w="5620" w:type="dxa"/>
            <w:vAlign w:val="bottom"/>
          </w:tcPr>
          <w:p>
            <w:pPr>
              <w:ind w:left="2540"/>
              <w:spacing w:after="0"/>
              <w:rPr>
                <w:sz w:val="20"/>
                <w:szCs w:val="20"/>
                <w:color w:val="auto"/>
              </w:rPr>
            </w:pPr>
            <w:r>
              <w:rPr>
                <w:rFonts w:ascii="Courier New" w:cs="Courier New" w:eastAsia="Courier New" w:hAnsi="Courier New"/>
                <w:sz w:val="13"/>
                <w:szCs w:val="13"/>
                <w:color w:val="auto"/>
              </w:rPr>
              <w:t>TABLE OF CONTENTS</w:t>
            </w:r>
          </w:p>
        </w:tc>
        <w:tc>
          <w:tcPr>
            <w:tcW w:w="560" w:type="dxa"/>
            <w:vAlign w:val="bottom"/>
          </w:tcPr>
          <w:p>
            <w:pPr>
              <w:spacing w:after="0"/>
              <w:rPr>
                <w:sz w:val="12"/>
                <w:szCs w:val="12"/>
                <w:color w:val="auto"/>
              </w:rPr>
            </w:pPr>
          </w:p>
        </w:tc>
      </w:tr>
      <w:tr>
        <w:trPr>
          <w:trHeight w:val="304"/>
        </w:trPr>
        <w:tc>
          <w:tcPr>
            <w:tcW w:w="5620" w:type="dxa"/>
            <w:vAlign w:val="bottom"/>
          </w:tcPr>
          <w:p>
            <w:pPr>
              <w:spacing w:after="0"/>
              <w:rPr>
                <w:sz w:val="20"/>
                <w:szCs w:val="20"/>
                <w:color w:val="auto"/>
              </w:rPr>
            </w:pPr>
            <w:r>
              <w:rPr>
                <w:rFonts w:ascii="Courier New" w:cs="Courier New" w:eastAsia="Courier New" w:hAnsi="Courier New"/>
                <w:sz w:val="13"/>
                <w:szCs w:val="13"/>
                <w:color w:val="auto"/>
              </w:rPr>
              <w:t>General</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1</w:t>
            </w:r>
          </w:p>
        </w:tc>
      </w:tr>
      <w:tr>
        <w:trPr>
          <w:trHeight w:val="152"/>
        </w:trPr>
        <w:tc>
          <w:tcPr>
            <w:tcW w:w="5620" w:type="dxa"/>
            <w:vAlign w:val="bottom"/>
          </w:tcPr>
          <w:p>
            <w:pPr>
              <w:spacing w:after="0"/>
              <w:rPr>
                <w:sz w:val="20"/>
                <w:szCs w:val="20"/>
                <w:color w:val="auto"/>
              </w:rPr>
            </w:pPr>
            <w:r>
              <w:rPr>
                <w:rFonts w:ascii="Courier New" w:cs="Courier New" w:eastAsia="Courier New" w:hAnsi="Courier New"/>
                <w:sz w:val="13"/>
                <w:szCs w:val="13"/>
                <w:color w:val="auto"/>
              </w:rPr>
              <w:t>Forward-Looking Statements</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1</w:t>
            </w:r>
          </w:p>
        </w:tc>
      </w:tr>
      <w:tr>
        <w:trPr>
          <w:trHeight w:val="152"/>
        </w:trPr>
        <w:tc>
          <w:tcPr>
            <w:tcW w:w="5620" w:type="dxa"/>
            <w:vAlign w:val="bottom"/>
          </w:tcPr>
          <w:p>
            <w:pPr>
              <w:spacing w:after="0"/>
              <w:rPr>
                <w:sz w:val="20"/>
                <w:szCs w:val="20"/>
                <w:color w:val="auto"/>
              </w:rPr>
            </w:pPr>
            <w:r>
              <w:rPr>
                <w:rFonts w:ascii="Courier New" w:cs="Courier New" w:eastAsia="Courier New" w:hAnsi="Courier New"/>
                <w:sz w:val="13"/>
                <w:szCs w:val="13"/>
                <w:color w:val="auto"/>
              </w:rPr>
              <w:t>Summary Information Regarding the Company</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1</w:t>
            </w:r>
          </w:p>
        </w:tc>
      </w:tr>
      <w:tr>
        <w:trPr>
          <w:trHeight w:val="152"/>
        </w:trPr>
        <w:tc>
          <w:tcPr>
            <w:tcW w:w="5620" w:type="dxa"/>
            <w:vAlign w:val="bottom"/>
          </w:tcPr>
          <w:p>
            <w:pPr>
              <w:spacing w:after="0"/>
              <w:rPr>
                <w:sz w:val="20"/>
                <w:szCs w:val="20"/>
                <w:color w:val="auto"/>
              </w:rPr>
            </w:pPr>
            <w:r>
              <w:rPr>
                <w:rFonts w:ascii="Courier New" w:cs="Courier New" w:eastAsia="Courier New" w:hAnsi="Courier New"/>
                <w:sz w:val="13"/>
                <w:szCs w:val="13"/>
                <w:color w:val="auto"/>
              </w:rPr>
              <w:t>The Offer and Listing</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3</w:t>
            </w:r>
          </w:p>
        </w:tc>
      </w:tr>
      <w:tr>
        <w:trPr>
          <w:trHeight w:val="152"/>
        </w:trPr>
        <w:tc>
          <w:tcPr>
            <w:tcW w:w="5620" w:type="dxa"/>
            <w:vAlign w:val="bottom"/>
          </w:tcPr>
          <w:p>
            <w:pPr>
              <w:spacing w:after="0"/>
              <w:rPr>
                <w:sz w:val="20"/>
                <w:szCs w:val="20"/>
                <w:color w:val="auto"/>
              </w:rPr>
            </w:pPr>
            <w:r>
              <w:rPr>
                <w:rFonts w:ascii="Courier New" w:cs="Courier New" w:eastAsia="Courier New" w:hAnsi="Courier New"/>
                <w:sz w:val="13"/>
                <w:szCs w:val="13"/>
                <w:color w:val="auto"/>
              </w:rPr>
              <w:t>Summary Consolidated Financial Data</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5</w:t>
            </w:r>
          </w:p>
        </w:tc>
      </w:tr>
      <w:tr>
        <w:trPr>
          <w:trHeight w:val="152"/>
        </w:trPr>
        <w:tc>
          <w:tcPr>
            <w:tcW w:w="5620" w:type="dxa"/>
            <w:vAlign w:val="bottom"/>
          </w:tcPr>
          <w:p>
            <w:pPr>
              <w:spacing w:after="0"/>
              <w:rPr>
                <w:sz w:val="20"/>
                <w:szCs w:val="20"/>
                <w:color w:val="auto"/>
              </w:rPr>
            </w:pPr>
            <w:r>
              <w:rPr>
                <w:rFonts w:ascii="Courier New" w:cs="Courier New" w:eastAsia="Courier New" w:hAnsi="Courier New"/>
                <w:sz w:val="13"/>
                <w:szCs w:val="13"/>
                <w:color w:val="auto"/>
              </w:rPr>
              <w:t>Recent Events</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7</w:t>
            </w:r>
          </w:p>
        </w:tc>
      </w:tr>
      <w:tr>
        <w:trPr>
          <w:trHeight w:val="152"/>
        </w:trPr>
        <w:tc>
          <w:tcPr>
            <w:tcW w:w="5620" w:type="dxa"/>
            <w:vAlign w:val="bottom"/>
          </w:tcPr>
          <w:p>
            <w:pPr>
              <w:spacing w:after="0"/>
              <w:rPr>
                <w:sz w:val="20"/>
                <w:szCs w:val="20"/>
                <w:color w:val="auto"/>
              </w:rPr>
            </w:pPr>
            <w:r>
              <w:rPr>
                <w:rFonts w:ascii="Courier New" w:cs="Courier New" w:eastAsia="Courier New" w:hAnsi="Courier New"/>
                <w:sz w:val="13"/>
                <w:szCs w:val="13"/>
                <w:color w:val="auto"/>
              </w:rPr>
              <w:t>Risk Factors</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9</w:t>
            </w:r>
          </w:p>
        </w:tc>
      </w:tr>
      <w:tr>
        <w:trPr>
          <w:trHeight w:val="152"/>
        </w:trPr>
        <w:tc>
          <w:tcPr>
            <w:tcW w:w="5620" w:type="dxa"/>
            <w:vAlign w:val="bottom"/>
          </w:tcPr>
          <w:p>
            <w:pPr>
              <w:spacing w:after="0"/>
              <w:rPr>
                <w:sz w:val="20"/>
                <w:szCs w:val="20"/>
                <w:color w:val="auto"/>
              </w:rPr>
            </w:pPr>
            <w:r>
              <w:rPr>
                <w:rFonts w:ascii="Courier New" w:cs="Courier New" w:eastAsia="Courier New" w:hAnsi="Courier New"/>
                <w:sz w:val="13"/>
                <w:szCs w:val="13"/>
                <w:color w:val="auto"/>
              </w:rPr>
              <w:t>Ratio of Earning to Fixed Charges</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23</w:t>
            </w:r>
          </w:p>
        </w:tc>
      </w:tr>
      <w:tr>
        <w:trPr>
          <w:trHeight w:val="152"/>
        </w:trPr>
        <w:tc>
          <w:tcPr>
            <w:tcW w:w="5620" w:type="dxa"/>
            <w:vAlign w:val="bottom"/>
          </w:tcPr>
          <w:p>
            <w:pPr>
              <w:spacing w:after="0"/>
              <w:rPr>
                <w:sz w:val="20"/>
                <w:szCs w:val="20"/>
                <w:color w:val="auto"/>
              </w:rPr>
            </w:pPr>
            <w:r>
              <w:rPr>
                <w:rFonts w:ascii="Courier New" w:cs="Courier New" w:eastAsia="Courier New" w:hAnsi="Courier New"/>
                <w:sz w:val="13"/>
                <w:szCs w:val="13"/>
                <w:color w:val="auto"/>
              </w:rPr>
              <w:t>Capitalization</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25</w:t>
            </w:r>
          </w:p>
        </w:tc>
      </w:tr>
      <w:tr>
        <w:trPr>
          <w:trHeight w:val="152"/>
        </w:trPr>
        <w:tc>
          <w:tcPr>
            <w:tcW w:w="5620" w:type="dxa"/>
            <w:vAlign w:val="bottom"/>
          </w:tcPr>
          <w:p>
            <w:pPr>
              <w:spacing w:after="0"/>
              <w:rPr>
                <w:sz w:val="20"/>
                <w:szCs w:val="20"/>
                <w:color w:val="auto"/>
              </w:rPr>
            </w:pPr>
            <w:r>
              <w:rPr>
                <w:rFonts w:ascii="Courier New" w:cs="Courier New" w:eastAsia="Courier New" w:hAnsi="Courier New"/>
                <w:sz w:val="13"/>
                <w:szCs w:val="13"/>
                <w:color w:val="auto"/>
              </w:rPr>
              <w:t>Use of Proceeds</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26</w:t>
            </w:r>
          </w:p>
        </w:tc>
      </w:tr>
      <w:tr>
        <w:trPr>
          <w:trHeight w:val="152"/>
        </w:trPr>
        <w:tc>
          <w:tcPr>
            <w:tcW w:w="5620" w:type="dxa"/>
            <w:vAlign w:val="bottom"/>
          </w:tcPr>
          <w:p>
            <w:pPr>
              <w:spacing w:after="0"/>
              <w:rPr>
                <w:sz w:val="20"/>
                <w:szCs w:val="20"/>
                <w:color w:val="auto"/>
              </w:rPr>
            </w:pPr>
            <w:r>
              <w:rPr>
                <w:rFonts w:ascii="Courier New" w:cs="Courier New" w:eastAsia="Courier New" w:hAnsi="Courier New"/>
                <w:sz w:val="13"/>
                <w:szCs w:val="13"/>
                <w:color w:val="auto"/>
              </w:rPr>
              <w:t>Operating and Financial Review and Prospects</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27</w:t>
            </w:r>
          </w:p>
        </w:tc>
      </w:tr>
      <w:tr>
        <w:trPr>
          <w:trHeight w:val="152"/>
        </w:trPr>
        <w:tc>
          <w:tcPr>
            <w:tcW w:w="5620" w:type="dxa"/>
            <w:vAlign w:val="bottom"/>
          </w:tcPr>
          <w:p>
            <w:pPr>
              <w:spacing w:after="0"/>
              <w:rPr>
                <w:sz w:val="20"/>
                <w:szCs w:val="20"/>
                <w:color w:val="auto"/>
              </w:rPr>
            </w:pPr>
            <w:r>
              <w:rPr>
                <w:rFonts w:ascii="Courier New" w:cs="Courier New" w:eastAsia="Courier New" w:hAnsi="Courier New"/>
                <w:sz w:val="13"/>
                <w:szCs w:val="13"/>
                <w:color w:val="auto"/>
              </w:rPr>
              <w:t>Major Shareholders</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27</w:t>
            </w:r>
          </w:p>
        </w:tc>
      </w:tr>
      <w:tr>
        <w:trPr>
          <w:trHeight w:val="152"/>
        </w:trPr>
        <w:tc>
          <w:tcPr>
            <w:tcW w:w="5620" w:type="dxa"/>
            <w:vAlign w:val="bottom"/>
          </w:tcPr>
          <w:p>
            <w:pPr>
              <w:spacing w:after="0"/>
              <w:rPr>
                <w:sz w:val="20"/>
                <w:szCs w:val="20"/>
                <w:color w:val="auto"/>
              </w:rPr>
            </w:pPr>
            <w:r>
              <w:rPr>
                <w:rFonts w:ascii="Courier New" w:cs="Courier New" w:eastAsia="Courier New" w:hAnsi="Courier New"/>
                <w:sz w:val="13"/>
                <w:szCs w:val="13"/>
                <w:color w:val="auto"/>
              </w:rPr>
              <w:t>Additional Information</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28</w:t>
            </w:r>
          </w:p>
        </w:tc>
      </w:tr>
      <w:tr>
        <w:trPr>
          <w:trHeight w:val="152"/>
        </w:trPr>
        <w:tc>
          <w:tcPr>
            <w:tcW w:w="5620" w:type="dxa"/>
            <w:vAlign w:val="bottom"/>
          </w:tcPr>
          <w:p>
            <w:pPr>
              <w:spacing w:after="0"/>
              <w:rPr>
                <w:sz w:val="20"/>
                <w:szCs w:val="20"/>
                <w:color w:val="auto"/>
              </w:rPr>
            </w:pPr>
            <w:r>
              <w:rPr>
                <w:rFonts w:ascii="Courier New" w:cs="Courier New" w:eastAsia="Courier New" w:hAnsi="Courier New"/>
                <w:sz w:val="13"/>
                <w:szCs w:val="13"/>
                <w:color w:val="auto"/>
              </w:rPr>
              <w:t>Incorporation of Certain Documents by Reference</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30</w:t>
            </w:r>
          </w:p>
        </w:tc>
      </w:tr>
      <w:tr>
        <w:trPr>
          <w:trHeight w:val="152"/>
        </w:trPr>
        <w:tc>
          <w:tcPr>
            <w:tcW w:w="5620" w:type="dxa"/>
            <w:vAlign w:val="bottom"/>
          </w:tcPr>
          <w:p>
            <w:pPr>
              <w:spacing w:after="0"/>
              <w:rPr>
                <w:sz w:val="20"/>
                <w:szCs w:val="20"/>
                <w:color w:val="auto"/>
              </w:rPr>
            </w:pPr>
            <w:r>
              <w:rPr>
                <w:rFonts w:ascii="Courier New" w:cs="Courier New" w:eastAsia="Courier New" w:hAnsi="Courier New"/>
                <w:sz w:val="13"/>
                <w:szCs w:val="13"/>
                <w:color w:val="auto"/>
              </w:rPr>
              <w:t>Exemption, Insurance and Indemnification of Directors and Officers</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31</w:t>
            </w:r>
          </w:p>
        </w:tc>
      </w:tr>
      <w:tr>
        <w:trPr>
          <w:trHeight w:val="152"/>
        </w:trPr>
        <w:tc>
          <w:tcPr>
            <w:tcW w:w="5620" w:type="dxa"/>
            <w:vAlign w:val="bottom"/>
          </w:tcPr>
          <w:p>
            <w:pPr>
              <w:spacing w:after="0"/>
              <w:rPr>
                <w:sz w:val="20"/>
                <w:szCs w:val="20"/>
                <w:color w:val="auto"/>
              </w:rPr>
            </w:pPr>
            <w:r>
              <w:rPr>
                <w:rFonts w:ascii="Courier New" w:cs="Courier New" w:eastAsia="Courier New" w:hAnsi="Courier New"/>
                <w:sz w:val="13"/>
                <w:szCs w:val="13"/>
                <w:color w:val="auto"/>
              </w:rPr>
              <w:t>Recent Sales of Unregistered Securities</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33</w:t>
            </w:r>
          </w:p>
        </w:tc>
      </w:tr>
      <w:tr>
        <w:trPr>
          <w:trHeight w:val="152"/>
        </w:trPr>
        <w:tc>
          <w:tcPr>
            <w:tcW w:w="5620" w:type="dxa"/>
            <w:vAlign w:val="bottom"/>
          </w:tcPr>
          <w:p>
            <w:pPr>
              <w:spacing w:after="0"/>
              <w:rPr>
                <w:sz w:val="20"/>
                <w:szCs w:val="20"/>
                <w:color w:val="auto"/>
              </w:rPr>
            </w:pPr>
            <w:r>
              <w:rPr>
                <w:rFonts w:ascii="Courier New" w:cs="Courier New" w:eastAsia="Courier New" w:hAnsi="Courier New"/>
                <w:sz w:val="13"/>
                <w:szCs w:val="13"/>
                <w:color w:val="auto"/>
              </w:rPr>
              <w:t>Directors, Senior Management and Employees</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35</w:t>
            </w:r>
          </w:p>
        </w:tc>
      </w:tr>
      <w:tr>
        <w:trPr>
          <w:trHeight w:val="152"/>
        </w:trPr>
        <w:tc>
          <w:tcPr>
            <w:tcW w:w="5620" w:type="dxa"/>
            <w:vAlign w:val="bottom"/>
          </w:tcPr>
          <w:p>
            <w:pPr>
              <w:spacing w:after="0"/>
              <w:rPr>
                <w:sz w:val="20"/>
                <w:szCs w:val="20"/>
                <w:color w:val="auto"/>
              </w:rPr>
            </w:pPr>
            <w:r>
              <w:rPr>
                <w:rFonts w:ascii="Courier New" w:cs="Courier New" w:eastAsia="Courier New" w:hAnsi="Courier New"/>
                <w:sz w:val="13"/>
                <w:szCs w:val="13"/>
                <w:color w:val="auto"/>
              </w:rPr>
              <w:t>Where You Can Find More Information</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39</w:t>
            </w:r>
          </w:p>
        </w:tc>
      </w:tr>
      <w:tr>
        <w:trPr>
          <w:trHeight w:val="152"/>
        </w:trPr>
        <w:tc>
          <w:tcPr>
            <w:tcW w:w="5620" w:type="dxa"/>
            <w:vAlign w:val="bottom"/>
          </w:tcPr>
          <w:p>
            <w:pPr>
              <w:spacing w:after="0"/>
              <w:rPr>
                <w:sz w:val="20"/>
                <w:szCs w:val="20"/>
                <w:color w:val="auto"/>
              </w:rPr>
            </w:pPr>
            <w:r>
              <w:rPr>
                <w:rFonts w:ascii="Courier New" w:cs="Courier New" w:eastAsia="Courier New" w:hAnsi="Courier New"/>
                <w:sz w:val="13"/>
                <w:szCs w:val="13"/>
                <w:color w:val="auto"/>
              </w:rPr>
              <w:t>Legal Matters</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39</w:t>
            </w:r>
          </w:p>
        </w:tc>
      </w:tr>
      <w:tr>
        <w:trPr>
          <w:trHeight w:val="152"/>
        </w:trPr>
        <w:tc>
          <w:tcPr>
            <w:tcW w:w="5620" w:type="dxa"/>
            <w:vAlign w:val="bottom"/>
          </w:tcPr>
          <w:p>
            <w:pPr>
              <w:spacing w:after="0"/>
              <w:rPr>
                <w:sz w:val="20"/>
                <w:szCs w:val="20"/>
                <w:color w:val="auto"/>
              </w:rPr>
            </w:pPr>
            <w:r>
              <w:rPr>
                <w:rFonts w:ascii="Courier New" w:cs="Courier New" w:eastAsia="Courier New" w:hAnsi="Courier New"/>
                <w:sz w:val="13"/>
                <w:szCs w:val="13"/>
                <w:color w:val="auto"/>
              </w:rPr>
              <w:t>Experts</w:t>
            </w:r>
          </w:p>
        </w:tc>
        <w:tc>
          <w:tcPr>
            <w:tcW w:w="560" w:type="dxa"/>
            <w:vAlign w:val="bottom"/>
          </w:tcPr>
          <w:p>
            <w:pPr>
              <w:jc w:val="right"/>
              <w:spacing w:after="0"/>
              <w:rPr>
                <w:sz w:val="20"/>
                <w:szCs w:val="20"/>
                <w:color w:val="auto"/>
              </w:rPr>
            </w:pPr>
            <w:r>
              <w:rPr>
                <w:rFonts w:ascii="Courier New" w:cs="Courier New" w:eastAsia="Courier New" w:hAnsi="Courier New"/>
                <w:sz w:val="13"/>
                <w:szCs w:val="13"/>
                <w:color w:val="auto"/>
              </w:rPr>
              <w:t>39</w:t>
            </w:r>
          </w:p>
        </w:tc>
      </w:tr>
    </w:tbl>
    <w:p>
      <w:pPr>
        <w:spacing w:after="0" w:line="309" w:lineRule="exact"/>
        <w:rPr>
          <w:sz w:val="24"/>
          <w:szCs w:val="24"/>
          <w:color w:val="auto"/>
        </w:rPr>
      </w:pPr>
    </w:p>
    <w:p>
      <w:pPr>
        <w:ind w:right="3899"/>
        <w:spacing w:after="0" w:line="248" w:lineRule="auto"/>
        <w:rPr>
          <w:sz w:val="20"/>
          <w:szCs w:val="20"/>
          <w:color w:val="auto"/>
        </w:rPr>
      </w:pPr>
      <w:r>
        <w:rPr>
          <w:rFonts w:ascii="Courier New" w:cs="Courier New" w:eastAsia="Courier New" w:hAnsi="Courier New"/>
          <w:sz w:val="13"/>
          <w:szCs w:val="13"/>
          <w:color w:val="auto"/>
        </w:rPr>
        <w:t>THE OFFERING DESCRIBED IN THE PROSPECTUS FROM WHICH THESE PORTIONS WERE SELECTED IS BEING MADE IN ISRAEL TO RESIDENTS OF ISRAEL ONLY. THE SECURITIES BEING OFFERED HAVE NOT BEEN AND WILL NOT BE REGISTERED UNDER THE US SECURITIES ACT OF</w:t>
      </w:r>
    </w:p>
    <w:p>
      <w:pPr>
        <w:sectPr>
          <w:pgSz w:w="11900" w:h="16838" w:orient="portrait"/>
          <w:cols w:equalWidth="0" w:num="1">
            <w:col w:w="10239"/>
          </w:cols>
          <w:pgMar w:left="220" w:top="222" w:right="1440" w:bottom="0" w:gutter="0" w:footer="0" w:header="0"/>
          <w:type w:val="continuous"/>
        </w:sectPr>
      </w:pPr>
    </w:p>
    <w:bookmarkStart w:id="1" w:name="page2"/>
    <w:bookmarkEnd w:id="1"/>
    <w:p>
      <w:pPr>
        <w:spacing w:after="0" w:line="52" w:lineRule="exact"/>
        <w:rPr>
          <w:sz w:val="20"/>
          <w:szCs w:val="20"/>
          <w:color w:val="auto"/>
        </w:rPr>
      </w:pPr>
    </w:p>
    <w:p>
      <w:pPr>
        <w:ind w:right="4059"/>
        <w:spacing w:after="0" w:line="248" w:lineRule="auto"/>
        <w:rPr>
          <w:sz w:val="20"/>
          <w:szCs w:val="20"/>
          <w:color w:val="auto"/>
        </w:rPr>
      </w:pPr>
      <w:r>
        <w:rPr>
          <w:rFonts w:ascii="Courier New" w:cs="Courier New" w:eastAsia="Courier New" w:hAnsi="Courier New"/>
          <w:sz w:val="13"/>
          <w:szCs w:val="13"/>
          <w:color w:val="auto"/>
        </w:rPr>
        <w:t>1933, AS AMENDED, AND MAY NOT BE OFFERED OR SOLD IN THE UNITED STATES OR TO US PERSONS, ABSENT REGISTRATION OR AN APPLICABLE EXEMPTION FROM THE REGISTRATION REQUIREMENTS OF SUCH ACT.</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GENERAL</w:t>
      </w:r>
    </w:p>
    <w:p>
      <w:pPr>
        <w:spacing w:after="0" w:line="157" w:lineRule="exact"/>
        <w:rPr>
          <w:sz w:val="20"/>
          <w:szCs w:val="20"/>
          <w:color w:val="auto"/>
        </w:rPr>
      </w:pPr>
    </w:p>
    <w:p>
      <w:pPr>
        <w:ind w:right="3899"/>
        <w:spacing w:after="0" w:line="248" w:lineRule="auto"/>
        <w:rPr>
          <w:sz w:val="20"/>
          <w:szCs w:val="20"/>
          <w:color w:val="auto"/>
        </w:rPr>
      </w:pPr>
      <w:r>
        <w:rPr>
          <w:rFonts w:ascii="Courier New" w:cs="Courier New" w:eastAsia="Courier New" w:hAnsi="Courier New"/>
          <w:sz w:val="13"/>
          <w:szCs w:val="13"/>
          <w:color w:val="auto"/>
        </w:rPr>
        <w:t>AS USED HEREIN OR IN ANY DOCUMENT INCORPORATED BY REFERENCE HERETO, REFERENCES TO THE "COMPANY", "TOWER SEMICONDUCTOR LTD.", "TOWER", "REGISTRANT", "WE", "US",</w:t>
      </w:r>
    </w:p>
    <w:p>
      <w:pPr>
        <w:ind w:right="4059"/>
        <w:spacing w:after="0" w:line="248" w:lineRule="auto"/>
        <w:rPr>
          <w:sz w:val="20"/>
          <w:szCs w:val="20"/>
          <w:color w:val="auto"/>
        </w:rPr>
      </w:pPr>
      <w:r>
        <w:rPr>
          <w:rFonts w:ascii="Courier New" w:cs="Courier New" w:eastAsia="Courier New" w:hAnsi="Courier New"/>
          <w:sz w:val="13"/>
          <w:szCs w:val="13"/>
          <w:color w:val="auto"/>
        </w:rPr>
        <w:t>OR "OUR" ARE REFERENCES TO TOWER SEMICONDUCTOR LTD. AND OUR SUBSIDIARY, EXCEPT AS THE CONTEXT OTHERWISE REQUIRES. IN ADDITION, REFERENCES TO OUR "FINANCIAL STATEMENTS" ARE TO OUR CONSOLIDATED FINANCIAL STATEMENTS EXCEPT AS THE CONTEXT OTHERWISE REQUIRES.</w:t>
      </w:r>
    </w:p>
    <w:p>
      <w:pPr>
        <w:spacing w:after="0" w:line="152" w:lineRule="exact"/>
        <w:rPr>
          <w:sz w:val="20"/>
          <w:szCs w:val="20"/>
          <w:color w:val="auto"/>
        </w:rPr>
      </w:pPr>
    </w:p>
    <w:p>
      <w:pPr>
        <w:ind w:right="3899"/>
        <w:spacing w:after="0" w:line="248" w:lineRule="auto"/>
        <w:rPr>
          <w:sz w:val="20"/>
          <w:szCs w:val="20"/>
          <w:color w:val="auto"/>
        </w:rPr>
      </w:pPr>
      <w:r>
        <w:rPr>
          <w:rFonts w:ascii="Courier New" w:cs="Courier New" w:eastAsia="Courier New" w:hAnsi="Courier New"/>
          <w:sz w:val="13"/>
          <w:szCs w:val="13"/>
          <w:color w:val="auto"/>
        </w:rPr>
        <w:t>WE HAVE PREPARED OUR CONSOLIDATED FINANCIAL STATEMENTS IN UNITED STATES DOLLARS AND IN ACCORDANCE WITH GENERALLY ACCEPTED ACCOUNTING PRINCIPLES IN ISRAEL, WHICH INCLUDE A RECONCILIATION NOTE TO GENERALLY ACCEPTED ACCOUNTING PRINCIPLES IN THE UNITED STATES. ALL REFERENCES HEREIN TO "DOLLARS" OR "$" ARE TO UNITED STATES DOLLARS, AND ALL REFERENCES TO "SHEKELS" OR "NIS" ARE TO NEW ISRAELI SHEKELS.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FORWARD LOOKING STATEMENTS</w:t>
      </w:r>
    </w:p>
    <w:p>
      <w:pPr>
        <w:spacing w:after="0" w:line="157"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Our actual results may differ materially from those expressed in forward-looking statements made or incorporated by reference in this prospectus. Forward-looking statements that express our beliefs, plans, objectives, assumptions or future events or performance may involve estimates, assumptions, risks and uncertainties. Therefore, our actual results and performance may differ materially from those expressed in the forward-looking statements. Forward-looking statements often, although not always, include words or phrases such as the following: "will likely result," "are expected to," "will continue," "is anticipated," "estimate," "intends," "plans," "projection" and "outlook."</w:t>
      </w:r>
    </w:p>
    <w:p>
      <w:pPr>
        <w:spacing w:after="0" w:line="152" w:lineRule="exact"/>
        <w:rPr>
          <w:sz w:val="20"/>
          <w:szCs w:val="20"/>
          <w:color w:val="auto"/>
        </w:rPr>
      </w:pPr>
    </w:p>
    <w:p>
      <w:pPr>
        <w:ind w:right="3979" w:firstLine="396"/>
        <w:spacing w:after="0" w:line="248" w:lineRule="auto"/>
        <w:rPr>
          <w:sz w:val="20"/>
          <w:szCs w:val="20"/>
          <w:color w:val="auto"/>
        </w:rPr>
      </w:pPr>
      <w:r>
        <w:rPr>
          <w:rFonts w:ascii="Courier New" w:cs="Courier New" w:eastAsia="Courier New" w:hAnsi="Courier New"/>
          <w:sz w:val="13"/>
          <w:szCs w:val="13"/>
          <w:color w:val="auto"/>
        </w:rPr>
        <w:t>You should not unduly rely on forward-looking statements contained or incorporated by reference in this prospectus. Various factors discussed in this prospectus, including, but not limited to, all the risks discussed in "Risk Factors," and in our other filings with the Securities and Exchange Commission, which are filed with the Israel Securities Authority, may cause actual results or outcomes to differ materially from those expressed in forward-looking statements. You should read and interpret any forward-looking statements together with these documents.</w:t>
      </w:r>
    </w:p>
    <w:p>
      <w:pPr>
        <w:spacing w:after="0" w:line="152" w:lineRule="exact"/>
        <w:rPr>
          <w:sz w:val="20"/>
          <w:szCs w:val="20"/>
          <w:color w:val="auto"/>
        </w:rPr>
      </w:pPr>
    </w:p>
    <w:p>
      <w:pPr>
        <w:ind w:right="4059" w:firstLine="396"/>
        <w:spacing w:after="0" w:line="248" w:lineRule="auto"/>
        <w:rPr>
          <w:sz w:val="20"/>
          <w:szCs w:val="20"/>
          <w:color w:val="auto"/>
        </w:rPr>
      </w:pPr>
      <w:r>
        <w:rPr>
          <w:rFonts w:ascii="Courier New" w:cs="Courier New" w:eastAsia="Courier New" w:hAnsi="Courier New"/>
          <w:sz w:val="13"/>
          <w:szCs w:val="13"/>
          <w:color w:val="auto"/>
        </w:rPr>
        <w:t>Any forward-looking statement speaks only as of the date on which that statement is made. We will not update any forward-looking statement to reflect events or circumstances that occur after the date on which such statement is made.</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SUMMARY INFORMATION REGARDING THE COMPANY</w:t>
      </w:r>
    </w:p>
    <w:p>
      <w:pPr>
        <w:spacing w:after="0" w:line="157" w:lineRule="exact"/>
        <w:rPr>
          <w:sz w:val="20"/>
          <w:szCs w:val="20"/>
          <w:color w:val="auto"/>
        </w:rPr>
      </w:pPr>
    </w:p>
    <w:p>
      <w:pPr>
        <w:ind w:right="3979" w:firstLine="396"/>
        <w:spacing w:after="0" w:line="248" w:lineRule="auto"/>
        <w:rPr>
          <w:sz w:val="20"/>
          <w:szCs w:val="20"/>
          <w:color w:val="auto"/>
        </w:rPr>
      </w:pPr>
      <w:r>
        <w:rPr>
          <w:rFonts w:ascii="Courier New" w:cs="Courier New" w:eastAsia="Courier New" w:hAnsi="Courier New"/>
          <w:sz w:val="13"/>
          <w:szCs w:val="13"/>
          <w:color w:val="auto"/>
        </w:rPr>
        <w:t>You should read the following summary together with the more detailed information regarding us and the securities being sold in this offering, including the risks discussed under the heading "Risk Factors". You should also read carefully the consolidated financial statements and notes thereto and the other information about us that are incorporated by reference in this prospectus, including our 2004 20-F, our Form 6-K regarding our 2005 financial results and our Form 6-K, as amended, regarding our financial results for the three months ended March 31, 2006, all incorporated by reference into this prospectus.</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We are a pure-play independent wafer foundry dedicated to the manufacture of semiconductors, strategically focused on embedded non-volatile memory, complementary metal oxide semiconductor (CMOS) image sensor, mixed signal and radio frequency CMOS (RFCMOS) technologies.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 We also provide complementary technical services and design support. ICs manufactured by us are incorporated into a wide range of products in diverse markets, including consumer electronics, personal computers, communications, automotive, industrial and medical device products.</w:t>
      </w:r>
    </w:p>
    <w:p>
      <w:pPr>
        <w:spacing w:after="0" w:line="152"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1</w:t>
      </w:r>
    </w:p>
    <w:p>
      <w:pPr>
        <w:spacing w:after="0" w:line="200" w:lineRule="exact"/>
        <w:rPr>
          <w:sz w:val="20"/>
          <w:szCs w:val="20"/>
          <w:color w:val="auto"/>
        </w:rPr>
      </w:pPr>
    </w:p>
    <w:p>
      <w:pPr>
        <w:spacing w:after="0" w:line="241"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In January 2001, we commenced construction of a new, state-of-the-art wafer fabrication facility, which we refer to as Fab 2, located in Migdal Haemek, Israel and adjacent to our first facility, Fab 1. Depending on the process technology and product mix, as of March 31, 2006, Fab 1 is able to achieve capacity levels of approximately 16,000 wafers per month. In 2003, we completed the infrastructure of Fab 2 and commenced production wafer shipments from this Fab. Fab 2 is designed to operate in geometries of 0.18-micron and below, using advanced materials and advanced CMOS technology licensed from Freescale and Toshiba and other technologies that we developed and will develop independently or with development partners. Production capacity of Fab 2 as of May 18, 2006 was approximately 15,000 wafers per month. Depending on the process technology and product mix, when fully ramped-up we estimate that Fab 2 will be able to achieve capacity levels of up to approximately 40,000 wafers per month.</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Our manufacturing facilities and executive offices are located in the Ramat Gavriel Industrial Park, Post Office Box 619, Migdal Haemek, 23105 Israel, and our telephone number is 972-4-650-6611.</w:t>
      </w:r>
    </w:p>
    <w:p>
      <w:pPr>
        <w:sectPr>
          <w:pgSz w:w="11900" w:h="16891" w:orient="portrait"/>
          <w:cols w:equalWidth="0" w:num="1">
            <w:col w:w="10239"/>
          </w:cols>
          <w:pgMar w:left="220" w:top="141" w:right="1440" w:bottom="0" w:gutter="0" w:footer="0" w:header="0"/>
        </w:sectPr>
      </w:pPr>
    </w:p>
    <w:bookmarkStart w:id="2" w:name="page3"/>
    <w:bookmarkEnd w:id="2"/>
    <w:p>
      <w:pPr>
        <w:spacing w:after="0" w:line="32" w:lineRule="exact"/>
        <w:rPr>
          <w:sz w:val="20"/>
          <w:szCs w:val="20"/>
          <w:color w:val="auto"/>
        </w:rPr>
      </w:pPr>
    </w:p>
    <w:p>
      <w:pPr>
        <w:ind w:right="3979" w:firstLine="396"/>
        <w:spacing w:after="0" w:line="248" w:lineRule="auto"/>
        <w:rPr>
          <w:sz w:val="20"/>
          <w:szCs w:val="20"/>
          <w:color w:val="auto"/>
        </w:rPr>
      </w:pPr>
      <w:r>
        <w:rPr>
          <w:rFonts w:ascii="Courier New" w:cs="Courier New" w:eastAsia="Courier New" w:hAnsi="Courier New"/>
          <w:sz w:val="13"/>
          <w:szCs w:val="13"/>
          <w:color w:val="auto"/>
        </w:rPr>
        <w:t>Additional information about us and our operations may be found on our web site: www.towersemi.com. Information on our website is not incorporated by reference in this prospectus.</w:t>
      </w:r>
    </w:p>
    <w:p>
      <w:pPr>
        <w:spacing w:after="0" w:line="152"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OFFER AND LISTING</w:t>
      </w:r>
    </w:p>
    <w:p>
      <w:pPr>
        <w:spacing w:after="0" w:line="157"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Our ordinary shares are listed and traded on the NASDAQ National Market under the symbol "TSEM." In addition, in January 2001, our ordinary shares commenced trading on the Tel Aviv Stock Exchange (TASE) under the symbol "TSEM."</w:t>
      </w:r>
    </w:p>
    <w:p>
      <w:pPr>
        <w:spacing w:after="0" w:line="152" w:lineRule="exact"/>
        <w:rPr>
          <w:sz w:val="20"/>
          <w:szCs w:val="20"/>
          <w:color w:val="auto"/>
        </w:rPr>
      </w:pPr>
    </w:p>
    <w:p>
      <w:pPr>
        <w:ind w:right="3899" w:firstLine="396"/>
        <w:spacing w:after="0" w:line="249" w:lineRule="auto"/>
        <w:rPr>
          <w:sz w:val="20"/>
          <w:szCs w:val="20"/>
          <w:color w:val="auto"/>
        </w:rPr>
      </w:pPr>
      <w:r>
        <w:rPr>
          <w:rFonts w:ascii="Courier New" w:cs="Courier New" w:eastAsia="Courier New" w:hAnsi="Courier New"/>
          <w:sz w:val="13"/>
          <w:szCs w:val="13"/>
          <w:color w:val="auto"/>
        </w:rPr>
        <w:t>The following table sets forth, for the periods indicated, the high and low reported sales prices of the ordinary shares on the Nasdaq National Market:</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300" w:type="dxa"/>
            <w:vAlign w:val="bottom"/>
          </w:tcPr>
          <w:p>
            <w:pPr>
              <w:ind w:left="720"/>
              <w:spacing w:after="0"/>
              <w:rPr>
                <w:sz w:val="20"/>
                <w:szCs w:val="20"/>
                <w:color w:val="auto"/>
              </w:rPr>
            </w:pPr>
            <w:r>
              <w:rPr>
                <w:rFonts w:ascii="Courier New" w:cs="Courier New" w:eastAsia="Courier New" w:hAnsi="Courier New"/>
                <w:sz w:val="13"/>
                <w:szCs w:val="13"/>
                <w:color w:val="auto"/>
              </w:rPr>
              <w:t>PERIOD</w:t>
            </w:r>
          </w:p>
        </w:tc>
        <w:tc>
          <w:tcPr>
            <w:tcW w:w="1820" w:type="dxa"/>
            <w:vAlign w:val="bottom"/>
          </w:tcPr>
          <w:p>
            <w:pPr>
              <w:jc w:val="right"/>
              <w:ind w:right="94"/>
              <w:spacing w:after="0"/>
              <w:rPr>
                <w:sz w:val="20"/>
                <w:szCs w:val="20"/>
                <w:color w:val="auto"/>
              </w:rPr>
            </w:pPr>
            <w:r>
              <w:rPr>
                <w:rFonts w:ascii="Courier New" w:cs="Courier New" w:eastAsia="Courier New" w:hAnsi="Courier New"/>
                <w:sz w:val="13"/>
                <w:szCs w:val="13"/>
                <w:color w:val="auto"/>
              </w:rPr>
              <w:t>HIGH ($)</w:t>
            </w: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LOW ($)</w:t>
            </w:r>
          </w:p>
        </w:tc>
      </w:tr>
      <w:tr>
        <w:trPr>
          <w:trHeight w:val="152"/>
        </w:trPr>
        <w:tc>
          <w:tcPr>
            <w:tcW w:w="2300" w:type="dxa"/>
            <w:vAlign w:val="bottom"/>
          </w:tcPr>
          <w:p>
            <w:pPr>
              <w:ind w:left="720"/>
              <w:spacing w:after="0"/>
              <w:rPr>
                <w:sz w:val="20"/>
                <w:szCs w:val="20"/>
                <w:color w:val="auto"/>
              </w:rPr>
            </w:pPr>
            <w:r>
              <w:rPr>
                <w:rFonts w:ascii="Courier New" w:cs="Courier New" w:eastAsia="Courier New" w:hAnsi="Courier New"/>
                <w:sz w:val="13"/>
                <w:szCs w:val="13"/>
                <w:color w:val="auto"/>
              </w:rPr>
              <w:t>------</w:t>
            </w:r>
          </w:p>
        </w:tc>
        <w:tc>
          <w:tcPr>
            <w:tcW w:w="1820" w:type="dxa"/>
            <w:vAlign w:val="bottom"/>
          </w:tcPr>
          <w:p>
            <w:pPr>
              <w:jc w:val="right"/>
              <w:ind w:right="94"/>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May 2006</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1.75</w:t>
            </w:r>
          </w:p>
        </w:tc>
        <w:tc>
          <w:tcPr>
            <w:tcW w:w="7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1.22</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April 2006</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1.41</w:t>
            </w:r>
          </w:p>
        </w:tc>
        <w:tc>
          <w:tcPr>
            <w:tcW w:w="7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1.25</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March 2006</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1.45</w:t>
            </w:r>
          </w:p>
        </w:tc>
        <w:tc>
          <w:tcPr>
            <w:tcW w:w="7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1.28</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February 2006</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1.73</w:t>
            </w:r>
          </w:p>
        </w:tc>
        <w:tc>
          <w:tcPr>
            <w:tcW w:w="7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1.22</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January 2006</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1.93</w:t>
            </w:r>
          </w:p>
        </w:tc>
        <w:tc>
          <w:tcPr>
            <w:tcW w:w="7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1.52</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December 2005</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1.80</w:t>
            </w:r>
          </w:p>
        </w:tc>
        <w:tc>
          <w:tcPr>
            <w:tcW w:w="7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1.41</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First quarter 2006</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1.93</w:t>
            </w:r>
          </w:p>
        </w:tc>
        <w:tc>
          <w:tcPr>
            <w:tcW w:w="7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1.22</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Fourth quarter 2005</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1.80</w:t>
            </w:r>
          </w:p>
        </w:tc>
        <w:tc>
          <w:tcPr>
            <w:tcW w:w="7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1.02</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Third quarter 2005</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1.40</w:t>
            </w:r>
          </w:p>
        </w:tc>
        <w:tc>
          <w:tcPr>
            <w:tcW w:w="7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0.92</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Second quarter 2005</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1.90</w:t>
            </w:r>
          </w:p>
        </w:tc>
        <w:tc>
          <w:tcPr>
            <w:tcW w:w="7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1.08</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First quarter 2005</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2.38</w:t>
            </w:r>
          </w:p>
        </w:tc>
        <w:tc>
          <w:tcPr>
            <w:tcW w:w="7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1.36</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Fourth quarter 2004</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3.66</w:t>
            </w:r>
          </w:p>
        </w:tc>
        <w:tc>
          <w:tcPr>
            <w:tcW w:w="7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1.62</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Third quarter 2004</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5.96</w:t>
            </w:r>
          </w:p>
        </w:tc>
        <w:tc>
          <w:tcPr>
            <w:tcW w:w="7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2.95</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Second quarter 2004</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7.20</w:t>
            </w:r>
          </w:p>
        </w:tc>
        <w:tc>
          <w:tcPr>
            <w:tcW w:w="7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4.87</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First quarter 2004</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10.80</w:t>
            </w:r>
          </w:p>
        </w:tc>
        <w:tc>
          <w:tcPr>
            <w:tcW w:w="7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6.22</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2005</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2.38</w:t>
            </w:r>
          </w:p>
        </w:tc>
        <w:tc>
          <w:tcPr>
            <w:tcW w:w="7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0.92</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2004</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10.80</w:t>
            </w:r>
          </w:p>
        </w:tc>
        <w:tc>
          <w:tcPr>
            <w:tcW w:w="7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1.62</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2003</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7.90</w:t>
            </w:r>
          </w:p>
        </w:tc>
        <w:tc>
          <w:tcPr>
            <w:tcW w:w="7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2.16</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2002</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8.50</w:t>
            </w:r>
          </w:p>
        </w:tc>
        <w:tc>
          <w:tcPr>
            <w:tcW w:w="7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3.11</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2001</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17.12</w:t>
            </w:r>
          </w:p>
        </w:tc>
        <w:tc>
          <w:tcPr>
            <w:tcW w:w="7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3.80</w:t>
            </w:r>
          </w:p>
        </w:tc>
      </w:tr>
      <w:tr>
        <w:trPr>
          <w:trHeight w:val="609"/>
        </w:trPr>
        <w:tc>
          <w:tcPr>
            <w:tcW w:w="2300" w:type="dxa"/>
            <w:vAlign w:val="bottom"/>
          </w:tcPr>
          <w:p>
            <w:pPr>
              <w:spacing w:after="0"/>
              <w:rPr>
                <w:sz w:val="24"/>
                <w:szCs w:val="24"/>
                <w:color w:val="auto"/>
              </w:rPr>
            </w:pPr>
          </w:p>
        </w:tc>
        <w:tc>
          <w:tcPr>
            <w:tcW w:w="1820" w:type="dxa"/>
            <w:vAlign w:val="bottom"/>
          </w:tcPr>
          <w:p>
            <w:pPr>
              <w:jc w:val="right"/>
              <w:ind w:right="894"/>
              <w:spacing w:after="0"/>
              <w:rPr>
                <w:sz w:val="20"/>
                <w:szCs w:val="20"/>
                <w:color w:val="auto"/>
              </w:rPr>
            </w:pPr>
            <w:r>
              <w:rPr>
                <w:rFonts w:ascii="Courier New" w:cs="Courier New" w:eastAsia="Courier New" w:hAnsi="Courier New"/>
                <w:sz w:val="13"/>
                <w:szCs w:val="13"/>
                <w:color w:val="auto"/>
              </w:rPr>
              <w:t>3</w:t>
            </w:r>
          </w:p>
        </w:tc>
        <w:tc>
          <w:tcPr>
            <w:tcW w:w="700" w:type="dxa"/>
            <w:vAlign w:val="bottom"/>
          </w:tcPr>
          <w:p>
            <w:pPr>
              <w:spacing w:after="0"/>
              <w:rPr>
                <w:sz w:val="24"/>
                <w:szCs w:val="24"/>
                <w:color w:val="auto"/>
              </w:rPr>
            </w:pPr>
          </w:p>
        </w:tc>
      </w:tr>
    </w:tbl>
    <w:p>
      <w:pPr>
        <w:spacing w:after="0" w:line="200" w:lineRule="exact"/>
        <w:rPr>
          <w:sz w:val="20"/>
          <w:szCs w:val="20"/>
          <w:color w:val="auto"/>
        </w:rPr>
      </w:pPr>
    </w:p>
    <w:p>
      <w:pPr>
        <w:spacing w:after="0" w:line="241"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The following table sets forth, for the periods indicated, the high and low reported sales prices, in NIS, of the ordinary shares on the Tel Aviv Stock Exchange:</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300" w:type="dxa"/>
            <w:vAlign w:val="bottom"/>
          </w:tcPr>
          <w:p>
            <w:pPr>
              <w:ind w:left="560"/>
              <w:spacing w:after="0"/>
              <w:rPr>
                <w:sz w:val="20"/>
                <w:szCs w:val="20"/>
                <w:color w:val="auto"/>
              </w:rPr>
            </w:pPr>
            <w:r>
              <w:rPr>
                <w:rFonts w:ascii="Courier New" w:cs="Courier New" w:eastAsia="Courier New" w:hAnsi="Courier New"/>
                <w:sz w:val="13"/>
                <w:szCs w:val="13"/>
                <w:color w:val="auto"/>
              </w:rPr>
              <w:t>PERIOD</w:t>
            </w:r>
          </w:p>
        </w:tc>
        <w:tc>
          <w:tcPr>
            <w:tcW w:w="1820" w:type="dxa"/>
            <w:vAlign w:val="bottom"/>
          </w:tcPr>
          <w:p>
            <w:pPr>
              <w:jc w:val="right"/>
              <w:ind w:right="14"/>
              <w:spacing w:after="0"/>
              <w:rPr>
                <w:sz w:val="20"/>
                <w:szCs w:val="20"/>
                <w:color w:val="auto"/>
              </w:rPr>
            </w:pPr>
            <w:r>
              <w:rPr>
                <w:rFonts w:ascii="Courier New" w:cs="Courier New" w:eastAsia="Courier New" w:hAnsi="Courier New"/>
                <w:sz w:val="13"/>
                <w:szCs w:val="13"/>
                <w:color w:val="auto"/>
              </w:rPr>
              <w:t>HIGH (NIS)</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LOW (NIS)</w:t>
            </w:r>
          </w:p>
        </w:tc>
      </w:tr>
      <w:tr>
        <w:trPr>
          <w:trHeight w:val="152"/>
        </w:trPr>
        <w:tc>
          <w:tcPr>
            <w:tcW w:w="2300" w:type="dxa"/>
            <w:vAlign w:val="bottom"/>
          </w:tcPr>
          <w:p>
            <w:pPr>
              <w:ind w:left="560"/>
              <w:spacing w:after="0"/>
              <w:rPr>
                <w:sz w:val="20"/>
                <w:szCs w:val="20"/>
                <w:color w:val="auto"/>
              </w:rPr>
            </w:pPr>
            <w:r>
              <w:rPr>
                <w:rFonts w:ascii="Courier New" w:cs="Courier New" w:eastAsia="Courier New" w:hAnsi="Courier New"/>
                <w:sz w:val="13"/>
                <w:szCs w:val="13"/>
                <w:color w:val="auto"/>
              </w:rPr>
              <w:t>------</w:t>
            </w:r>
          </w:p>
        </w:tc>
        <w:tc>
          <w:tcPr>
            <w:tcW w:w="1820" w:type="dxa"/>
            <w:vAlign w:val="bottom"/>
          </w:tcPr>
          <w:p>
            <w:pPr>
              <w:jc w:val="right"/>
              <w:ind w:right="14"/>
              <w:spacing w:after="0"/>
              <w:rPr>
                <w:sz w:val="20"/>
                <w:szCs w:val="20"/>
                <w:color w:val="auto"/>
              </w:rPr>
            </w:pPr>
            <w:r>
              <w:rPr>
                <w:rFonts w:ascii="Courier New" w:cs="Courier New" w:eastAsia="Courier New" w:hAnsi="Courier New"/>
                <w:sz w:val="13"/>
                <w:szCs w:val="13"/>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May 2006</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7.91</w:t>
            </w:r>
          </w:p>
        </w:tc>
        <w:tc>
          <w:tcPr>
            <w:tcW w:w="780" w:type="dxa"/>
            <w:vAlign w:val="bottom"/>
          </w:tcPr>
          <w:p>
            <w:pPr>
              <w:jc w:val="right"/>
              <w:ind w:right="94"/>
              <w:spacing w:after="0"/>
              <w:rPr>
                <w:sz w:val="20"/>
                <w:szCs w:val="20"/>
                <w:color w:val="auto"/>
              </w:rPr>
            </w:pPr>
            <w:r>
              <w:rPr>
                <w:rFonts w:ascii="Courier New" w:cs="Courier New" w:eastAsia="Courier New" w:hAnsi="Courier New"/>
                <w:sz w:val="13"/>
                <w:szCs w:val="13"/>
                <w:color w:val="auto"/>
              </w:rPr>
              <w:t>6.37</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April 2006</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6.90</w:t>
            </w:r>
          </w:p>
        </w:tc>
        <w:tc>
          <w:tcPr>
            <w:tcW w:w="780" w:type="dxa"/>
            <w:vAlign w:val="bottom"/>
          </w:tcPr>
          <w:p>
            <w:pPr>
              <w:jc w:val="right"/>
              <w:ind w:right="94"/>
              <w:spacing w:after="0"/>
              <w:rPr>
                <w:sz w:val="20"/>
                <w:szCs w:val="20"/>
                <w:color w:val="auto"/>
              </w:rPr>
            </w:pPr>
            <w:r>
              <w:rPr>
                <w:rFonts w:ascii="Courier New" w:cs="Courier New" w:eastAsia="Courier New" w:hAnsi="Courier New"/>
                <w:sz w:val="13"/>
                <w:szCs w:val="13"/>
                <w:color w:val="auto"/>
              </w:rPr>
              <w:t>6.00</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March 2006</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6.73</w:t>
            </w:r>
          </w:p>
        </w:tc>
        <w:tc>
          <w:tcPr>
            <w:tcW w:w="780" w:type="dxa"/>
            <w:vAlign w:val="bottom"/>
          </w:tcPr>
          <w:p>
            <w:pPr>
              <w:jc w:val="right"/>
              <w:ind w:right="94"/>
              <w:spacing w:after="0"/>
              <w:rPr>
                <w:sz w:val="20"/>
                <w:szCs w:val="20"/>
                <w:color w:val="auto"/>
              </w:rPr>
            </w:pPr>
            <w:r>
              <w:rPr>
                <w:rFonts w:ascii="Courier New" w:cs="Courier New" w:eastAsia="Courier New" w:hAnsi="Courier New"/>
                <w:sz w:val="13"/>
                <w:szCs w:val="13"/>
                <w:color w:val="auto"/>
              </w:rPr>
              <w:t>6.11</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February 2006</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8.10</w:t>
            </w:r>
          </w:p>
        </w:tc>
        <w:tc>
          <w:tcPr>
            <w:tcW w:w="780" w:type="dxa"/>
            <w:vAlign w:val="bottom"/>
          </w:tcPr>
          <w:p>
            <w:pPr>
              <w:jc w:val="right"/>
              <w:ind w:right="94"/>
              <w:spacing w:after="0"/>
              <w:rPr>
                <w:sz w:val="20"/>
                <w:szCs w:val="20"/>
                <w:color w:val="auto"/>
              </w:rPr>
            </w:pPr>
            <w:r>
              <w:rPr>
                <w:rFonts w:ascii="Courier New" w:cs="Courier New" w:eastAsia="Courier New" w:hAnsi="Courier New"/>
                <w:sz w:val="13"/>
                <w:szCs w:val="13"/>
                <w:color w:val="auto"/>
              </w:rPr>
              <w:t>6.03</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January 2006</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8.54</w:t>
            </w:r>
          </w:p>
        </w:tc>
        <w:tc>
          <w:tcPr>
            <w:tcW w:w="780" w:type="dxa"/>
            <w:vAlign w:val="bottom"/>
          </w:tcPr>
          <w:p>
            <w:pPr>
              <w:jc w:val="right"/>
              <w:ind w:right="94"/>
              <w:spacing w:after="0"/>
              <w:rPr>
                <w:sz w:val="20"/>
                <w:szCs w:val="20"/>
                <w:color w:val="auto"/>
              </w:rPr>
            </w:pPr>
            <w:r>
              <w:rPr>
                <w:rFonts w:ascii="Courier New" w:cs="Courier New" w:eastAsia="Courier New" w:hAnsi="Courier New"/>
                <w:sz w:val="13"/>
                <w:szCs w:val="13"/>
                <w:color w:val="auto"/>
              </w:rPr>
              <w:t>6.57</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December 2005</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8.25</w:t>
            </w:r>
          </w:p>
        </w:tc>
        <w:tc>
          <w:tcPr>
            <w:tcW w:w="780" w:type="dxa"/>
            <w:vAlign w:val="bottom"/>
          </w:tcPr>
          <w:p>
            <w:pPr>
              <w:jc w:val="right"/>
              <w:ind w:right="94"/>
              <w:spacing w:after="0"/>
              <w:rPr>
                <w:sz w:val="20"/>
                <w:szCs w:val="20"/>
                <w:color w:val="auto"/>
              </w:rPr>
            </w:pPr>
            <w:r>
              <w:rPr>
                <w:rFonts w:ascii="Courier New" w:cs="Courier New" w:eastAsia="Courier New" w:hAnsi="Courier New"/>
                <w:sz w:val="13"/>
                <w:szCs w:val="13"/>
                <w:color w:val="auto"/>
              </w:rPr>
              <w:t>6.60</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First quarter 2006</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8.54</w:t>
            </w:r>
          </w:p>
        </w:tc>
        <w:tc>
          <w:tcPr>
            <w:tcW w:w="780" w:type="dxa"/>
            <w:vAlign w:val="bottom"/>
          </w:tcPr>
          <w:p>
            <w:pPr>
              <w:jc w:val="right"/>
              <w:ind w:right="94"/>
              <w:spacing w:after="0"/>
              <w:rPr>
                <w:sz w:val="20"/>
                <w:szCs w:val="20"/>
                <w:color w:val="auto"/>
              </w:rPr>
            </w:pPr>
            <w:r>
              <w:rPr>
                <w:rFonts w:ascii="Courier New" w:cs="Courier New" w:eastAsia="Courier New" w:hAnsi="Courier New"/>
                <w:sz w:val="13"/>
                <w:szCs w:val="13"/>
                <w:color w:val="auto"/>
              </w:rPr>
              <w:t>6.03</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Fourth quarter 2005</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8.30</w:t>
            </w:r>
          </w:p>
        </w:tc>
        <w:tc>
          <w:tcPr>
            <w:tcW w:w="780" w:type="dxa"/>
            <w:vAlign w:val="bottom"/>
          </w:tcPr>
          <w:p>
            <w:pPr>
              <w:jc w:val="right"/>
              <w:ind w:right="94"/>
              <w:spacing w:after="0"/>
              <w:rPr>
                <w:sz w:val="20"/>
                <w:szCs w:val="20"/>
                <w:color w:val="auto"/>
              </w:rPr>
            </w:pPr>
            <w:r>
              <w:rPr>
                <w:rFonts w:ascii="Courier New" w:cs="Courier New" w:eastAsia="Courier New" w:hAnsi="Courier New"/>
                <w:sz w:val="13"/>
                <w:szCs w:val="13"/>
                <w:color w:val="auto"/>
              </w:rPr>
              <w:t>5.20</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Third quarter 2005</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6.04</w:t>
            </w:r>
          </w:p>
        </w:tc>
        <w:tc>
          <w:tcPr>
            <w:tcW w:w="780" w:type="dxa"/>
            <w:vAlign w:val="bottom"/>
          </w:tcPr>
          <w:p>
            <w:pPr>
              <w:jc w:val="right"/>
              <w:ind w:right="94"/>
              <w:spacing w:after="0"/>
              <w:rPr>
                <w:sz w:val="20"/>
                <w:szCs w:val="20"/>
                <w:color w:val="auto"/>
              </w:rPr>
            </w:pPr>
            <w:r>
              <w:rPr>
                <w:rFonts w:ascii="Courier New" w:cs="Courier New" w:eastAsia="Courier New" w:hAnsi="Courier New"/>
                <w:sz w:val="13"/>
                <w:szCs w:val="13"/>
                <w:color w:val="auto"/>
              </w:rPr>
              <w:t>5.10</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Second quarter 2005</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8.00</w:t>
            </w:r>
          </w:p>
        </w:tc>
        <w:tc>
          <w:tcPr>
            <w:tcW w:w="780" w:type="dxa"/>
            <w:vAlign w:val="bottom"/>
          </w:tcPr>
          <w:p>
            <w:pPr>
              <w:jc w:val="right"/>
              <w:ind w:right="94"/>
              <w:spacing w:after="0"/>
              <w:rPr>
                <w:sz w:val="20"/>
                <w:szCs w:val="20"/>
                <w:color w:val="auto"/>
              </w:rPr>
            </w:pPr>
            <w:r>
              <w:rPr>
                <w:rFonts w:ascii="Courier New" w:cs="Courier New" w:eastAsia="Courier New" w:hAnsi="Courier New"/>
                <w:sz w:val="13"/>
                <w:szCs w:val="13"/>
                <w:color w:val="auto"/>
              </w:rPr>
              <w:t>5.15</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First quarter 2005</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10.30</w:t>
            </w:r>
          </w:p>
        </w:tc>
        <w:tc>
          <w:tcPr>
            <w:tcW w:w="780" w:type="dxa"/>
            <w:vAlign w:val="bottom"/>
          </w:tcPr>
          <w:p>
            <w:pPr>
              <w:jc w:val="right"/>
              <w:ind w:right="94"/>
              <w:spacing w:after="0"/>
              <w:rPr>
                <w:sz w:val="20"/>
                <w:szCs w:val="20"/>
                <w:color w:val="auto"/>
              </w:rPr>
            </w:pPr>
            <w:r>
              <w:rPr>
                <w:rFonts w:ascii="Courier New" w:cs="Courier New" w:eastAsia="Courier New" w:hAnsi="Courier New"/>
                <w:sz w:val="13"/>
                <w:szCs w:val="13"/>
                <w:color w:val="auto"/>
              </w:rPr>
              <w:t>6.36</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Fourth quarter 2004</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15.55</w:t>
            </w:r>
          </w:p>
        </w:tc>
        <w:tc>
          <w:tcPr>
            <w:tcW w:w="780" w:type="dxa"/>
            <w:vAlign w:val="bottom"/>
          </w:tcPr>
          <w:p>
            <w:pPr>
              <w:jc w:val="right"/>
              <w:ind w:right="94"/>
              <w:spacing w:after="0"/>
              <w:rPr>
                <w:sz w:val="20"/>
                <w:szCs w:val="20"/>
                <w:color w:val="auto"/>
              </w:rPr>
            </w:pPr>
            <w:r>
              <w:rPr>
                <w:rFonts w:ascii="Courier New" w:cs="Courier New" w:eastAsia="Courier New" w:hAnsi="Courier New"/>
                <w:sz w:val="13"/>
                <w:szCs w:val="13"/>
                <w:color w:val="auto"/>
              </w:rPr>
              <w:t>7.70</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Third quarter 2004</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26.95</w:t>
            </w:r>
          </w:p>
        </w:tc>
        <w:tc>
          <w:tcPr>
            <w:tcW w:w="780" w:type="dxa"/>
            <w:vAlign w:val="bottom"/>
          </w:tcPr>
          <w:p>
            <w:pPr>
              <w:jc w:val="right"/>
              <w:ind w:right="94"/>
              <w:spacing w:after="0"/>
              <w:rPr>
                <w:sz w:val="20"/>
                <w:szCs w:val="20"/>
                <w:color w:val="auto"/>
              </w:rPr>
            </w:pPr>
            <w:r>
              <w:rPr>
                <w:rFonts w:ascii="Courier New" w:cs="Courier New" w:eastAsia="Courier New" w:hAnsi="Courier New"/>
                <w:sz w:val="13"/>
                <w:szCs w:val="13"/>
                <w:color w:val="auto"/>
              </w:rPr>
              <w:t>13.03</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Second quarter 2004</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32.70</w:t>
            </w:r>
          </w:p>
        </w:tc>
        <w:tc>
          <w:tcPr>
            <w:tcW w:w="780" w:type="dxa"/>
            <w:vAlign w:val="bottom"/>
          </w:tcPr>
          <w:p>
            <w:pPr>
              <w:jc w:val="right"/>
              <w:ind w:right="94"/>
              <w:spacing w:after="0"/>
              <w:rPr>
                <w:sz w:val="20"/>
                <w:szCs w:val="20"/>
                <w:color w:val="auto"/>
              </w:rPr>
            </w:pPr>
            <w:r>
              <w:rPr>
                <w:rFonts w:ascii="Courier New" w:cs="Courier New" w:eastAsia="Courier New" w:hAnsi="Courier New"/>
                <w:sz w:val="13"/>
                <w:szCs w:val="13"/>
                <w:color w:val="auto"/>
              </w:rPr>
              <w:t>21.80</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First quarter 2004</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46.39</w:t>
            </w:r>
          </w:p>
        </w:tc>
        <w:tc>
          <w:tcPr>
            <w:tcW w:w="780" w:type="dxa"/>
            <w:vAlign w:val="bottom"/>
          </w:tcPr>
          <w:p>
            <w:pPr>
              <w:jc w:val="right"/>
              <w:ind w:right="94"/>
              <w:spacing w:after="0"/>
              <w:rPr>
                <w:sz w:val="20"/>
                <w:szCs w:val="20"/>
                <w:color w:val="auto"/>
              </w:rPr>
            </w:pPr>
            <w:r>
              <w:rPr>
                <w:rFonts w:ascii="Courier New" w:cs="Courier New" w:eastAsia="Courier New" w:hAnsi="Courier New"/>
                <w:sz w:val="13"/>
                <w:szCs w:val="13"/>
                <w:color w:val="auto"/>
              </w:rPr>
              <w:t>29.30</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2005</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10.30</w:t>
            </w:r>
          </w:p>
        </w:tc>
        <w:tc>
          <w:tcPr>
            <w:tcW w:w="780" w:type="dxa"/>
            <w:vAlign w:val="bottom"/>
          </w:tcPr>
          <w:p>
            <w:pPr>
              <w:jc w:val="right"/>
              <w:ind w:right="94"/>
              <w:spacing w:after="0"/>
              <w:rPr>
                <w:sz w:val="20"/>
                <w:szCs w:val="20"/>
                <w:color w:val="auto"/>
              </w:rPr>
            </w:pPr>
            <w:r>
              <w:rPr>
                <w:rFonts w:ascii="Courier New" w:cs="Courier New" w:eastAsia="Courier New" w:hAnsi="Courier New"/>
                <w:sz w:val="13"/>
                <w:szCs w:val="13"/>
                <w:color w:val="auto"/>
              </w:rPr>
              <w:t>5.10</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2004</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46.39</w:t>
            </w:r>
          </w:p>
        </w:tc>
        <w:tc>
          <w:tcPr>
            <w:tcW w:w="780" w:type="dxa"/>
            <w:vAlign w:val="bottom"/>
          </w:tcPr>
          <w:p>
            <w:pPr>
              <w:jc w:val="right"/>
              <w:ind w:right="94"/>
              <w:spacing w:after="0"/>
              <w:rPr>
                <w:sz w:val="20"/>
                <w:szCs w:val="20"/>
                <w:color w:val="auto"/>
              </w:rPr>
            </w:pPr>
            <w:r>
              <w:rPr>
                <w:rFonts w:ascii="Courier New" w:cs="Courier New" w:eastAsia="Courier New" w:hAnsi="Courier New"/>
                <w:sz w:val="13"/>
                <w:szCs w:val="13"/>
                <w:color w:val="auto"/>
              </w:rPr>
              <w:t>7.70</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2003</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35.00</w:t>
            </w:r>
          </w:p>
        </w:tc>
        <w:tc>
          <w:tcPr>
            <w:tcW w:w="780" w:type="dxa"/>
            <w:vAlign w:val="bottom"/>
          </w:tcPr>
          <w:p>
            <w:pPr>
              <w:jc w:val="right"/>
              <w:ind w:right="94"/>
              <w:spacing w:after="0"/>
              <w:rPr>
                <w:sz w:val="20"/>
                <w:szCs w:val="20"/>
                <w:color w:val="auto"/>
              </w:rPr>
            </w:pPr>
            <w:r>
              <w:rPr>
                <w:rFonts w:ascii="Courier New" w:cs="Courier New" w:eastAsia="Courier New" w:hAnsi="Courier New"/>
                <w:sz w:val="13"/>
                <w:szCs w:val="13"/>
                <w:color w:val="auto"/>
              </w:rPr>
              <w:t>10.12</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2002</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37.99</w:t>
            </w:r>
          </w:p>
        </w:tc>
        <w:tc>
          <w:tcPr>
            <w:tcW w:w="780" w:type="dxa"/>
            <w:vAlign w:val="bottom"/>
          </w:tcPr>
          <w:p>
            <w:pPr>
              <w:jc w:val="right"/>
              <w:ind w:right="94"/>
              <w:spacing w:after="0"/>
              <w:rPr>
                <w:sz w:val="20"/>
                <w:szCs w:val="20"/>
                <w:color w:val="auto"/>
              </w:rPr>
            </w:pPr>
            <w:r>
              <w:rPr>
                <w:rFonts w:ascii="Courier New" w:cs="Courier New" w:eastAsia="Courier New" w:hAnsi="Courier New"/>
                <w:sz w:val="13"/>
                <w:szCs w:val="13"/>
                <w:color w:val="auto"/>
              </w:rPr>
              <w:t>15.30</w:t>
            </w:r>
          </w:p>
        </w:tc>
      </w:tr>
      <w:tr>
        <w:trPr>
          <w:trHeight w:val="152"/>
        </w:trPr>
        <w:tc>
          <w:tcPr>
            <w:tcW w:w="2300" w:type="dxa"/>
            <w:vAlign w:val="bottom"/>
          </w:tcPr>
          <w:p>
            <w:pPr>
              <w:spacing w:after="0"/>
              <w:rPr>
                <w:sz w:val="20"/>
                <w:szCs w:val="20"/>
                <w:color w:val="auto"/>
              </w:rPr>
            </w:pPr>
            <w:r>
              <w:rPr>
                <w:rFonts w:ascii="Courier New" w:cs="Courier New" w:eastAsia="Courier New" w:hAnsi="Courier New"/>
                <w:sz w:val="13"/>
                <w:szCs w:val="13"/>
                <w:color w:val="auto"/>
              </w:rPr>
              <w:t>2001</w:t>
            </w:r>
          </w:p>
        </w:tc>
        <w:tc>
          <w:tcPr>
            <w:tcW w:w="182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58.50</w:t>
            </w:r>
          </w:p>
        </w:tc>
        <w:tc>
          <w:tcPr>
            <w:tcW w:w="780" w:type="dxa"/>
            <w:vAlign w:val="bottom"/>
          </w:tcPr>
          <w:p>
            <w:pPr>
              <w:jc w:val="right"/>
              <w:ind w:right="94"/>
              <w:spacing w:after="0"/>
              <w:rPr>
                <w:sz w:val="20"/>
                <w:szCs w:val="20"/>
                <w:color w:val="auto"/>
              </w:rPr>
            </w:pPr>
            <w:r>
              <w:rPr>
                <w:rFonts w:ascii="Courier New" w:cs="Courier New" w:eastAsia="Courier New" w:hAnsi="Courier New"/>
                <w:sz w:val="13"/>
                <w:szCs w:val="13"/>
                <w:color w:val="auto"/>
              </w:rPr>
              <w:t>16.80</w:t>
            </w:r>
          </w:p>
        </w:tc>
      </w:tr>
      <w:tr>
        <w:trPr>
          <w:trHeight w:val="457"/>
        </w:trPr>
        <w:tc>
          <w:tcPr>
            <w:tcW w:w="2300" w:type="dxa"/>
            <w:vAlign w:val="bottom"/>
          </w:tcPr>
          <w:p>
            <w:pPr>
              <w:spacing w:after="0"/>
              <w:rPr>
                <w:sz w:val="24"/>
                <w:szCs w:val="24"/>
                <w:color w:val="auto"/>
              </w:rPr>
            </w:pPr>
          </w:p>
        </w:tc>
        <w:tc>
          <w:tcPr>
            <w:tcW w:w="1820" w:type="dxa"/>
            <w:vAlign w:val="bottom"/>
          </w:tcPr>
          <w:p>
            <w:pPr>
              <w:jc w:val="right"/>
              <w:ind w:right="894"/>
              <w:spacing w:after="0"/>
              <w:rPr>
                <w:sz w:val="20"/>
                <w:szCs w:val="20"/>
                <w:color w:val="auto"/>
              </w:rPr>
            </w:pPr>
            <w:r>
              <w:rPr>
                <w:rFonts w:ascii="Courier New" w:cs="Courier New" w:eastAsia="Courier New" w:hAnsi="Courier New"/>
                <w:sz w:val="13"/>
                <w:szCs w:val="13"/>
                <w:color w:val="auto"/>
              </w:rPr>
              <w:t>4</w:t>
            </w:r>
          </w:p>
        </w:tc>
        <w:tc>
          <w:tcPr>
            <w:tcW w:w="780" w:type="dxa"/>
            <w:vAlign w:val="bottom"/>
          </w:tcPr>
          <w:p>
            <w:pPr>
              <w:spacing w:after="0"/>
              <w:rPr>
                <w:sz w:val="24"/>
                <w:szCs w:val="24"/>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SUMMARY CONSOLIDATED FINANCIAL DATA</w:t>
      </w:r>
    </w:p>
    <w:p>
      <w:pPr>
        <w:spacing w:after="0" w:line="157"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We derived the selected statement of operations data and other financial data for the years ended December 31, 2005, 2004 and 2003, and selected balance sheet data as of December 31, 2005 and 2004, other than basic loss per ordinary share data as indicated below, from the audited financial statements attached as exhibit 99.2 to our Form 6-K filed with the Securities and Exchange Commission and the Israel Securities Authority on February 2, 2006, which is incorporated by reference herein. Those financial statements were prepared in accordance with Israeli GAAP and audited by Brightman Almagor &amp; Co., a member firm of Deloitte Touche Tohmatsu, independent registered public accounting firm. We derived the selected statement of operations data and other financial data for the years ended December 31, 2002 and 2001 and the selected balance sheet data as of December 31, 2003, 2002 and 2001, from our audited financial statements not included herein, which were prepared in accordance with Israeli GAAP. We derived the selected statement of operations data and other financial data for the three month periods ended March 31, 2006 and March 31, 2005, from our unaudited condensed interim consolidated financial statements attached as exhibit 99.1 to our Form 6-K filed with the Securities and Exchange Commission on May 18, 2006, which is incorporated by reference herein. The differences between statements of operations and balance sheet data in accordance with US GAAP and the respective data in accordance with Israeli GAAP are presented below. Statements of cash flows in accordance with US GAAP would not have materially differed from respective data in accordance with Israeli GAAP. Our management believes that the financial statements referred to above contain all adjustments needed to present fairly the information included therein. You should read this summary financial data together with our audited consolidated</w:t>
      </w:r>
    </w:p>
    <w:p>
      <w:pPr>
        <w:sectPr>
          <w:pgSz w:w="11900" w:h="16870" w:orient="portrait"/>
          <w:cols w:equalWidth="0" w:num="1">
            <w:col w:w="10239"/>
          </w:cols>
          <w:pgMar w:left="220" w:top="293" w:right="1440" w:bottom="0" w:gutter="0" w:footer="0" w:header="0"/>
        </w:sectPr>
      </w:pPr>
    </w:p>
    <w:bookmarkStart w:id="3" w:name="page4"/>
    <w:bookmarkEnd w:id="3"/>
    <w:p>
      <w:pPr>
        <w:ind w:right="5200"/>
        <w:spacing w:after="0" w:line="248" w:lineRule="auto"/>
        <w:rPr>
          <w:sz w:val="20"/>
          <w:szCs w:val="20"/>
          <w:color w:val="auto"/>
        </w:rPr>
      </w:pPr>
      <w:r>
        <w:rPr>
          <w:rFonts w:ascii="Courier New" w:cs="Courier New" w:eastAsia="Courier New" w:hAnsi="Courier New"/>
          <w:sz w:val="13"/>
          <w:szCs w:val="13"/>
          <w:color w:val="auto"/>
        </w:rPr>
        <w:t>financial statements for 2005 and the notes related to those statements including the related "Management's Discussion and Analysis of Financial Condition and Results of Operations", included in our Form 6-K filed on February 2, 2006, incorporated by reference into this prospectus and our unaudited consolidated financial statements for the three months ended March 31, 2006, including the related "Management's Discussion and Analysis of Financial Condition and Results of Operations", included in our Form 6-K filed on May 18, 2006, as amended on June 19, 2006, incorporated by reference into this prospectus.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4"/>
          </w:tcPr>
          <w:p>
            <w:pPr>
              <w:jc w:val="right"/>
              <w:ind w:right="334"/>
              <w:spacing w:after="0"/>
              <w:rPr>
                <w:sz w:val="20"/>
                <w:szCs w:val="20"/>
                <w:color w:val="auto"/>
              </w:rPr>
            </w:pPr>
            <w:r>
              <w:rPr>
                <w:rFonts w:ascii="Courier New" w:cs="Courier New" w:eastAsia="Courier New" w:hAnsi="Courier New"/>
                <w:sz w:val="13"/>
                <w:szCs w:val="13"/>
                <w:color w:val="auto"/>
              </w:rPr>
              <w:t>THREE MONTH PERIOD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2"/>
        </w:trPr>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4"/>
          </w:tcPr>
          <w:p>
            <w:pPr>
              <w:jc w:val="right"/>
              <w:ind w:right="414"/>
              <w:spacing w:after="0"/>
              <w:rPr>
                <w:sz w:val="20"/>
                <w:szCs w:val="20"/>
                <w:color w:val="auto"/>
              </w:rPr>
            </w:pPr>
            <w:r>
              <w:rPr>
                <w:rFonts w:ascii="Courier New" w:cs="Courier New" w:eastAsia="Courier New" w:hAnsi="Courier New"/>
                <w:sz w:val="13"/>
                <w:szCs w:val="13"/>
                <w:color w:val="auto"/>
              </w:rPr>
              <w:t>ENDED MARCH 31,</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(UNAUDITED)</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80" w:type="dxa"/>
            <w:vAlign w:val="bottom"/>
            <w:gridSpan w:val="3"/>
          </w:tcPr>
          <w:p>
            <w:pPr>
              <w:jc w:val="right"/>
              <w:ind w:right="14"/>
              <w:spacing w:after="0"/>
              <w:rPr>
                <w:sz w:val="20"/>
                <w:szCs w:val="20"/>
                <w:color w:val="auto"/>
              </w:rPr>
            </w:pPr>
            <w:r>
              <w:rPr>
                <w:rFonts w:ascii="Courier New" w:cs="Courier New" w:eastAsia="Courier New" w:hAnsi="Courier New"/>
                <w:sz w:val="13"/>
                <w:szCs w:val="13"/>
                <w:color w:val="auto"/>
              </w:rPr>
              <w:t>YEAR ENDED DECEMBER 31,</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2500" w:type="dxa"/>
            <w:vAlign w:val="bottom"/>
          </w:tcPr>
          <w:p>
            <w:pPr>
              <w:spacing w:after="0"/>
              <w:rPr>
                <w:sz w:val="13"/>
                <w:szCs w:val="13"/>
                <w:color w:val="auto"/>
              </w:rPr>
            </w:pPr>
          </w:p>
        </w:tc>
        <w:tc>
          <w:tcPr>
            <w:tcW w:w="2100" w:type="dxa"/>
            <w:vAlign w:val="bottom"/>
            <w:gridSpan w:val="5"/>
          </w:tcPr>
          <w:p>
            <w:pPr>
              <w:jc w:val="right"/>
              <w:spacing w:after="0"/>
              <w:rPr>
                <w:sz w:val="20"/>
                <w:szCs w:val="20"/>
                <w:color w:val="auto"/>
              </w:rPr>
            </w:pPr>
            <w:r>
              <w:rPr>
                <w:rFonts w:ascii="Courier New" w:cs="Courier New" w:eastAsia="Courier New" w:hAnsi="Courier New"/>
                <w:sz w:val="13"/>
                <w:szCs w:val="13"/>
                <w:color w:val="auto"/>
              </w:rPr>
              <w:t>--------------------------</w:t>
            </w:r>
          </w:p>
        </w:tc>
        <w:tc>
          <w:tcPr>
            <w:tcW w:w="540" w:type="dxa"/>
            <w:vAlign w:val="bottom"/>
          </w:tcPr>
          <w:p>
            <w:pPr>
              <w:spacing w:after="0"/>
              <w:rPr>
                <w:sz w:val="13"/>
                <w:szCs w:val="13"/>
                <w:color w:val="auto"/>
              </w:rPr>
            </w:pPr>
          </w:p>
        </w:tc>
        <w:tc>
          <w:tcPr>
            <w:tcW w:w="6400" w:type="dxa"/>
            <w:vAlign w:val="bottom"/>
            <w:gridSpan w:val="9"/>
          </w:tcPr>
          <w:p>
            <w:pPr>
              <w:jc w:val="right"/>
              <w:ind w:right="154"/>
              <w:spacing w:after="0"/>
              <w:rPr>
                <w:sz w:val="20"/>
                <w:szCs w:val="20"/>
                <w:color w:val="auto"/>
              </w:rPr>
            </w:pPr>
            <w:r>
              <w:rPr>
                <w:rFonts w:ascii="Courier New" w:cs="Courier New" w:eastAsia="Courier New" w:hAnsi="Courier New"/>
                <w:sz w:val="13"/>
                <w:szCs w:val="13"/>
                <w:color w:val="auto"/>
              </w:rPr>
              <w:t>-----------------------------------------------------------------------------</w:t>
            </w:r>
          </w:p>
        </w:tc>
      </w:tr>
      <w:tr>
        <w:trPr>
          <w:trHeight w:val="152"/>
        </w:trPr>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ind w:right="174"/>
              <w:spacing w:after="0"/>
              <w:rPr>
                <w:sz w:val="20"/>
                <w:szCs w:val="20"/>
                <w:color w:val="auto"/>
              </w:rPr>
            </w:pPr>
            <w:r>
              <w:rPr>
                <w:rFonts w:ascii="Courier New" w:cs="Courier New" w:eastAsia="Courier New" w:hAnsi="Courier New"/>
                <w:sz w:val="13"/>
                <w:szCs w:val="13"/>
                <w:color w:val="auto"/>
                <w:w w:val="89"/>
              </w:rPr>
              <w:t>2006</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94"/>
              <w:spacing w:after="0"/>
              <w:rPr>
                <w:sz w:val="20"/>
                <w:szCs w:val="20"/>
                <w:color w:val="auto"/>
              </w:rPr>
            </w:pPr>
            <w:r>
              <w:rPr>
                <w:rFonts w:ascii="Courier New" w:cs="Courier New" w:eastAsia="Courier New" w:hAnsi="Courier New"/>
                <w:sz w:val="13"/>
                <w:szCs w:val="13"/>
                <w:color w:val="auto"/>
              </w:rPr>
              <w:t>2005</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654"/>
              <w:spacing w:after="0"/>
              <w:rPr>
                <w:sz w:val="20"/>
                <w:szCs w:val="20"/>
                <w:color w:val="auto"/>
              </w:rPr>
            </w:pPr>
            <w:r>
              <w:rPr>
                <w:rFonts w:ascii="Courier New" w:cs="Courier New" w:eastAsia="Courier New" w:hAnsi="Courier New"/>
                <w:sz w:val="13"/>
                <w:szCs w:val="13"/>
                <w:color w:val="auto"/>
              </w:rPr>
              <w:t>2005</w:t>
            </w:r>
          </w:p>
        </w:tc>
        <w:tc>
          <w:tcPr>
            <w:tcW w:w="1300" w:type="dxa"/>
            <w:vAlign w:val="bottom"/>
          </w:tcPr>
          <w:p>
            <w:pPr>
              <w:jc w:val="right"/>
              <w:ind w:right="614"/>
              <w:spacing w:after="0"/>
              <w:rPr>
                <w:sz w:val="20"/>
                <w:szCs w:val="20"/>
                <w:color w:val="auto"/>
              </w:rPr>
            </w:pPr>
            <w:r>
              <w:rPr>
                <w:rFonts w:ascii="Courier New" w:cs="Courier New" w:eastAsia="Courier New" w:hAnsi="Courier New"/>
                <w:sz w:val="13"/>
                <w:szCs w:val="13"/>
                <w:color w:val="auto"/>
              </w:rPr>
              <w:t>2004</w:t>
            </w:r>
          </w:p>
        </w:tc>
        <w:tc>
          <w:tcPr>
            <w:tcW w:w="200" w:type="dxa"/>
            <w:vAlign w:val="bottom"/>
          </w:tcPr>
          <w:p>
            <w:pPr>
              <w:spacing w:after="0"/>
              <w:rPr>
                <w:sz w:val="13"/>
                <w:szCs w:val="13"/>
                <w:color w:val="auto"/>
              </w:rPr>
            </w:pPr>
          </w:p>
        </w:tc>
        <w:tc>
          <w:tcPr>
            <w:tcW w:w="1180" w:type="dxa"/>
            <w:vAlign w:val="bottom"/>
          </w:tcPr>
          <w:p>
            <w:pPr>
              <w:jc w:val="right"/>
              <w:ind w:right="714"/>
              <w:spacing w:after="0"/>
              <w:rPr>
                <w:sz w:val="20"/>
                <w:szCs w:val="20"/>
                <w:color w:val="auto"/>
              </w:rPr>
            </w:pPr>
            <w:r>
              <w:rPr>
                <w:rFonts w:ascii="Courier New" w:cs="Courier New" w:eastAsia="Courier New" w:hAnsi="Courier New"/>
                <w:sz w:val="13"/>
                <w:szCs w:val="13"/>
                <w:color w:val="auto"/>
              </w:rPr>
              <w:t>2003</w:t>
            </w:r>
          </w:p>
        </w:tc>
        <w:tc>
          <w:tcPr>
            <w:tcW w:w="200" w:type="dxa"/>
            <w:vAlign w:val="bottom"/>
          </w:tcPr>
          <w:p>
            <w:pPr>
              <w:spacing w:after="0"/>
              <w:rPr>
                <w:sz w:val="13"/>
                <w:szCs w:val="13"/>
                <w:color w:val="auto"/>
              </w:rPr>
            </w:pPr>
          </w:p>
        </w:tc>
        <w:tc>
          <w:tcPr>
            <w:tcW w:w="1060" w:type="dxa"/>
            <w:vAlign w:val="bottom"/>
          </w:tcPr>
          <w:p>
            <w:pPr>
              <w:jc w:val="right"/>
              <w:ind w:right="634"/>
              <w:spacing w:after="0"/>
              <w:rPr>
                <w:sz w:val="20"/>
                <w:szCs w:val="20"/>
                <w:color w:val="auto"/>
              </w:rPr>
            </w:pPr>
            <w:r>
              <w:rPr>
                <w:rFonts w:ascii="Courier New" w:cs="Courier New" w:eastAsia="Courier New" w:hAnsi="Courier New"/>
                <w:sz w:val="13"/>
                <w:szCs w:val="13"/>
                <w:color w:val="auto"/>
              </w:rPr>
              <w:t>2002</w:t>
            </w:r>
          </w:p>
        </w:tc>
        <w:tc>
          <w:tcPr>
            <w:tcW w:w="400" w:type="dxa"/>
            <w:vAlign w:val="bottom"/>
          </w:tcPr>
          <w:p>
            <w:pPr>
              <w:spacing w:after="0"/>
              <w:rPr>
                <w:sz w:val="13"/>
                <w:szCs w:val="13"/>
                <w:color w:val="auto"/>
              </w:rPr>
            </w:pPr>
          </w:p>
        </w:tc>
        <w:tc>
          <w:tcPr>
            <w:tcW w:w="700" w:type="dxa"/>
            <w:vAlign w:val="bottom"/>
          </w:tcPr>
          <w:p>
            <w:pPr>
              <w:jc w:val="right"/>
              <w:ind w:right="314"/>
              <w:spacing w:after="0"/>
              <w:rPr>
                <w:sz w:val="20"/>
                <w:szCs w:val="20"/>
                <w:color w:val="auto"/>
              </w:rPr>
            </w:pPr>
            <w:r>
              <w:rPr>
                <w:rFonts w:ascii="Courier New" w:cs="Courier New" w:eastAsia="Courier New" w:hAnsi="Courier New"/>
                <w:sz w:val="13"/>
                <w:szCs w:val="13"/>
                <w:color w:val="auto"/>
                <w:w w:val="95"/>
              </w:rPr>
              <w:t>2001</w:t>
            </w:r>
          </w:p>
        </w:tc>
      </w:tr>
      <w:tr>
        <w:trPr>
          <w:trHeight w:val="152"/>
        </w:trPr>
        <w:tc>
          <w:tcPr>
            <w:tcW w:w="25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540" w:type="dxa"/>
            <w:vAlign w:val="bottom"/>
          </w:tcPr>
          <w:p>
            <w:pPr>
              <w:spacing w:after="0"/>
              <w:rPr>
                <w:sz w:val="13"/>
                <w:szCs w:val="13"/>
                <w:color w:val="auto"/>
              </w:rPr>
            </w:pPr>
          </w:p>
        </w:tc>
        <w:tc>
          <w:tcPr>
            <w:tcW w:w="1360" w:type="dxa"/>
            <w:vAlign w:val="bottom"/>
            <w:gridSpan w:val="2"/>
          </w:tcPr>
          <w:p>
            <w:pPr>
              <w:jc w:val="right"/>
              <w:ind w:right="494"/>
              <w:spacing w:after="0"/>
              <w:rPr>
                <w:sz w:val="20"/>
                <w:szCs w:val="20"/>
                <w:color w:val="auto"/>
              </w:rPr>
            </w:pPr>
            <w:r>
              <w:rPr>
                <w:rFonts w:ascii="Courier New" w:cs="Courier New" w:eastAsia="Courier New" w:hAnsi="Courier New"/>
                <w:sz w:val="13"/>
                <w:szCs w:val="13"/>
                <w:color w:val="auto"/>
              </w:rPr>
              <w:t>---------</w:t>
            </w:r>
          </w:p>
        </w:tc>
        <w:tc>
          <w:tcPr>
            <w:tcW w:w="1300" w:type="dxa"/>
            <w:vAlign w:val="bottom"/>
          </w:tcPr>
          <w:p>
            <w:pPr>
              <w:jc w:val="right"/>
              <w:ind w:right="454"/>
              <w:spacing w:after="0"/>
              <w:rPr>
                <w:sz w:val="20"/>
                <w:szCs w:val="20"/>
                <w:color w:val="auto"/>
              </w:rPr>
            </w:pPr>
            <w:r>
              <w:rPr>
                <w:rFonts w:ascii="Courier New" w:cs="Courier New" w:eastAsia="Courier New" w:hAnsi="Courier New"/>
                <w:sz w:val="13"/>
                <w:szCs w:val="13"/>
                <w:color w:val="auto"/>
              </w:rPr>
              <w:t>---------</w:t>
            </w:r>
          </w:p>
        </w:tc>
        <w:tc>
          <w:tcPr>
            <w:tcW w:w="1380" w:type="dxa"/>
            <w:vAlign w:val="bottom"/>
            <w:gridSpan w:val="2"/>
          </w:tcPr>
          <w:p>
            <w:pPr>
              <w:jc w:val="right"/>
              <w:ind w:right="494"/>
              <w:spacing w:after="0"/>
              <w:rPr>
                <w:sz w:val="20"/>
                <w:szCs w:val="20"/>
                <w:color w:val="auto"/>
              </w:rPr>
            </w:pPr>
            <w:r>
              <w:rPr>
                <w:rFonts w:ascii="Courier New" w:cs="Courier New" w:eastAsia="Courier New" w:hAnsi="Courier New"/>
                <w:sz w:val="13"/>
                <w:szCs w:val="13"/>
                <w:color w:val="auto"/>
              </w:rPr>
              <w:t>---------</w:t>
            </w:r>
          </w:p>
        </w:tc>
        <w:tc>
          <w:tcPr>
            <w:tcW w:w="1260" w:type="dxa"/>
            <w:vAlign w:val="bottom"/>
            <w:gridSpan w:val="2"/>
          </w:tcPr>
          <w:p>
            <w:pPr>
              <w:jc w:val="right"/>
              <w:ind w:right="394"/>
              <w:spacing w:after="0"/>
              <w:rPr>
                <w:sz w:val="20"/>
                <w:szCs w:val="20"/>
                <w:color w:val="auto"/>
              </w:rPr>
            </w:pPr>
            <w:r>
              <w:rPr>
                <w:rFonts w:ascii="Courier New" w:cs="Courier New" w:eastAsia="Courier New" w:hAnsi="Courier New"/>
                <w:sz w:val="13"/>
                <w:szCs w:val="13"/>
                <w:color w:val="auto"/>
              </w:rPr>
              <w:t>---------</w:t>
            </w:r>
          </w:p>
        </w:tc>
        <w:tc>
          <w:tcPr>
            <w:tcW w:w="1100" w:type="dxa"/>
            <w:vAlign w:val="bottom"/>
            <w:gridSpan w:val="2"/>
          </w:tcPr>
          <w:p>
            <w:pPr>
              <w:jc w:val="right"/>
              <w:ind w:right="154"/>
              <w:spacing w:after="0"/>
              <w:rPr>
                <w:sz w:val="20"/>
                <w:szCs w:val="20"/>
                <w:color w:val="auto"/>
              </w:rPr>
            </w:pPr>
            <w:r>
              <w:rPr>
                <w:rFonts w:ascii="Courier New" w:cs="Courier New" w:eastAsia="Courier New" w:hAnsi="Courier New"/>
                <w:sz w:val="13"/>
                <w:szCs w:val="13"/>
                <w:color w:val="auto"/>
              </w:rPr>
              <w:t>---------</w:t>
            </w:r>
          </w:p>
        </w:tc>
      </w:tr>
      <w:tr>
        <w:trPr>
          <w:trHeight w:val="152"/>
        </w:trPr>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140" w:type="dxa"/>
            <w:vAlign w:val="bottom"/>
            <w:gridSpan w:val="6"/>
          </w:tcPr>
          <w:p>
            <w:pPr>
              <w:jc w:val="right"/>
              <w:ind w:right="94"/>
              <w:spacing w:after="0"/>
              <w:rPr>
                <w:sz w:val="20"/>
                <w:szCs w:val="20"/>
                <w:color w:val="auto"/>
              </w:rPr>
            </w:pPr>
            <w:r>
              <w:rPr>
                <w:rFonts w:ascii="Courier New" w:cs="Courier New" w:eastAsia="Courier New" w:hAnsi="Courier New"/>
                <w:sz w:val="13"/>
                <w:szCs w:val="13"/>
                <w:color w:val="auto"/>
              </w:rPr>
              <w:t>(IN THOUSANDS, EXCEPT SHARE DATA AND PER SHARE DATA)</w:t>
            </w: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304"/>
        </w:trPr>
        <w:tc>
          <w:tcPr>
            <w:tcW w:w="2500" w:type="dxa"/>
            <w:vAlign w:val="bottom"/>
          </w:tcPr>
          <w:p>
            <w:pPr>
              <w:spacing w:after="0"/>
              <w:rPr>
                <w:sz w:val="20"/>
                <w:szCs w:val="20"/>
                <w:color w:val="auto"/>
              </w:rPr>
            </w:pPr>
            <w:r>
              <w:rPr>
                <w:rFonts w:ascii="Courier New" w:cs="Courier New" w:eastAsia="Courier New" w:hAnsi="Courier New"/>
                <w:sz w:val="13"/>
                <w:szCs w:val="13"/>
                <w:color w:val="auto"/>
              </w:rPr>
              <w:t>STATEMENT OF OPERATIONS</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52"/>
        </w:trPr>
        <w:tc>
          <w:tcPr>
            <w:tcW w:w="2500" w:type="dxa"/>
            <w:vAlign w:val="bottom"/>
          </w:tcPr>
          <w:p>
            <w:pPr>
              <w:spacing w:after="0"/>
              <w:rPr>
                <w:sz w:val="20"/>
                <w:szCs w:val="20"/>
                <w:color w:val="auto"/>
              </w:rPr>
            </w:pPr>
            <w:r>
              <w:rPr>
                <w:rFonts w:ascii="Courier New" w:cs="Courier New" w:eastAsia="Courier New" w:hAnsi="Courier New"/>
                <w:sz w:val="13"/>
                <w:szCs w:val="13"/>
                <w:color w:val="auto"/>
              </w:rPr>
              <w:t>DATA IN ACCORDANCE WITH</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2500" w:type="dxa"/>
            <w:vAlign w:val="bottom"/>
          </w:tcPr>
          <w:p>
            <w:pPr>
              <w:spacing w:after="0"/>
              <w:rPr>
                <w:sz w:val="20"/>
                <w:szCs w:val="20"/>
                <w:color w:val="auto"/>
              </w:rPr>
            </w:pPr>
            <w:r>
              <w:rPr>
                <w:rFonts w:ascii="Courier New" w:cs="Courier New" w:eastAsia="Courier New" w:hAnsi="Courier New"/>
                <w:sz w:val="13"/>
                <w:szCs w:val="13"/>
                <w:color w:val="auto"/>
              </w:rPr>
              <w:t>ISRAELI GAAP:</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304"/>
        </w:trPr>
        <w:tc>
          <w:tcPr>
            <w:tcW w:w="2500" w:type="dxa"/>
            <w:vAlign w:val="bottom"/>
          </w:tcPr>
          <w:p>
            <w:pPr>
              <w:spacing w:after="0"/>
              <w:rPr>
                <w:sz w:val="20"/>
                <w:szCs w:val="20"/>
                <w:color w:val="auto"/>
              </w:rPr>
            </w:pPr>
            <w:r>
              <w:rPr>
                <w:rFonts w:ascii="Courier New" w:cs="Courier New" w:eastAsia="Courier New" w:hAnsi="Courier New"/>
                <w:sz w:val="13"/>
                <w:szCs w:val="13"/>
                <w:color w:val="auto"/>
              </w:rPr>
              <w:t>Sales</w:t>
            </w:r>
          </w:p>
        </w:tc>
        <w:tc>
          <w:tcPr>
            <w:tcW w:w="2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3"/>
                <w:szCs w:val="13"/>
                <w:color w:val="auto"/>
              </w:rPr>
              <w:t>35,875</w:t>
            </w:r>
          </w:p>
        </w:tc>
        <w:tc>
          <w:tcPr>
            <w:tcW w:w="6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3"/>
                <w:szCs w:val="13"/>
                <w:color w:val="auto"/>
              </w:rPr>
              <w:t>23,167</w:t>
            </w:r>
          </w:p>
        </w:tc>
        <w:tc>
          <w:tcPr>
            <w:tcW w:w="540" w:type="dxa"/>
            <w:vAlign w:val="bottom"/>
          </w:tcPr>
          <w:p>
            <w:pPr>
              <w:spacing w:after="0"/>
              <w:rPr>
                <w:sz w:val="24"/>
                <w:szCs w:val="24"/>
                <w:color w:val="auto"/>
              </w:rPr>
            </w:pPr>
          </w:p>
        </w:tc>
        <w:tc>
          <w:tcPr>
            <w:tcW w:w="1360" w:type="dxa"/>
            <w:vAlign w:val="bottom"/>
            <w:gridSpan w:val="2"/>
          </w:tcPr>
          <w:p>
            <w:pPr>
              <w:jc w:val="right"/>
              <w:ind w:right="494"/>
              <w:spacing w:after="0"/>
              <w:rPr>
                <w:sz w:val="20"/>
                <w:szCs w:val="20"/>
                <w:color w:val="auto"/>
              </w:rPr>
            </w:pPr>
            <w:r>
              <w:rPr>
                <w:rFonts w:ascii="Courier New" w:cs="Courier New" w:eastAsia="Courier New" w:hAnsi="Courier New"/>
                <w:sz w:val="13"/>
                <w:szCs w:val="13"/>
                <w:color w:val="auto"/>
              </w:rPr>
              <w:t>$ 101,991</w:t>
            </w:r>
          </w:p>
        </w:tc>
        <w:tc>
          <w:tcPr>
            <w:tcW w:w="1300" w:type="dxa"/>
            <w:vAlign w:val="bottom"/>
          </w:tcPr>
          <w:p>
            <w:pPr>
              <w:jc w:val="right"/>
              <w:ind w:right="454"/>
              <w:spacing w:after="0"/>
              <w:rPr>
                <w:sz w:val="20"/>
                <w:szCs w:val="20"/>
                <w:color w:val="auto"/>
              </w:rPr>
            </w:pPr>
            <w:r>
              <w:rPr>
                <w:rFonts w:ascii="Courier New" w:cs="Courier New" w:eastAsia="Courier New" w:hAnsi="Courier New"/>
                <w:sz w:val="13"/>
                <w:szCs w:val="13"/>
                <w:color w:val="auto"/>
              </w:rPr>
              <w:t>$ 126,055</w:t>
            </w:r>
          </w:p>
        </w:tc>
        <w:tc>
          <w:tcPr>
            <w:tcW w:w="200" w:type="dxa"/>
            <w:vAlign w:val="bottom"/>
          </w:tcPr>
          <w:p>
            <w:pPr>
              <w:ind w:left="120"/>
              <w:spacing w:after="0"/>
              <w:rPr>
                <w:sz w:val="20"/>
                <w:szCs w:val="20"/>
                <w:color w:val="auto"/>
              </w:rPr>
            </w:pPr>
            <w:r>
              <w:rPr>
                <w:rFonts w:ascii="Courier New" w:cs="Courier New" w:eastAsia="Courier New" w:hAnsi="Courier New"/>
                <w:sz w:val="13"/>
                <w:szCs w:val="13"/>
                <w:color w:val="auto"/>
                <w:w w:val="76"/>
              </w:rPr>
              <w:t>$</w:t>
            </w:r>
          </w:p>
        </w:tc>
        <w:tc>
          <w:tcPr>
            <w:tcW w:w="1180" w:type="dxa"/>
            <w:vAlign w:val="bottom"/>
          </w:tcPr>
          <w:p>
            <w:pPr>
              <w:jc w:val="right"/>
              <w:ind w:right="494"/>
              <w:spacing w:after="0"/>
              <w:rPr>
                <w:sz w:val="20"/>
                <w:szCs w:val="20"/>
                <w:color w:val="auto"/>
              </w:rPr>
            </w:pPr>
            <w:r>
              <w:rPr>
                <w:rFonts w:ascii="Courier New" w:cs="Courier New" w:eastAsia="Courier New" w:hAnsi="Courier New"/>
                <w:sz w:val="13"/>
                <w:szCs w:val="13"/>
                <w:color w:val="auto"/>
              </w:rPr>
              <w:t>61,368</w:t>
            </w:r>
          </w:p>
        </w:tc>
        <w:tc>
          <w:tcPr>
            <w:tcW w:w="2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060" w:type="dxa"/>
            <w:vAlign w:val="bottom"/>
          </w:tcPr>
          <w:p>
            <w:pPr>
              <w:jc w:val="right"/>
              <w:ind w:right="394"/>
              <w:spacing w:after="0"/>
              <w:rPr>
                <w:sz w:val="20"/>
                <w:szCs w:val="20"/>
                <w:color w:val="auto"/>
              </w:rPr>
            </w:pPr>
            <w:r>
              <w:rPr>
                <w:rFonts w:ascii="Courier New" w:cs="Courier New" w:eastAsia="Courier New" w:hAnsi="Courier New"/>
                <w:sz w:val="13"/>
                <w:szCs w:val="13"/>
                <w:color w:val="auto"/>
              </w:rPr>
              <w:t>51,801</w:t>
            </w:r>
          </w:p>
        </w:tc>
        <w:tc>
          <w:tcPr>
            <w:tcW w:w="400" w:type="dxa"/>
            <w:vAlign w:val="bottom"/>
          </w:tcPr>
          <w:p>
            <w:pPr>
              <w:jc w:val="right"/>
              <w:ind w:right="94"/>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154"/>
              <w:spacing w:after="0"/>
              <w:rPr>
                <w:sz w:val="20"/>
                <w:szCs w:val="20"/>
                <w:color w:val="auto"/>
              </w:rPr>
            </w:pPr>
            <w:r>
              <w:rPr>
                <w:rFonts w:ascii="Courier New" w:cs="Courier New" w:eastAsia="Courier New" w:hAnsi="Courier New"/>
                <w:sz w:val="13"/>
                <w:szCs w:val="13"/>
                <w:color w:val="auto"/>
                <w:w w:val="98"/>
              </w:rPr>
              <w:t>52,372</w:t>
            </w:r>
          </w:p>
        </w:tc>
      </w:tr>
      <w:tr>
        <w:trPr>
          <w:trHeight w:val="152"/>
        </w:trPr>
        <w:tc>
          <w:tcPr>
            <w:tcW w:w="2500" w:type="dxa"/>
            <w:vAlign w:val="bottom"/>
          </w:tcPr>
          <w:p>
            <w:pPr>
              <w:spacing w:after="0"/>
              <w:rPr>
                <w:sz w:val="20"/>
                <w:szCs w:val="20"/>
                <w:color w:val="auto"/>
              </w:rPr>
            </w:pPr>
            <w:r>
              <w:rPr>
                <w:rFonts w:ascii="Courier New" w:cs="Courier New" w:eastAsia="Courier New" w:hAnsi="Courier New"/>
                <w:sz w:val="13"/>
                <w:szCs w:val="13"/>
                <w:color w:val="auto"/>
              </w:rPr>
              <w:t>Cost of Sales</w:t>
            </w: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3"/>
                <w:szCs w:val="13"/>
                <w:color w:val="auto"/>
              </w:rPr>
              <w:t>61,280</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3"/>
                <w:szCs w:val="13"/>
                <w:color w:val="auto"/>
              </w:rPr>
              <w:t>61,214</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494"/>
              <w:spacing w:after="0"/>
              <w:rPr>
                <w:sz w:val="20"/>
                <w:szCs w:val="20"/>
                <w:color w:val="auto"/>
              </w:rPr>
            </w:pPr>
            <w:r>
              <w:rPr>
                <w:rFonts w:ascii="Courier New" w:cs="Courier New" w:eastAsia="Courier New" w:hAnsi="Courier New"/>
                <w:sz w:val="13"/>
                <w:szCs w:val="13"/>
                <w:color w:val="auto"/>
              </w:rPr>
              <w:t>238,358</w:t>
            </w:r>
          </w:p>
        </w:tc>
        <w:tc>
          <w:tcPr>
            <w:tcW w:w="1300" w:type="dxa"/>
            <w:vAlign w:val="bottom"/>
          </w:tcPr>
          <w:p>
            <w:pPr>
              <w:jc w:val="right"/>
              <w:ind w:right="454"/>
              <w:spacing w:after="0"/>
              <w:rPr>
                <w:sz w:val="20"/>
                <w:szCs w:val="20"/>
                <w:color w:val="auto"/>
              </w:rPr>
            </w:pPr>
            <w:r>
              <w:rPr>
                <w:rFonts w:ascii="Courier New" w:cs="Courier New" w:eastAsia="Courier New" w:hAnsi="Courier New"/>
                <w:sz w:val="13"/>
                <w:szCs w:val="13"/>
                <w:color w:val="auto"/>
              </w:rPr>
              <w:t>228,410</w:t>
            </w:r>
          </w:p>
        </w:tc>
        <w:tc>
          <w:tcPr>
            <w:tcW w:w="200" w:type="dxa"/>
            <w:vAlign w:val="bottom"/>
          </w:tcPr>
          <w:p>
            <w:pPr>
              <w:spacing w:after="0"/>
              <w:rPr>
                <w:sz w:val="13"/>
                <w:szCs w:val="13"/>
                <w:color w:val="auto"/>
              </w:rPr>
            </w:pPr>
          </w:p>
        </w:tc>
        <w:tc>
          <w:tcPr>
            <w:tcW w:w="1180" w:type="dxa"/>
            <w:vAlign w:val="bottom"/>
          </w:tcPr>
          <w:p>
            <w:pPr>
              <w:jc w:val="right"/>
              <w:ind w:right="494"/>
              <w:spacing w:after="0"/>
              <w:rPr>
                <w:sz w:val="20"/>
                <w:szCs w:val="20"/>
                <w:color w:val="auto"/>
              </w:rPr>
            </w:pPr>
            <w:r>
              <w:rPr>
                <w:rFonts w:ascii="Courier New" w:cs="Courier New" w:eastAsia="Courier New" w:hAnsi="Courier New"/>
                <w:sz w:val="13"/>
                <w:szCs w:val="13"/>
                <w:color w:val="auto"/>
              </w:rPr>
              <w:t>122,395</w:t>
            </w:r>
          </w:p>
        </w:tc>
        <w:tc>
          <w:tcPr>
            <w:tcW w:w="200" w:type="dxa"/>
            <w:vAlign w:val="bottom"/>
          </w:tcPr>
          <w:p>
            <w:pPr>
              <w:spacing w:after="0"/>
              <w:rPr>
                <w:sz w:val="13"/>
                <w:szCs w:val="13"/>
                <w:color w:val="auto"/>
              </w:rPr>
            </w:pPr>
          </w:p>
        </w:tc>
        <w:tc>
          <w:tcPr>
            <w:tcW w:w="1060" w:type="dxa"/>
            <w:vAlign w:val="bottom"/>
          </w:tcPr>
          <w:p>
            <w:pPr>
              <w:jc w:val="right"/>
              <w:ind w:right="394"/>
              <w:spacing w:after="0"/>
              <w:rPr>
                <w:sz w:val="20"/>
                <w:szCs w:val="20"/>
                <w:color w:val="auto"/>
              </w:rPr>
            </w:pPr>
            <w:r>
              <w:rPr>
                <w:rFonts w:ascii="Courier New" w:cs="Courier New" w:eastAsia="Courier New" w:hAnsi="Courier New"/>
                <w:sz w:val="13"/>
                <w:szCs w:val="13"/>
                <w:color w:val="auto"/>
              </w:rPr>
              <w:t>67,022</w:t>
            </w:r>
          </w:p>
        </w:tc>
        <w:tc>
          <w:tcPr>
            <w:tcW w:w="400" w:type="dxa"/>
            <w:vAlign w:val="bottom"/>
          </w:tcPr>
          <w:p>
            <w:pPr>
              <w:spacing w:after="0"/>
              <w:rPr>
                <w:sz w:val="13"/>
                <w:szCs w:val="13"/>
                <w:color w:val="auto"/>
              </w:rPr>
            </w:pPr>
          </w:p>
        </w:tc>
        <w:tc>
          <w:tcPr>
            <w:tcW w:w="700" w:type="dxa"/>
            <w:vAlign w:val="bottom"/>
          </w:tcPr>
          <w:p>
            <w:pPr>
              <w:jc w:val="right"/>
              <w:ind w:right="154"/>
              <w:spacing w:after="0"/>
              <w:rPr>
                <w:sz w:val="20"/>
                <w:szCs w:val="20"/>
                <w:color w:val="auto"/>
              </w:rPr>
            </w:pPr>
            <w:r>
              <w:rPr>
                <w:rFonts w:ascii="Courier New" w:cs="Courier New" w:eastAsia="Courier New" w:hAnsi="Courier New"/>
                <w:sz w:val="13"/>
                <w:szCs w:val="13"/>
                <w:color w:val="auto"/>
                <w:w w:val="98"/>
              </w:rPr>
              <w:t>76,733</w:t>
            </w:r>
          </w:p>
        </w:tc>
      </w:tr>
      <w:tr>
        <w:trPr>
          <w:trHeight w:val="152"/>
        </w:trPr>
        <w:tc>
          <w:tcPr>
            <w:tcW w:w="25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540" w:type="dxa"/>
            <w:vAlign w:val="bottom"/>
          </w:tcPr>
          <w:p>
            <w:pPr>
              <w:spacing w:after="0"/>
              <w:rPr>
                <w:sz w:val="13"/>
                <w:szCs w:val="13"/>
                <w:color w:val="auto"/>
              </w:rPr>
            </w:pPr>
          </w:p>
        </w:tc>
        <w:tc>
          <w:tcPr>
            <w:tcW w:w="1360" w:type="dxa"/>
            <w:vAlign w:val="bottom"/>
            <w:gridSpan w:val="2"/>
          </w:tcPr>
          <w:p>
            <w:pPr>
              <w:jc w:val="right"/>
              <w:ind w:right="494"/>
              <w:spacing w:after="0"/>
              <w:rPr>
                <w:sz w:val="20"/>
                <w:szCs w:val="20"/>
                <w:color w:val="auto"/>
              </w:rPr>
            </w:pPr>
            <w:r>
              <w:rPr>
                <w:rFonts w:ascii="Courier New" w:cs="Courier New" w:eastAsia="Courier New" w:hAnsi="Courier New"/>
                <w:sz w:val="13"/>
                <w:szCs w:val="13"/>
                <w:color w:val="auto"/>
              </w:rPr>
              <w:t>---------</w:t>
            </w:r>
          </w:p>
        </w:tc>
        <w:tc>
          <w:tcPr>
            <w:tcW w:w="1300" w:type="dxa"/>
            <w:vAlign w:val="bottom"/>
          </w:tcPr>
          <w:p>
            <w:pPr>
              <w:jc w:val="right"/>
              <w:ind w:right="454"/>
              <w:spacing w:after="0"/>
              <w:rPr>
                <w:sz w:val="20"/>
                <w:szCs w:val="20"/>
                <w:color w:val="auto"/>
              </w:rPr>
            </w:pPr>
            <w:r>
              <w:rPr>
                <w:rFonts w:ascii="Courier New" w:cs="Courier New" w:eastAsia="Courier New" w:hAnsi="Courier New"/>
                <w:sz w:val="13"/>
                <w:szCs w:val="13"/>
                <w:color w:val="auto"/>
              </w:rPr>
              <w:t>---------</w:t>
            </w:r>
          </w:p>
        </w:tc>
        <w:tc>
          <w:tcPr>
            <w:tcW w:w="1380" w:type="dxa"/>
            <w:vAlign w:val="bottom"/>
            <w:gridSpan w:val="2"/>
          </w:tcPr>
          <w:p>
            <w:pPr>
              <w:jc w:val="right"/>
              <w:ind w:right="494"/>
              <w:spacing w:after="0"/>
              <w:rPr>
                <w:sz w:val="20"/>
                <w:szCs w:val="20"/>
                <w:color w:val="auto"/>
              </w:rPr>
            </w:pPr>
            <w:r>
              <w:rPr>
                <w:rFonts w:ascii="Courier New" w:cs="Courier New" w:eastAsia="Courier New" w:hAnsi="Courier New"/>
                <w:sz w:val="13"/>
                <w:szCs w:val="13"/>
                <w:color w:val="auto"/>
              </w:rPr>
              <w:t>---------</w:t>
            </w:r>
          </w:p>
        </w:tc>
        <w:tc>
          <w:tcPr>
            <w:tcW w:w="1260" w:type="dxa"/>
            <w:vAlign w:val="bottom"/>
            <w:gridSpan w:val="2"/>
          </w:tcPr>
          <w:p>
            <w:pPr>
              <w:jc w:val="right"/>
              <w:ind w:right="394"/>
              <w:spacing w:after="0"/>
              <w:rPr>
                <w:sz w:val="20"/>
                <w:szCs w:val="20"/>
                <w:color w:val="auto"/>
              </w:rPr>
            </w:pPr>
            <w:r>
              <w:rPr>
                <w:rFonts w:ascii="Courier New" w:cs="Courier New" w:eastAsia="Courier New" w:hAnsi="Courier New"/>
                <w:sz w:val="13"/>
                <w:szCs w:val="13"/>
                <w:color w:val="auto"/>
              </w:rPr>
              <w:t>---------</w:t>
            </w:r>
          </w:p>
        </w:tc>
        <w:tc>
          <w:tcPr>
            <w:tcW w:w="1100" w:type="dxa"/>
            <w:vAlign w:val="bottom"/>
            <w:gridSpan w:val="2"/>
          </w:tcPr>
          <w:p>
            <w:pPr>
              <w:jc w:val="right"/>
              <w:ind w:right="154"/>
              <w:spacing w:after="0"/>
              <w:rPr>
                <w:sz w:val="20"/>
                <w:szCs w:val="20"/>
                <w:color w:val="auto"/>
              </w:rPr>
            </w:pPr>
            <w:r>
              <w:rPr>
                <w:rFonts w:ascii="Courier New" w:cs="Courier New" w:eastAsia="Courier New" w:hAnsi="Courier New"/>
                <w:sz w:val="13"/>
                <w:szCs w:val="13"/>
                <w:color w:val="auto"/>
              </w:rPr>
              <w:t>---------</w:t>
            </w:r>
          </w:p>
        </w:tc>
      </w:tr>
      <w:tr>
        <w:trPr>
          <w:trHeight w:val="152"/>
        </w:trPr>
        <w:tc>
          <w:tcPr>
            <w:tcW w:w="2500" w:type="dxa"/>
            <w:vAlign w:val="bottom"/>
          </w:tcPr>
          <w:p>
            <w:pPr>
              <w:spacing w:after="0"/>
              <w:rPr>
                <w:sz w:val="20"/>
                <w:szCs w:val="20"/>
                <w:color w:val="auto"/>
              </w:rPr>
            </w:pPr>
            <w:r>
              <w:rPr>
                <w:rFonts w:ascii="Courier New" w:cs="Courier New" w:eastAsia="Courier New" w:hAnsi="Courier New"/>
                <w:sz w:val="13"/>
                <w:szCs w:val="13"/>
                <w:color w:val="auto"/>
              </w:rPr>
              <w:t>Gross loss</w:t>
            </w:r>
          </w:p>
        </w:tc>
        <w:tc>
          <w:tcPr>
            <w:tcW w:w="200" w:type="dxa"/>
            <w:vAlign w:val="bottom"/>
          </w:tcPr>
          <w:p>
            <w:pPr>
              <w:spacing w:after="0"/>
              <w:rPr>
                <w:sz w:val="13"/>
                <w:szCs w:val="13"/>
                <w:color w:val="auto"/>
              </w:rPr>
            </w:pPr>
          </w:p>
        </w:tc>
        <w:tc>
          <w:tcPr>
            <w:tcW w:w="1140" w:type="dxa"/>
            <w:vAlign w:val="bottom"/>
            <w:gridSpan w:val="2"/>
          </w:tcPr>
          <w:p>
            <w:pPr>
              <w:jc w:val="right"/>
              <w:ind w:right="454"/>
              <w:spacing w:after="0"/>
              <w:rPr>
                <w:sz w:val="20"/>
                <w:szCs w:val="20"/>
                <w:color w:val="auto"/>
              </w:rPr>
            </w:pPr>
            <w:r>
              <w:rPr>
                <w:rFonts w:ascii="Courier New" w:cs="Courier New" w:eastAsia="Courier New" w:hAnsi="Courier New"/>
                <w:sz w:val="13"/>
                <w:szCs w:val="13"/>
                <w:color w:val="auto"/>
                <w:w w:val="96"/>
              </w:rPr>
              <w:t>(25,405)</w:t>
            </w:r>
          </w:p>
        </w:tc>
        <w:tc>
          <w:tcPr>
            <w:tcW w:w="160" w:type="dxa"/>
            <w:vAlign w:val="bottom"/>
          </w:tcPr>
          <w:p>
            <w:pPr>
              <w:spacing w:after="0"/>
              <w:rPr>
                <w:sz w:val="13"/>
                <w:szCs w:val="13"/>
                <w:color w:val="auto"/>
              </w:rPr>
            </w:pPr>
          </w:p>
        </w:tc>
        <w:tc>
          <w:tcPr>
            <w:tcW w:w="1140" w:type="dxa"/>
            <w:vAlign w:val="bottom"/>
            <w:gridSpan w:val="2"/>
          </w:tcPr>
          <w:p>
            <w:pPr>
              <w:jc w:val="right"/>
              <w:ind w:right="394"/>
              <w:spacing w:after="0"/>
              <w:rPr>
                <w:sz w:val="20"/>
                <w:szCs w:val="20"/>
                <w:color w:val="auto"/>
              </w:rPr>
            </w:pPr>
            <w:r>
              <w:rPr>
                <w:rFonts w:ascii="Courier New" w:cs="Courier New" w:eastAsia="Courier New" w:hAnsi="Courier New"/>
                <w:sz w:val="13"/>
                <w:szCs w:val="13"/>
                <w:color w:val="auto"/>
              </w:rPr>
              <w:t>(38,047)</w:t>
            </w:r>
          </w:p>
        </w:tc>
        <w:tc>
          <w:tcPr>
            <w:tcW w:w="160" w:type="dxa"/>
            <w:vAlign w:val="bottom"/>
          </w:tcPr>
          <w:p>
            <w:pPr>
              <w:spacing w:after="0"/>
              <w:rPr>
                <w:sz w:val="13"/>
                <w:szCs w:val="13"/>
                <w:color w:val="auto"/>
              </w:rPr>
            </w:pPr>
          </w:p>
        </w:tc>
        <w:tc>
          <w:tcPr>
            <w:tcW w:w="1200" w:type="dxa"/>
            <w:vAlign w:val="bottom"/>
          </w:tcPr>
          <w:p>
            <w:pPr>
              <w:jc w:val="right"/>
              <w:ind w:right="414"/>
              <w:spacing w:after="0"/>
              <w:rPr>
                <w:sz w:val="20"/>
                <w:szCs w:val="20"/>
                <w:color w:val="auto"/>
              </w:rPr>
            </w:pPr>
            <w:r>
              <w:rPr>
                <w:rFonts w:ascii="Courier New" w:cs="Courier New" w:eastAsia="Courier New" w:hAnsi="Courier New"/>
                <w:sz w:val="13"/>
                <w:szCs w:val="13"/>
                <w:color w:val="auto"/>
                <w:w w:val="99"/>
              </w:rPr>
              <w:t>(136,367)</w:t>
            </w:r>
          </w:p>
        </w:tc>
        <w:tc>
          <w:tcPr>
            <w:tcW w:w="1300" w:type="dxa"/>
            <w:vAlign w:val="bottom"/>
          </w:tcPr>
          <w:p>
            <w:pPr>
              <w:jc w:val="right"/>
              <w:ind w:right="374"/>
              <w:spacing w:after="0"/>
              <w:rPr>
                <w:sz w:val="20"/>
                <w:szCs w:val="20"/>
                <w:color w:val="auto"/>
              </w:rPr>
            </w:pPr>
            <w:r>
              <w:rPr>
                <w:rFonts w:ascii="Courier New" w:cs="Courier New" w:eastAsia="Courier New" w:hAnsi="Courier New"/>
                <w:sz w:val="13"/>
                <w:szCs w:val="13"/>
                <w:color w:val="auto"/>
              </w:rPr>
              <w:t>(102,355)</w:t>
            </w:r>
          </w:p>
        </w:tc>
        <w:tc>
          <w:tcPr>
            <w:tcW w:w="200" w:type="dxa"/>
            <w:vAlign w:val="bottom"/>
          </w:tcPr>
          <w:p>
            <w:pPr>
              <w:spacing w:after="0"/>
              <w:rPr>
                <w:sz w:val="13"/>
                <w:szCs w:val="13"/>
                <w:color w:val="auto"/>
              </w:rPr>
            </w:pPr>
          </w:p>
        </w:tc>
        <w:tc>
          <w:tcPr>
            <w:tcW w:w="1180" w:type="dxa"/>
            <w:vAlign w:val="bottom"/>
          </w:tcPr>
          <w:p>
            <w:pPr>
              <w:jc w:val="right"/>
              <w:ind w:right="414"/>
              <w:spacing w:after="0"/>
              <w:rPr>
                <w:sz w:val="20"/>
                <w:szCs w:val="20"/>
                <w:color w:val="auto"/>
              </w:rPr>
            </w:pPr>
            <w:r>
              <w:rPr>
                <w:rFonts w:ascii="Courier New" w:cs="Courier New" w:eastAsia="Courier New" w:hAnsi="Courier New"/>
                <w:sz w:val="13"/>
                <w:szCs w:val="13"/>
                <w:color w:val="auto"/>
              </w:rPr>
              <w:t>(61,027)</w:t>
            </w:r>
          </w:p>
        </w:tc>
        <w:tc>
          <w:tcPr>
            <w:tcW w:w="200" w:type="dxa"/>
            <w:vAlign w:val="bottom"/>
          </w:tcPr>
          <w:p>
            <w:pPr>
              <w:spacing w:after="0"/>
              <w:rPr>
                <w:sz w:val="13"/>
                <w:szCs w:val="13"/>
                <w:color w:val="auto"/>
              </w:rPr>
            </w:pPr>
          </w:p>
        </w:tc>
        <w:tc>
          <w:tcPr>
            <w:tcW w:w="1060" w:type="dxa"/>
            <w:vAlign w:val="bottom"/>
          </w:tcPr>
          <w:p>
            <w:pPr>
              <w:jc w:val="right"/>
              <w:ind w:right="314"/>
              <w:spacing w:after="0"/>
              <w:rPr>
                <w:sz w:val="20"/>
                <w:szCs w:val="20"/>
                <w:color w:val="auto"/>
              </w:rPr>
            </w:pPr>
            <w:r>
              <w:rPr>
                <w:rFonts w:ascii="Courier New" w:cs="Courier New" w:eastAsia="Courier New" w:hAnsi="Courier New"/>
                <w:sz w:val="13"/>
                <w:szCs w:val="13"/>
                <w:color w:val="auto"/>
              </w:rPr>
              <w:t>(15,221)</w:t>
            </w:r>
          </w:p>
        </w:tc>
        <w:tc>
          <w:tcPr>
            <w:tcW w:w="1100" w:type="dxa"/>
            <w:vAlign w:val="bottom"/>
            <w:gridSpan w:val="2"/>
          </w:tcPr>
          <w:p>
            <w:pPr>
              <w:jc w:val="right"/>
              <w:ind w:right="74"/>
              <w:spacing w:after="0"/>
              <w:rPr>
                <w:sz w:val="20"/>
                <w:szCs w:val="20"/>
                <w:color w:val="auto"/>
              </w:rPr>
            </w:pPr>
            <w:r>
              <w:rPr>
                <w:rFonts w:ascii="Courier New" w:cs="Courier New" w:eastAsia="Courier New" w:hAnsi="Courier New"/>
                <w:sz w:val="13"/>
                <w:szCs w:val="13"/>
                <w:color w:val="auto"/>
              </w:rPr>
              <w:t>(24,361)</w:t>
            </w:r>
          </w:p>
        </w:tc>
      </w:tr>
      <w:tr>
        <w:trPr>
          <w:trHeight w:val="152"/>
        </w:trPr>
        <w:tc>
          <w:tcPr>
            <w:tcW w:w="2500" w:type="dxa"/>
            <w:vAlign w:val="bottom"/>
          </w:tcPr>
          <w:p>
            <w:pPr>
              <w:spacing w:after="0"/>
              <w:rPr>
                <w:sz w:val="20"/>
                <w:szCs w:val="20"/>
                <w:color w:val="auto"/>
              </w:rPr>
            </w:pPr>
            <w:r>
              <w:rPr>
                <w:rFonts w:ascii="Courier New" w:cs="Courier New" w:eastAsia="Courier New" w:hAnsi="Courier New"/>
                <w:sz w:val="13"/>
                <w:szCs w:val="13"/>
                <w:color w:val="auto"/>
              </w:rPr>
              <w:t>Research and development</w:t>
            </w: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3"/>
                <w:szCs w:val="13"/>
                <w:color w:val="auto"/>
              </w:rPr>
              <w:t>3,354</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3"/>
                <w:szCs w:val="13"/>
                <w:color w:val="auto"/>
              </w:rPr>
              <w:t>4,763</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494"/>
              <w:spacing w:after="0"/>
              <w:rPr>
                <w:sz w:val="20"/>
                <w:szCs w:val="20"/>
                <w:color w:val="auto"/>
              </w:rPr>
            </w:pPr>
            <w:r>
              <w:rPr>
                <w:rFonts w:ascii="Courier New" w:cs="Courier New" w:eastAsia="Courier New" w:hAnsi="Courier New"/>
                <w:sz w:val="13"/>
                <w:szCs w:val="13"/>
                <w:color w:val="auto"/>
              </w:rPr>
              <w:t>16,029</w:t>
            </w:r>
          </w:p>
        </w:tc>
        <w:tc>
          <w:tcPr>
            <w:tcW w:w="1300" w:type="dxa"/>
            <w:vAlign w:val="bottom"/>
          </w:tcPr>
          <w:p>
            <w:pPr>
              <w:jc w:val="right"/>
              <w:ind w:right="454"/>
              <w:spacing w:after="0"/>
              <w:rPr>
                <w:sz w:val="20"/>
                <w:szCs w:val="20"/>
                <w:color w:val="auto"/>
              </w:rPr>
            </w:pPr>
            <w:r>
              <w:rPr>
                <w:rFonts w:ascii="Courier New" w:cs="Courier New" w:eastAsia="Courier New" w:hAnsi="Courier New"/>
                <w:sz w:val="13"/>
                <w:szCs w:val="13"/>
                <w:color w:val="auto"/>
              </w:rPr>
              <w:t>17,053</w:t>
            </w:r>
          </w:p>
        </w:tc>
        <w:tc>
          <w:tcPr>
            <w:tcW w:w="200" w:type="dxa"/>
            <w:vAlign w:val="bottom"/>
          </w:tcPr>
          <w:p>
            <w:pPr>
              <w:spacing w:after="0"/>
              <w:rPr>
                <w:sz w:val="13"/>
                <w:szCs w:val="13"/>
                <w:color w:val="auto"/>
              </w:rPr>
            </w:pPr>
          </w:p>
        </w:tc>
        <w:tc>
          <w:tcPr>
            <w:tcW w:w="1180" w:type="dxa"/>
            <w:vAlign w:val="bottom"/>
          </w:tcPr>
          <w:p>
            <w:pPr>
              <w:jc w:val="right"/>
              <w:ind w:right="494"/>
              <w:spacing w:after="0"/>
              <w:rPr>
                <w:sz w:val="20"/>
                <w:szCs w:val="20"/>
                <w:color w:val="auto"/>
              </w:rPr>
            </w:pPr>
            <w:r>
              <w:rPr>
                <w:rFonts w:ascii="Courier New" w:cs="Courier New" w:eastAsia="Courier New" w:hAnsi="Courier New"/>
                <w:sz w:val="13"/>
                <w:szCs w:val="13"/>
                <w:color w:val="auto"/>
              </w:rPr>
              <w:t>20,709</w:t>
            </w:r>
          </w:p>
        </w:tc>
        <w:tc>
          <w:tcPr>
            <w:tcW w:w="200" w:type="dxa"/>
            <w:vAlign w:val="bottom"/>
          </w:tcPr>
          <w:p>
            <w:pPr>
              <w:spacing w:after="0"/>
              <w:rPr>
                <w:sz w:val="13"/>
                <w:szCs w:val="13"/>
                <w:color w:val="auto"/>
              </w:rPr>
            </w:pPr>
          </w:p>
        </w:tc>
        <w:tc>
          <w:tcPr>
            <w:tcW w:w="1060" w:type="dxa"/>
            <w:vAlign w:val="bottom"/>
          </w:tcPr>
          <w:p>
            <w:pPr>
              <w:jc w:val="right"/>
              <w:ind w:right="394"/>
              <w:spacing w:after="0"/>
              <w:rPr>
                <w:sz w:val="20"/>
                <w:szCs w:val="20"/>
                <w:color w:val="auto"/>
              </w:rPr>
            </w:pPr>
            <w:r>
              <w:rPr>
                <w:rFonts w:ascii="Courier New" w:cs="Courier New" w:eastAsia="Courier New" w:hAnsi="Courier New"/>
                <w:sz w:val="13"/>
                <w:szCs w:val="13"/>
                <w:color w:val="auto"/>
              </w:rPr>
              <w:t>17,031</w:t>
            </w:r>
          </w:p>
        </w:tc>
        <w:tc>
          <w:tcPr>
            <w:tcW w:w="400" w:type="dxa"/>
            <w:vAlign w:val="bottom"/>
          </w:tcPr>
          <w:p>
            <w:pPr>
              <w:spacing w:after="0"/>
              <w:rPr>
                <w:sz w:val="13"/>
                <w:szCs w:val="13"/>
                <w:color w:val="auto"/>
              </w:rPr>
            </w:pPr>
          </w:p>
        </w:tc>
        <w:tc>
          <w:tcPr>
            <w:tcW w:w="700" w:type="dxa"/>
            <w:vAlign w:val="bottom"/>
          </w:tcPr>
          <w:p>
            <w:pPr>
              <w:jc w:val="right"/>
              <w:ind w:right="154"/>
              <w:spacing w:after="0"/>
              <w:rPr>
                <w:sz w:val="20"/>
                <w:szCs w:val="20"/>
                <w:color w:val="auto"/>
              </w:rPr>
            </w:pPr>
            <w:r>
              <w:rPr>
                <w:rFonts w:ascii="Courier New" w:cs="Courier New" w:eastAsia="Courier New" w:hAnsi="Courier New"/>
                <w:sz w:val="13"/>
                <w:szCs w:val="13"/>
                <w:color w:val="auto"/>
              </w:rPr>
              <w:t>9,556</w:t>
            </w:r>
          </w:p>
        </w:tc>
      </w:tr>
      <w:tr>
        <w:trPr>
          <w:trHeight w:val="152"/>
        </w:trPr>
        <w:tc>
          <w:tcPr>
            <w:tcW w:w="2500" w:type="dxa"/>
            <w:vAlign w:val="bottom"/>
          </w:tcPr>
          <w:p>
            <w:pPr>
              <w:spacing w:after="0"/>
              <w:rPr>
                <w:sz w:val="20"/>
                <w:szCs w:val="20"/>
                <w:color w:val="auto"/>
              </w:rPr>
            </w:pPr>
            <w:r>
              <w:rPr>
                <w:rFonts w:ascii="Courier New" w:cs="Courier New" w:eastAsia="Courier New" w:hAnsi="Courier New"/>
                <w:sz w:val="13"/>
                <w:szCs w:val="13"/>
                <w:color w:val="auto"/>
              </w:rPr>
              <w:t>Marketing, general and</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2500" w:type="dxa"/>
            <w:vAlign w:val="bottom"/>
          </w:tcPr>
          <w:p>
            <w:pPr>
              <w:ind w:left="240"/>
              <w:spacing w:after="0"/>
              <w:rPr>
                <w:sz w:val="20"/>
                <w:szCs w:val="20"/>
                <w:color w:val="auto"/>
              </w:rPr>
            </w:pPr>
            <w:r>
              <w:rPr>
                <w:rFonts w:ascii="Courier New" w:cs="Courier New" w:eastAsia="Courier New" w:hAnsi="Courier New"/>
                <w:sz w:val="13"/>
                <w:szCs w:val="13"/>
                <w:color w:val="auto"/>
              </w:rPr>
              <w:t>administrative</w:t>
            </w: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3"/>
                <w:szCs w:val="13"/>
                <w:color w:val="auto"/>
              </w:rPr>
              <w:t>5,324</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3"/>
                <w:szCs w:val="13"/>
                <w:color w:val="auto"/>
              </w:rPr>
              <w:t>4,528</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494"/>
              <w:spacing w:after="0"/>
              <w:rPr>
                <w:sz w:val="20"/>
                <w:szCs w:val="20"/>
                <w:color w:val="auto"/>
              </w:rPr>
            </w:pPr>
            <w:r>
              <w:rPr>
                <w:rFonts w:ascii="Courier New" w:cs="Courier New" w:eastAsia="Courier New" w:hAnsi="Courier New"/>
                <w:sz w:val="13"/>
                <w:szCs w:val="13"/>
                <w:color w:val="auto"/>
              </w:rPr>
              <w:t>17,418</w:t>
            </w:r>
          </w:p>
        </w:tc>
        <w:tc>
          <w:tcPr>
            <w:tcW w:w="1300" w:type="dxa"/>
            <w:vAlign w:val="bottom"/>
          </w:tcPr>
          <w:p>
            <w:pPr>
              <w:jc w:val="right"/>
              <w:ind w:right="454"/>
              <w:spacing w:after="0"/>
              <w:rPr>
                <w:sz w:val="20"/>
                <w:szCs w:val="20"/>
                <w:color w:val="auto"/>
              </w:rPr>
            </w:pPr>
            <w:r>
              <w:rPr>
                <w:rFonts w:ascii="Courier New" w:cs="Courier New" w:eastAsia="Courier New" w:hAnsi="Courier New"/>
                <w:sz w:val="13"/>
                <w:szCs w:val="13"/>
                <w:color w:val="auto"/>
              </w:rPr>
              <w:t>21,297</w:t>
            </w:r>
          </w:p>
        </w:tc>
        <w:tc>
          <w:tcPr>
            <w:tcW w:w="200" w:type="dxa"/>
            <w:vAlign w:val="bottom"/>
          </w:tcPr>
          <w:p>
            <w:pPr>
              <w:spacing w:after="0"/>
              <w:rPr>
                <w:sz w:val="13"/>
                <w:szCs w:val="13"/>
                <w:color w:val="auto"/>
              </w:rPr>
            </w:pPr>
          </w:p>
        </w:tc>
        <w:tc>
          <w:tcPr>
            <w:tcW w:w="1180" w:type="dxa"/>
            <w:vAlign w:val="bottom"/>
          </w:tcPr>
          <w:p>
            <w:pPr>
              <w:jc w:val="right"/>
              <w:ind w:right="494"/>
              <w:spacing w:after="0"/>
              <w:rPr>
                <w:sz w:val="20"/>
                <w:szCs w:val="20"/>
                <w:color w:val="auto"/>
              </w:rPr>
            </w:pPr>
            <w:r>
              <w:rPr>
                <w:rFonts w:ascii="Courier New" w:cs="Courier New" w:eastAsia="Courier New" w:hAnsi="Courier New"/>
                <w:sz w:val="13"/>
                <w:szCs w:val="13"/>
                <w:color w:val="auto"/>
              </w:rPr>
              <w:t>22,615</w:t>
            </w:r>
          </w:p>
        </w:tc>
        <w:tc>
          <w:tcPr>
            <w:tcW w:w="200" w:type="dxa"/>
            <w:vAlign w:val="bottom"/>
          </w:tcPr>
          <w:p>
            <w:pPr>
              <w:spacing w:after="0"/>
              <w:rPr>
                <w:sz w:val="13"/>
                <w:szCs w:val="13"/>
                <w:color w:val="auto"/>
              </w:rPr>
            </w:pPr>
          </w:p>
        </w:tc>
        <w:tc>
          <w:tcPr>
            <w:tcW w:w="1060" w:type="dxa"/>
            <w:vAlign w:val="bottom"/>
          </w:tcPr>
          <w:p>
            <w:pPr>
              <w:jc w:val="right"/>
              <w:ind w:right="394"/>
              <w:spacing w:after="0"/>
              <w:rPr>
                <w:sz w:val="20"/>
                <w:szCs w:val="20"/>
                <w:color w:val="auto"/>
              </w:rPr>
            </w:pPr>
            <w:r>
              <w:rPr>
                <w:rFonts w:ascii="Courier New" w:cs="Courier New" w:eastAsia="Courier New" w:hAnsi="Courier New"/>
                <w:sz w:val="13"/>
                <w:szCs w:val="13"/>
                <w:color w:val="auto"/>
              </w:rPr>
              <w:t>17,091</w:t>
            </w:r>
          </w:p>
        </w:tc>
        <w:tc>
          <w:tcPr>
            <w:tcW w:w="400" w:type="dxa"/>
            <w:vAlign w:val="bottom"/>
          </w:tcPr>
          <w:p>
            <w:pPr>
              <w:spacing w:after="0"/>
              <w:rPr>
                <w:sz w:val="13"/>
                <w:szCs w:val="13"/>
                <w:color w:val="auto"/>
              </w:rPr>
            </w:pPr>
          </w:p>
        </w:tc>
        <w:tc>
          <w:tcPr>
            <w:tcW w:w="700" w:type="dxa"/>
            <w:vAlign w:val="bottom"/>
          </w:tcPr>
          <w:p>
            <w:pPr>
              <w:jc w:val="right"/>
              <w:ind w:right="154"/>
              <w:spacing w:after="0"/>
              <w:rPr>
                <w:sz w:val="20"/>
                <w:szCs w:val="20"/>
                <w:color w:val="auto"/>
              </w:rPr>
            </w:pPr>
            <w:r>
              <w:rPr>
                <w:rFonts w:ascii="Courier New" w:cs="Courier New" w:eastAsia="Courier New" w:hAnsi="Courier New"/>
                <w:sz w:val="13"/>
                <w:szCs w:val="13"/>
                <w:color w:val="auto"/>
                <w:w w:val="98"/>
              </w:rPr>
              <w:t>14,489</w:t>
            </w:r>
          </w:p>
        </w:tc>
      </w:tr>
      <w:tr>
        <w:trPr>
          <w:trHeight w:val="152"/>
        </w:trPr>
        <w:tc>
          <w:tcPr>
            <w:tcW w:w="25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540" w:type="dxa"/>
            <w:vAlign w:val="bottom"/>
          </w:tcPr>
          <w:p>
            <w:pPr>
              <w:spacing w:after="0"/>
              <w:rPr>
                <w:sz w:val="13"/>
                <w:szCs w:val="13"/>
                <w:color w:val="auto"/>
              </w:rPr>
            </w:pPr>
          </w:p>
        </w:tc>
        <w:tc>
          <w:tcPr>
            <w:tcW w:w="1360" w:type="dxa"/>
            <w:vAlign w:val="bottom"/>
            <w:gridSpan w:val="2"/>
          </w:tcPr>
          <w:p>
            <w:pPr>
              <w:jc w:val="right"/>
              <w:ind w:right="494"/>
              <w:spacing w:after="0"/>
              <w:rPr>
                <w:sz w:val="20"/>
                <w:szCs w:val="20"/>
                <w:color w:val="auto"/>
              </w:rPr>
            </w:pPr>
            <w:r>
              <w:rPr>
                <w:rFonts w:ascii="Courier New" w:cs="Courier New" w:eastAsia="Courier New" w:hAnsi="Courier New"/>
                <w:sz w:val="13"/>
                <w:szCs w:val="13"/>
                <w:color w:val="auto"/>
              </w:rPr>
              <w:t>---------</w:t>
            </w:r>
          </w:p>
        </w:tc>
        <w:tc>
          <w:tcPr>
            <w:tcW w:w="1300" w:type="dxa"/>
            <w:vAlign w:val="bottom"/>
          </w:tcPr>
          <w:p>
            <w:pPr>
              <w:jc w:val="right"/>
              <w:ind w:right="454"/>
              <w:spacing w:after="0"/>
              <w:rPr>
                <w:sz w:val="20"/>
                <w:szCs w:val="20"/>
                <w:color w:val="auto"/>
              </w:rPr>
            </w:pPr>
            <w:r>
              <w:rPr>
                <w:rFonts w:ascii="Courier New" w:cs="Courier New" w:eastAsia="Courier New" w:hAnsi="Courier New"/>
                <w:sz w:val="13"/>
                <w:szCs w:val="13"/>
                <w:color w:val="auto"/>
              </w:rPr>
              <w:t>---------</w:t>
            </w:r>
          </w:p>
        </w:tc>
        <w:tc>
          <w:tcPr>
            <w:tcW w:w="1380" w:type="dxa"/>
            <w:vAlign w:val="bottom"/>
            <w:gridSpan w:val="2"/>
          </w:tcPr>
          <w:p>
            <w:pPr>
              <w:jc w:val="right"/>
              <w:ind w:right="494"/>
              <w:spacing w:after="0"/>
              <w:rPr>
                <w:sz w:val="20"/>
                <w:szCs w:val="20"/>
                <w:color w:val="auto"/>
              </w:rPr>
            </w:pPr>
            <w:r>
              <w:rPr>
                <w:rFonts w:ascii="Courier New" w:cs="Courier New" w:eastAsia="Courier New" w:hAnsi="Courier New"/>
                <w:sz w:val="13"/>
                <w:szCs w:val="13"/>
                <w:color w:val="auto"/>
              </w:rPr>
              <w:t>---------</w:t>
            </w:r>
          </w:p>
        </w:tc>
        <w:tc>
          <w:tcPr>
            <w:tcW w:w="1260" w:type="dxa"/>
            <w:vAlign w:val="bottom"/>
            <w:gridSpan w:val="2"/>
          </w:tcPr>
          <w:p>
            <w:pPr>
              <w:jc w:val="right"/>
              <w:ind w:right="394"/>
              <w:spacing w:after="0"/>
              <w:rPr>
                <w:sz w:val="20"/>
                <w:szCs w:val="20"/>
                <w:color w:val="auto"/>
              </w:rPr>
            </w:pPr>
            <w:r>
              <w:rPr>
                <w:rFonts w:ascii="Courier New" w:cs="Courier New" w:eastAsia="Courier New" w:hAnsi="Courier New"/>
                <w:sz w:val="13"/>
                <w:szCs w:val="13"/>
                <w:color w:val="auto"/>
              </w:rPr>
              <w:t>---------</w:t>
            </w:r>
          </w:p>
        </w:tc>
        <w:tc>
          <w:tcPr>
            <w:tcW w:w="1100" w:type="dxa"/>
            <w:vAlign w:val="bottom"/>
            <w:gridSpan w:val="2"/>
          </w:tcPr>
          <w:p>
            <w:pPr>
              <w:jc w:val="right"/>
              <w:ind w:right="154"/>
              <w:spacing w:after="0"/>
              <w:rPr>
                <w:sz w:val="20"/>
                <w:szCs w:val="20"/>
                <w:color w:val="auto"/>
              </w:rPr>
            </w:pPr>
            <w:r>
              <w:rPr>
                <w:rFonts w:ascii="Courier New" w:cs="Courier New" w:eastAsia="Courier New" w:hAnsi="Courier New"/>
                <w:sz w:val="13"/>
                <w:szCs w:val="13"/>
                <w:color w:val="auto"/>
              </w:rPr>
              <w:t>---------</w:t>
            </w:r>
          </w:p>
        </w:tc>
      </w:tr>
      <w:tr>
        <w:trPr>
          <w:trHeight w:val="152"/>
        </w:trPr>
        <w:tc>
          <w:tcPr>
            <w:tcW w:w="2500" w:type="dxa"/>
            <w:vAlign w:val="bottom"/>
          </w:tcPr>
          <w:p>
            <w:pPr>
              <w:spacing w:after="0"/>
              <w:rPr>
                <w:sz w:val="20"/>
                <w:szCs w:val="20"/>
                <w:color w:val="auto"/>
              </w:rPr>
            </w:pPr>
            <w:r>
              <w:rPr>
                <w:rFonts w:ascii="Courier New" w:cs="Courier New" w:eastAsia="Courier New" w:hAnsi="Courier New"/>
                <w:sz w:val="13"/>
                <w:szCs w:val="13"/>
                <w:color w:val="auto"/>
              </w:rPr>
              <w:t>Operating loss</w:t>
            </w:r>
          </w:p>
        </w:tc>
        <w:tc>
          <w:tcPr>
            <w:tcW w:w="200" w:type="dxa"/>
            <w:vAlign w:val="bottom"/>
          </w:tcPr>
          <w:p>
            <w:pPr>
              <w:spacing w:after="0"/>
              <w:rPr>
                <w:sz w:val="13"/>
                <w:szCs w:val="13"/>
                <w:color w:val="auto"/>
              </w:rPr>
            </w:pPr>
          </w:p>
        </w:tc>
        <w:tc>
          <w:tcPr>
            <w:tcW w:w="1140" w:type="dxa"/>
            <w:vAlign w:val="bottom"/>
            <w:gridSpan w:val="2"/>
          </w:tcPr>
          <w:p>
            <w:pPr>
              <w:jc w:val="right"/>
              <w:ind w:right="454"/>
              <w:spacing w:after="0"/>
              <w:rPr>
                <w:sz w:val="20"/>
                <w:szCs w:val="20"/>
                <w:color w:val="auto"/>
              </w:rPr>
            </w:pPr>
            <w:r>
              <w:rPr>
                <w:rFonts w:ascii="Courier New" w:cs="Courier New" w:eastAsia="Courier New" w:hAnsi="Courier New"/>
                <w:sz w:val="13"/>
                <w:szCs w:val="13"/>
                <w:color w:val="auto"/>
                <w:w w:val="96"/>
              </w:rPr>
              <w:t>(34,083)</w:t>
            </w:r>
          </w:p>
        </w:tc>
        <w:tc>
          <w:tcPr>
            <w:tcW w:w="160" w:type="dxa"/>
            <w:vAlign w:val="bottom"/>
          </w:tcPr>
          <w:p>
            <w:pPr>
              <w:spacing w:after="0"/>
              <w:rPr>
                <w:sz w:val="13"/>
                <w:szCs w:val="13"/>
                <w:color w:val="auto"/>
              </w:rPr>
            </w:pPr>
          </w:p>
        </w:tc>
        <w:tc>
          <w:tcPr>
            <w:tcW w:w="1140" w:type="dxa"/>
            <w:vAlign w:val="bottom"/>
            <w:gridSpan w:val="2"/>
          </w:tcPr>
          <w:p>
            <w:pPr>
              <w:jc w:val="right"/>
              <w:ind w:right="394"/>
              <w:spacing w:after="0"/>
              <w:rPr>
                <w:sz w:val="20"/>
                <w:szCs w:val="20"/>
                <w:color w:val="auto"/>
              </w:rPr>
            </w:pPr>
            <w:r>
              <w:rPr>
                <w:rFonts w:ascii="Courier New" w:cs="Courier New" w:eastAsia="Courier New" w:hAnsi="Courier New"/>
                <w:sz w:val="13"/>
                <w:szCs w:val="13"/>
                <w:color w:val="auto"/>
              </w:rPr>
              <w:t>(47,338)</w:t>
            </w:r>
          </w:p>
        </w:tc>
        <w:tc>
          <w:tcPr>
            <w:tcW w:w="160" w:type="dxa"/>
            <w:vAlign w:val="bottom"/>
          </w:tcPr>
          <w:p>
            <w:pPr>
              <w:spacing w:after="0"/>
              <w:rPr>
                <w:sz w:val="13"/>
                <w:szCs w:val="13"/>
                <w:color w:val="auto"/>
              </w:rPr>
            </w:pPr>
          </w:p>
        </w:tc>
        <w:tc>
          <w:tcPr>
            <w:tcW w:w="1200" w:type="dxa"/>
            <w:vAlign w:val="bottom"/>
          </w:tcPr>
          <w:p>
            <w:pPr>
              <w:jc w:val="right"/>
              <w:ind w:right="414"/>
              <w:spacing w:after="0"/>
              <w:rPr>
                <w:sz w:val="20"/>
                <w:szCs w:val="20"/>
                <w:color w:val="auto"/>
              </w:rPr>
            </w:pPr>
            <w:r>
              <w:rPr>
                <w:rFonts w:ascii="Courier New" w:cs="Courier New" w:eastAsia="Courier New" w:hAnsi="Courier New"/>
                <w:sz w:val="13"/>
                <w:szCs w:val="13"/>
                <w:color w:val="auto"/>
                <w:w w:val="99"/>
              </w:rPr>
              <w:t>(169,814)</w:t>
            </w:r>
          </w:p>
        </w:tc>
        <w:tc>
          <w:tcPr>
            <w:tcW w:w="1300" w:type="dxa"/>
            <w:vAlign w:val="bottom"/>
          </w:tcPr>
          <w:p>
            <w:pPr>
              <w:jc w:val="right"/>
              <w:ind w:right="374"/>
              <w:spacing w:after="0"/>
              <w:rPr>
                <w:sz w:val="20"/>
                <w:szCs w:val="20"/>
                <w:color w:val="auto"/>
              </w:rPr>
            </w:pPr>
            <w:r>
              <w:rPr>
                <w:rFonts w:ascii="Courier New" w:cs="Courier New" w:eastAsia="Courier New" w:hAnsi="Courier New"/>
                <w:sz w:val="13"/>
                <w:szCs w:val="13"/>
                <w:color w:val="auto"/>
              </w:rPr>
              <w:t>(140,705)</w:t>
            </w:r>
          </w:p>
        </w:tc>
        <w:tc>
          <w:tcPr>
            <w:tcW w:w="200" w:type="dxa"/>
            <w:vAlign w:val="bottom"/>
          </w:tcPr>
          <w:p>
            <w:pPr>
              <w:spacing w:after="0"/>
              <w:rPr>
                <w:sz w:val="13"/>
                <w:szCs w:val="13"/>
                <w:color w:val="auto"/>
              </w:rPr>
            </w:pPr>
          </w:p>
        </w:tc>
        <w:tc>
          <w:tcPr>
            <w:tcW w:w="1180" w:type="dxa"/>
            <w:vAlign w:val="bottom"/>
          </w:tcPr>
          <w:p>
            <w:pPr>
              <w:jc w:val="right"/>
              <w:ind w:right="414"/>
              <w:spacing w:after="0"/>
              <w:rPr>
                <w:sz w:val="20"/>
                <w:szCs w:val="20"/>
                <w:color w:val="auto"/>
              </w:rPr>
            </w:pPr>
            <w:r>
              <w:rPr>
                <w:rFonts w:ascii="Courier New" w:cs="Courier New" w:eastAsia="Courier New" w:hAnsi="Courier New"/>
                <w:sz w:val="13"/>
                <w:szCs w:val="13"/>
                <w:color w:val="auto"/>
                <w:w w:val="96"/>
              </w:rPr>
              <w:t>(104,351)</w:t>
            </w:r>
          </w:p>
        </w:tc>
        <w:tc>
          <w:tcPr>
            <w:tcW w:w="200" w:type="dxa"/>
            <w:vAlign w:val="bottom"/>
          </w:tcPr>
          <w:p>
            <w:pPr>
              <w:spacing w:after="0"/>
              <w:rPr>
                <w:sz w:val="13"/>
                <w:szCs w:val="13"/>
                <w:color w:val="auto"/>
              </w:rPr>
            </w:pPr>
          </w:p>
        </w:tc>
        <w:tc>
          <w:tcPr>
            <w:tcW w:w="1060" w:type="dxa"/>
            <w:vAlign w:val="bottom"/>
          </w:tcPr>
          <w:p>
            <w:pPr>
              <w:jc w:val="right"/>
              <w:ind w:right="314"/>
              <w:spacing w:after="0"/>
              <w:rPr>
                <w:sz w:val="20"/>
                <w:szCs w:val="20"/>
                <w:color w:val="auto"/>
              </w:rPr>
            </w:pPr>
            <w:r>
              <w:rPr>
                <w:rFonts w:ascii="Courier New" w:cs="Courier New" w:eastAsia="Courier New" w:hAnsi="Courier New"/>
                <w:sz w:val="13"/>
                <w:szCs w:val="13"/>
                <w:color w:val="auto"/>
              </w:rPr>
              <w:t>(49,343)</w:t>
            </w:r>
          </w:p>
        </w:tc>
        <w:tc>
          <w:tcPr>
            <w:tcW w:w="1100" w:type="dxa"/>
            <w:vAlign w:val="bottom"/>
            <w:gridSpan w:val="2"/>
          </w:tcPr>
          <w:p>
            <w:pPr>
              <w:jc w:val="right"/>
              <w:ind w:right="74"/>
              <w:spacing w:after="0"/>
              <w:rPr>
                <w:sz w:val="20"/>
                <w:szCs w:val="20"/>
                <w:color w:val="auto"/>
              </w:rPr>
            </w:pPr>
            <w:r>
              <w:rPr>
                <w:rFonts w:ascii="Courier New" w:cs="Courier New" w:eastAsia="Courier New" w:hAnsi="Courier New"/>
                <w:sz w:val="13"/>
                <w:szCs w:val="13"/>
                <w:color w:val="auto"/>
              </w:rPr>
              <w:t>(48,406)</w:t>
            </w:r>
          </w:p>
        </w:tc>
      </w:tr>
      <w:tr>
        <w:trPr>
          <w:trHeight w:val="304"/>
        </w:trPr>
        <w:tc>
          <w:tcPr>
            <w:tcW w:w="2500" w:type="dxa"/>
            <w:vAlign w:val="bottom"/>
          </w:tcPr>
          <w:p>
            <w:pPr>
              <w:spacing w:after="0"/>
              <w:rPr>
                <w:sz w:val="20"/>
                <w:szCs w:val="20"/>
                <w:color w:val="auto"/>
              </w:rPr>
            </w:pPr>
            <w:r>
              <w:rPr>
                <w:rFonts w:ascii="Courier New" w:cs="Courier New" w:eastAsia="Courier New" w:hAnsi="Courier New"/>
                <w:sz w:val="13"/>
                <w:szCs w:val="13"/>
                <w:color w:val="auto"/>
              </w:rPr>
              <w:t>Financing income</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52"/>
        </w:trPr>
        <w:tc>
          <w:tcPr>
            <w:tcW w:w="2500" w:type="dxa"/>
            <w:vAlign w:val="bottom"/>
          </w:tcPr>
          <w:p>
            <w:pPr>
              <w:ind w:left="240"/>
              <w:spacing w:after="0"/>
              <w:rPr>
                <w:sz w:val="20"/>
                <w:szCs w:val="20"/>
                <w:color w:val="auto"/>
              </w:rPr>
            </w:pPr>
            <w:r>
              <w:rPr>
                <w:rFonts w:ascii="Courier New" w:cs="Courier New" w:eastAsia="Courier New" w:hAnsi="Courier New"/>
                <w:sz w:val="13"/>
                <w:szCs w:val="13"/>
                <w:color w:val="auto"/>
              </w:rPr>
              <w:t>(expense), net</w:t>
            </w:r>
          </w:p>
        </w:tc>
        <w:tc>
          <w:tcPr>
            <w:tcW w:w="200" w:type="dxa"/>
            <w:vAlign w:val="bottom"/>
          </w:tcPr>
          <w:p>
            <w:pPr>
              <w:spacing w:after="0"/>
              <w:rPr>
                <w:sz w:val="13"/>
                <w:szCs w:val="13"/>
                <w:color w:val="auto"/>
              </w:rPr>
            </w:pPr>
          </w:p>
        </w:tc>
        <w:tc>
          <w:tcPr>
            <w:tcW w:w="1140" w:type="dxa"/>
            <w:vAlign w:val="bottom"/>
            <w:gridSpan w:val="2"/>
          </w:tcPr>
          <w:p>
            <w:pPr>
              <w:jc w:val="right"/>
              <w:ind w:right="454"/>
              <w:spacing w:after="0"/>
              <w:rPr>
                <w:sz w:val="20"/>
                <w:szCs w:val="20"/>
                <w:color w:val="auto"/>
              </w:rPr>
            </w:pPr>
            <w:r>
              <w:rPr>
                <w:rFonts w:ascii="Courier New" w:cs="Courier New" w:eastAsia="Courier New" w:hAnsi="Courier New"/>
                <w:sz w:val="13"/>
                <w:szCs w:val="13"/>
                <w:color w:val="auto"/>
                <w:w w:val="96"/>
              </w:rPr>
              <w:t>(11,524)</w:t>
            </w:r>
          </w:p>
        </w:tc>
        <w:tc>
          <w:tcPr>
            <w:tcW w:w="160" w:type="dxa"/>
            <w:vAlign w:val="bottom"/>
          </w:tcPr>
          <w:p>
            <w:pPr>
              <w:spacing w:after="0"/>
              <w:rPr>
                <w:sz w:val="13"/>
                <w:szCs w:val="13"/>
                <w:color w:val="auto"/>
              </w:rPr>
            </w:pPr>
          </w:p>
        </w:tc>
        <w:tc>
          <w:tcPr>
            <w:tcW w:w="1140" w:type="dxa"/>
            <w:vAlign w:val="bottom"/>
            <w:gridSpan w:val="2"/>
          </w:tcPr>
          <w:p>
            <w:pPr>
              <w:jc w:val="right"/>
              <w:ind w:right="394"/>
              <w:spacing w:after="0"/>
              <w:rPr>
                <w:sz w:val="20"/>
                <w:szCs w:val="20"/>
                <w:color w:val="auto"/>
              </w:rPr>
            </w:pPr>
            <w:r>
              <w:rPr>
                <w:rFonts w:ascii="Courier New" w:cs="Courier New" w:eastAsia="Courier New" w:hAnsi="Courier New"/>
                <w:sz w:val="13"/>
                <w:szCs w:val="13"/>
                <w:color w:val="auto"/>
              </w:rPr>
              <w:t>(8,175)</w:t>
            </w:r>
          </w:p>
        </w:tc>
        <w:tc>
          <w:tcPr>
            <w:tcW w:w="160" w:type="dxa"/>
            <w:vAlign w:val="bottom"/>
          </w:tcPr>
          <w:p>
            <w:pPr>
              <w:spacing w:after="0"/>
              <w:rPr>
                <w:sz w:val="13"/>
                <w:szCs w:val="13"/>
                <w:color w:val="auto"/>
              </w:rPr>
            </w:pPr>
          </w:p>
        </w:tc>
        <w:tc>
          <w:tcPr>
            <w:tcW w:w="1200" w:type="dxa"/>
            <w:vAlign w:val="bottom"/>
          </w:tcPr>
          <w:p>
            <w:pPr>
              <w:jc w:val="right"/>
              <w:ind w:right="414"/>
              <w:spacing w:after="0"/>
              <w:rPr>
                <w:sz w:val="20"/>
                <w:szCs w:val="20"/>
                <w:color w:val="auto"/>
              </w:rPr>
            </w:pPr>
            <w:r>
              <w:rPr>
                <w:rFonts w:ascii="Courier New" w:cs="Courier New" w:eastAsia="Courier New" w:hAnsi="Courier New"/>
                <w:sz w:val="13"/>
                <w:szCs w:val="13"/>
                <w:color w:val="auto"/>
              </w:rPr>
              <w:t>(35,651)</w:t>
            </w:r>
          </w:p>
        </w:tc>
        <w:tc>
          <w:tcPr>
            <w:tcW w:w="1300" w:type="dxa"/>
            <w:vAlign w:val="bottom"/>
          </w:tcPr>
          <w:p>
            <w:pPr>
              <w:jc w:val="right"/>
              <w:ind w:right="374"/>
              <w:spacing w:after="0"/>
              <w:rPr>
                <w:sz w:val="20"/>
                <w:szCs w:val="20"/>
                <w:color w:val="auto"/>
              </w:rPr>
            </w:pPr>
            <w:r>
              <w:rPr>
                <w:rFonts w:ascii="Courier New" w:cs="Courier New" w:eastAsia="Courier New" w:hAnsi="Courier New"/>
                <w:sz w:val="13"/>
                <w:szCs w:val="13"/>
                <w:color w:val="auto"/>
              </w:rPr>
              <w:t>(29,745)</w:t>
            </w:r>
          </w:p>
        </w:tc>
        <w:tc>
          <w:tcPr>
            <w:tcW w:w="200" w:type="dxa"/>
            <w:vAlign w:val="bottom"/>
          </w:tcPr>
          <w:p>
            <w:pPr>
              <w:spacing w:after="0"/>
              <w:rPr>
                <w:sz w:val="13"/>
                <w:szCs w:val="13"/>
                <w:color w:val="auto"/>
              </w:rPr>
            </w:pPr>
          </w:p>
        </w:tc>
        <w:tc>
          <w:tcPr>
            <w:tcW w:w="1180" w:type="dxa"/>
            <w:vAlign w:val="bottom"/>
          </w:tcPr>
          <w:p>
            <w:pPr>
              <w:jc w:val="right"/>
              <w:ind w:right="414"/>
              <w:spacing w:after="0"/>
              <w:rPr>
                <w:sz w:val="20"/>
                <w:szCs w:val="20"/>
                <w:color w:val="auto"/>
              </w:rPr>
            </w:pPr>
            <w:r>
              <w:rPr>
                <w:rFonts w:ascii="Courier New" w:cs="Courier New" w:eastAsia="Courier New" w:hAnsi="Courier New"/>
                <w:sz w:val="13"/>
                <w:szCs w:val="13"/>
                <w:color w:val="auto"/>
              </w:rPr>
              <w:t>(9,826)</w:t>
            </w:r>
          </w:p>
        </w:tc>
        <w:tc>
          <w:tcPr>
            <w:tcW w:w="200" w:type="dxa"/>
            <w:vAlign w:val="bottom"/>
          </w:tcPr>
          <w:p>
            <w:pPr>
              <w:spacing w:after="0"/>
              <w:rPr>
                <w:sz w:val="13"/>
                <w:szCs w:val="13"/>
                <w:color w:val="auto"/>
              </w:rPr>
            </w:pPr>
          </w:p>
        </w:tc>
        <w:tc>
          <w:tcPr>
            <w:tcW w:w="1060" w:type="dxa"/>
            <w:vAlign w:val="bottom"/>
          </w:tcPr>
          <w:p>
            <w:pPr>
              <w:jc w:val="right"/>
              <w:ind w:right="314"/>
              <w:spacing w:after="0"/>
              <w:rPr>
                <w:sz w:val="20"/>
                <w:szCs w:val="20"/>
                <w:color w:val="auto"/>
              </w:rPr>
            </w:pPr>
            <w:r>
              <w:rPr>
                <w:rFonts w:ascii="Courier New" w:cs="Courier New" w:eastAsia="Courier New" w:hAnsi="Courier New"/>
                <w:sz w:val="13"/>
                <w:szCs w:val="13"/>
                <w:color w:val="auto"/>
              </w:rPr>
              <w:t>(2,104)</w:t>
            </w:r>
          </w:p>
        </w:tc>
        <w:tc>
          <w:tcPr>
            <w:tcW w:w="400" w:type="dxa"/>
            <w:vAlign w:val="bottom"/>
          </w:tcPr>
          <w:p>
            <w:pPr>
              <w:spacing w:after="0"/>
              <w:rPr>
                <w:sz w:val="13"/>
                <w:szCs w:val="13"/>
                <w:color w:val="auto"/>
              </w:rPr>
            </w:pPr>
          </w:p>
        </w:tc>
        <w:tc>
          <w:tcPr>
            <w:tcW w:w="700" w:type="dxa"/>
            <w:vAlign w:val="bottom"/>
          </w:tcPr>
          <w:p>
            <w:pPr>
              <w:jc w:val="right"/>
              <w:ind w:right="154"/>
              <w:spacing w:after="0"/>
              <w:rPr>
                <w:sz w:val="20"/>
                <w:szCs w:val="20"/>
                <w:color w:val="auto"/>
              </w:rPr>
            </w:pPr>
            <w:r>
              <w:rPr>
                <w:rFonts w:ascii="Courier New" w:cs="Courier New" w:eastAsia="Courier New" w:hAnsi="Courier New"/>
                <w:sz w:val="13"/>
                <w:szCs w:val="13"/>
                <w:color w:val="auto"/>
              </w:rPr>
              <w:t>1,465</w:t>
            </w:r>
          </w:p>
        </w:tc>
      </w:tr>
      <w:tr>
        <w:trPr>
          <w:trHeight w:val="304"/>
        </w:trPr>
        <w:tc>
          <w:tcPr>
            <w:tcW w:w="2500" w:type="dxa"/>
            <w:vAlign w:val="bottom"/>
          </w:tcPr>
          <w:p>
            <w:pPr>
              <w:spacing w:after="0"/>
              <w:rPr>
                <w:sz w:val="20"/>
                <w:szCs w:val="20"/>
                <w:color w:val="auto"/>
              </w:rPr>
            </w:pPr>
            <w:r>
              <w:rPr>
                <w:rFonts w:ascii="Courier New" w:cs="Courier New" w:eastAsia="Courier New" w:hAnsi="Courier New"/>
                <w:sz w:val="13"/>
                <w:szCs w:val="13"/>
                <w:color w:val="auto"/>
              </w:rPr>
              <w:t>Other income (expense), net</w:t>
            </w: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3"/>
                <w:szCs w:val="13"/>
                <w:color w:val="auto"/>
              </w:rPr>
              <w:t>551</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3"/>
                <w:szCs w:val="13"/>
                <w:color w:val="auto"/>
              </w:rPr>
              <w:t>193</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494"/>
              <w:spacing w:after="0"/>
              <w:rPr>
                <w:sz w:val="20"/>
                <w:szCs w:val="20"/>
                <w:color w:val="auto"/>
              </w:rPr>
            </w:pPr>
            <w:r>
              <w:rPr>
                <w:rFonts w:ascii="Courier New" w:cs="Courier New" w:eastAsia="Courier New" w:hAnsi="Courier New"/>
                <w:sz w:val="13"/>
                <w:szCs w:val="13"/>
                <w:color w:val="auto"/>
              </w:rPr>
              <w:t>2,383</w:t>
            </w:r>
          </w:p>
        </w:tc>
        <w:tc>
          <w:tcPr>
            <w:tcW w:w="1300" w:type="dxa"/>
            <w:vAlign w:val="bottom"/>
          </w:tcPr>
          <w:p>
            <w:pPr>
              <w:jc w:val="right"/>
              <w:ind w:right="454"/>
              <w:spacing w:after="0"/>
              <w:rPr>
                <w:sz w:val="20"/>
                <w:szCs w:val="20"/>
                <w:color w:val="auto"/>
              </w:rPr>
            </w:pPr>
            <w:r>
              <w:rPr>
                <w:rFonts w:ascii="Courier New" w:cs="Courier New" w:eastAsia="Courier New" w:hAnsi="Courier New"/>
                <w:sz w:val="13"/>
                <w:szCs w:val="13"/>
                <w:color w:val="auto"/>
              </w:rPr>
              <w:t>32,682</w:t>
            </w:r>
          </w:p>
        </w:tc>
        <w:tc>
          <w:tcPr>
            <w:tcW w:w="200" w:type="dxa"/>
            <w:vAlign w:val="bottom"/>
          </w:tcPr>
          <w:p>
            <w:pPr>
              <w:spacing w:after="0"/>
              <w:rPr>
                <w:sz w:val="24"/>
                <w:szCs w:val="24"/>
                <w:color w:val="auto"/>
              </w:rPr>
            </w:pPr>
          </w:p>
        </w:tc>
        <w:tc>
          <w:tcPr>
            <w:tcW w:w="1180" w:type="dxa"/>
            <w:vAlign w:val="bottom"/>
          </w:tcPr>
          <w:p>
            <w:pPr>
              <w:jc w:val="right"/>
              <w:ind w:right="414"/>
              <w:spacing w:after="0"/>
              <w:rPr>
                <w:sz w:val="20"/>
                <w:szCs w:val="20"/>
                <w:color w:val="auto"/>
              </w:rPr>
            </w:pPr>
            <w:r>
              <w:rPr>
                <w:rFonts w:ascii="Courier New" w:cs="Courier New" w:eastAsia="Courier New" w:hAnsi="Courier New"/>
                <w:sz w:val="13"/>
                <w:szCs w:val="13"/>
                <w:color w:val="auto"/>
              </w:rPr>
              <w:t>(84)</w:t>
            </w:r>
          </w:p>
        </w:tc>
        <w:tc>
          <w:tcPr>
            <w:tcW w:w="200" w:type="dxa"/>
            <w:vAlign w:val="bottom"/>
          </w:tcPr>
          <w:p>
            <w:pPr>
              <w:spacing w:after="0"/>
              <w:rPr>
                <w:sz w:val="24"/>
                <w:szCs w:val="24"/>
                <w:color w:val="auto"/>
              </w:rPr>
            </w:pPr>
          </w:p>
        </w:tc>
        <w:tc>
          <w:tcPr>
            <w:tcW w:w="1060" w:type="dxa"/>
            <w:vAlign w:val="bottom"/>
          </w:tcPr>
          <w:p>
            <w:pPr>
              <w:jc w:val="right"/>
              <w:ind w:right="394"/>
              <w:spacing w:after="0"/>
              <w:rPr>
                <w:sz w:val="20"/>
                <w:szCs w:val="20"/>
                <w:color w:val="auto"/>
              </w:rPr>
            </w:pPr>
            <w:r>
              <w:rPr>
                <w:rFonts w:ascii="Courier New" w:cs="Courier New" w:eastAsia="Courier New" w:hAnsi="Courier New"/>
                <w:sz w:val="13"/>
                <w:szCs w:val="13"/>
                <w:color w:val="auto"/>
              </w:rPr>
              <w:t>45</w:t>
            </w:r>
          </w:p>
        </w:tc>
        <w:tc>
          <w:tcPr>
            <w:tcW w:w="400" w:type="dxa"/>
            <w:vAlign w:val="bottom"/>
          </w:tcPr>
          <w:p>
            <w:pPr>
              <w:spacing w:after="0"/>
              <w:rPr>
                <w:sz w:val="24"/>
                <w:szCs w:val="24"/>
                <w:color w:val="auto"/>
              </w:rPr>
            </w:pPr>
          </w:p>
        </w:tc>
        <w:tc>
          <w:tcPr>
            <w:tcW w:w="700" w:type="dxa"/>
            <w:vAlign w:val="bottom"/>
          </w:tcPr>
          <w:p>
            <w:pPr>
              <w:jc w:val="right"/>
              <w:ind w:right="154"/>
              <w:spacing w:after="0"/>
              <w:rPr>
                <w:sz w:val="20"/>
                <w:szCs w:val="20"/>
                <w:color w:val="auto"/>
              </w:rPr>
            </w:pPr>
            <w:r>
              <w:rPr>
                <w:rFonts w:ascii="Courier New" w:cs="Courier New" w:eastAsia="Courier New" w:hAnsi="Courier New"/>
                <w:sz w:val="13"/>
                <w:szCs w:val="13"/>
                <w:color w:val="auto"/>
              </w:rPr>
              <w:t>8,419</w:t>
            </w:r>
          </w:p>
        </w:tc>
      </w:tr>
      <w:tr>
        <w:trPr>
          <w:trHeight w:val="152"/>
        </w:trPr>
        <w:tc>
          <w:tcPr>
            <w:tcW w:w="25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540" w:type="dxa"/>
            <w:vAlign w:val="bottom"/>
          </w:tcPr>
          <w:p>
            <w:pPr>
              <w:spacing w:after="0"/>
              <w:rPr>
                <w:sz w:val="13"/>
                <w:szCs w:val="13"/>
                <w:color w:val="auto"/>
              </w:rPr>
            </w:pPr>
          </w:p>
        </w:tc>
        <w:tc>
          <w:tcPr>
            <w:tcW w:w="1360" w:type="dxa"/>
            <w:vAlign w:val="bottom"/>
            <w:gridSpan w:val="2"/>
          </w:tcPr>
          <w:p>
            <w:pPr>
              <w:jc w:val="right"/>
              <w:ind w:right="494"/>
              <w:spacing w:after="0"/>
              <w:rPr>
                <w:sz w:val="20"/>
                <w:szCs w:val="20"/>
                <w:color w:val="auto"/>
              </w:rPr>
            </w:pPr>
            <w:r>
              <w:rPr>
                <w:rFonts w:ascii="Courier New" w:cs="Courier New" w:eastAsia="Courier New" w:hAnsi="Courier New"/>
                <w:sz w:val="13"/>
                <w:szCs w:val="13"/>
                <w:color w:val="auto"/>
              </w:rPr>
              <w:t>---------</w:t>
            </w:r>
          </w:p>
        </w:tc>
        <w:tc>
          <w:tcPr>
            <w:tcW w:w="1300" w:type="dxa"/>
            <w:vAlign w:val="bottom"/>
          </w:tcPr>
          <w:p>
            <w:pPr>
              <w:jc w:val="right"/>
              <w:ind w:right="454"/>
              <w:spacing w:after="0"/>
              <w:rPr>
                <w:sz w:val="20"/>
                <w:szCs w:val="20"/>
                <w:color w:val="auto"/>
              </w:rPr>
            </w:pPr>
            <w:r>
              <w:rPr>
                <w:rFonts w:ascii="Courier New" w:cs="Courier New" w:eastAsia="Courier New" w:hAnsi="Courier New"/>
                <w:sz w:val="13"/>
                <w:szCs w:val="13"/>
                <w:color w:val="auto"/>
              </w:rPr>
              <w:t>---------</w:t>
            </w:r>
          </w:p>
        </w:tc>
        <w:tc>
          <w:tcPr>
            <w:tcW w:w="1380" w:type="dxa"/>
            <w:vAlign w:val="bottom"/>
            <w:gridSpan w:val="2"/>
          </w:tcPr>
          <w:p>
            <w:pPr>
              <w:jc w:val="right"/>
              <w:ind w:right="494"/>
              <w:spacing w:after="0"/>
              <w:rPr>
                <w:sz w:val="20"/>
                <w:szCs w:val="20"/>
                <w:color w:val="auto"/>
              </w:rPr>
            </w:pPr>
            <w:r>
              <w:rPr>
                <w:rFonts w:ascii="Courier New" w:cs="Courier New" w:eastAsia="Courier New" w:hAnsi="Courier New"/>
                <w:sz w:val="13"/>
                <w:szCs w:val="13"/>
                <w:color w:val="auto"/>
              </w:rPr>
              <w:t>---------</w:t>
            </w:r>
          </w:p>
        </w:tc>
        <w:tc>
          <w:tcPr>
            <w:tcW w:w="1260" w:type="dxa"/>
            <w:vAlign w:val="bottom"/>
            <w:gridSpan w:val="2"/>
          </w:tcPr>
          <w:p>
            <w:pPr>
              <w:jc w:val="right"/>
              <w:ind w:right="394"/>
              <w:spacing w:after="0"/>
              <w:rPr>
                <w:sz w:val="20"/>
                <w:szCs w:val="20"/>
                <w:color w:val="auto"/>
              </w:rPr>
            </w:pPr>
            <w:r>
              <w:rPr>
                <w:rFonts w:ascii="Courier New" w:cs="Courier New" w:eastAsia="Courier New" w:hAnsi="Courier New"/>
                <w:sz w:val="13"/>
                <w:szCs w:val="13"/>
                <w:color w:val="auto"/>
              </w:rPr>
              <w:t>---------</w:t>
            </w:r>
          </w:p>
        </w:tc>
        <w:tc>
          <w:tcPr>
            <w:tcW w:w="1100" w:type="dxa"/>
            <w:vAlign w:val="bottom"/>
            <w:gridSpan w:val="2"/>
          </w:tcPr>
          <w:p>
            <w:pPr>
              <w:jc w:val="right"/>
              <w:ind w:right="154"/>
              <w:spacing w:after="0"/>
              <w:rPr>
                <w:sz w:val="20"/>
                <w:szCs w:val="20"/>
                <w:color w:val="auto"/>
              </w:rPr>
            </w:pPr>
            <w:r>
              <w:rPr>
                <w:rFonts w:ascii="Courier New" w:cs="Courier New" w:eastAsia="Courier New" w:hAnsi="Courier New"/>
                <w:sz w:val="13"/>
                <w:szCs w:val="13"/>
                <w:color w:val="auto"/>
              </w:rPr>
              <w:t>---------</w:t>
            </w:r>
          </w:p>
        </w:tc>
      </w:tr>
      <w:tr>
        <w:trPr>
          <w:trHeight w:val="304"/>
        </w:trPr>
        <w:tc>
          <w:tcPr>
            <w:tcW w:w="2500" w:type="dxa"/>
            <w:vAlign w:val="bottom"/>
          </w:tcPr>
          <w:p>
            <w:pPr>
              <w:spacing w:after="0"/>
              <w:rPr>
                <w:sz w:val="20"/>
                <w:szCs w:val="20"/>
                <w:color w:val="auto"/>
              </w:rPr>
            </w:pPr>
            <w:r>
              <w:rPr>
                <w:rFonts w:ascii="Courier New" w:cs="Courier New" w:eastAsia="Courier New" w:hAnsi="Courier New"/>
                <w:sz w:val="13"/>
                <w:szCs w:val="13"/>
                <w:color w:val="auto"/>
              </w:rPr>
              <w:t>Loss for the period</w:t>
            </w:r>
          </w:p>
        </w:tc>
        <w:tc>
          <w:tcPr>
            <w:tcW w:w="1340" w:type="dxa"/>
            <w:vAlign w:val="bottom"/>
            <w:gridSpan w:val="3"/>
          </w:tcPr>
          <w:p>
            <w:pPr>
              <w:jc w:val="right"/>
              <w:ind w:right="454"/>
              <w:spacing w:after="0"/>
              <w:rPr>
                <w:sz w:val="20"/>
                <w:szCs w:val="20"/>
                <w:color w:val="auto"/>
              </w:rPr>
            </w:pPr>
            <w:r>
              <w:rPr>
                <w:rFonts w:ascii="Courier New" w:cs="Courier New" w:eastAsia="Courier New" w:hAnsi="Courier New"/>
                <w:sz w:val="13"/>
                <w:szCs w:val="13"/>
                <w:color w:val="auto"/>
              </w:rPr>
              <w:t>$ (45,056)</w:t>
            </w:r>
          </w:p>
        </w:tc>
        <w:tc>
          <w:tcPr>
            <w:tcW w:w="1300" w:type="dxa"/>
            <w:vAlign w:val="bottom"/>
            <w:gridSpan w:val="3"/>
          </w:tcPr>
          <w:p>
            <w:pPr>
              <w:jc w:val="right"/>
              <w:ind w:right="394"/>
              <w:spacing w:after="0"/>
              <w:rPr>
                <w:sz w:val="20"/>
                <w:szCs w:val="20"/>
                <w:color w:val="auto"/>
              </w:rPr>
            </w:pPr>
            <w:r>
              <w:rPr>
                <w:rFonts w:ascii="Courier New" w:cs="Courier New" w:eastAsia="Courier New" w:hAnsi="Courier New"/>
                <w:sz w:val="13"/>
                <w:szCs w:val="13"/>
                <w:color w:val="auto"/>
              </w:rPr>
              <w:t>$ (55,320)</w:t>
            </w:r>
          </w:p>
        </w:tc>
        <w:tc>
          <w:tcPr>
            <w:tcW w:w="1360" w:type="dxa"/>
            <w:vAlign w:val="bottom"/>
            <w:gridSpan w:val="2"/>
          </w:tcPr>
          <w:p>
            <w:pPr>
              <w:jc w:val="right"/>
              <w:ind w:right="414"/>
              <w:spacing w:after="0"/>
              <w:rPr>
                <w:sz w:val="20"/>
                <w:szCs w:val="20"/>
                <w:color w:val="auto"/>
              </w:rPr>
            </w:pPr>
            <w:r>
              <w:rPr>
                <w:rFonts w:ascii="Courier New" w:cs="Courier New" w:eastAsia="Courier New" w:hAnsi="Courier New"/>
                <w:sz w:val="13"/>
                <w:szCs w:val="13"/>
                <w:color w:val="auto"/>
              </w:rPr>
              <w:t>$(203,082)</w:t>
            </w:r>
          </w:p>
        </w:tc>
        <w:tc>
          <w:tcPr>
            <w:tcW w:w="1300" w:type="dxa"/>
            <w:vAlign w:val="bottom"/>
          </w:tcPr>
          <w:p>
            <w:pPr>
              <w:jc w:val="right"/>
              <w:ind w:right="374"/>
              <w:spacing w:after="0"/>
              <w:rPr>
                <w:sz w:val="20"/>
                <w:szCs w:val="20"/>
                <w:color w:val="auto"/>
              </w:rPr>
            </w:pPr>
            <w:r>
              <w:rPr>
                <w:rFonts w:ascii="Courier New" w:cs="Courier New" w:eastAsia="Courier New" w:hAnsi="Courier New"/>
                <w:sz w:val="13"/>
                <w:szCs w:val="13"/>
                <w:color w:val="auto"/>
              </w:rPr>
              <w:t>$(137,768)</w:t>
            </w:r>
          </w:p>
        </w:tc>
        <w:tc>
          <w:tcPr>
            <w:tcW w:w="1380" w:type="dxa"/>
            <w:vAlign w:val="bottom"/>
            <w:gridSpan w:val="2"/>
          </w:tcPr>
          <w:p>
            <w:pPr>
              <w:jc w:val="right"/>
              <w:ind w:right="414"/>
              <w:spacing w:after="0"/>
              <w:rPr>
                <w:sz w:val="20"/>
                <w:szCs w:val="20"/>
                <w:color w:val="auto"/>
              </w:rPr>
            </w:pPr>
            <w:r>
              <w:rPr>
                <w:rFonts w:ascii="Courier New" w:cs="Courier New" w:eastAsia="Courier New" w:hAnsi="Courier New"/>
                <w:sz w:val="13"/>
                <w:szCs w:val="13"/>
                <w:color w:val="auto"/>
              </w:rPr>
              <w:t>$(114,261)</w:t>
            </w:r>
          </w:p>
        </w:tc>
        <w:tc>
          <w:tcPr>
            <w:tcW w:w="1260" w:type="dxa"/>
            <w:vAlign w:val="bottom"/>
            <w:gridSpan w:val="2"/>
          </w:tcPr>
          <w:p>
            <w:pPr>
              <w:jc w:val="right"/>
              <w:ind w:right="314"/>
              <w:spacing w:after="0"/>
              <w:rPr>
                <w:sz w:val="20"/>
                <w:szCs w:val="20"/>
                <w:color w:val="auto"/>
              </w:rPr>
            </w:pPr>
            <w:r>
              <w:rPr>
                <w:rFonts w:ascii="Courier New" w:cs="Courier New" w:eastAsia="Courier New" w:hAnsi="Courier New"/>
                <w:sz w:val="13"/>
                <w:szCs w:val="13"/>
                <w:color w:val="auto"/>
              </w:rPr>
              <w:t>$ (51,402)</w:t>
            </w:r>
          </w:p>
        </w:tc>
        <w:tc>
          <w:tcPr>
            <w:tcW w:w="1100" w:type="dxa"/>
            <w:vAlign w:val="bottom"/>
            <w:gridSpan w:val="2"/>
          </w:tcPr>
          <w:p>
            <w:pPr>
              <w:jc w:val="right"/>
              <w:ind w:right="74"/>
              <w:spacing w:after="0"/>
              <w:rPr>
                <w:sz w:val="20"/>
                <w:szCs w:val="20"/>
                <w:color w:val="auto"/>
              </w:rPr>
            </w:pPr>
            <w:r>
              <w:rPr>
                <w:rFonts w:ascii="Courier New" w:cs="Courier New" w:eastAsia="Courier New" w:hAnsi="Courier New"/>
                <w:sz w:val="13"/>
                <w:szCs w:val="13"/>
                <w:color w:val="auto"/>
              </w:rPr>
              <w:t>$ (38,522)</w:t>
            </w:r>
          </w:p>
        </w:tc>
      </w:tr>
      <w:tr>
        <w:trPr>
          <w:trHeight w:val="152"/>
        </w:trPr>
        <w:tc>
          <w:tcPr>
            <w:tcW w:w="25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540" w:type="dxa"/>
            <w:vAlign w:val="bottom"/>
          </w:tcPr>
          <w:p>
            <w:pPr>
              <w:spacing w:after="0"/>
              <w:rPr>
                <w:sz w:val="13"/>
                <w:szCs w:val="13"/>
                <w:color w:val="auto"/>
              </w:rPr>
            </w:pPr>
          </w:p>
        </w:tc>
        <w:tc>
          <w:tcPr>
            <w:tcW w:w="1360" w:type="dxa"/>
            <w:vAlign w:val="bottom"/>
            <w:gridSpan w:val="2"/>
          </w:tcPr>
          <w:p>
            <w:pPr>
              <w:jc w:val="right"/>
              <w:ind w:right="494"/>
              <w:spacing w:after="0"/>
              <w:rPr>
                <w:sz w:val="20"/>
                <w:szCs w:val="20"/>
                <w:color w:val="auto"/>
              </w:rPr>
            </w:pPr>
            <w:r>
              <w:rPr>
                <w:rFonts w:ascii="Courier New" w:cs="Courier New" w:eastAsia="Courier New" w:hAnsi="Courier New"/>
                <w:sz w:val="13"/>
                <w:szCs w:val="13"/>
                <w:color w:val="auto"/>
              </w:rPr>
              <w:t>=========</w:t>
            </w:r>
          </w:p>
        </w:tc>
        <w:tc>
          <w:tcPr>
            <w:tcW w:w="1300" w:type="dxa"/>
            <w:vAlign w:val="bottom"/>
          </w:tcPr>
          <w:p>
            <w:pPr>
              <w:jc w:val="right"/>
              <w:ind w:right="454"/>
              <w:spacing w:after="0"/>
              <w:rPr>
                <w:sz w:val="20"/>
                <w:szCs w:val="20"/>
                <w:color w:val="auto"/>
              </w:rPr>
            </w:pPr>
            <w:r>
              <w:rPr>
                <w:rFonts w:ascii="Courier New" w:cs="Courier New" w:eastAsia="Courier New" w:hAnsi="Courier New"/>
                <w:sz w:val="13"/>
                <w:szCs w:val="13"/>
                <w:color w:val="auto"/>
              </w:rPr>
              <w:t>=========</w:t>
            </w:r>
          </w:p>
        </w:tc>
        <w:tc>
          <w:tcPr>
            <w:tcW w:w="1380" w:type="dxa"/>
            <w:vAlign w:val="bottom"/>
            <w:gridSpan w:val="2"/>
          </w:tcPr>
          <w:p>
            <w:pPr>
              <w:jc w:val="right"/>
              <w:ind w:right="494"/>
              <w:spacing w:after="0"/>
              <w:rPr>
                <w:sz w:val="20"/>
                <w:szCs w:val="20"/>
                <w:color w:val="auto"/>
              </w:rPr>
            </w:pPr>
            <w:r>
              <w:rPr>
                <w:rFonts w:ascii="Courier New" w:cs="Courier New" w:eastAsia="Courier New" w:hAnsi="Courier New"/>
                <w:sz w:val="13"/>
                <w:szCs w:val="13"/>
                <w:color w:val="auto"/>
              </w:rPr>
              <w:t>=========</w:t>
            </w:r>
          </w:p>
        </w:tc>
        <w:tc>
          <w:tcPr>
            <w:tcW w:w="1260" w:type="dxa"/>
            <w:vAlign w:val="bottom"/>
            <w:gridSpan w:val="2"/>
          </w:tcPr>
          <w:p>
            <w:pPr>
              <w:jc w:val="right"/>
              <w:ind w:right="394"/>
              <w:spacing w:after="0"/>
              <w:rPr>
                <w:sz w:val="20"/>
                <w:szCs w:val="20"/>
                <w:color w:val="auto"/>
              </w:rPr>
            </w:pPr>
            <w:r>
              <w:rPr>
                <w:rFonts w:ascii="Courier New" w:cs="Courier New" w:eastAsia="Courier New" w:hAnsi="Courier New"/>
                <w:sz w:val="13"/>
                <w:szCs w:val="13"/>
                <w:color w:val="auto"/>
              </w:rPr>
              <w:t>=========</w:t>
            </w:r>
          </w:p>
        </w:tc>
        <w:tc>
          <w:tcPr>
            <w:tcW w:w="1100" w:type="dxa"/>
            <w:vAlign w:val="bottom"/>
            <w:gridSpan w:val="2"/>
          </w:tcPr>
          <w:p>
            <w:pPr>
              <w:jc w:val="right"/>
              <w:ind w:right="154"/>
              <w:spacing w:after="0"/>
              <w:rPr>
                <w:sz w:val="20"/>
                <w:szCs w:val="20"/>
                <w:color w:val="auto"/>
              </w:rPr>
            </w:pPr>
            <w:r>
              <w:rPr>
                <w:rFonts w:ascii="Courier New" w:cs="Courier New" w:eastAsia="Courier New" w:hAnsi="Courier New"/>
                <w:sz w:val="13"/>
                <w:szCs w:val="13"/>
                <w:color w:val="auto"/>
              </w:rPr>
              <w:t>=========</w:t>
            </w:r>
          </w:p>
        </w:tc>
      </w:tr>
      <w:tr>
        <w:trPr>
          <w:trHeight w:val="152"/>
        </w:trPr>
        <w:tc>
          <w:tcPr>
            <w:tcW w:w="2500" w:type="dxa"/>
            <w:vAlign w:val="bottom"/>
          </w:tcPr>
          <w:p>
            <w:pPr>
              <w:spacing w:after="0"/>
              <w:rPr>
                <w:sz w:val="20"/>
                <w:szCs w:val="20"/>
                <w:color w:val="auto"/>
              </w:rPr>
            </w:pPr>
            <w:r>
              <w:rPr>
                <w:rFonts w:ascii="Courier New" w:cs="Courier New" w:eastAsia="Courier New" w:hAnsi="Courier New"/>
                <w:sz w:val="13"/>
                <w:szCs w:val="13"/>
                <w:color w:val="auto"/>
              </w:rPr>
              <w:t>Basic loss per ordinary</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2500" w:type="dxa"/>
            <w:vAlign w:val="bottom"/>
          </w:tcPr>
          <w:p>
            <w:pPr>
              <w:ind w:left="240"/>
              <w:spacing w:after="0"/>
              <w:rPr>
                <w:sz w:val="20"/>
                <w:szCs w:val="20"/>
                <w:color w:val="auto"/>
              </w:rPr>
            </w:pPr>
            <w:r>
              <w:rPr>
                <w:rFonts w:ascii="Courier New" w:cs="Courier New" w:eastAsia="Courier New" w:hAnsi="Courier New"/>
                <w:sz w:val="13"/>
                <w:szCs w:val="13"/>
                <w:color w:val="auto"/>
              </w:rPr>
              <w:t>share(*)</w:t>
            </w:r>
          </w:p>
        </w:tc>
        <w:tc>
          <w:tcPr>
            <w:tcW w:w="2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w:t>
            </w:r>
          </w:p>
        </w:tc>
        <w:tc>
          <w:tcPr>
            <w:tcW w:w="1140" w:type="dxa"/>
            <w:vAlign w:val="bottom"/>
            <w:gridSpan w:val="2"/>
          </w:tcPr>
          <w:p>
            <w:pPr>
              <w:jc w:val="right"/>
              <w:ind w:right="454"/>
              <w:spacing w:after="0"/>
              <w:rPr>
                <w:sz w:val="20"/>
                <w:szCs w:val="20"/>
                <w:color w:val="auto"/>
              </w:rPr>
            </w:pPr>
            <w:r>
              <w:rPr>
                <w:rFonts w:ascii="Courier New" w:cs="Courier New" w:eastAsia="Courier New" w:hAnsi="Courier New"/>
                <w:sz w:val="13"/>
                <w:szCs w:val="13"/>
                <w:color w:val="auto"/>
              </w:rPr>
              <w:t>(0.63)</w:t>
            </w:r>
          </w:p>
        </w:tc>
        <w:tc>
          <w:tcPr>
            <w:tcW w:w="1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140" w:type="dxa"/>
            <w:vAlign w:val="bottom"/>
            <w:gridSpan w:val="2"/>
          </w:tcPr>
          <w:p>
            <w:pPr>
              <w:jc w:val="right"/>
              <w:ind w:right="394"/>
              <w:spacing w:after="0"/>
              <w:rPr>
                <w:sz w:val="20"/>
                <w:szCs w:val="20"/>
                <w:color w:val="auto"/>
              </w:rPr>
            </w:pPr>
            <w:r>
              <w:rPr>
                <w:rFonts w:ascii="Courier New" w:cs="Courier New" w:eastAsia="Courier New" w:hAnsi="Courier New"/>
                <w:sz w:val="13"/>
                <w:szCs w:val="13"/>
                <w:color w:val="auto"/>
              </w:rPr>
              <w:t>(0.84)</w:t>
            </w:r>
          </w:p>
        </w:tc>
        <w:tc>
          <w:tcPr>
            <w:tcW w:w="1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ind w:right="414"/>
              <w:spacing w:after="0"/>
              <w:rPr>
                <w:sz w:val="20"/>
                <w:szCs w:val="20"/>
                <w:color w:val="auto"/>
              </w:rPr>
            </w:pPr>
            <w:r>
              <w:rPr>
                <w:rFonts w:ascii="Courier New" w:cs="Courier New" w:eastAsia="Courier New" w:hAnsi="Courier New"/>
                <w:sz w:val="13"/>
                <w:szCs w:val="13"/>
                <w:color w:val="auto"/>
              </w:rPr>
              <w:t>(3.06)</w:t>
            </w:r>
          </w:p>
        </w:tc>
        <w:tc>
          <w:tcPr>
            <w:tcW w:w="1300" w:type="dxa"/>
            <w:vAlign w:val="bottom"/>
          </w:tcPr>
          <w:p>
            <w:pPr>
              <w:jc w:val="right"/>
              <w:ind w:right="374"/>
              <w:spacing w:after="0"/>
              <w:rPr>
                <w:sz w:val="20"/>
                <w:szCs w:val="20"/>
                <w:color w:val="auto"/>
              </w:rPr>
            </w:pPr>
            <w:r>
              <w:rPr>
                <w:rFonts w:ascii="Courier New" w:cs="Courier New" w:eastAsia="Courier New" w:hAnsi="Courier New"/>
                <w:sz w:val="13"/>
                <w:szCs w:val="13"/>
                <w:color w:val="auto"/>
              </w:rPr>
              <w:t>$   (2.13)</w:t>
            </w:r>
          </w:p>
        </w:tc>
        <w:tc>
          <w:tcPr>
            <w:tcW w:w="200" w:type="dxa"/>
            <w:vAlign w:val="bottom"/>
          </w:tcPr>
          <w:p>
            <w:pPr>
              <w:ind w:left="120"/>
              <w:spacing w:after="0"/>
              <w:rPr>
                <w:sz w:val="20"/>
                <w:szCs w:val="20"/>
                <w:color w:val="auto"/>
              </w:rPr>
            </w:pPr>
            <w:r>
              <w:rPr>
                <w:rFonts w:ascii="Courier New" w:cs="Courier New" w:eastAsia="Courier New" w:hAnsi="Courier New"/>
                <w:sz w:val="13"/>
                <w:szCs w:val="13"/>
                <w:color w:val="auto"/>
                <w:w w:val="76"/>
              </w:rPr>
              <w:t>$</w:t>
            </w:r>
          </w:p>
        </w:tc>
        <w:tc>
          <w:tcPr>
            <w:tcW w:w="1180" w:type="dxa"/>
            <w:vAlign w:val="bottom"/>
          </w:tcPr>
          <w:p>
            <w:pPr>
              <w:jc w:val="right"/>
              <w:ind w:right="414"/>
              <w:spacing w:after="0"/>
              <w:rPr>
                <w:sz w:val="20"/>
                <w:szCs w:val="20"/>
                <w:color w:val="auto"/>
              </w:rPr>
            </w:pPr>
            <w:r>
              <w:rPr>
                <w:rFonts w:ascii="Courier New" w:cs="Courier New" w:eastAsia="Courier New" w:hAnsi="Courier New"/>
                <w:sz w:val="13"/>
                <w:szCs w:val="13"/>
                <w:color w:val="auto"/>
              </w:rPr>
              <w:t>(2.45)</w:t>
            </w:r>
          </w:p>
        </w:tc>
        <w:tc>
          <w:tcPr>
            <w:tcW w:w="2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060" w:type="dxa"/>
            <w:vAlign w:val="bottom"/>
          </w:tcPr>
          <w:p>
            <w:pPr>
              <w:jc w:val="right"/>
              <w:ind w:right="314"/>
              <w:spacing w:after="0"/>
              <w:rPr>
                <w:sz w:val="20"/>
                <w:szCs w:val="20"/>
                <w:color w:val="auto"/>
              </w:rPr>
            </w:pPr>
            <w:r>
              <w:rPr>
                <w:rFonts w:ascii="Courier New" w:cs="Courier New" w:eastAsia="Courier New" w:hAnsi="Courier New"/>
                <w:sz w:val="13"/>
                <w:szCs w:val="13"/>
                <w:color w:val="auto"/>
              </w:rPr>
              <w:t>(1.63)</w:t>
            </w:r>
          </w:p>
        </w:tc>
        <w:tc>
          <w:tcPr>
            <w:tcW w:w="400" w:type="dxa"/>
            <w:vAlign w:val="bottom"/>
          </w:tcPr>
          <w:p>
            <w:pPr>
              <w:jc w:val="right"/>
              <w:ind w:right="94"/>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74"/>
              <w:spacing w:after="0"/>
              <w:rPr>
                <w:sz w:val="20"/>
                <w:szCs w:val="20"/>
                <w:color w:val="auto"/>
              </w:rPr>
            </w:pPr>
            <w:r>
              <w:rPr>
                <w:rFonts w:ascii="Courier New" w:cs="Courier New" w:eastAsia="Courier New" w:hAnsi="Courier New"/>
                <w:sz w:val="13"/>
                <w:szCs w:val="13"/>
                <w:color w:val="auto"/>
              </w:rPr>
              <w:t>(1.92)</w:t>
            </w:r>
          </w:p>
        </w:tc>
      </w:tr>
      <w:tr>
        <w:trPr>
          <w:trHeight w:val="152"/>
        </w:trPr>
        <w:tc>
          <w:tcPr>
            <w:tcW w:w="25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540" w:type="dxa"/>
            <w:vAlign w:val="bottom"/>
          </w:tcPr>
          <w:p>
            <w:pPr>
              <w:spacing w:after="0"/>
              <w:rPr>
                <w:sz w:val="13"/>
                <w:szCs w:val="13"/>
                <w:color w:val="auto"/>
              </w:rPr>
            </w:pPr>
          </w:p>
        </w:tc>
        <w:tc>
          <w:tcPr>
            <w:tcW w:w="1360" w:type="dxa"/>
            <w:vAlign w:val="bottom"/>
            <w:gridSpan w:val="2"/>
          </w:tcPr>
          <w:p>
            <w:pPr>
              <w:jc w:val="right"/>
              <w:ind w:right="494"/>
              <w:spacing w:after="0"/>
              <w:rPr>
                <w:sz w:val="20"/>
                <w:szCs w:val="20"/>
                <w:color w:val="auto"/>
              </w:rPr>
            </w:pPr>
            <w:r>
              <w:rPr>
                <w:rFonts w:ascii="Courier New" w:cs="Courier New" w:eastAsia="Courier New" w:hAnsi="Courier New"/>
                <w:sz w:val="13"/>
                <w:szCs w:val="13"/>
                <w:color w:val="auto"/>
              </w:rPr>
              <w:t>=========</w:t>
            </w:r>
          </w:p>
        </w:tc>
        <w:tc>
          <w:tcPr>
            <w:tcW w:w="1300" w:type="dxa"/>
            <w:vAlign w:val="bottom"/>
          </w:tcPr>
          <w:p>
            <w:pPr>
              <w:jc w:val="right"/>
              <w:ind w:right="454"/>
              <w:spacing w:after="0"/>
              <w:rPr>
                <w:sz w:val="20"/>
                <w:szCs w:val="20"/>
                <w:color w:val="auto"/>
              </w:rPr>
            </w:pPr>
            <w:r>
              <w:rPr>
                <w:rFonts w:ascii="Courier New" w:cs="Courier New" w:eastAsia="Courier New" w:hAnsi="Courier New"/>
                <w:sz w:val="13"/>
                <w:szCs w:val="13"/>
                <w:color w:val="auto"/>
              </w:rPr>
              <w:t>=========</w:t>
            </w:r>
          </w:p>
        </w:tc>
        <w:tc>
          <w:tcPr>
            <w:tcW w:w="1380" w:type="dxa"/>
            <w:vAlign w:val="bottom"/>
            <w:gridSpan w:val="2"/>
          </w:tcPr>
          <w:p>
            <w:pPr>
              <w:jc w:val="right"/>
              <w:ind w:right="494"/>
              <w:spacing w:after="0"/>
              <w:rPr>
                <w:sz w:val="20"/>
                <w:szCs w:val="20"/>
                <w:color w:val="auto"/>
              </w:rPr>
            </w:pPr>
            <w:r>
              <w:rPr>
                <w:rFonts w:ascii="Courier New" w:cs="Courier New" w:eastAsia="Courier New" w:hAnsi="Courier New"/>
                <w:sz w:val="13"/>
                <w:szCs w:val="13"/>
                <w:color w:val="auto"/>
              </w:rPr>
              <w:t>=========</w:t>
            </w:r>
          </w:p>
        </w:tc>
        <w:tc>
          <w:tcPr>
            <w:tcW w:w="1260" w:type="dxa"/>
            <w:vAlign w:val="bottom"/>
            <w:gridSpan w:val="2"/>
          </w:tcPr>
          <w:p>
            <w:pPr>
              <w:jc w:val="right"/>
              <w:ind w:right="394"/>
              <w:spacing w:after="0"/>
              <w:rPr>
                <w:sz w:val="20"/>
                <w:szCs w:val="20"/>
                <w:color w:val="auto"/>
              </w:rPr>
            </w:pPr>
            <w:r>
              <w:rPr>
                <w:rFonts w:ascii="Courier New" w:cs="Courier New" w:eastAsia="Courier New" w:hAnsi="Courier New"/>
                <w:sz w:val="13"/>
                <w:szCs w:val="13"/>
                <w:color w:val="auto"/>
              </w:rPr>
              <w:t>=========</w:t>
            </w:r>
          </w:p>
        </w:tc>
        <w:tc>
          <w:tcPr>
            <w:tcW w:w="1100" w:type="dxa"/>
            <w:vAlign w:val="bottom"/>
            <w:gridSpan w:val="2"/>
          </w:tcPr>
          <w:p>
            <w:pPr>
              <w:jc w:val="right"/>
              <w:ind w:right="154"/>
              <w:spacing w:after="0"/>
              <w:rPr>
                <w:sz w:val="20"/>
                <w:szCs w:val="20"/>
                <w:color w:val="auto"/>
              </w:rPr>
            </w:pPr>
            <w:r>
              <w:rPr>
                <w:rFonts w:ascii="Courier New" w:cs="Courier New" w:eastAsia="Courier New" w:hAnsi="Courier New"/>
                <w:sz w:val="13"/>
                <w:szCs w:val="13"/>
                <w:color w:val="auto"/>
              </w:rPr>
              <w:t>=========</w:t>
            </w:r>
          </w:p>
        </w:tc>
      </w:tr>
      <w:tr>
        <w:trPr>
          <w:trHeight w:val="152"/>
        </w:trPr>
        <w:tc>
          <w:tcPr>
            <w:tcW w:w="2500" w:type="dxa"/>
            <w:vAlign w:val="bottom"/>
          </w:tcPr>
          <w:p>
            <w:pPr>
              <w:spacing w:after="0"/>
              <w:rPr>
                <w:sz w:val="20"/>
                <w:szCs w:val="20"/>
                <w:color w:val="auto"/>
              </w:rPr>
            </w:pPr>
            <w:r>
              <w:rPr>
                <w:rFonts w:ascii="Courier New" w:cs="Courier New" w:eastAsia="Courier New" w:hAnsi="Courier New"/>
                <w:sz w:val="13"/>
                <w:szCs w:val="13"/>
                <w:color w:val="auto"/>
              </w:rPr>
              <w:t>OTHER FINANCIAL DATA:</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2500" w:type="dxa"/>
            <w:vAlign w:val="bottom"/>
          </w:tcPr>
          <w:p>
            <w:pPr>
              <w:spacing w:after="0"/>
              <w:rPr>
                <w:sz w:val="20"/>
                <w:szCs w:val="20"/>
                <w:color w:val="auto"/>
              </w:rPr>
            </w:pPr>
            <w:r>
              <w:rPr>
                <w:rFonts w:ascii="Courier New" w:cs="Courier New" w:eastAsia="Courier New" w:hAnsi="Courier New"/>
                <w:sz w:val="13"/>
                <w:szCs w:val="13"/>
                <w:color w:val="auto"/>
              </w:rPr>
              <w:t>Depreciation and</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2500" w:type="dxa"/>
            <w:vAlign w:val="bottom"/>
          </w:tcPr>
          <w:p>
            <w:pPr>
              <w:ind w:left="240"/>
              <w:spacing w:after="0"/>
              <w:rPr>
                <w:sz w:val="20"/>
                <w:szCs w:val="20"/>
                <w:color w:val="auto"/>
              </w:rPr>
            </w:pPr>
            <w:r>
              <w:rPr>
                <w:rFonts w:ascii="Courier New" w:cs="Courier New" w:eastAsia="Courier New" w:hAnsi="Courier New"/>
                <w:sz w:val="13"/>
                <w:szCs w:val="13"/>
                <w:color w:val="auto"/>
              </w:rPr>
              <w:t>amortization</w:t>
            </w:r>
          </w:p>
        </w:tc>
        <w:tc>
          <w:tcPr>
            <w:tcW w:w="2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3"/>
                <w:szCs w:val="13"/>
                <w:color w:val="auto"/>
              </w:rPr>
              <w:t>38,076</w:t>
            </w:r>
          </w:p>
        </w:tc>
        <w:tc>
          <w:tcPr>
            <w:tcW w:w="6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3"/>
                <w:szCs w:val="13"/>
                <w:color w:val="auto"/>
              </w:rPr>
              <w:t>34,594</w:t>
            </w:r>
          </w:p>
        </w:tc>
        <w:tc>
          <w:tcPr>
            <w:tcW w:w="540" w:type="dxa"/>
            <w:vAlign w:val="bottom"/>
          </w:tcPr>
          <w:p>
            <w:pPr>
              <w:spacing w:after="0"/>
              <w:rPr>
                <w:sz w:val="13"/>
                <w:szCs w:val="13"/>
                <w:color w:val="auto"/>
              </w:rPr>
            </w:pPr>
          </w:p>
        </w:tc>
        <w:tc>
          <w:tcPr>
            <w:tcW w:w="1360" w:type="dxa"/>
            <w:vAlign w:val="bottom"/>
            <w:gridSpan w:val="2"/>
          </w:tcPr>
          <w:p>
            <w:pPr>
              <w:jc w:val="right"/>
              <w:ind w:right="494"/>
              <w:spacing w:after="0"/>
              <w:rPr>
                <w:sz w:val="20"/>
                <w:szCs w:val="20"/>
                <w:color w:val="auto"/>
              </w:rPr>
            </w:pPr>
            <w:r>
              <w:rPr>
                <w:rFonts w:ascii="Courier New" w:cs="Courier New" w:eastAsia="Courier New" w:hAnsi="Courier New"/>
                <w:sz w:val="13"/>
                <w:szCs w:val="13"/>
                <w:color w:val="auto"/>
              </w:rPr>
              <w:t>$ 144,852</w:t>
            </w:r>
          </w:p>
        </w:tc>
        <w:tc>
          <w:tcPr>
            <w:tcW w:w="1300" w:type="dxa"/>
            <w:vAlign w:val="bottom"/>
          </w:tcPr>
          <w:p>
            <w:pPr>
              <w:jc w:val="right"/>
              <w:ind w:right="454"/>
              <w:spacing w:after="0"/>
              <w:rPr>
                <w:sz w:val="20"/>
                <w:szCs w:val="20"/>
                <w:color w:val="auto"/>
              </w:rPr>
            </w:pPr>
            <w:r>
              <w:rPr>
                <w:rFonts w:ascii="Courier New" w:cs="Courier New" w:eastAsia="Courier New" w:hAnsi="Courier New"/>
                <w:sz w:val="13"/>
                <w:szCs w:val="13"/>
                <w:color w:val="auto"/>
              </w:rPr>
              <w:t>$ 121,067</w:t>
            </w:r>
          </w:p>
        </w:tc>
        <w:tc>
          <w:tcPr>
            <w:tcW w:w="200" w:type="dxa"/>
            <w:vAlign w:val="bottom"/>
          </w:tcPr>
          <w:p>
            <w:pPr>
              <w:ind w:left="120"/>
              <w:spacing w:after="0"/>
              <w:rPr>
                <w:sz w:val="20"/>
                <w:szCs w:val="20"/>
                <w:color w:val="auto"/>
              </w:rPr>
            </w:pPr>
            <w:r>
              <w:rPr>
                <w:rFonts w:ascii="Courier New" w:cs="Courier New" w:eastAsia="Courier New" w:hAnsi="Courier New"/>
                <w:sz w:val="13"/>
                <w:szCs w:val="13"/>
                <w:color w:val="auto"/>
                <w:w w:val="76"/>
              </w:rPr>
              <w:t>$</w:t>
            </w:r>
          </w:p>
        </w:tc>
        <w:tc>
          <w:tcPr>
            <w:tcW w:w="1180" w:type="dxa"/>
            <w:vAlign w:val="bottom"/>
          </w:tcPr>
          <w:p>
            <w:pPr>
              <w:jc w:val="right"/>
              <w:ind w:right="494"/>
              <w:spacing w:after="0"/>
              <w:rPr>
                <w:sz w:val="20"/>
                <w:szCs w:val="20"/>
                <w:color w:val="auto"/>
              </w:rPr>
            </w:pPr>
            <w:r>
              <w:rPr>
                <w:rFonts w:ascii="Courier New" w:cs="Courier New" w:eastAsia="Courier New" w:hAnsi="Courier New"/>
                <w:sz w:val="13"/>
                <w:szCs w:val="13"/>
                <w:color w:val="auto"/>
              </w:rPr>
              <w:t>54,611</w:t>
            </w:r>
          </w:p>
        </w:tc>
        <w:tc>
          <w:tcPr>
            <w:tcW w:w="2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060" w:type="dxa"/>
            <w:vAlign w:val="bottom"/>
          </w:tcPr>
          <w:p>
            <w:pPr>
              <w:jc w:val="right"/>
              <w:ind w:right="394"/>
              <w:spacing w:after="0"/>
              <w:rPr>
                <w:sz w:val="20"/>
                <w:szCs w:val="20"/>
                <w:color w:val="auto"/>
              </w:rPr>
            </w:pPr>
            <w:r>
              <w:rPr>
                <w:rFonts w:ascii="Courier New" w:cs="Courier New" w:eastAsia="Courier New" w:hAnsi="Courier New"/>
                <w:sz w:val="13"/>
                <w:szCs w:val="13"/>
                <w:color w:val="auto"/>
              </w:rPr>
              <w:t>18,821</w:t>
            </w:r>
          </w:p>
        </w:tc>
        <w:tc>
          <w:tcPr>
            <w:tcW w:w="400" w:type="dxa"/>
            <w:vAlign w:val="bottom"/>
          </w:tcPr>
          <w:p>
            <w:pPr>
              <w:jc w:val="right"/>
              <w:ind w:right="94"/>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ind w:right="154"/>
              <w:spacing w:after="0"/>
              <w:rPr>
                <w:sz w:val="20"/>
                <w:szCs w:val="20"/>
                <w:color w:val="auto"/>
              </w:rPr>
            </w:pPr>
            <w:r>
              <w:rPr>
                <w:rFonts w:ascii="Courier New" w:cs="Courier New" w:eastAsia="Courier New" w:hAnsi="Courier New"/>
                <w:sz w:val="13"/>
                <w:szCs w:val="13"/>
                <w:color w:val="auto"/>
                <w:w w:val="98"/>
              </w:rPr>
              <w:t>21,721</w:t>
            </w:r>
          </w:p>
        </w:tc>
      </w:tr>
      <w:tr>
        <w:trPr>
          <w:trHeight w:val="152"/>
        </w:trPr>
        <w:tc>
          <w:tcPr>
            <w:tcW w:w="2500" w:type="dxa"/>
            <w:vAlign w:val="bottom"/>
          </w:tcPr>
          <w:p>
            <w:pPr>
              <w:spacing w:after="0"/>
              <w:rPr>
                <w:sz w:val="20"/>
                <w:szCs w:val="20"/>
                <w:color w:val="auto"/>
              </w:rPr>
            </w:pPr>
            <w:r>
              <w:rPr>
                <w:rFonts w:ascii="Courier New" w:cs="Courier New" w:eastAsia="Courier New" w:hAnsi="Courier New"/>
                <w:sz w:val="13"/>
                <w:szCs w:val="13"/>
                <w:color w:val="auto"/>
              </w:rPr>
              <w:t>Capital expenditures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2500" w:type="dxa"/>
            <w:vAlign w:val="bottom"/>
          </w:tcPr>
          <w:p>
            <w:pPr>
              <w:ind w:left="240"/>
              <w:spacing w:after="0"/>
              <w:rPr>
                <w:sz w:val="20"/>
                <w:szCs w:val="20"/>
                <w:color w:val="auto"/>
              </w:rPr>
            </w:pPr>
            <w:r>
              <w:rPr>
                <w:rFonts w:ascii="Courier New" w:cs="Courier New" w:eastAsia="Courier New" w:hAnsi="Courier New"/>
                <w:sz w:val="13"/>
                <w:szCs w:val="13"/>
                <w:color w:val="auto"/>
              </w:rPr>
              <w:t>(accrual basis)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2500" w:type="dxa"/>
            <w:vAlign w:val="bottom"/>
          </w:tcPr>
          <w:p>
            <w:pPr>
              <w:ind w:left="240"/>
              <w:spacing w:after="0"/>
              <w:rPr>
                <w:sz w:val="20"/>
                <w:szCs w:val="20"/>
                <w:color w:val="auto"/>
              </w:rPr>
            </w:pPr>
            <w:r>
              <w:rPr>
                <w:rFonts w:ascii="Courier New" w:cs="Courier New" w:eastAsia="Courier New" w:hAnsi="Courier New"/>
                <w:sz w:val="13"/>
                <w:szCs w:val="13"/>
                <w:color w:val="auto"/>
              </w:rPr>
              <w:t>excluding Investment</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2500" w:type="dxa"/>
            <w:vAlign w:val="bottom"/>
          </w:tcPr>
          <w:p>
            <w:pPr>
              <w:ind w:left="240"/>
              <w:spacing w:after="0"/>
              <w:rPr>
                <w:sz w:val="20"/>
                <w:szCs w:val="20"/>
                <w:color w:val="auto"/>
              </w:rPr>
            </w:pPr>
            <w:r>
              <w:rPr>
                <w:rFonts w:ascii="Courier New" w:cs="Courier New" w:eastAsia="Courier New" w:hAnsi="Courier New"/>
                <w:sz w:val="13"/>
                <w:szCs w:val="13"/>
                <w:color w:val="auto"/>
              </w:rPr>
              <w:t>Center grants</w:t>
            </w:r>
          </w:p>
        </w:tc>
        <w:tc>
          <w:tcPr>
            <w:tcW w:w="2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3"/>
                <w:szCs w:val="13"/>
                <w:color w:val="auto"/>
              </w:rPr>
              <w:t>7,964</w:t>
            </w:r>
          </w:p>
        </w:tc>
        <w:tc>
          <w:tcPr>
            <w:tcW w:w="6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3"/>
                <w:szCs w:val="13"/>
                <w:color w:val="auto"/>
              </w:rPr>
              <w:t>13,594</w:t>
            </w:r>
          </w:p>
        </w:tc>
        <w:tc>
          <w:tcPr>
            <w:tcW w:w="5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200" w:type="dxa"/>
            <w:vAlign w:val="bottom"/>
          </w:tcPr>
          <w:p>
            <w:pPr>
              <w:jc w:val="right"/>
              <w:ind w:right="494"/>
              <w:spacing w:after="0"/>
              <w:rPr>
                <w:sz w:val="20"/>
                <w:szCs w:val="20"/>
                <w:color w:val="auto"/>
              </w:rPr>
            </w:pPr>
            <w:r>
              <w:rPr>
                <w:rFonts w:ascii="Courier New" w:cs="Courier New" w:eastAsia="Courier New" w:hAnsi="Courier New"/>
                <w:sz w:val="13"/>
                <w:szCs w:val="13"/>
                <w:color w:val="auto"/>
              </w:rPr>
              <w:t>30,239</w:t>
            </w:r>
          </w:p>
        </w:tc>
        <w:tc>
          <w:tcPr>
            <w:tcW w:w="1300" w:type="dxa"/>
            <w:vAlign w:val="bottom"/>
          </w:tcPr>
          <w:p>
            <w:pPr>
              <w:jc w:val="right"/>
              <w:ind w:right="454"/>
              <w:spacing w:after="0"/>
              <w:rPr>
                <w:sz w:val="20"/>
                <w:szCs w:val="20"/>
                <w:color w:val="auto"/>
              </w:rPr>
            </w:pPr>
            <w:r>
              <w:rPr>
                <w:rFonts w:ascii="Courier New" w:cs="Courier New" w:eastAsia="Courier New" w:hAnsi="Courier New"/>
                <w:sz w:val="13"/>
                <w:szCs w:val="13"/>
                <w:color w:val="auto"/>
              </w:rPr>
              <w:t>$ 172,617</w:t>
            </w:r>
          </w:p>
        </w:tc>
        <w:tc>
          <w:tcPr>
            <w:tcW w:w="1380" w:type="dxa"/>
            <w:vAlign w:val="bottom"/>
            <w:gridSpan w:val="2"/>
          </w:tcPr>
          <w:p>
            <w:pPr>
              <w:jc w:val="right"/>
              <w:ind w:right="494"/>
              <w:spacing w:after="0"/>
              <w:rPr>
                <w:sz w:val="20"/>
                <w:szCs w:val="20"/>
                <w:color w:val="auto"/>
              </w:rPr>
            </w:pPr>
            <w:r>
              <w:rPr>
                <w:rFonts w:ascii="Courier New" w:cs="Courier New" w:eastAsia="Courier New" w:hAnsi="Courier New"/>
                <w:sz w:val="13"/>
                <w:szCs w:val="13"/>
                <w:color w:val="auto"/>
              </w:rPr>
              <w:t>$ 164,187</w:t>
            </w:r>
          </w:p>
        </w:tc>
        <w:tc>
          <w:tcPr>
            <w:tcW w:w="1260" w:type="dxa"/>
            <w:vAlign w:val="bottom"/>
            <w:gridSpan w:val="2"/>
          </w:tcPr>
          <w:p>
            <w:pPr>
              <w:jc w:val="right"/>
              <w:ind w:right="394"/>
              <w:spacing w:after="0"/>
              <w:rPr>
                <w:sz w:val="20"/>
                <w:szCs w:val="20"/>
                <w:color w:val="auto"/>
              </w:rPr>
            </w:pPr>
            <w:r>
              <w:rPr>
                <w:rFonts w:ascii="Courier New" w:cs="Courier New" w:eastAsia="Courier New" w:hAnsi="Courier New"/>
                <w:sz w:val="13"/>
                <w:szCs w:val="13"/>
                <w:color w:val="auto"/>
              </w:rPr>
              <w:t>$ 243,431</w:t>
            </w:r>
          </w:p>
        </w:tc>
        <w:tc>
          <w:tcPr>
            <w:tcW w:w="1100" w:type="dxa"/>
            <w:vAlign w:val="bottom"/>
            <w:gridSpan w:val="2"/>
          </w:tcPr>
          <w:p>
            <w:pPr>
              <w:jc w:val="right"/>
              <w:ind w:right="154"/>
              <w:spacing w:after="0"/>
              <w:rPr>
                <w:sz w:val="20"/>
                <w:szCs w:val="20"/>
                <w:color w:val="auto"/>
              </w:rPr>
            </w:pPr>
            <w:r>
              <w:rPr>
                <w:rFonts w:ascii="Courier New" w:cs="Courier New" w:eastAsia="Courier New" w:hAnsi="Courier New"/>
                <w:sz w:val="13"/>
                <w:szCs w:val="13"/>
                <w:color w:val="auto"/>
              </w:rPr>
              <w:t>$ 364,347</w:t>
            </w:r>
          </w:p>
        </w:tc>
      </w:tr>
      <w:tr>
        <w:trPr>
          <w:trHeight w:val="457"/>
        </w:trPr>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ind w:right="14"/>
              <w:spacing w:after="0"/>
              <w:rPr>
                <w:sz w:val="20"/>
                <w:szCs w:val="20"/>
                <w:color w:val="auto"/>
              </w:rPr>
            </w:pPr>
            <w:r>
              <w:rPr>
                <w:rFonts w:ascii="Courier New" w:cs="Courier New" w:eastAsia="Courier New" w:hAnsi="Courier New"/>
                <w:sz w:val="13"/>
                <w:szCs w:val="13"/>
                <w:color w:val="auto"/>
              </w:rPr>
              <w:t>5</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89"/>
        </w:trPr>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Courier New" w:cs="Courier New" w:eastAsia="Courier New" w:hAnsi="Courier New"/>
                <w:sz w:val="13"/>
                <w:szCs w:val="13"/>
                <w:color w:val="auto"/>
              </w:rPr>
              <w:t>AS OF MARCH 31,</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52"/>
        </w:trPr>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60" w:type="dxa"/>
            <w:vAlign w:val="bottom"/>
            <w:gridSpan w:val="3"/>
          </w:tcPr>
          <w:p>
            <w:pPr>
              <w:jc w:val="right"/>
              <w:ind w:right="94"/>
              <w:spacing w:after="0"/>
              <w:rPr>
                <w:sz w:val="20"/>
                <w:szCs w:val="20"/>
                <w:color w:val="auto"/>
              </w:rPr>
            </w:pPr>
            <w:r>
              <w:rPr>
                <w:rFonts w:ascii="Courier New" w:cs="Courier New" w:eastAsia="Courier New" w:hAnsi="Courier New"/>
                <w:sz w:val="13"/>
                <w:szCs w:val="13"/>
                <w:color w:val="auto"/>
              </w:rPr>
              <w:t>(UNAUDITED)</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80" w:type="dxa"/>
            <w:vAlign w:val="bottom"/>
            <w:gridSpan w:val="3"/>
          </w:tcPr>
          <w:p>
            <w:pPr>
              <w:ind w:left="120"/>
              <w:spacing w:after="0"/>
              <w:rPr>
                <w:sz w:val="20"/>
                <w:szCs w:val="20"/>
                <w:color w:val="auto"/>
              </w:rPr>
            </w:pPr>
            <w:r>
              <w:rPr>
                <w:rFonts w:ascii="Courier New" w:cs="Courier New" w:eastAsia="Courier New" w:hAnsi="Courier New"/>
                <w:sz w:val="13"/>
                <w:szCs w:val="13"/>
                <w:color w:val="auto"/>
              </w:rPr>
              <w:t>AS OF DECEMBER 31,</w:t>
            </w: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gridSpan w:val="5"/>
          </w:tcPr>
          <w:p>
            <w:pPr>
              <w:jc w:val="right"/>
              <w:ind w:right="14"/>
              <w:spacing w:after="0"/>
              <w:rPr>
                <w:sz w:val="20"/>
                <w:szCs w:val="20"/>
                <w:color w:val="auto"/>
              </w:rPr>
            </w:pPr>
            <w:r>
              <w:rPr>
                <w:rFonts w:ascii="Courier New" w:cs="Courier New" w:eastAsia="Courier New" w:hAnsi="Courier New"/>
                <w:sz w:val="13"/>
                <w:szCs w:val="13"/>
                <w:color w:val="auto"/>
              </w:rPr>
              <w:t>--------------------------</w:t>
            </w:r>
          </w:p>
        </w:tc>
        <w:tc>
          <w:tcPr>
            <w:tcW w:w="160" w:type="dxa"/>
            <w:vAlign w:val="bottom"/>
          </w:tcPr>
          <w:p>
            <w:pPr>
              <w:spacing w:after="0"/>
              <w:rPr>
                <w:sz w:val="13"/>
                <w:szCs w:val="13"/>
                <w:color w:val="auto"/>
              </w:rPr>
            </w:pPr>
          </w:p>
        </w:tc>
        <w:tc>
          <w:tcPr>
            <w:tcW w:w="6240" w:type="dxa"/>
            <w:vAlign w:val="bottom"/>
            <w:gridSpan w:val="8"/>
          </w:tcPr>
          <w:p>
            <w:pPr>
              <w:jc w:val="right"/>
              <w:spacing w:after="0"/>
              <w:rPr>
                <w:sz w:val="20"/>
                <w:szCs w:val="20"/>
                <w:color w:val="auto"/>
              </w:rPr>
            </w:pPr>
            <w:r>
              <w:rPr>
                <w:rFonts w:ascii="Courier New" w:cs="Courier New" w:eastAsia="Courier New" w:hAnsi="Courier New"/>
                <w:sz w:val="13"/>
                <w:szCs w:val="13"/>
                <w:color w:val="auto"/>
              </w:rPr>
              <w:t>--------------------------------------------------------------------------</w:t>
            </w:r>
          </w:p>
        </w:tc>
      </w:tr>
      <w:tr>
        <w:trPr>
          <w:trHeight w:val="152"/>
        </w:trPr>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294"/>
              <w:spacing w:after="0"/>
              <w:rPr>
                <w:sz w:val="20"/>
                <w:szCs w:val="20"/>
                <w:color w:val="auto"/>
              </w:rPr>
            </w:pPr>
            <w:r>
              <w:rPr>
                <w:rFonts w:ascii="Courier New" w:cs="Courier New" w:eastAsia="Courier New" w:hAnsi="Courier New"/>
                <w:sz w:val="13"/>
                <w:szCs w:val="13"/>
                <w:color w:val="auto"/>
              </w:rPr>
              <w:t>2006</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jc w:val="right"/>
              <w:ind w:right="174"/>
              <w:spacing w:after="0"/>
              <w:rPr>
                <w:sz w:val="20"/>
                <w:szCs w:val="20"/>
                <w:color w:val="auto"/>
              </w:rPr>
            </w:pPr>
            <w:r>
              <w:rPr>
                <w:rFonts w:ascii="Courier New" w:cs="Courier New" w:eastAsia="Courier New" w:hAnsi="Courier New"/>
                <w:sz w:val="13"/>
                <w:szCs w:val="13"/>
                <w:color w:val="auto"/>
                <w:w w:val="89"/>
              </w:rPr>
              <w:t>2005</w:t>
            </w:r>
          </w:p>
        </w:tc>
        <w:tc>
          <w:tcPr>
            <w:tcW w:w="160" w:type="dxa"/>
            <w:vAlign w:val="bottom"/>
          </w:tcPr>
          <w:p>
            <w:pPr>
              <w:spacing w:after="0"/>
              <w:rPr>
                <w:sz w:val="13"/>
                <w:szCs w:val="13"/>
                <w:color w:val="auto"/>
              </w:rPr>
            </w:pPr>
          </w:p>
        </w:tc>
        <w:tc>
          <w:tcPr>
            <w:tcW w:w="1200" w:type="dxa"/>
            <w:vAlign w:val="bottom"/>
          </w:tcPr>
          <w:p>
            <w:pPr>
              <w:jc w:val="right"/>
              <w:ind w:right="254"/>
              <w:spacing w:after="0"/>
              <w:rPr>
                <w:sz w:val="20"/>
                <w:szCs w:val="20"/>
                <w:color w:val="auto"/>
              </w:rPr>
            </w:pPr>
            <w:r>
              <w:rPr>
                <w:rFonts w:ascii="Courier New" w:cs="Courier New" w:eastAsia="Courier New" w:hAnsi="Courier New"/>
                <w:sz w:val="13"/>
                <w:szCs w:val="13"/>
                <w:color w:val="auto"/>
              </w:rPr>
              <w:t>2005</w:t>
            </w:r>
          </w:p>
        </w:tc>
        <w:tc>
          <w:tcPr>
            <w:tcW w:w="130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2004</w:t>
            </w:r>
          </w:p>
        </w:tc>
        <w:tc>
          <w:tcPr>
            <w:tcW w:w="200" w:type="dxa"/>
            <w:vAlign w:val="bottom"/>
          </w:tcPr>
          <w:p>
            <w:pPr>
              <w:spacing w:after="0"/>
              <w:rPr>
                <w:sz w:val="13"/>
                <w:szCs w:val="13"/>
                <w:color w:val="auto"/>
              </w:rPr>
            </w:pPr>
          </w:p>
        </w:tc>
        <w:tc>
          <w:tcPr>
            <w:tcW w:w="1180" w:type="dxa"/>
            <w:vAlign w:val="bottom"/>
          </w:tcPr>
          <w:p>
            <w:pPr>
              <w:jc w:val="right"/>
              <w:ind w:right="334"/>
              <w:spacing w:after="0"/>
              <w:rPr>
                <w:sz w:val="20"/>
                <w:szCs w:val="20"/>
                <w:color w:val="auto"/>
              </w:rPr>
            </w:pPr>
            <w:r>
              <w:rPr>
                <w:rFonts w:ascii="Courier New" w:cs="Courier New" w:eastAsia="Courier New" w:hAnsi="Courier New"/>
                <w:sz w:val="13"/>
                <w:szCs w:val="13"/>
                <w:color w:val="auto"/>
              </w:rPr>
              <w:t>2003</w:t>
            </w:r>
          </w:p>
        </w:tc>
        <w:tc>
          <w:tcPr>
            <w:tcW w:w="200" w:type="dxa"/>
            <w:vAlign w:val="bottom"/>
          </w:tcPr>
          <w:p>
            <w:pPr>
              <w:spacing w:after="0"/>
              <w:rPr>
                <w:sz w:val="13"/>
                <w:szCs w:val="13"/>
                <w:color w:val="auto"/>
              </w:rPr>
            </w:pPr>
          </w:p>
        </w:tc>
        <w:tc>
          <w:tcPr>
            <w:tcW w:w="1060" w:type="dxa"/>
            <w:vAlign w:val="bottom"/>
          </w:tcPr>
          <w:p>
            <w:pPr>
              <w:jc w:val="right"/>
              <w:ind w:right="314"/>
              <w:spacing w:after="0"/>
              <w:rPr>
                <w:sz w:val="20"/>
                <w:szCs w:val="20"/>
                <w:color w:val="auto"/>
              </w:rPr>
            </w:pPr>
            <w:r>
              <w:rPr>
                <w:rFonts w:ascii="Courier New" w:cs="Courier New" w:eastAsia="Courier New" w:hAnsi="Courier New"/>
                <w:sz w:val="13"/>
                <w:szCs w:val="13"/>
                <w:color w:val="auto"/>
              </w:rPr>
              <w:t>2002</w:t>
            </w:r>
          </w:p>
        </w:tc>
        <w:tc>
          <w:tcPr>
            <w:tcW w:w="400" w:type="dxa"/>
            <w:vAlign w:val="bottom"/>
          </w:tcPr>
          <w:p>
            <w:pPr>
              <w:spacing w:after="0"/>
              <w:rPr>
                <w:sz w:val="13"/>
                <w:szCs w:val="13"/>
                <w:color w:val="auto"/>
              </w:rPr>
            </w:pPr>
          </w:p>
        </w:tc>
        <w:tc>
          <w:tcPr>
            <w:tcW w:w="700" w:type="dxa"/>
            <w:vAlign w:val="bottom"/>
          </w:tcPr>
          <w:p>
            <w:pPr>
              <w:jc w:val="right"/>
              <w:ind w:right="154"/>
              <w:spacing w:after="0"/>
              <w:rPr>
                <w:sz w:val="20"/>
                <w:szCs w:val="20"/>
                <w:color w:val="auto"/>
              </w:rPr>
            </w:pPr>
            <w:r>
              <w:rPr>
                <w:rFonts w:ascii="Courier New" w:cs="Courier New" w:eastAsia="Courier New" w:hAnsi="Courier New"/>
                <w:sz w:val="13"/>
                <w:szCs w:val="13"/>
                <w:color w:val="auto"/>
              </w:rPr>
              <w:t>2001</w:t>
            </w:r>
          </w:p>
        </w:tc>
      </w:tr>
      <w:tr>
        <w:trPr>
          <w:trHeight w:val="152"/>
        </w:trPr>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54"/>
              <w:spacing w:after="0"/>
              <w:rPr>
                <w:sz w:val="20"/>
                <w:szCs w:val="20"/>
                <w:color w:val="auto"/>
              </w:rPr>
            </w:pPr>
            <w:r>
              <w:rPr>
                <w:rFonts w:ascii="Courier New" w:cs="Courier New" w:eastAsia="Courier New" w:hAnsi="Courier New"/>
                <w:sz w:val="13"/>
                <w:szCs w:val="13"/>
                <w:color w:val="auto"/>
              </w:rPr>
              <w:t>---------</w:t>
            </w:r>
          </w:p>
        </w:tc>
        <w:tc>
          <w:tcPr>
            <w:tcW w:w="160" w:type="dxa"/>
            <w:vAlign w:val="bottom"/>
          </w:tcPr>
          <w:p>
            <w:pPr>
              <w:spacing w:after="0"/>
              <w:rPr>
                <w:sz w:val="13"/>
                <w:szCs w:val="13"/>
                <w:color w:val="auto"/>
              </w:rPr>
            </w:pP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3"/>
                <w:szCs w:val="13"/>
                <w:color w:val="auto"/>
              </w:rPr>
              <w:t>---------</w:t>
            </w:r>
          </w:p>
        </w:tc>
        <w:tc>
          <w:tcPr>
            <w:tcW w:w="160" w:type="dxa"/>
            <w:vAlign w:val="bottom"/>
          </w:tcPr>
          <w:p>
            <w:pPr>
              <w:spacing w:after="0"/>
              <w:rPr>
                <w:sz w:val="13"/>
                <w:szCs w:val="13"/>
                <w:color w:val="auto"/>
              </w:rPr>
            </w:pPr>
          </w:p>
        </w:tc>
        <w:tc>
          <w:tcPr>
            <w:tcW w:w="1200" w:type="dxa"/>
            <w:vAlign w:val="bottom"/>
          </w:tcPr>
          <w:p>
            <w:pPr>
              <w:jc w:val="right"/>
              <w:ind w:right="94"/>
              <w:spacing w:after="0"/>
              <w:rPr>
                <w:sz w:val="20"/>
                <w:szCs w:val="20"/>
                <w:color w:val="auto"/>
              </w:rPr>
            </w:pPr>
            <w:r>
              <w:rPr>
                <w:rFonts w:ascii="Courier New" w:cs="Courier New" w:eastAsia="Courier New" w:hAnsi="Courier New"/>
                <w:sz w:val="13"/>
                <w:szCs w:val="13"/>
                <w:color w:val="auto"/>
              </w:rPr>
              <w:t>---------</w:t>
            </w:r>
          </w:p>
        </w:tc>
        <w:tc>
          <w:tcPr>
            <w:tcW w:w="1300" w:type="dxa"/>
            <w:vAlign w:val="bottom"/>
          </w:tcPr>
          <w:p>
            <w:pPr>
              <w:jc w:val="right"/>
              <w:ind w:right="54"/>
              <w:spacing w:after="0"/>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3"/>
                <w:szCs w:val="13"/>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3"/>
                <w:szCs w:val="13"/>
                <w:color w:val="auto"/>
              </w:rPr>
            </w:pPr>
          </w:p>
        </w:tc>
        <w:tc>
          <w:tcPr>
            <w:tcW w:w="1060" w:type="dxa"/>
            <w:vAlign w:val="bottom"/>
          </w:tcPr>
          <w:p>
            <w:pPr>
              <w:jc w:val="right"/>
              <w:ind w:right="154"/>
              <w:spacing w:after="0"/>
              <w:rPr>
                <w:sz w:val="20"/>
                <w:szCs w:val="20"/>
                <w:color w:val="auto"/>
              </w:rPr>
            </w:pPr>
            <w:r>
              <w:rPr>
                <w:rFonts w:ascii="Courier New" w:cs="Courier New" w:eastAsia="Courier New" w:hAnsi="Courier New"/>
                <w:sz w:val="13"/>
                <w:szCs w:val="13"/>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r>
      <w:tr>
        <w:trPr>
          <w:trHeight w:val="152"/>
        </w:trPr>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940" w:type="dxa"/>
            <w:vAlign w:val="bottom"/>
            <w:gridSpan w:val="5"/>
          </w:tcPr>
          <w:p>
            <w:pPr>
              <w:jc w:val="right"/>
              <w:ind w:right="394"/>
              <w:spacing w:after="0"/>
              <w:rPr>
                <w:sz w:val="20"/>
                <w:szCs w:val="20"/>
                <w:color w:val="auto"/>
              </w:rPr>
            </w:pPr>
            <w:r>
              <w:rPr>
                <w:rFonts w:ascii="Courier New" w:cs="Courier New" w:eastAsia="Courier New" w:hAnsi="Courier New"/>
                <w:sz w:val="13"/>
                <w:szCs w:val="13"/>
                <w:color w:val="auto"/>
              </w:rPr>
              <w:t>(IN THOUSANDS, EXCEPT SHARE DATA)</w:t>
            </w: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304"/>
        </w:trPr>
        <w:tc>
          <w:tcPr>
            <w:tcW w:w="2500" w:type="dxa"/>
            <w:vAlign w:val="bottom"/>
          </w:tcPr>
          <w:p>
            <w:pPr>
              <w:spacing w:after="0"/>
              <w:rPr>
                <w:sz w:val="20"/>
                <w:szCs w:val="20"/>
                <w:color w:val="auto"/>
              </w:rPr>
            </w:pPr>
            <w:r>
              <w:rPr>
                <w:rFonts w:ascii="Courier New" w:cs="Courier New" w:eastAsia="Courier New" w:hAnsi="Courier New"/>
                <w:sz w:val="13"/>
                <w:szCs w:val="13"/>
                <w:color w:val="auto"/>
              </w:rPr>
              <w:t>SELECTED BALANCE SHEET DATA IN</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52"/>
        </w:trPr>
        <w:tc>
          <w:tcPr>
            <w:tcW w:w="2500" w:type="dxa"/>
            <w:vAlign w:val="bottom"/>
          </w:tcPr>
          <w:p>
            <w:pPr>
              <w:spacing w:after="0"/>
              <w:rPr>
                <w:sz w:val="20"/>
                <w:szCs w:val="20"/>
                <w:color w:val="auto"/>
              </w:rPr>
            </w:pPr>
            <w:r>
              <w:rPr>
                <w:rFonts w:ascii="Courier New" w:cs="Courier New" w:eastAsia="Courier New" w:hAnsi="Courier New"/>
                <w:sz w:val="13"/>
                <w:szCs w:val="13"/>
                <w:color w:val="auto"/>
              </w:rPr>
              <w:t>ACCORDANCE WITH ISRAELI</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2500" w:type="dxa"/>
            <w:vAlign w:val="bottom"/>
          </w:tcPr>
          <w:p>
            <w:pPr>
              <w:spacing w:after="0"/>
              <w:rPr>
                <w:sz w:val="20"/>
                <w:szCs w:val="20"/>
                <w:color w:val="auto"/>
              </w:rPr>
            </w:pPr>
            <w:r>
              <w:rPr>
                <w:rFonts w:ascii="Courier New" w:cs="Courier New" w:eastAsia="Courier New" w:hAnsi="Courier New"/>
                <w:sz w:val="13"/>
                <w:szCs w:val="13"/>
                <w:color w:val="auto"/>
              </w:rPr>
              <w:t>GAAP:</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304"/>
        </w:trPr>
        <w:tc>
          <w:tcPr>
            <w:tcW w:w="2500" w:type="dxa"/>
            <w:vAlign w:val="bottom"/>
          </w:tcPr>
          <w:p>
            <w:pPr>
              <w:spacing w:after="0"/>
              <w:rPr>
                <w:sz w:val="20"/>
                <w:szCs w:val="20"/>
                <w:color w:val="auto"/>
              </w:rPr>
            </w:pPr>
            <w:r>
              <w:rPr>
                <w:rFonts w:ascii="Courier New" w:cs="Courier New" w:eastAsia="Courier New" w:hAnsi="Courier New"/>
                <w:sz w:val="13"/>
                <w:szCs w:val="13"/>
                <w:color w:val="auto"/>
              </w:rPr>
              <w:t>Cash and cash equivalents,</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52"/>
        </w:trPr>
        <w:tc>
          <w:tcPr>
            <w:tcW w:w="2500" w:type="dxa"/>
            <w:vAlign w:val="bottom"/>
          </w:tcPr>
          <w:p>
            <w:pPr>
              <w:ind w:left="240"/>
              <w:spacing w:after="0"/>
              <w:rPr>
                <w:sz w:val="20"/>
                <w:szCs w:val="20"/>
                <w:color w:val="auto"/>
              </w:rPr>
            </w:pPr>
            <w:r>
              <w:rPr>
                <w:rFonts w:ascii="Courier New" w:cs="Courier New" w:eastAsia="Courier New" w:hAnsi="Courier New"/>
                <w:sz w:val="13"/>
                <w:szCs w:val="13"/>
                <w:color w:val="auto"/>
              </w:rPr>
              <w:t>including short-term</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2500" w:type="dxa"/>
            <w:vAlign w:val="bottom"/>
          </w:tcPr>
          <w:p>
            <w:pPr>
              <w:ind w:left="240"/>
              <w:spacing w:after="0"/>
              <w:rPr>
                <w:sz w:val="20"/>
                <w:szCs w:val="20"/>
                <w:color w:val="auto"/>
              </w:rPr>
            </w:pPr>
            <w:r>
              <w:rPr>
                <w:rFonts w:ascii="Courier New" w:cs="Courier New" w:eastAsia="Courier New" w:hAnsi="Courier New"/>
                <w:sz w:val="13"/>
                <w:szCs w:val="13"/>
                <w:color w:val="auto"/>
              </w:rPr>
              <w:t>deposits and designated cash</w:t>
            </w:r>
          </w:p>
        </w:tc>
        <w:tc>
          <w:tcPr>
            <w:tcW w:w="200" w:type="dxa"/>
            <w:vAlign w:val="bottom"/>
          </w:tcPr>
          <w:p>
            <w:pPr>
              <w:spacing w:after="0"/>
              <w:rPr>
                <w:sz w:val="13"/>
                <w:szCs w:val="13"/>
                <w:color w:val="auto"/>
              </w:rPr>
            </w:pPr>
          </w:p>
        </w:tc>
        <w:tc>
          <w:tcPr>
            <w:tcW w:w="540" w:type="dxa"/>
            <w:vAlign w:val="bottom"/>
          </w:tcPr>
          <w:p>
            <w:pPr>
              <w:jc w:val="right"/>
              <w:ind w:right="94"/>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ind w:right="54"/>
              <w:spacing w:after="0"/>
              <w:rPr>
                <w:sz w:val="20"/>
                <w:szCs w:val="20"/>
                <w:color w:val="auto"/>
              </w:rPr>
            </w:pPr>
            <w:r>
              <w:rPr>
                <w:rFonts w:ascii="Courier New" w:cs="Courier New" w:eastAsia="Courier New" w:hAnsi="Courier New"/>
                <w:sz w:val="13"/>
                <w:szCs w:val="13"/>
                <w:color w:val="auto"/>
                <w:w w:val="98"/>
              </w:rPr>
              <w:t>32,696</w:t>
            </w:r>
          </w:p>
        </w:tc>
        <w:tc>
          <w:tcPr>
            <w:tcW w:w="160" w:type="dxa"/>
            <w:vAlign w:val="bottom"/>
          </w:tcPr>
          <w:p>
            <w:pPr>
              <w:spacing w:after="0"/>
              <w:rPr>
                <w:sz w:val="13"/>
                <w:szCs w:val="13"/>
                <w:color w:val="auto"/>
              </w:rPr>
            </w:pPr>
          </w:p>
        </w:tc>
        <w:tc>
          <w:tcPr>
            <w:tcW w:w="600" w:type="dxa"/>
            <w:vAlign w:val="bottom"/>
          </w:tcPr>
          <w:p>
            <w:pPr>
              <w:jc w:val="right"/>
              <w:ind w:right="94"/>
              <w:spacing w:after="0"/>
              <w:rPr>
                <w:sz w:val="20"/>
                <w:szCs w:val="20"/>
                <w:color w:val="auto"/>
              </w:rPr>
            </w:pPr>
            <w:r>
              <w:rPr>
                <w:rFonts w:ascii="Courier New" w:cs="Courier New" w:eastAsia="Courier New" w:hAnsi="Courier New"/>
                <w:sz w:val="13"/>
                <w:szCs w:val="13"/>
                <w:color w:val="auto"/>
              </w:rPr>
              <w:t>$</w:t>
            </w:r>
          </w:p>
        </w:tc>
        <w:tc>
          <w:tcPr>
            <w:tcW w:w="540" w:type="dxa"/>
            <w:vAlign w:val="bottom"/>
          </w:tcPr>
          <w:p>
            <w:pPr>
              <w:jc w:val="right"/>
              <w:ind w:right="14"/>
              <w:spacing w:after="0"/>
              <w:rPr>
                <w:sz w:val="20"/>
                <w:szCs w:val="20"/>
                <w:color w:val="auto"/>
              </w:rPr>
            </w:pPr>
            <w:r>
              <w:rPr>
                <w:rFonts w:ascii="Courier New" w:cs="Courier New" w:eastAsia="Courier New" w:hAnsi="Courier New"/>
                <w:sz w:val="13"/>
                <w:szCs w:val="13"/>
                <w:color w:val="auto"/>
                <w:w w:val="93"/>
              </w:rPr>
              <w:t>52,121</w:t>
            </w:r>
          </w:p>
        </w:tc>
        <w:tc>
          <w:tcPr>
            <w:tcW w:w="160" w:type="dxa"/>
            <w:vAlign w:val="bottom"/>
          </w:tcPr>
          <w:p>
            <w:pPr>
              <w:spacing w:after="0"/>
              <w:rPr>
                <w:sz w:val="13"/>
                <w:szCs w:val="13"/>
                <w:color w:val="auto"/>
              </w:rPr>
            </w:pPr>
          </w:p>
        </w:tc>
        <w:tc>
          <w:tcPr>
            <w:tcW w:w="1200" w:type="dxa"/>
            <w:vAlign w:val="bottom"/>
          </w:tcPr>
          <w:p>
            <w:pPr>
              <w:jc w:val="right"/>
              <w:ind w:right="94"/>
              <w:spacing w:after="0"/>
              <w:rPr>
                <w:sz w:val="20"/>
                <w:szCs w:val="20"/>
                <w:color w:val="auto"/>
              </w:rPr>
            </w:pPr>
            <w:r>
              <w:rPr>
                <w:rFonts w:ascii="Courier New" w:cs="Courier New" w:eastAsia="Courier New" w:hAnsi="Courier New"/>
                <w:sz w:val="13"/>
                <w:szCs w:val="13"/>
                <w:color w:val="auto"/>
              </w:rPr>
              <w:t>$  38,998</w:t>
            </w:r>
          </w:p>
        </w:tc>
        <w:tc>
          <w:tcPr>
            <w:tcW w:w="1300" w:type="dxa"/>
            <w:vAlign w:val="bottom"/>
          </w:tcPr>
          <w:p>
            <w:pPr>
              <w:jc w:val="right"/>
              <w:ind w:right="54"/>
              <w:spacing w:after="0"/>
              <w:rPr>
                <w:sz w:val="20"/>
                <w:szCs w:val="20"/>
                <w:color w:val="auto"/>
              </w:rPr>
            </w:pPr>
            <w:r>
              <w:rPr>
                <w:rFonts w:ascii="Courier New" w:cs="Courier New" w:eastAsia="Courier New" w:hAnsi="Courier New"/>
                <w:sz w:val="13"/>
                <w:szCs w:val="13"/>
                <w:color w:val="auto"/>
              </w:rPr>
              <w:t>$  81,457</w:t>
            </w:r>
          </w:p>
        </w:tc>
        <w:tc>
          <w:tcPr>
            <w:tcW w:w="200" w:type="dxa"/>
            <w:vAlign w:val="bottom"/>
          </w:tcPr>
          <w:p>
            <w:pPr>
              <w:spacing w:after="0"/>
              <w:rPr>
                <w:sz w:val="13"/>
                <w:szCs w:val="13"/>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3"/>
                <w:szCs w:val="13"/>
                <w:color w:val="auto"/>
              </w:rPr>
              <w:t>$  56,490</w:t>
            </w:r>
          </w:p>
        </w:tc>
        <w:tc>
          <w:tcPr>
            <w:tcW w:w="200" w:type="dxa"/>
            <w:vAlign w:val="bottom"/>
          </w:tcPr>
          <w:p>
            <w:pPr>
              <w:spacing w:after="0"/>
              <w:rPr>
                <w:sz w:val="13"/>
                <w:szCs w:val="13"/>
                <w:color w:val="auto"/>
              </w:rPr>
            </w:pPr>
          </w:p>
        </w:tc>
        <w:tc>
          <w:tcPr>
            <w:tcW w:w="1060" w:type="dxa"/>
            <w:vAlign w:val="bottom"/>
          </w:tcPr>
          <w:p>
            <w:pPr>
              <w:jc w:val="right"/>
              <w:ind w:right="154"/>
              <w:spacing w:after="0"/>
              <w:rPr>
                <w:sz w:val="20"/>
                <w:szCs w:val="20"/>
                <w:color w:val="auto"/>
              </w:rPr>
            </w:pPr>
            <w:r>
              <w:rPr>
                <w:rFonts w:ascii="Courier New" w:cs="Courier New" w:eastAsia="Courier New" w:hAnsi="Courier New"/>
                <w:sz w:val="13"/>
                <w:szCs w:val="13"/>
                <w:color w:val="auto"/>
              </w:rPr>
              <w:t>$  69,695</w:t>
            </w: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33,202</w:t>
            </w:r>
          </w:p>
        </w:tc>
      </w:tr>
      <w:tr>
        <w:trPr>
          <w:trHeight w:val="152"/>
        </w:trPr>
        <w:tc>
          <w:tcPr>
            <w:tcW w:w="2500" w:type="dxa"/>
            <w:vAlign w:val="bottom"/>
          </w:tcPr>
          <w:p>
            <w:pPr>
              <w:spacing w:after="0"/>
              <w:rPr>
                <w:sz w:val="20"/>
                <w:szCs w:val="20"/>
                <w:color w:val="auto"/>
              </w:rPr>
            </w:pPr>
            <w:r>
              <w:rPr>
                <w:rFonts w:ascii="Courier New" w:cs="Courier New" w:eastAsia="Courier New" w:hAnsi="Courier New"/>
                <w:sz w:val="13"/>
                <w:szCs w:val="13"/>
                <w:color w:val="auto"/>
              </w:rPr>
              <w:t>Working capital</w:t>
            </w:r>
          </w:p>
        </w:tc>
        <w:tc>
          <w:tcPr>
            <w:tcW w:w="200" w:type="dxa"/>
            <w:vAlign w:val="bottom"/>
          </w:tcPr>
          <w:p>
            <w:pPr>
              <w:spacing w:after="0"/>
              <w:rPr>
                <w:sz w:val="13"/>
                <w:szCs w:val="13"/>
                <w:color w:val="auto"/>
              </w:rPr>
            </w:pPr>
          </w:p>
        </w:tc>
        <w:tc>
          <w:tcPr>
            <w:tcW w:w="540" w:type="dxa"/>
            <w:vAlign w:val="bottom"/>
          </w:tcPr>
          <w:p>
            <w:pPr>
              <w:jc w:val="right"/>
              <w:ind w:right="94"/>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ind w:right="54"/>
              <w:spacing w:after="0"/>
              <w:rPr>
                <w:sz w:val="20"/>
                <w:szCs w:val="20"/>
                <w:color w:val="auto"/>
              </w:rPr>
            </w:pPr>
            <w:r>
              <w:rPr>
                <w:rFonts w:ascii="Courier New" w:cs="Courier New" w:eastAsia="Courier New" w:hAnsi="Courier New"/>
                <w:sz w:val="13"/>
                <w:szCs w:val="13"/>
                <w:color w:val="auto"/>
                <w:w w:val="98"/>
              </w:rPr>
              <w:t>23,874</w:t>
            </w:r>
          </w:p>
        </w:tc>
        <w:tc>
          <w:tcPr>
            <w:tcW w:w="160" w:type="dxa"/>
            <w:vAlign w:val="bottom"/>
          </w:tcPr>
          <w:p>
            <w:pPr>
              <w:spacing w:after="0"/>
              <w:rPr>
                <w:sz w:val="13"/>
                <w:szCs w:val="13"/>
                <w:color w:val="auto"/>
              </w:rPr>
            </w:pPr>
          </w:p>
        </w:tc>
        <w:tc>
          <w:tcPr>
            <w:tcW w:w="600" w:type="dxa"/>
            <w:vAlign w:val="bottom"/>
          </w:tcPr>
          <w:p>
            <w:pPr>
              <w:jc w:val="right"/>
              <w:ind w:right="94"/>
              <w:spacing w:after="0"/>
              <w:rPr>
                <w:sz w:val="20"/>
                <w:szCs w:val="20"/>
                <w:color w:val="auto"/>
              </w:rPr>
            </w:pPr>
            <w:r>
              <w:rPr>
                <w:rFonts w:ascii="Courier New" w:cs="Courier New" w:eastAsia="Courier New" w:hAnsi="Courier New"/>
                <w:sz w:val="13"/>
                <w:szCs w:val="13"/>
                <w:color w:val="auto"/>
              </w:rPr>
              <w:t>$</w:t>
            </w:r>
          </w:p>
        </w:tc>
        <w:tc>
          <w:tcPr>
            <w:tcW w:w="540" w:type="dxa"/>
            <w:vAlign w:val="bottom"/>
          </w:tcPr>
          <w:p>
            <w:pPr>
              <w:jc w:val="right"/>
              <w:ind w:right="14"/>
              <w:spacing w:after="0"/>
              <w:rPr>
                <w:sz w:val="20"/>
                <w:szCs w:val="20"/>
                <w:color w:val="auto"/>
              </w:rPr>
            </w:pPr>
            <w:r>
              <w:rPr>
                <w:rFonts w:ascii="Courier New" w:cs="Courier New" w:eastAsia="Courier New" w:hAnsi="Courier New"/>
                <w:sz w:val="13"/>
                <w:szCs w:val="13"/>
                <w:color w:val="auto"/>
                <w:w w:val="93"/>
              </w:rPr>
              <w:t>26,728</w:t>
            </w:r>
          </w:p>
        </w:tc>
        <w:tc>
          <w:tcPr>
            <w:tcW w:w="160" w:type="dxa"/>
            <w:vAlign w:val="bottom"/>
          </w:tcPr>
          <w:p>
            <w:pPr>
              <w:spacing w:after="0"/>
              <w:rPr>
                <w:sz w:val="13"/>
                <w:szCs w:val="13"/>
                <w:color w:val="auto"/>
              </w:rPr>
            </w:pPr>
          </w:p>
        </w:tc>
        <w:tc>
          <w:tcPr>
            <w:tcW w:w="12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(6,028)</w:t>
            </w:r>
          </w:p>
        </w:tc>
        <w:tc>
          <w:tcPr>
            <w:tcW w:w="1300" w:type="dxa"/>
            <w:vAlign w:val="bottom"/>
          </w:tcPr>
          <w:p>
            <w:pPr>
              <w:jc w:val="right"/>
              <w:ind w:right="54"/>
              <w:spacing w:after="0"/>
              <w:rPr>
                <w:sz w:val="20"/>
                <w:szCs w:val="20"/>
                <w:color w:val="auto"/>
              </w:rPr>
            </w:pPr>
            <w:r>
              <w:rPr>
                <w:rFonts w:ascii="Courier New" w:cs="Courier New" w:eastAsia="Courier New" w:hAnsi="Courier New"/>
                <w:sz w:val="13"/>
                <w:szCs w:val="13"/>
                <w:color w:val="auto"/>
              </w:rPr>
              <w:t>63,591</w:t>
            </w:r>
          </w:p>
        </w:tc>
        <w:tc>
          <w:tcPr>
            <w:tcW w:w="200" w:type="dxa"/>
            <w:vAlign w:val="bottom"/>
          </w:tcPr>
          <w:p>
            <w:pPr>
              <w:spacing w:after="0"/>
              <w:rPr>
                <w:sz w:val="13"/>
                <w:szCs w:val="13"/>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3"/>
                <w:szCs w:val="13"/>
                <w:color w:val="auto"/>
              </w:rPr>
              <w:t>50,492</w:t>
            </w:r>
          </w:p>
        </w:tc>
        <w:tc>
          <w:tcPr>
            <w:tcW w:w="200" w:type="dxa"/>
            <w:vAlign w:val="bottom"/>
          </w:tcPr>
          <w:p>
            <w:pPr>
              <w:spacing w:after="0"/>
              <w:rPr>
                <w:sz w:val="13"/>
                <w:szCs w:val="13"/>
                <w:color w:val="auto"/>
              </w:rPr>
            </w:pPr>
          </w:p>
        </w:tc>
        <w:tc>
          <w:tcPr>
            <w:tcW w:w="1060" w:type="dxa"/>
            <w:vAlign w:val="bottom"/>
          </w:tcPr>
          <w:p>
            <w:pPr>
              <w:jc w:val="right"/>
              <w:ind w:right="154"/>
              <w:spacing w:after="0"/>
              <w:rPr>
                <w:sz w:val="20"/>
                <w:szCs w:val="20"/>
                <w:color w:val="auto"/>
              </w:rPr>
            </w:pPr>
            <w:r>
              <w:rPr>
                <w:rFonts w:ascii="Courier New" w:cs="Courier New" w:eastAsia="Courier New" w:hAnsi="Courier New"/>
                <w:sz w:val="13"/>
                <w:szCs w:val="13"/>
                <w:color w:val="auto"/>
              </w:rPr>
              <w:t>21,927</w:t>
            </w: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(16,335)</w:t>
            </w:r>
          </w:p>
        </w:tc>
      </w:tr>
      <w:tr>
        <w:trPr>
          <w:trHeight w:val="152"/>
        </w:trPr>
        <w:tc>
          <w:tcPr>
            <w:tcW w:w="2500" w:type="dxa"/>
            <w:vAlign w:val="bottom"/>
          </w:tcPr>
          <w:p>
            <w:pPr>
              <w:spacing w:after="0"/>
              <w:rPr>
                <w:sz w:val="20"/>
                <w:szCs w:val="20"/>
                <w:color w:val="auto"/>
              </w:rPr>
            </w:pPr>
            <w:r>
              <w:rPr>
                <w:rFonts w:ascii="Courier New" w:cs="Courier New" w:eastAsia="Courier New" w:hAnsi="Courier New"/>
                <w:sz w:val="13"/>
                <w:szCs w:val="13"/>
                <w:color w:val="auto"/>
              </w:rPr>
              <w:t>Total assets</w:t>
            </w:r>
          </w:p>
        </w:tc>
        <w:tc>
          <w:tcPr>
            <w:tcW w:w="200" w:type="dxa"/>
            <w:vAlign w:val="bottom"/>
          </w:tcPr>
          <w:p>
            <w:pPr>
              <w:spacing w:after="0"/>
              <w:rPr>
                <w:sz w:val="13"/>
                <w:szCs w:val="13"/>
                <w:color w:val="auto"/>
              </w:rPr>
            </w:pPr>
          </w:p>
        </w:tc>
        <w:tc>
          <w:tcPr>
            <w:tcW w:w="1140" w:type="dxa"/>
            <w:vAlign w:val="bottom"/>
            <w:gridSpan w:val="2"/>
          </w:tcPr>
          <w:p>
            <w:pPr>
              <w:jc w:val="right"/>
              <w:ind w:right="54"/>
              <w:spacing w:after="0"/>
              <w:rPr>
                <w:sz w:val="20"/>
                <w:szCs w:val="20"/>
                <w:color w:val="auto"/>
              </w:rPr>
            </w:pPr>
            <w:r>
              <w:rPr>
                <w:rFonts w:ascii="Courier New" w:cs="Courier New" w:eastAsia="Courier New" w:hAnsi="Courier New"/>
                <w:sz w:val="13"/>
                <w:szCs w:val="13"/>
                <w:color w:val="auto"/>
              </w:rPr>
              <w:t>636,039</w:t>
            </w:r>
          </w:p>
        </w:tc>
        <w:tc>
          <w:tcPr>
            <w:tcW w:w="160" w:type="dxa"/>
            <w:vAlign w:val="bottom"/>
          </w:tcPr>
          <w:p>
            <w:pPr>
              <w:spacing w:after="0"/>
              <w:rPr>
                <w:sz w:val="13"/>
                <w:szCs w:val="13"/>
                <w:color w:val="auto"/>
              </w:rPr>
            </w:pP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3"/>
                <w:szCs w:val="13"/>
                <w:color w:val="auto"/>
              </w:rPr>
              <w:t>781,433</w:t>
            </w:r>
          </w:p>
        </w:tc>
        <w:tc>
          <w:tcPr>
            <w:tcW w:w="160" w:type="dxa"/>
            <w:vAlign w:val="bottom"/>
          </w:tcPr>
          <w:p>
            <w:pPr>
              <w:spacing w:after="0"/>
              <w:rPr>
                <w:sz w:val="13"/>
                <w:szCs w:val="13"/>
                <w:color w:val="auto"/>
              </w:rPr>
            </w:pPr>
          </w:p>
        </w:tc>
        <w:tc>
          <w:tcPr>
            <w:tcW w:w="1200" w:type="dxa"/>
            <w:vAlign w:val="bottom"/>
          </w:tcPr>
          <w:p>
            <w:pPr>
              <w:jc w:val="right"/>
              <w:ind w:right="94"/>
              <w:spacing w:after="0"/>
              <w:rPr>
                <w:sz w:val="20"/>
                <w:szCs w:val="20"/>
                <w:color w:val="auto"/>
              </w:rPr>
            </w:pPr>
            <w:r>
              <w:rPr>
                <w:rFonts w:ascii="Courier New" w:cs="Courier New" w:eastAsia="Courier New" w:hAnsi="Courier New"/>
                <w:sz w:val="13"/>
                <w:szCs w:val="13"/>
                <w:color w:val="auto"/>
              </w:rPr>
              <w:t>678,686</w:t>
            </w:r>
          </w:p>
        </w:tc>
        <w:tc>
          <w:tcPr>
            <w:tcW w:w="1300" w:type="dxa"/>
            <w:vAlign w:val="bottom"/>
          </w:tcPr>
          <w:p>
            <w:pPr>
              <w:jc w:val="right"/>
              <w:ind w:right="54"/>
              <w:spacing w:after="0"/>
              <w:rPr>
                <w:sz w:val="20"/>
                <w:szCs w:val="20"/>
                <w:color w:val="auto"/>
              </w:rPr>
            </w:pPr>
            <w:r>
              <w:rPr>
                <w:rFonts w:ascii="Courier New" w:cs="Courier New" w:eastAsia="Courier New" w:hAnsi="Courier New"/>
                <w:sz w:val="13"/>
                <w:szCs w:val="13"/>
                <w:color w:val="auto"/>
              </w:rPr>
              <w:t>847,508</w:t>
            </w:r>
          </w:p>
        </w:tc>
        <w:tc>
          <w:tcPr>
            <w:tcW w:w="200" w:type="dxa"/>
            <w:vAlign w:val="bottom"/>
          </w:tcPr>
          <w:p>
            <w:pPr>
              <w:spacing w:after="0"/>
              <w:rPr>
                <w:sz w:val="13"/>
                <w:szCs w:val="13"/>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3"/>
                <w:szCs w:val="13"/>
                <w:color w:val="auto"/>
              </w:rPr>
              <w:t>788,335</w:t>
            </w:r>
          </w:p>
        </w:tc>
        <w:tc>
          <w:tcPr>
            <w:tcW w:w="200" w:type="dxa"/>
            <w:vAlign w:val="bottom"/>
          </w:tcPr>
          <w:p>
            <w:pPr>
              <w:spacing w:after="0"/>
              <w:rPr>
                <w:sz w:val="13"/>
                <w:szCs w:val="13"/>
                <w:color w:val="auto"/>
              </w:rPr>
            </w:pPr>
          </w:p>
        </w:tc>
        <w:tc>
          <w:tcPr>
            <w:tcW w:w="1060" w:type="dxa"/>
            <w:vAlign w:val="bottom"/>
          </w:tcPr>
          <w:p>
            <w:pPr>
              <w:jc w:val="right"/>
              <w:ind w:right="154"/>
              <w:spacing w:after="0"/>
              <w:rPr>
                <w:sz w:val="20"/>
                <w:szCs w:val="20"/>
                <w:color w:val="auto"/>
              </w:rPr>
            </w:pPr>
            <w:r>
              <w:rPr>
                <w:rFonts w:ascii="Courier New" w:cs="Courier New" w:eastAsia="Courier New" w:hAnsi="Courier New"/>
                <w:sz w:val="13"/>
                <w:szCs w:val="13"/>
                <w:color w:val="auto"/>
              </w:rPr>
              <w:t>716,261</w:t>
            </w: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472,054</w:t>
            </w:r>
          </w:p>
        </w:tc>
      </w:tr>
      <w:tr>
        <w:trPr>
          <w:trHeight w:val="152"/>
        </w:trPr>
        <w:tc>
          <w:tcPr>
            <w:tcW w:w="2500" w:type="dxa"/>
            <w:vAlign w:val="bottom"/>
          </w:tcPr>
          <w:p>
            <w:pPr>
              <w:spacing w:after="0"/>
              <w:rPr>
                <w:sz w:val="20"/>
                <w:szCs w:val="20"/>
                <w:color w:val="auto"/>
              </w:rPr>
            </w:pPr>
            <w:r>
              <w:rPr>
                <w:rFonts w:ascii="Courier New" w:cs="Courier New" w:eastAsia="Courier New" w:hAnsi="Courier New"/>
                <w:sz w:val="13"/>
                <w:szCs w:val="13"/>
                <w:color w:val="auto"/>
              </w:rPr>
              <w:t>Current maturities of</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2500" w:type="dxa"/>
            <w:vAlign w:val="bottom"/>
          </w:tcPr>
          <w:p>
            <w:pPr>
              <w:ind w:left="240"/>
              <w:spacing w:after="0"/>
              <w:rPr>
                <w:sz w:val="20"/>
                <w:szCs w:val="20"/>
                <w:color w:val="auto"/>
              </w:rPr>
            </w:pPr>
            <w:r>
              <w:rPr>
                <w:rFonts w:ascii="Courier New" w:cs="Courier New" w:eastAsia="Courier New" w:hAnsi="Courier New"/>
                <w:sz w:val="13"/>
                <w:szCs w:val="13"/>
                <w:color w:val="auto"/>
              </w:rPr>
              <w:t>long-term debt and other</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2500" w:type="dxa"/>
            <w:vAlign w:val="bottom"/>
          </w:tcPr>
          <w:p>
            <w:pPr>
              <w:ind w:left="240"/>
              <w:spacing w:after="0"/>
              <w:rPr>
                <w:sz w:val="20"/>
                <w:szCs w:val="20"/>
                <w:color w:val="auto"/>
              </w:rPr>
            </w:pPr>
            <w:r>
              <w:rPr>
                <w:rFonts w:ascii="Courier New" w:cs="Courier New" w:eastAsia="Courier New" w:hAnsi="Courier New"/>
                <w:sz w:val="13"/>
                <w:szCs w:val="13"/>
                <w:color w:val="auto"/>
              </w:rPr>
              <w:t>short-term debt</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jc w:val="right"/>
              <w:ind w:right="54"/>
              <w:spacing w:after="0"/>
              <w:rPr>
                <w:sz w:val="20"/>
                <w:szCs w:val="20"/>
                <w:color w:val="auto"/>
              </w:rPr>
            </w:pPr>
            <w:r>
              <w:rPr>
                <w:rFonts w:ascii="Courier New" w:cs="Courier New" w:eastAsia="Courier New" w:hAnsi="Courier New"/>
                <w:sz w:val="13"/>
                <w:szCs w:val="13"/>
                <w:color w:val="auto"/>
              </w:rPr>
              <w:t>--</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jc w:val="right"/>
              <w:ind w:right="14"/>
              <w:spacing w:after="0"/>
              <w:rPr>
                <w:sz w:val="20"/>
                <w:szCs w:val="20"/>
                <w:color w:val="auto"/>
              </w:rPr>
            </w:pPr>
            <w:r>
              <w:rPr>
                <w:rFonts w:ascii="Courier New" w:cs="Courier New" w:eastAsia="Courier New" w:hAnsi="Courier New"/>
                <w:sz w:val="13"/>
                <w:szCs w:val="13"/>
                <w:color w:val="auto"/>
              </w:rPr>
              <w:t>--</w:t>
            </w:r>
          </w:p>
        </w:tc>
        <w:tc>
          <w:tcPr>
            <w:tcW w:w="160" w:type="dxa"/>
            <w:vAlign w:val="bottom"/>
          </w:tcPr>
          <w:p>
            <w:pPr>
              <w:spacing w:after="0"/>
              <w:rPr>
                <w:sz w:val="13"/>
                <w:szCs w:val="13"/>
                <w:color w:val="auto"/>
              </w:rPr>
            </w:pPr>
          </w:p>
        </w:tc>
        <w:tc>
          <w:tcPr>
            <w:tcW w:w="1200" w:type="dxa"/>
            <w:vAlign w:val="bottom"/>
          </w:tcPr>
          <w:p>
            <w:pPr>
              <w:jc w:val="right"/>
              <w:ind w:right="94"/>
              <w:spacing w:after="0"/>
              <w:rPr>
                <w:sz w:val="20"/>
                <w:szCs w:val="20"/>
                <w:color w:val="auto"/>
              </w:rPr>
            </w:pPr>
            <w:r>
              <w:rPr>
                <w:rFonts w:ascii="Courier New" w:cs="Courier New" w:eastAsia="Courier New" w:hAnsi="Courier New"/>
                <w:sz w:val="13"/>
                <w:szCs w:val="13"/>
                <w:color w:val="auto"/>
              </w:rPr>
              <w:t>21,103</w:t>
            </w:r>
          </w:p>
        </w:tc>
        <w:tc>
          <w:tcPr>
            <w:tcW w:w="1300" w:type="dxa"/>
            <w:vAlign w:val="bottom"/>
          </w:tcPr>
          <w:p>
            <w:pPr>
              <w:jc w:val="right"/>
              <w:ind w:right="54"/>
              <w:spacing w:after="0"/>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3"/>
                <w:szCs w:val="13"/>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3"/>
                <w:szCs w:val="13"/>
                <w:color w:val="auto"/>
              </w:rPr>
            </w:pPr>
          </w:p>
        </w:tc>
        <w:tc>
          <w:tcPr>
            <w:tcW w:w="1060" w:type="dxa"/>
            <w:vAlign w:val="bottom"/>
          </w:tcPr>
          <w:p>
            <w:pPr>
              <w:jc w:val="right"/>
              <w:ind w:right="154"/>
              <w:spacing w:after="0"/>
              <w:rPr>
                <w:sz w:val="20"/>
                <w:szCs w:val="20"/>
                <w:color w:val="auto"/>
              </w:rPr>
            </w:pPr>
            <w:r>
              <w:rPr>
                <w:rFonts w:ascii="Courier New" w:cs="Courier New" w:eastAsia="Courier New" w:hAnsi="Courier New"/>
                <w:sz w:val="13"/>
                <w:szCs w:val="13"/>
                <w:color w:val="auto"/>
              </w:rPr>
              <w:t>4,000</w:t>
            </w: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14,000</w:t>
            </w:r>
          </w:p>
        </w:tc>
      </w:tr>
      <w:tr>
        <w:trPr>
          <w:trHeight w:val="152"/>
        </w:trPr>
        <w:tc>
          <w:tcPr>
            <w:tcW w:w="2500" w:type="dxa"/>
            <w:vAlign w:val="bottom"/>
          </w:tcPr>
          <w:p>
            <w:pPr>
              <w:spacing w:after="0"/>
              <w:rPr>
                <w:sz w:val="20"/>
                <w:szCs w:val="20"/>
                <w:color w:val="auto"/>
              </w:rPr>
            </w:pPr>
            <w:r>
              <w:rPr>
                <w:rFonts w:ascii="Courier New" w:cs="Courier New" w:eastAsia="Courier New" w:hAnsi="Courier New"/>
                <w:sz w:val="13"/>
                <w:szCs w:val="13"/>
                <w:color w:val="auto"/>
              </w:rPr>
              <w:t>Current maturities of</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2500" w:type="dxa"/>
            <w:vAlign w:val="bottom"/>
          </w:tcPr>
          <w:p>
            <w:pPr>
              <w:ind w:left="240"/>
              <w:spacing w:after="0"/>
              <w:rPr>
                <w:sz w:val="20"/>
                <w:szCs w:val="20"/>
                <w:color w:val="auto"/>
              </w:rPr>
            </w:pPr>
            <w:r>
              <w:rPr>
                <w:rFonts w:ascii="Courier New" w:cs="Courier New" w:eastAsia="Courier New" w:hAnsi="Courier New"/>
                <w:sz w:val="13"/>
                <w:szCs w:val="13"/>
                <w:color w:val="auto"/>
              </w:rPr>
              <w:t>convertible debentures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jc w:val="right"/>
              <w:ind w:right="54"/>
              <w:spacing w:after="0"/>
              <w:rPr>
                <w:sz w:val="20"/>
                <w:szCs w:val="20"/>
                <w:color w:val="auto"/>
              </w:rPr>
            </w:pPr>
            <w:r>
              <w:rPr>
                <w:rFonts w:ascii="Courier New" w:cs="Courier New" w:eastAsia="Courier New" w:hAnsi="Courier New"/>
                <w:sz w:val="13"/>
                <w:szCs w:val="13"/>
                <w:color w:val="auto"/>
              </w:rPr>
              <w:t>5,734</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jc w:val="right"/>
              <w:ind w:right="14"/>
              <w:spacing w:after="0"/>
              <w:rPr>
                <w:sz w:val="20"/>
                <w:szCs w:val="20"/>
                <w:color w:val="auto"/>
              </w:rPr>
            </w:pPr>
            <w:r>
              <w:rPr>
                <w:rFonts w:ascii="Courier New" w:cs="Courier New" w:eastAsia="Courier New" w:hAnsi="Courier New"/>
                <w:sz w:val="13"/>
                <w:szCs w:val="13"/>
                <w:color w:val="auto"/>
              </w:rPr>
              <w:t>6,575</w:t>
            </w:r>
          </w:p>
        </w:tc>
        <w:tc>
          <w:tcPr>
            <w:tcW w:w="160" w:type="dxa"/>
            <w:vAlign w:val="bottom"/>
          </w:tcPr>
          <w:p>
            <w:pPr>
              <w:spacing w:after="0"/>
              <w:rPr>
                <w:sz w:val="13"/>
                <w:szCs w:val="13"/>
                <w:color w:val="auto"/>
              </w:rPr>
            </w:pPr>
          </w:p>
        </w:tc>
        <w:tc>
          <w:tcPr>
            <w:tcW w:w="1200" w:type="dxa"/>
            <w:vAlign w:val="bottom"/>
          </w:tcPr>
          <w:p>
            <w:pPr>
              <w:jc w:val="right"/>
              <w:ind w:right="94"/>
              <w:spacing w:after="0"/>
              <w:rPr>
                <w:sz w:val="20"/>
                <w:szCs w:val="20"/>
                <w:color w:val="auto"/>
              </w:rPr>
            </w:pPr>
            <w:r>
              <w:rPr>
                <w:rFonts w:ascii="Courier New" w:cs="Courier New" w:eastAsia="Courier New" w:hAnsi="Courier New"/>
                <w:sz w:val="13"/>
                <w:szCs w:val="13"/>
                <w:color w:val="auto"/>
              </w:rPr>
              <w:t>6,453</w:t>
            </w:r>
          </w:p>
        </w:tc>
        <w:tc>
          <w:tcPr>
            <w:tcW w:w="1300" w:type="dxa"/>
            <w:vAlign w:val="bottom"/>
          </w:tcPr>
          <w:p>
            <w:pPr>
              <w:jc w:val="right"/>
              <w:ind w:right="54"/>
              <w:spacing w:after="0"/>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3"/>
                <w:szCs w:val="13"/>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3"/>
                <w:szCs w:val="13"/>
                <w:color w:val="auto"/>
              </w:rPr>
              <w:t>--</w:t>
            </w:r>
          </w:p>
        </w:tc>
        <w:tc>
          <w:tcPr>
            <w:tcW w:w="200" w:type="dxa"/>
            <w:vAlign w:val="bottom"/>
          </w:tcPr>
          <w:p>
            <w:pPr>
              <w:spacing w:after="0"/>
              <w:rPr>
                <w:sz w:val="13"/>
                <w:szCs w:val="13"/>
                <w:color w:val="auto"/>
              </w:rPr>
            </w:pPr>
          </w:p>
        </w:tc>
        <w:tc>
          <w:tcPr>
            <w:tcW w:w="1060" w:type="dxa"/>
            <w:vAlign w:val="bottom"/>
          </w:tcPr>
          <w:p>
            <w:pPr>
              <w:jc w:val="right"/>
              <w:ind w:right="154"/>
              <w:spacing w:after="0"/>
              <w:rPr>
                <w:sz w:val="20"/>
                <w:szCs w:val="20"/>
                <w:color w:val="auto"/>
              </w:rPr>
            </w:pPr>
            <w:r>
              <w:rPr>
                <w:rFonts w:ascii="Courier New" w:cs="Courier New" w:eastAsia="Courier New" w:hAnsi="Courier New"/>
                <w:sz w:val="13"/>
                <w:szCs w:val="13"/>
                <w:color w:val="auto"/>
              </w:rPr>
              <w:t>--</w:t>
            </w: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2"/>
        </w:trPr>
        <w:tc>
          <w:tcPr>
            <w:tcW w:w="2500" w:type="dxa"/>
            <w:vAlign w:val="bottom"/>
          </w:tcPr>
          <w:p>
            <w:pPr>
              <w:spacing w:after="0"/>
              <w:rPr>
                <w:sz w:val="20"/>
                <w:szCs w:val="20"/>
                <w:color w:val="auto"/>
              </w:rPr>
            </w:pPr>
            <w:r>
              <w:rPr>
                <w:rFonts w:ascii="Courier New" w:cs="Courier New" w:eastAsia="Courier New" w:hAnsi="Courier New"/>
                <w:sz w:val="13"/>
                <w:szCs w:val="13"/>
                <w:color w:val="auto"/>
              </w:rPr>
              <w:t>Long-term debt from banks</w:t>
            </w:r>
          </w:p>
        </w:tc>
        <w:tc>
          <w:tcPr>
            <w:tcW w:w="200" w:type="dxa"/>
            <w:vAlign w:val="bottom"/>
          </w:tcPr>
          <w:p>
            <w:pPr>
              <w:spacing w:after="0"/>
              <w:rPr>
                <w:sz w:val="13"/>
                <w:szCs w:val="13"/>
                <w:color w:val="auto"/>
              </w:rPr>
            </w:pPr>
          </w:p>
        </w:tc>
        <w:tc>
          <w:tcPr>
            <w:tcW w:w="1140" w:type="dxa"/>
            <w:vAlign w:val="bottom"/>
            <w:gridSpan w:val="2"/>
          </w:tcPr>
          <w:p>
            <w:pPr>
              <w:jc w:val="right"/>
              <w:ind w:right="54"/>
              <w:spacing w:after="0"/>
              <w:rPr>
                <w:sz w:val="20"/>
                <w:szCs w:val="20"/>
                <w:color w:val="auto"/>
              </w:rPr>
            </w:pPr>
            <w:r>
              <w:rPr>
                <w:rFonts w:ascii="Courier New" w:cs="Courier New" w:eastAsia="Courier New" w:hAnsi="Courier New"/>
                <w:sz w:val="13"/>
                <w:szCs w:val="13"/>
                <w:color w:val="auto"/>
              </w:rPr>
              <w:t>514,966</w:t>
            </w:r>
          </w:p>
        </w:tc>
        <w:tc>
          <w:tcPr>
            <w:tcW w:w="160" w:type="dxa"/>
            <w:vAlign w:val="bottom"/>
          </w:tcPr>
          <w:p>
            <w:pPr>
              <w:spacing w:after="0"/>
              <w:rPr>
                <w:sz w:val="13"/>
                <w:szCs w:val="13"/>
                <w:color w:val="auto"/>
              </w:rPr>
            </w:pP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3"/>
                <w:szCs w:val="13"/>
                <w:color w:val="auto"/>
              </w:rPr>
              <w:t>497,000</w:t>
            </w:r>
          </w:p>
        </w:tc>
        <w:tc>
          <w:tcPr>
            <w:tcW w:w="160" w:type="dxa"/>
            <w:vAlign w:val="bottom"/>
          </w:tcPr>
          <w:p>
            <w:pPr>
              <w:spacing w:after="0"/>
              <w:rPr>
                <w:sz w:val="13"/>
                <w:szCs w:val="13"/>
                <w:color w:val="auto"/>
              </w:rPr>
            </w:pPr>
          </w:p>
        </w:tc>
        <w:tc>
          <w:tcPr>
            <w:tcW w:w="1200" w:type="dxa"/>
            <w:vAlign w:val="bottom"/>
          </w:tcPr>
          <w:p>
            <w:pPr>
              <w:jc w:val="right"/>
              <w:ind w:right="94"/>
              <w:spacing w:after="0"/>
              <w:rPr>
                <w:sz w:val="20"/>
                <w:szCs w:val="20"/>
                <w:color w:val="auto"/>
              </w:rPr>
            </w:pPr>
            <w:r>
              <w:rPr>
                <w:rFonts w:ascii="Courier New" w:cs="Courier New" w:eastAsia="Courier New" w:hAnsi="Courier New"/>
                <w:sz w:val="13"/>
                <w:szCs w:val="13"/>
                <w:color w:val="auto"/>
              </w:rPr>
              <w:t>497,000</w:t>
            </w:r>
          </w:p>
        </w:tc>
        <w:tc>
          <w:tcPr>
            <w:tcW w:w="1300" w:type="dxa"/>
            <w:vAlign w:val="bottom"/>
          </w:tcPr>
          <w:p>
            <w:pPr>
              <w:jc w:val="right"/>
              <w:ind w:right="54"/>
              <w:spacing w:after="0"/>
              <w:rPr>
                <w:sz w:val="20"/>
                <w:szCs w:val="20"/>
                <w:color w:val="auto"/>
              </w:rPr>
            </w:pPr>
            <w:r>
              <w:rPr>
                <w:rFonts w:ascii="Courier New" w:cs="Courier New" w:eastAsia="Courier New" w:hAnsi="Courier New"/>
                <w:sz w:val="13"/>
                <w:szCs w:val="13"/>
                <w:color w:val="auto"/>
              </w:rPr>
              <w:t>497,000</w:t>
            </w:r>
          </w:p>
        </w:tc>
        <w:tc>
          <w:tcPr>
            <w:tcW w:w="200" w:type="dxa"/>
            <w:vAlign w:val="bottom"/>
          </w:tcPr>
          <w:p>
            <w:pPr>
              <w:spacing w:after="0"/>
              <w:rPr>
                <w:sz w:val="13"/>
                <w:szCs w:val="13"/>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3"/>
                <w:szCs w:val="13"/>
                <w:color w:val="auto"/>
              </w:rPr>
              <w:t>431,000</w:t>
            </w:r>
          </w:p>
        </w:tc>
        <w:tc>
          <w:tcPr>
            <w:tcW w:w="200" w:type="dxa"/>
            <w:vAlign w:val="bottom"/>
          </w:tcPr>
          <w:p>
            <w:pPr>
              <w:spacing w:after="0"/>
              <w:rPr>
                <w:sz w:val="13"/>
                <w:szCs w:val="13"/>
                <w:color w:val="auto"/>
              </w:rPr>
            </w:pPr>
          </w:p>
        </w:tc>
        <w:tc>
          <w:tcPr>
            <w:tcW w:w="1060" w:type="dxa"/>
            <w:vAlign w:val="bottom"/>
          </w:tcPr>
          <w:p>
            <w:pPr>
              <w:jc w:val="right"/>
              <w:ind w:right="154"/>
              <w:spacing w:after="0"/>
              <w:rPr>
                <w:sz w:val="20"/>
                <w:szCs w:val="20"/>
                <w:color w:val="auto"/>
              </w:rPr>
            </w:pPr>
            <w:r>
              <w:rPr>
                <w:rFonts w:ascii="Courier New" w:cs="Courier New" w:eastAsia="Courier New" w:hAnsi="Courier New"/>
                <w:sz w:val="13"/>
                <w:szCs w:val="13"/>
                <w:color w:val="auto"/>
              </w:rPr>
              <w:t>253,000</w:t>
            </w: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115,000</w:t>
            </w:r>
          </w:p>
        </w:tc>
      </w:tr>
      <w:tr>
        <w:trPr>
          <w:trHeight w:val="152"/>
        </w:trPr>
        <w:tc>
          <w:tcPr>
            <w:tcW w:w="2500" w:type="dxa"/>
            <w:vAlign w:val="bottom"/>
          </w:tcPr>
          <w:p>
            <w:pPr>
              <w:spacing w:after="0"/>
              <w:rPr>
                <w:sz w:val="20"/>
                <w:szCs w:val="20"/>
                <w:color w:val="auto"/>
              </w:rPr>
            </w:pPr>
            <w:r>
              <w:rPr>
                <w:rFonts w:ascii="Courier New" w:cs="Courier New" w:eastAsia="Courier New" w:hAnsi="Courier New"/>
                <w:sz w:val="13"/>
                <w:szCs w:val="13"/>
                <w:color w:val="auto"/>
              </w:rPr>
              <w:t>2002 convertible debentures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2500" w:type="dxa"/>
            <w:vAlign w:val="bottom"/>
          </w:tcPr>
          <w:p>
            <w:pPr>
              <w:ind w:left="240"/>
              <w:spacing w:after="0"/>
              <w:rPr>
                <w:sz w:val="20"/>
                <w:szCs w:val="20"/>
                <w:color w:val="auto"/>
              </w:rPr>
            </w:pPr>
            <w:r>
              <w:rPr>
                <w:rFonts w:ascii="Courier New" w:cs="Courier New" w:eastAsia="Courier New" w:hAnsi="Courier New"/>
                <w:sz w:val="13"/>
                <w:szCs w:val="13"/>
                <w:color w:val="auto"/>
              </w:rPr>
              <w:t>and 2005 convertible</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2500" w:type="dxa"/>
            <w:vAlign w:val="bottom"/>
          </w:tcPr>
          <w:p>
            <w:pPr>
              <w:ind w:left="240"/>
              <w:spacing w:after="0"/>
              <w:rPr>
                <w:sz w:val="20"/>
                <w:szCs w:val="20"/>
                <w:color w:val="auto"/>
              </w:rPr>
            </w:pPr>
            <w:r>
              <w:rPr>
                <w:rFonts w:ascii="Courier New" w:cs="Courier New" w:eastAsia="Courier New" w:hAnsi="Courier New"/>
                <w:sz w:val="13"/>
                <w:szCs w:val="13"/>
                <w:color w:val="auto"/>
              </w:rPr>
              <w:t>debentures</w:t>
            </w:r>
          </w:p>
        </w:tc>
        <w:tc>
          <w:tcPr>
            <w:tcW w:w="200" w:type="dxa"/>
            <w:vAlign w:val="bottom"/>
          </w:tcPr>
          <w:p>
            <w:pPr>
              <w:spacing w:after="0"/>
              <w:rPr>
                <w:sz w:val="13"/>
                <w:szCs w:val="13"/>
                <w:color w:val="auto"/>
              </w:rPr>
            </w:pPr>
          </w:p>
        </w:tc>
        <w:tc>
          <w:tcPr>
            <w:tcW w:w="540" w:type="dxa"/>
            <w:vAlign w:val="bottom"/>
          </w:tcPr>
          <w:p>
            <w:pPr>
              <w:jc w:val="right"/>
              <w:ind w:right="94"/>
              <w:spacing w:after="0"/>
              <w:rPr>
                <w:sz w:val="20"/>
                <w:szCs w:val="20"/>
                <w:color w:val="auto"/>
              </w:rPr>
            </w:pPr>
            <w:r>
              <w:rPr>
                <w:rFonts w:ascii="Courier New" w:cs="Courier New" w:eastAsia="Courier New" w:hAnsi="Courier New"/>
                <w:sz w:val="13"/>
                <w:szCs w:val="13"/>
                <w:color w:val="auto"/>
              </w:rPr>
              <w:t>$</w:t>
            </w:r>
          </w:p>
        </w:tc>
        <w:tc>
          <w:tcPr>
            <w:tcW w:w="600" w:type="dxa"/>
            <w:vAlign w:val="bottom"/>
          </w:tcPr>
          <w:p>
            <w:pPr>
              <w:jc w:val="right"/>
              <w:ind w:right="54"/>
              <w:spacing w:after="0"/>
              <w:rPr>
                <w:sz w:val="20"/>
                <w:szCs w:val="20"/>
                <w:color w:val="auto"/>
              </w:rPr>
            </w:pPr>
            <w:r>
              <w:rPr>
                <w:rFonts w:ascii="Courier New" w:cs="Courier New" w:eastAsia="Courier New" w:hAnsi="Courier New"/>
                <w:sz w:val="13"/>
                <w:szCs w:val="13"/>
                <w:color w:val="auto"/>
                <w:w w:val="98"/>
              </w:rPr>
              <w:t>34,429</w:t>
            </w:r>
          </w:p>
        </w:tc>
        <w:tc>
          <w:tcPr>
            <w:tcW w:w="160" w:type="dxa"/>
            <w:vAlign w:val="bottom"/>
          </w:tcPr>
          <w:p>
            <w:pPr>
              <w:spacing w:after="0"/>
              <w:rPr>
                <w:sz w:val="13"/>
                <w:szCs w:val="13"/>
                <w:color w:val="auto"/>
              </w:rPr>
            </w:pPr>
          </w:p>
        </w:tc>
        <w:tc>
          <w:tcPr>
            <w:tcW w:w="600" w:type="dxa"/>
            <w:vAlign w:val="bottom"/>
          </w:tcPr>
          <w:p>
            <w:pPr>
              <w:jc w:val="right"/>
              <w:ind w:right="94"/>
              <w:spacing w:after="0"/>
              <w:rPr>
                <w:sz w:val="20"/>
                <w:szCs w:val="20"/>
                <w:color w:val="auto"/>
              </w:rPr>
            </w:pPr>
            <w:r>
              <w:rPr>
                <w:rFonts w:ascii="Courier New" w:cs="Courier New" w:eastAsia="Courier New" w:hAnsi="Courier New"/>
                <w:sz w:val="13"/>
                <w:szCs w:val="13"/>
                <w:color w:val="auto"/>
              </w:rPr>
              <w:t>$</w:t>
            </w:r>
          </w:p>
        </w:tc>
        <w:tc>
          <w:tcPr>
            <w:tcW w:w="540" w:type="dxa"/>
            <w:vAlign w:val="bottom"/>
          </w:tcPr>
          <w:p>
            <w:pPr>
              <w:jc w:val="right"/>
              <w:ind w:right="14"/>
              <w:spacing w:after="0"/>
              <w:rPr>
                <w:sz w:val="20"/>
                <w:szCs w:val="20"/>
                <w:color w:val="auto"/>
              </w:rPr>
            </w:pPr>
            <w:r>
              <w:rPr>
                <w:rFonts w:ascii="Courier New" w:cs="Courier New" w:eastAsia="Courier New" w:hAnsi="Courier New"/>
                <w:sz w:val="13"/>
                <w:szCs w:val="13"/>
                <w:color w:val="auto"/>
                <w:w w:val="93"/>
              </w:rPr>
              <w:t>19,724</w:t>
            </w:r>
          </w:p>
        </w:tc>
        <w:tc>
          <w:tcPr>
            <w:tcW w:w="160" w:type="dxa"/>
            <w:vAlign w:val="bottom"/>
          </w:tcPr>
          <w:p>
            <w:pPr>
              <w:spacing w:after="0"/>
              <w:rPr>
                <w:sz w:val="13"/>
                <w:szCs w:val="13"/>
                <w:color w:val="auto"/>
              </w:rPr>
            </w:pPr>
          </w:p>
        </w:tc>
        <w:tc>
          <w:tcPr>
            <w:tcW w:w="1200" w:type="dxa"/>
            <w:vAlign w:val="bottom"/>
          </w:tcPr>
          <w:p>
            <w:pPr>
              <w:jc w:val="right"/>
              <w:ind w:right="94"/>
              <w:spacing w:after="0"/>
              <w:rPr>
                <w:sz w:val="20"/>
                <w:szCs w:val="20"/>
                <w:color w:val="auto"/>
              </w:rPr>
            </w:pPr>
            <w:r>
              <w:rPr>
                <w:rFonts w:ascii="Courier New" w:cs="Courier New" w:eastAsia="Courier New" w:hAnsi="Courier New"/>
                <w:sz w:val="13"/>
                <w:szCs w:val="13"/>
                <w:color w:val="auto"/>
              </w:rPr>
              <w:t>44,851</w:t>
            </w:r>
          </w:p>
        </w:tc>
        <w:tc>
          <w:tcPr>
            <w:tcW w:w="1300" w:type="dxa"/>
            <w:vAlign w:val="bottom"/>
          </w:tcPr>
          <w:p>
            <w:pPr>
              <w:jc w:val="right"/>
              <w:ind w:right="54"/>
              <w:spacing w:after="0"/>
              <w:rPr>
                <w:sz w:val="20"/>
                <w:szCs w:val="20"/>
                <w:color w:val="auto"/>
              </w:rPr>
            </w:pPr>
            <w:r>
              <w:rPr>
                <w:rFonts w:ascii="Courier New" w:cs="Courier New" w:eastAsia="Courier New" w:hAnsi="Courier New"/>
                <w:sz w:val="13"/>
                <w:szCs w:val="13"/>
                <w:color w:val="auto"/>
              </w:rPr>
              <w:t>26,651</w:t>
            </w:r>
          </w:p>
        </w:tc>
        <w:tc>
          <w:tcPr>
            <w:tcW w:w="200" w:type="dxa"/>
            <w:vAlign w:val="bottom"/>
          </w:tcPr>
          <w:p>
            <w:pPr>
              <w:spacing w:after="0"/>
              <w:rPr>
                <w:sz w:val="13"/>
                <w:szCs w:val="13"/>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3"/>
                <w:szCs w:val="13"/>
                <w:color w:val="auto"/>
              </w:rPr>
              <w:t>25,783</w:t>
            </w:r>
          </w:p>
        </w:tc>
        <w:tc>
          <w:tcPr>
            <w:tcW w:w="200" w:type="dxa"/>
            <w:vAlign w:val="bottom"/>
          </w:tcPr>
          <w:p>
            <w:pPr>
              <w:spacing w:after="0"/>
              <w:rPr>
                <w:sz w:val="13"/>
                <w:szCs w:val="13"/>
                <w:color w:val="auto"/>
              </w:rPr>
            </w:pPr>
          </w:p>
        </w:tc>
        <w:tc>
          <w:tcPr>
            <w:tcW w:w="1060" w:type="dxa"/>
            <w:vAlign w:val="bottom"/>
          </w:tcPr>
          <w:p>
            <w:pPr>
              <w:jc w:val="right"/>
              <w:ind w:right="154"/>
              <w:spacing w:after="0"/>
              <w:rPr>
                <w:sz w:val="20"/>
                <w:szCs w:val="20"/>
                <w:color w:val="auto"/>
              </w:rPr>
            </w:pPr>
            <w:r>
              <w:rPr>
                <w:rFonts w:ascii="Courier New" w:cs="Courier New" w:eastAsia="Courier New" w:hAnsi="Courier New"/>
                <w:sz w:val="13"/>
                <w:szCs w:val="13"/>
                <w:color w:val="auto"/>
              </w:rPr>
              <w:t>24,121</w:t>
            </w: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2"/>
        </w:trPr>
        <w:tc>
          <w:tcPr>
            <w:tcW w:w="2500" w:type="dxa"/>
            <w:vAlign w:val="bottom"/>
          </w:tcPr>
          <w:p>
            <w:pPr>
              <w:spacing w:after="0"/>
              <w:rPr>
                <w:sz w:val="20"/>
                <w:szCs w:val="20"/>
                <w:color w:val="auto"/>
              </w:rPr>
            </w:pPr>
            <w:r>
              <w:rPr>
                <w:rFonts w:ascii="Courier New" w:cs="Courier New" w:eastAsia="Courier New" w:hAnsi="Courier New"/>
                <w:sz w:val="13"/>
                <w:szCs w:val="13"/>
                <w:color w:val="auto"/>
              </w:rPr>
              <w:t>Long-term liabilities in</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2500" w:type="dxa"/>
            <w:vAlign w:val="bottom"/>
          </w:tcPr>
          <w:p>
            <w:pPr>
              <w:ind w:left="240"/>
              <w:spacing w:after="0"/>
              <w:rPr>
                <w:sz w:val="20"/>
                <w:szCs w:val="20"/>
                <w:color w:val="auto"/>
              </w:rPr>
            </w:pPr>
            <w:r>
              <w:rPr>
                <w:rFonts w:ascii="Courier New" w:cs="Courier New" w:eastAsia="Courier New" w:hAnsi="Courier New"/>
                <w:sz w:val="13"/>
                <w:szCs w:val="13"/>
                <w:color w:val="auto"/>
              </w:rPr>
              <w:t>respect of customers'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2500" w:type="dxa"/>
            <w:vAlign w:val="bottom"/>
          </w:tcPr>
          <w:p>
            <w:pPr>
              <w:ind w:left="240"/>
              <w:spacing w:after="0"/>
              <w:rPr>
                <w:sz w:val="20"/>
                <w:szCs w:val="20"/>
                <w:color w:val="auto"/>
              </w:rPr>
            </w:pPr>
            <w:r>
              <w:rPr>
                <w:rFonts w:ascii="Courier New" w:cs="Courier New" w:eastAsia="Courier New" w:hAnsi="Courier New"/>
                <w:sz w:val="13"/>
                <w:szCs w:val="13"/>
                <w:color w:val="auto"/>
              </w:rPr>
              <w:t>advances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jc w:val="right"/>
              <w:ind w:right="54"/>
              <w:spacing w:after="0"/>
              <w:rPr>
                <w:sz w:val="20"/>
                <w:szCs w:val="20"/>
                <w:color w:val="auto"/>
              </w:rPr>
            </w:pPr>
            <w:r>
              <w:rPr>
                <w:rFonts w:ascii="Courier New" w:cs="Courier New" w:eastAsia="Courier New" w:hAnsi="Courier New"/>
                <w:sz w:val="13"/>
                <w:szCs w:val="13"/>
                <w:color w:val="auto"/>
                <w:w w:val="98"/>
              </w:rPr>
              <w:t>54,537</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jc w:val="right"/>
              <w:ind w:right="14"/>
              <w:spacing w:after="0"/>
              <w:rPr>
                <w:sz w:val="20"/>
                <w:szCs w:val="20"/>
                <w:color w:val="auto"/>
              </w:rPr>
            </w:pPr>
            <w:r>
              <w:rPr>
                <w:rFonts w:ascii="Courier New" w:cs="Courier New" w:eastAsia="Courier New" w:hAnsi="Courier New"/>
                <w:sz w:val="13"/>
                <w:szCs w:val="13"/>
                <w:color w:val="auto"/>
                <w:w w:val="93"/>
              </w:rPr>
              <w:t>63,326</w:t>
            </w:r>
          </w:p>
        </w:tc>
        <w:tc>
          <w:tcPr>
            <w:tcW w:w="160" w:type="dxa"/>
            <w:vAlign w:val="bottom"/>
          </w:tcPr>
          <w:p>
            <w:pPr>
              <w:spacing w:after="0"/>
              <w:rPr>
                <w:sz w:val="13"/>
                <w:szCs w:val="13"/>
                <w:color w:val="auto"/>
              </w:rPr>
            </w:pPr>
          </w:p>
        </w:tc>
        <w:tc>
          <w:tcPr>
            <w:tcW w:w="1200" w:type="dxa"/>
            <w:vAlign w:val="bottom"/>
          </w:tcPr>
          <w:p>
            <w:pPr>
              <w:jc w:val="right"/>
              <w:ind w:right="94"/>
              <w:spacing w:after="0"/>
              <w:rPr>
                <w:sz w:val="20"/>
                <w:szCs w:val="20"/>
                <w:color w:val="auto"/>
              </w:rPr>
            </w:pPr>
            <w:r>
              <w:rPr>
                <w:rFonts w:ascii="Courier New" w:cs="Courier New" w:eastAsia="Courier New" w:hAnsi="Courier New"/>
                <w:sz w:val="13"/>
                <w:szCs w:val="13"/>
                <w:color w:val="auto"/>
              </w:rPr>
              <w:t>59,621</w:t>
            </w:r>
          </w:p>
        </w:tc>
        <w:tc>
          <w:tcPr>
            <w:tcW w:w="1300" w:type="dxa"/>
            <w:vAlign w:val="bottom"/>
          </w:tcPr>
          <w:p>
            <w:pPr>
              <w:jc w:val="right"/>
              <w:ind w:right="54"/>
              <w:spacing w:after="0"/>
              <w:rPr>
                <w:sz w:val="20"/>
                <w:szCs w:val="20"/>
                <w:color w:val="auto"/>
              </w:rPr>
            </w:pPr>
            <w:r>
              <w:rPr>
                <w:rFonts w:ascii="Courier New" w:cs="Courier New" w:eastAsia="Courier New" w:hAnsi="Courier New"/>
                <w:sz w:val="13"/>
                <w:szCs w:val="13"/>
                <w:color w:val="auto"/>
              </w:rPr>
              <w:t>64,428</w:t>
            </w:r>
          </w:p>
        </w:tc>
        <w:tc>
          <w:tcPr>
            <w:tcW w:w="200" w:type="dxa"/>
            <w:vAlign w:val="bottom"/>
          </w:tcPr>
          <w:p>
            <w:pPr>
              <w:spacing w:after="0"/>
              <w:rPr>
                <w:sz w:val="13"/>
                <w:szCs w:val="13"/>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3"/>
                <w:szCs w:val="13"/>
                <w:color w:val="auto"/>
              </w:rPr>
              <w:t>46,347</w:t>
            </w:r>
          </w:p>
        </w:tc>
        <w:tc>
          <w:tcPr>
            <w:tcW w:w="200" w:type="dxa"/>
            <w:vAlign w:val="bottom"/>
          </w:tcPr>
          <w:p>
            <w:pPr>
              <w:spacing w:after="0"/>
              <w:rPr>
                <w:sz w:val="13"/>
                <w:szCs w:val="13"/>
                <w:color w:val="auto"/>
              </w:rPr>
            </w:pPr>
          </w:p>
        </w:tc>
        <w:tc>
          <w:tcPr>
            <w:tcW w:w="1060" w:type="dxa"/>
            <w:vAlign w:val="bottom"/>
          </w:tcPr>
          <w:p>
            <w:pPr>
              <w:jc w:val="right"/>
              <w:ind w:right="154"/>
              <w:spacing w:after="0"/>
              <w:rPr>
                <w:sz w:val="20"/>
                <w:szCs w:val="20"/>
                <w:color w:val="auto"/>
              </w:rPr>
            </w:pPr>
            <w:r>
              <w:rPr>
                <w:rFonts w:ascii="Courier New" w:cs="Courier New" w:eastAsia="Courier New" w:hAnsi="Courier New"/>
                <w:sz w:val="13"/>
                <w:szCs w:val="13"/>
                <w:color w:val="auto"/>
              </w:rPr>
              <w:t>47,246</w:t>
            </w: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17,910</w:t>
            </w:r>
          </w:p>
        </w:tc>
      </w:tr>
      <w:tr>
        <w:trPr>
          <w:trHeight w:val="152"/>
        </w:trPr>
        <w:tc>
          <w:tcPr>
            <w:tcW w:w="2500" w:type="dxa"/>
            <w:vAlign w:val="bottom"/>
          </w:tcPr>
          <w:p>
            <w:pPr>
              <w:spacing w:after="0"/>
              <w:rPr>
                <w:sz w:val="20"/>
                <w:szCs w:val="20"/>
                <w:color w:val="auto"/>
              </w:rPr>
            </w:pPr>
            <w:r>
              <w:rPr>
                <w:rFonts w:ascii="Courier New" w:cs="Courier New" w:eastAsia="Courier New" w:hAnsi="Courier New"/>
                <w:sz w:val="13"/>
                <w:szCs w:val="13"/>
                <w:color w:val="auto"/>
              </w:rPr>
              <w:t>Shareholders' equity (deficit)</w:t>
            </w:r>
          </w:p>
        </w:tc>
        <w:tc>
          <w:tcPr>
            <w:tcW w:w="20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(44,806)</w:t>
            </w:r>
          </w:p>
        </w:tc>
        <w:tc>
          <w:tcPr>
            <w:tcW w:w="160" w:type="dxa"/>
            <w:vAlign w:val="bottom"/>
          </w:tcPr>
          <w:p>
            <w:pPr>
              <w:spacing w:after="0"/>
              <w:rPr>
                <w:sz w:val="13"/>
                <w:szCs w:val="13"/>
                <w:color w:val="auto"/>
              </w:rPr>
            </w:pPr>
          </w:p>
        </w:tc>
        <w:tc>
          <w:tcPr>
            <w:tcW w:w="1140" w:type="dxa"/>
            <w:vAlign w:val="bottom"/>
            <w:gridSpan w:val="2"/>
          </w:tcPr>
          <w:p>
            <w:pPr>
              <w:jc w:val="right"/>
              <w:ind w:right="14"/>
              <w:spacing w:after="0"/>
              <w:rPr>
                <w:sz w:val="20"/>
                <w:szCs w:val="20"/>
                <w:color w:val="auto"/>
              </w:rPr>
            </w:pPr>
            <w:r>
              <w:rPr>
                <w:rFonts w:ascii="Courier New" w:cs="Courier New" w:eastAsia="Courier New" w:hAnsi="Courier New"/>
                <w:sz w:val="13"/>
                <w:szCs w:val="13"/>
                <w:color w:val="auto"/>
              </w:rPr>
              <w:t>112,660</w:t>
            </w:r>
          </w:p>
        </w:tc>
        <w:tc>
          <w:tcPr>
            <w:tcW w:w="160" w:type="dxa"/>
            <w:vAlign w:val="bottom"/>
          </w:tcPr>
          <w:p>
            <w:pPr>
              <w:spacing w:after="0"/>
              <w:rPr>
                <w:sz w:val="13"/>
                <w:szCs w:val="13"/>
                <w:color w:val="auto"/>
              </w:rPr>
            </w:pPr>
          </w:p>
        </w:tc>
        <w:tc>
          <w:tcPr>
            <w:tcW w:w="1200" w:type="dxa"/>
            <w:vAlign w:val="bottom"/>
          </w:tcPr>
          <w:p>
            <w:pPr>
              <w:jc w:val="right"/>
              <w:ind w:right="14"/>
              <w:spacing w:after="0"/>
              <w:rPr>
                <w:sz w:val="20"/>
                <w:szCs w:val="20"/>
                <w:color w:val="auto"/>
              </w:rPr>
            </w:pPr>
            <w:r>
              <w:rPr>
                <w:rFonts w:ascii="Courier New" w:cs="Courier New" w:eastAsia="Courier New" w:hAnsi="Courier New"/>
                <w:sz w:val="13"/>
                <w:szCs w:val="13"/>
                <w:color w:val="auto"/>
              </w:rPr>
              <w:t>(30,067)</w:t>
            </w:r>
          </w:p>
        </w:tc>
        <w:tc>
          <w:tcPr>
            <w:tcW w:w="1300" w:type="dxa"/>
            <w:vAlign w:val="bottom"/>
          </w:tcPr>
          <w:p>
            <w:pPr>
              <w:jc w:val="right"/>
              <w:ind w:right="54"/>
              <w:spacing w:after="0"/>
              <w:rPr>
                <w:sz w:val="20"/>
                <w:szCs w:val="20"/>
                <w:color w:val="auto"/>
              </w:rPr>
            </w:pPr>
            <w:r>
              <w:rPr>
                <w:rFonts w:ascii="Courier New" w:cs="Courier New" w:eastAsia="Courier New" w:hAnsi="Courier New"/>
                <w:sz w:val="13"/>
                <w:szCs w:val="13"/>
                <w:color w:val="auto"/>
              </w:rPr>
              <w:t>167,980</w:t>
            </w:r>
          </w:p>
        </w:tc>
        <w:tc>
          <w:tcPr>
            <w:tcW w:w="200" w:type="dxa"/>
            <w:vAlign w:val="bottom"/>
          </w:tcPr>
          <w:p>
            <w:pPr>
              <w:spacing w:after="0"/>
              <w:rPr>
                <w:sz w:val="13"/>
                <w:szCs w:val="13"/>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3"/>
                <w:szCs w:val="13"/>
                <w:color w:val="auto"/>
              </w:rPr>
              <w:t>229,457</w:t>
            </w:r>
          </w:p>
        </w:tc>
        <w:tc>
          <w:tcPr>
            <w:tcW w:w="200" w:type="dxa"/>
            <w:vAlign w:val="bottom"/>
          </w:tcPr>
          <w:p>
            <w:pPr>
              <w:spacing w:after="0"/>
              <w:rPr>
                <w:sz w:val="13"/>
                <w:szCs w:val="13"/>
                <w:color w:val="auto"/>
              </w:rPr>
            </w:pPr>
          </w:p>
        </w:tc>
        <w:tc>
          <w:tcPr>
            <w:tcW w:w="1060" w:type="dxa"/>
            <w:vAlign w:val="bottom"/>
          </w:tcPr>
          <w:p>
            <w:pPr>
              <w:jc w:val="right"/>
              <w:ind w:right="154"/>
              <w:spacing w:after="0"/>
              <w:rPr>
                <w:sz w:val="20"/>
                <w:szCs w:val="20"/>
                <w:color w:val="auto"/>
              </w:rPr>
            </w:pPr>
            <w:r>
              <w:rPr>
                <w:rFonts w:ascii="Courier New" w:cs="Courier New" w:eastAsia="Courier New" w:hAnsi="Courier New"/>
                <w:sz w:val="13"/>
                <w:szCs w:val="13"/>
                <w:color w:val="auto"/>
              </w:rPr>
              <w:t>298,334</w:t>
            </w: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252,805</w:t>
            </w:r>
          </w:p>
        </w:tc>
      </w:tr>
      <w:tr>
        <w:trPr>
          <w:trHeight w:val="152"/>
        </w:trPr>
        <w:tc>
          <w:tcPr>
            <w:tcW w:w="2500" w:type="dxa"/>
            <w:vAlign w:val="bottom"/>
          </w:tcPr>
          <w:p>
            <w:pPr>
              <w:spacing w:after="0"/>
              <w:rPr>
                <w:sz w:val="20"/>
                <w:szCs w:val="20"/>
                <w:color w:val="auto"/>
              </w:rPr>
            </w:pPr>
            <w:r>
              <w:rPr>
                <w:rFonts w:ascii="Courier New" w:cs="Courier New" w:eastAsia="Courier New" w:hAnsi="Courier New"/>
                <w:sz w:val="13"/>
                <w:szCs w:val="13"/>
                <w:color w:val="auto"/>
              </w:rPr>
              <w:t>Weighted average number of</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2500" w:type="dxa"/>
            <w:vAlign w:val="bottom"/>
          </w:tcPr>
          <w:p>
            <w:pPr>
              <w:ind w:left="240"/>
              <w:spacing w:after="0"/>
              <w:rPr>
                <w:sz w:val="20"/>
                <w:szCs w:val="20"/>
                <w:color w:val="auto"/>
              </w:rPr>
            </w:pPr>
            <w:r>
              <w:rPr>
                <w:rFonts w:ascii="Courier New" w:cs="Courier New" w:eastAsia="Courier New" w:hAnsi="Courier New"/>
                <w:sz w:val="13"/>
                <w:szCs w:val="13"/>
                <w:color w:val="auto"/>
              </w:rPr>
              <w:t>ordinary shares outstanding</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2500" w:type="dxa"/>
            <w:vAlign w:val="bottom"/>
          </w:tcPr>
          <w:p>
            <w:pPr>
              <w:ind w:left="240"/>
              <w:spacing w:after="0"/>
              <w:rPr>
                <w:sz w:val="20"/>
                <w:szCs w:val="20"/>
                <w:color w:val="auto"/>
              </w:rPr>
            </w:pPr>
            <w:r>
              <w:rPr>
                <w:rFonts w:ascii="Courier New" w:cs="Courier New" w:eastAsia="Courier New" w:hAnsi="Courier New"/>
                <w:sz w:val="13"/>
                <w:szCs w:val="13"/>
                <w:color w:val="auto"/>
              </w:rPr>
              <w:t>(in thousands) (*)(**)</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jc w:val="right"/>
              <w:ind w:right="54"/>
              <w:spacing w:after="0"/>
              <w:rPr>
                <w:sz w:val="20"/>
                <w:szCs w:val="20"/>
                <w:color w:val="auto"/>
              </w:rPr>
            </w:pPr>
            <w:r>
              <w:rPr>
                <w:rFonts w:ascii="Courier New" w:cs="Courier New" w:eastAsia="Courier New" w:hAnsi="Courier New"/>
                <w:sz w:val="13"/>
                <w:szCs w:val="13"/>
                <w:color w:val="auto"/>
                <w:w w:val="98"/>
              </w:rPr>
              <w:t>71,872</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jc w:val="right"/>
              <w:ind w:right="14"/>
              <w:spacing w:after="0"/>
              <w:rPr>
                <w:sz w:val="20"/>
                <w:szCs w:val="20"/>
                <w:color w:val="auto"/>
              </w:rPr>
            </w:pPr>
            <w:r>
              <w:rPr>
                <w:rFonts w:ascii="Courier New" w:cs="Courier New" w:eastAsia="Courier New" w:hAnsi="Courier New"/>
                <w:sz w:val="13"/>
                <w:szCs w:val="13"/>
                <w:color w:val="auto"/>
                <w:w w:val="93"/>
              </w:rPr>
              <w:t>65,700</w:t>
            </w:r>
          </w:p>
        </w:tc>
        <w:tc>
          <w:tcPr>
            <w:tcW w:w="160" w:type="dxa"/>
            <w:vAlign w:val="bottom"/>
          </w:tcPr>
          <w:p>
            <w:pPr>
              <w:spacing w:after="0"/>
              <w:rPr>
                <w:sz w:val="13"/>
                <w:szCs w:val="13"/>
                <w:color w:val="auto"/>
              </w:rPr>
            </w:pPr>
          </w:p>
        </w:tc>
        <w:tc>
          <w:tcPr>
            <w:tcW w:w="1200" w:type="dxa"/>
            <w:vAlign w:val="bottom"/>
          </w:tcPr>
          <w:p>
            <w:pPr>
              <w:jc w:val="right"/>
              <w:ind w:right="94"/>
              <w:spacing w:after="0"/>
              <w:rPr>
                <w:sz w:val="20"/>
                <w:szCs w:val="20"/>
                <w:color w:val="auto"/>
              </w:rPr>
            </w:pPr>
            <w:r>
              <w:rPr>
                <w:rFonts w:ascii="Courier New" w:cs="Courier New" w:eastAsia="Courier New" w:hAnsi="Courier New"/>
                <w:sz w:val="13"/>
                <w:szCs w:val="13"/>
                <w:color w:val="auto"/>
              </w:rPr>
              <w:t>66,371</w:t>
            </w:r>
          </w:p>
        </w:tc>
        <w:tc>
          <w:tcPr>
            <w:tcW w:w="1300" w:type="dxa"/>
            <w:vAlign w:val="bottom"/>
          </w:tcPr>
          <w:p>
            <w:pPr>
              <w:jc w:val="right"/>
              <w:ind w:right="54"/>
              <w:spacing w:after="0"/>
              <w:rPr>
                <w:sz w:val="20"/>
                <w:szCs w:val="20"/>
                <w:color w:val="auto"/>
              </w:rPr>
            </w:pPr>
            <w:r>
              <w:rPr>
                <w:rFonts w:ascii="Courier New" w:cs="Courier New" w:eastAsia="Courier New" w:hAnsi="Courier New"/>
                <w:sz w:val="13"/>
                <w:szCs w:val="13"/>
                <w:color w:val="auto"/>
              </w:rPr>
              <w:t>64,717</w:t>
            </w:r>
          </w:p>
        </w:tc>
        <w:tc>
          <w:tcPr>
            <w:tcW w:w="200" w:type="dxa"/>
            <w:vAlign w:val="bottom"/>
          </w:tcPr>
          <w:p>
            <w:pPr>
              <w:spacing w:after="0"/>
              <w:rPr>
                <w:sz w:val="13"/>
                <w:szCs w:val="13"/>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3"/>
                <w:szCs w:val="13"/>
                <w:color w:val="auto"/>
              </w:rPr>
              <w:t>46,710</w:t>
            </w:r>
          </w:p>
        </w:tc>
        <w:tc>
          <w:tcPr>
            <w:tcW w:w="200" w:type="dxa"/>
            <w:vAlign w:val="bottom"/>
          </w:tcPr>
          <w:p>
            <w:pPr>
              <w:spacing w:after="0"/>
              <w:rPr>
                <w:sz w:val="13"/>
                <w:szCs w:val="13"/>
                <w:color w:val="auto"/>
              </w:rPr>
            </w:pPr>
          </w:p>
        </w:tc>
        <w:tc>
          <w:tcPr>
            <w:tcW w:w="1060" w:type="dxa"/>
            <w:vAlign w:val="bottom"/>
          </w:tcPr>
          <w:p>
            <w:pPr>
              <w:jc w:val="right"/>
              <w:ind w:right="154"/>
              <w:spacing w:after="0"/>
              <w:rPr>
                <w:sz w:val="20"/>
                <w:szCs w:val="20"/>
                <w:color w:val="auto"/>
              </w:rPr>
            </w:pPr>
            <w:r>
              <w:rPr>
                <w:rFonts w:ascii="Courier New" w:cs="Courier New" w:eastAsia="Courier New" w:hAnsi="Courier New"/>
                <w:sz w:val="13"/>
                <w:szCs w:val="13"/>
                <w:color w:val="auto"/>
              </w:rPr>
              <w:t>31,523</w:t>
            </w: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20,020</w:t>
            </w:r>
          </w:p>
        </w:tc>
      </w:tr>
      <w:tr>
        <w:trPr>
          <w:trHeight w:val="152"/>
        </w:trPr>
        <w:tc>
          <w:tcPr>
            <w:tcW w:w="2500" w:type="dxa"/>
            <w:vAlign w:val="bottom"/>
          </w:tcPr>
          <w:p>
            <w:pPr>
              <w:spacing w:after="0"/>
              <w:rPr>
                <w:sz w:val="20"/>
                <w:szCs w:val="20"/>
                <w:color w:val="auto"/>
              </w:rPr>
            </w:pPr>
            <w:r>
              <w:rPr>
                <w:rFonts w:ascii="Courier New" w:cs="Courier New" w:eastAsia="Courier New" w:hAnsi="Courier New"/>
                <w:sz w:val="13"/>
                <w:szCs w:val="13"/>
                <w:color w:val="auto"/>
              </w:rPr>
              <w:t>Number of shares issued and</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2"/>
        </w:trPr>
        <w:tc>
          <w:tcPr>
            <w:tcW w:w="2700" w:type="dxa"/>
            <w:vAlign w:val="bottom"/>
            <w:gridSpan w:val="2"/>
          </w:tcPr>
          <w:p>
            <w:pPr>
              <w:ind w:left="240"/>
              <w:spacing w:after="0"/>
              <w:rPr>
                <w:sz w:val="20"/>
                <w:szCs w:val="20"/>
                <w:color w:val="auto"/>
              </w:rPr>
            </w:pPr>
            <w:r>
              <w:rPr>
                <w:rFonts w:ascii="Courier New" w:cs="Courier New" w:eastAsia="Courier New" w:hAnsi="Courier New"/>
                <w:sz w:val="13"/>
                <w:szCs w:val="13"/>
                <w:color w:val="auto"/>
              </w:rPr>
              <w:t>outstanding (in thousands) (**)</w:t>
            </w:r>
          </w:p>
        </w:tc>
        <w:tc>
          <w:tcPr>
            <w:tcW w:w="540" w:type="dxa"/>
            <w:vAlign w:val="bottom"/>
          </w:tcPr>
          <w:p>
            <w:pPr>
              <w:spacing w:after="0"/>
              <w:rPr>
                <w:sz w:val="13"/>
                <w:szCs w:val="13"/>
                <w:color w:val="auto"/>
              </w:rPr>
            </w:pPr>
          </w:p>
        </w:tc>
        <w:tc>
          <w:tcPr>
            <w:tcW w:w="600" w:type="dxa"/>
            <w:vAlign w:val="bottom"/>
          </w:tcPr>
          <w:p>
            <w:pPr>
              <w:jc w:val="right"/>
              <w:ind w:right="54"/>
              <w:spacing w:after="0"/>
              <w:rPr>
                <w:sz w:val="20"/>
                <w:szCs w:val="20"/>
                <w:color w:val="auto"/>
              </w:rPr>
            </w:pPr>
            <w:r>
              <w:rPr>
                <w:rFonts w:ascii="Courier New" w:cs="Courier New" w:eastAsia="Courier New" w:hAnsi="Courier New"/>
                <w:sz w:val="13"/>
                <w:szCs w:val="13"/>
                <w:color w:val="auto"/>
                <w:w w:val="98"/>
              </w:rPr>
              <w:t>75,646</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jc w:val="right"/>
              <w:ind w:right="14"/>
              <w:spacing w:after="0"/>
              <w:rPr>
                <w:sz w:val="20"/>
                <w:szCs w:val="20"/>
                <w:color w:val="auto"/>
              </w:rPr>
            </w:pPr>
            <w:r>
              <w:rPr>
                <w:rFonts w:ascii="Courier New" w:cs="Courier New" w:eastAsia="Courier New" w:hAnsi="Courier New"/>
                <w:sz w:val="13"/>
                <w:szCs w:val="13"/>
                <w:color w:val="auto"/>
                <w:w w:val="93"/>
              </w:rPr>
              <w:t>65,700</w:t>
            </w:r>
          </w:p>
        </w:tc>
        <w:tc>
          <w:tcPr>
            <w:tcW w:w="160" w:type="dxa"/>
            <w:vAlign w:val="bottom"/>
          </w:tcPr>
          <w:p>
            <w:pPr>
              <w:spacing w:after="0"/>
              <w:rPr>
                <w:sz w:val="13"/>
                <w:szCs w:val="13"/>
                <w:color w:val="auto"/>
              </w:rPr>
            </w:pPr>
          </w:p>
        </w:tc>
        <w:tc>
          <w:tcPr>
            <w:tcW w:w="1200" w:type="dxa"/>
            <w:vAlign w:val="bottom"/>
          </w:tcPr>
          <w:p>
            <w:pPr>
              <w:jc w:val="right"/>
              <w:ind w:right="94"/>
              <w:spacing w:after="0"/>
              <w:rPr>
                <w:sz w:val="20"/>
                <w:szCs w:val="20"/>
                <w:color w:val="auto"/>
              </w:rPr>
            </w:pPr>
            <w:r>
              <w:rPr>
                <w:rFonts w:ascii="Courier New" w:cs="Courier New" w:eastAsia="Courier New" w:hAnsi="Courier New"/>
                <w:sz w:val="13"/>
                <w:szCs w:val="13"/>
                <w:color w:val="auto"/>
              </w:rPr>
              <w:t>66,932</w:t>
            </w:r>
          </w:p>
        </w:tc>
        <w:tc>
          <w:tcPr>
            <w:tcW w:w="1300" w:type="dxa"/>
            <w:vAlign w:val="bottom"/>
          </w:tcPr>
          <w:p>
            <w:pPr>
              <w:jc w:val="right"/>
              <w:ind w:right="54"/>
              <w:spacing w:after="0"/>
              <w:rPr>
                <w:sz w:val="20"/>
                <w:szCs w:val="20"/>
                <w:color w:val="auto"/>
              </w:rPr>
            </w:pPr>
            <w:r>
              <w:rPr>
                <w:rFonts w:ascii="Courier New" w:cs="Courier New" w:eastAsia="Courier New" w:hAnsi="Courier New"/>
                <w:sz w:val="13"/>
                <w:szCs w:val="13"/>
                <w:color w:val="auto"/>
              </w:rPr>
              <w:t>65,700</w:t>
            </w:r>
          </w:p>
        </w:tc>
        <w:tc>
          <w:tcPr>
            <w:tcW w:w="200" w:type="dxa"/>
            <w:vAlign w:val="bottom"/>
          </w:tcPr>
          <w:p>
            <w:pPr>
              <w:spacing w:after="0"/>
              <w:rPr>
                <w:sz w:val="13"/>
                <w:szCs w:val="13"/>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3"/>
                <w:szCs w:val="13"/>
                <w:color w:val="auto"/>
              </w:rPr>
              <w:t>51,696</w:t>
            </w:r>
          </w:p>
        </w:tc>
        <w:tc>
          <w:tcPr>
            <w:tcW w:w="200" w:type="dxa"/>
            <w:vAlign w:val="bottom"/>
          </w:tcPr>
          <w:p>
            <w:pPr>
              <w:spacing w:after="0"/>
              <w:rPr>
                <w:sz w:val="13"/>
                <w:szCs w:val="13"/>
                <w:color w:val="auto"/>
              </w:rPr>
            </w:pPr>
          </w:p>
        </w:tc>
        <w:tc>
          <w:tcPr>
            <w:tcW w:w="1060" w:type="dxa"/>
            <w:vAlign w:val="bottom"/>
          </w:tcPr>
          <w:p>
            <w:pPr>
              <w:jc w:val="right"/>
              <w:ind w:right="154"/>
              <w:spacing w:after="0"/>
              <w:rPr>
                <w:sz w:val="20"/>
                <w:szCs w:val="20"/>
                <w:color w:val="auto"/>
              </w:rPr>
            </w:pPr>
            <w:r>
              <w:rPr>
                <w:rFonts w:ascii="Courier New" w:cs="Courier New" w:eastAsia="Courier New" w:hAnsi="Courier New"/>
                <w:sz w:val="13"/>
                <w:szCs w:val="13"/>
                <w:color w:val="auto"/>
              </w:rPr>
              <w:t>43,436</w:t>
            </w:r>
          </w:p>
        </w:tc>
        <w:tc>
          <w:tcPr>
            <w:tcW w:w="4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3"/>
                <w:szCs w:val="13"/>
                <w:color w:val="auto"/>
              </w:rPr>
              <w:t>24,997</w:t>
            </w:r>
          </w:p>
        </w:tc>
      </w:tr>
    </w:tbl>
    <w:p>
      <w:pPr>
        <w:spacing w:after="0" w:line="200" w:lineRule="exact"/>
        <w:rPr>
          <w:sz w:val="20"/>
          <w:szCs w:val="20"/>
          <w:color w:val="auto"/>
        </w:rPr>
      </w:pPr>
    </w:p>
    <w:p>
      <w:pPr>
        <w:spacing w:after="0" w:line="261" w:lineRule="exact"/>
        <w:rPr>
          <w:sz w:val="20"/>
          <w:szCs w:val="20"/>
          <w:color w:val="auto"/>
        </w:rPr>
      </w:pPr>
    </w:p>
    <w:p>
      <w:pPr>
        <w:ind w:right="5520" w:firstLine="1"/>
        <w:spacing w:after="0" w:line="249" w:lineRule="auto"/>
        <w:tabs>
          <w:tab w:leader="none" w:pos="317" w:val="left"/>
        </w:tabs>
        <w:numPr>
          <w:ilvl w:val="0"/>
          <w:numId w:val="1"/>
        </w:numPr>
        <w:rPr>
          <w:rFonts w:ascii="Courier New" w:cs="Courier New" w:eastAsia="Courier New" w:hAnsi="Courier New"/>
          <w:sz w:val="13"/>
          <w:szCs w:val="13"/>
          <w:color w:val="auto"/>
        </w:rPr>
      </w:pPr>
      <w:r>
        <w:rPr>
          <w:rFonts w:ascii="Courier New" w:cs="Courier New" w:eastAsia="Courier New" w:hAnsi="Courier New"/>
          <w:sz w:val="13"/>
          <w:szCs w:val="13"/>
          <w:color w:val="auto"/>
        </w:rPr>
        <w:t>Israeli Standard No. 21 is effective for periods ending after January 1, 2006 and has been retrospectively applied to all periods presented.</w:t>
      </w:r>
    </w:p>
    <w:p>
      <w:pPr>
        <w:spacing w:after="0" w:line="151" w:lineRule="exact"/>
        <w:rPr>
          <w:sz w:val="20"/>
          <w:szCs w:val="20"/>
          <w:color w:val="auto"/>
        </w:rPr>
      </w:pPr>
    </w:p>
    <w:p>
      <w:pPr>
        <w:ind w:right="5440" w:firstLine="1"/>
        <w:spacing w:after="0" w:line="249" w:lineRule="auto"/>
        <w:tabs>
          <w:tab w:leader="none" w:pos="396"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Net of 1,300,000 Ordinary Shares held by us through a trustee as of each date presented.</w:t>
      </w:r>
    </w:p>
    <w:p>
      <w:pPr>
        <w:sectPr>
          <w:pgSz w:w="11900" w:h="16838" w:orient="portrait"/>
          <w:cols w:equalWidth="0" w:num="1">
            <w:col w:w="11540"/>
          </w:cols>
          <w:pgMar w:left="220" w:top="141" w:right="139" w:bottom="0" w:gutter="0" w:footer="0" w:header="0"/>
        </w:sectPr>
      </w:pPr>
    </w:p>
    <w:p>
      <w:pPr>
        <w:spacing w:after="0" w:line="303" w:lineRule="exact"/>
        <w:rPr>
          <w:sz w:val="20"/>
          <w:szCs w:val="20"/>
          <w:color w:val="auto"/>
        </w:rPr>
      </w:pPr>
    </w:p>
    <w:p>
      <w:pPr>
        <w:ind w:left="2300"/>
        <w:spacing w:after="0"/>
        <w:rPr>
          <w:sz w:val="20"/>
          <w:szCs w:val="20"/>
          <w:color w:val="auto"/>
        </w:rPr>
      </w:pPr>
      <w:r>
        <w:rPr>
          <w:rFonts w:ascii="Courier New" w:cs="Courier New" w:eastAsia="Courier New" w:hAnsi="Courier New"/>
          <w:sz w:val="13"/>
          <w:szCs w:val="13"/>
          <w:color w:val="auto"/>
        </w:rPr>
        <w:t>AS OF MARCH 31,</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3"/>
          <w:szCs w:val="13"/>
          <w:color w:val="auto"/>
        </w:rPr>
        <w:t>(UNAUDITED)</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3"/>
          <w:szCs w:val="13"/>
          <w:color w:val="auto"/>
        </w:rPr>
        <w:t>---------</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3"/>
          <w:szCs w:val="13"/>
          <w:color w:val="auto"/>
        </w:rPr>
        <w:t>2006</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2300"/>
        <w:spacing w:after="0"/>
        <w:rPr>
          <w:sz w:val="20"/>
          <w:szCs w:val="20"/>
          <w:color w:val="auto"/>
        </w:rPr>
      </w:pPr>
      <w:r>
        <w:rPr>
          <w:rFonts w:ascii="Courier New" w:cs="Courier New" w:eastAsia="Courier New" w:hAnsi="Courier New"/>
          <w:sz w:val="13"/>
          <w:szCs w:val="13"/>
          <w:color w:val="auto"/>
        </w:rPr>
        <w:t>AS OF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5" w:lineRule="exact"/>
        <w:rPr>
          <w:sz w:val="20"/>
          <w:szCs w:val="20"/>
          <w:color w:val="auto"/>
        </w:rPr>
      </w:pPr>
    </w:p>
    <w:p>
      <w:pPr>
        <w:ind w:left="160"/>
        <w:spacing w:after="0"/>
        <w:tabs>
          <w:tab w:leader="none" w:pos="1480" w:val="left"/>
          <w:tab w:leader="none" w:pos="2820" w:val="left"/>
          <w:tab w:leader="none" w:pos="4180" w:val="left"/>
          <w:tab w:leader="none" w:pos="5520" w:val="left"/>
        </w:tabs>
        <w:rPr>
          <w:sz w:val="20"/>
          <w:szCs w:val="20"/>
          <w:color w:val="auto"/>
        </w:rPr>
      </w:pPr>
      <w:r>
        <w:rPr>
          <w:rFonts w:ascii="Courier New" w:cs="Courier New" w:eastAsia="Courier New" w:hAnsi="Courier New"/>
          <w:sz w:val="13"/>
          <w:szCs w:val="13"/>
          <w:color w:val="auto"/>
        </w:rPr>
        <w:t>2005</w:t>
      </w:r>
      <w:r>
        <w:rPr>
          <w:sz w:val="20"/>
          <w:szCs w:val="20"/>
          <w:color w:val="auto"/>
        </w:rPr>
        <w:tab/>
      </w:r>
      <w:r>
        <w:rPr>
          <w:rFonts w:ascii="Courier New" w:cs="Courier New" w:eastAsia="Courier New" w:hAnsi="Courier New"/>
          <w:sz w:val="13"/>
          <w:szCs w:val="13"/>
          <w:color w:val="auto"/>
        </w:rPr>
        <w:t>2004</w:t>
      </w:r>
      <w:r>
        <w:rPr>
          <w:sz w:val="20"/>
          <w:szCs w:val="20"/>
          <w:color w:val="auto"/>
        </w:rPr>
        <w:tab/>
      </w:r>
      <w:r>
        <w:rPr>
          <w:rFonts w:ascii="Courier New" w:cs="Courier New" w:eastAsia="Courier New" w:hAnsi="Courier New"/>
          <w:sz w:val="13"/>
          <w:szCs w:val="13"/>
          <w:color w:val="auto"/>
        </w:rPr>
        <w:t>2003</w:t>
      </w:r>
      <w:r>
        <w:rPr>
          <w:sz w:val="20"/>
          <w:szCs w:val="20"/>
          <w:color w:val="auto"/>
        </w:rPr>
        <w:tab/>
      </w:r>
      <w:r>
        <w:rPr>
          <w:rFonts w:ascii="Courier New" w:cs="Courier New" w:eastAsia="Courier New" w:hAnsi="Courier New"/>
          <w:sz w:val="13"/>
          <w:szCs w:val="13"/>
          <w:color w:val="auto"/>
        </w:rPr>
        <w:t>2002</w:t>
      </w:r>
      <w:r>
        <w:rPr>
          <w:sz w:val="20"/>
          <w:szCs w:val="20"/>
          <w:color w:val="auto"/>
        </w:rPr>
        <w:tab/>
      </w:r>
      <w:r>
        <w:rPr>
          <w:rFonts w:ascii="Courier New" w:cs="Courier New" w:eastAsia="Courier New" w:hAnsi="Courier New"/>
          <w:sz w:val="13"/>
          <w:szCs w:val="13"/>
          <w:color w:val="auto"/>
        </w:rPr>
        <w:t>2001</w:t>
      </w:r>
    </w:p>
    <w:p>
      <w:pPr>
        <w:spacing w:after="0" w:line="5" w:lineRule="exact"/>
        <w:rPr>
          <w:sz w:val="20"/>
          <w:szCs w:val="20"/>
          <w:color w:val="auto"/>
        </w:rPr>
      </w:pPr>
    </w:p>
    <w:p>
      <w:pPr>
        <w:spacing w:after="0"/>
        <w:tabs>
          <w:tab w:leader="none" w:pos="1320" w:val="left"/>
          <w:tab w:leader="none" w:pos="2680" w:val="left"/>
          <w:tab w:leader="none" w:pos="4020" w:val="left"/>
          <w:tab w:leader="none" w:pos="536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3"/>
          <w:szCs w:val="13"/>
          <w:color w:val="auto"/>
        </w:rPr>
        <w:t>(IN THOUSANDS, EXCEPT SHARE DATA)</w:t>
      </w:r>
    </w:p>
    <w:p>
      <w:pPr>
        <w:spacing w:after="0" w:line="5" w:lineRule="exact"/>
        <w:rPr>
          <w:sz w:val="20"/>
          <w:szCs w:val="20"/>
          <w:color w:val="auto"/>
        </w:rPr>
      </w:pPr>
    </w:p>
    <w:p>
      <w:pPr>
        <w:sectPr>
          <w:pgSz w:w="11900" w:h="16838" w:orient="portrait"/>
          <w:cols w:equalWidth="0" w:num="2">
            <w:col w:w="3480" w:space="400"/>
            <w:col w:w="7660"/>
          </w:cols>
          <w:pgMar w:left="220" w:top="141" w:right="139" w:bottom="0" w:gutter="0" w:footer="0" w:header="0"/>
          <w:type w:val="continuous"/>
        </w:sectPr>
      </w:pPr>
    </w:p>
    <w:p>
      <w:pPr>
        <w:spacing w:after="0"/>
        <w:rPr>
          <w:sz w:val="20"/>
          <w:szCs w:val="20"/>
          <w:color w:val="auto"/>
        </w:rPr>
      </w:pPr>
      <w:r>
        <w:rPr>
          <w:rFonts w:ascii="Courier New" w:cs="Courier New" w:eastAsia="Courier New" w:hAnsi="Courier New"/>
          <w:sz w:val="13"/>
          <w:szCs w:val="13"/>
          <w:color w:val="auto"/>
        </w:rPr>
        <w:t>RECONCILIATION TO US</w:t>
      </w:r>
    </w:p>
    <w:p>
      <w:pPr>
        <w:spacing w:after="0" w:line="5" w:lineRule="exact"/>
        <w:rPr>
          <w:sz w:val="20"/>
          <w:szCs w:val="20"/>
          <w:color w:val="auto"/>
        </w:rPr>
      </w:pPr>
    </w:p>
    <w:p>
      <w:pPr>
        <w:ind w:left="240"/>
        <w:spacing w:after="0"/>
        <w:rPr>
          <w:sz w:val="20"/>
          <w:szCs w:val="20"/>
          <w:color w:val="auto"/>
        </w:rPr>
      </w:pPr>
      <w:r>
        <w:rPr>
          <w:rFonts w:ascii="Courier New" w:cs="Courier New" w:eastAsia="Courier New" w:hAnsi="Courier New"/>
          <w:sz w:val="13"/>
          <w:szCs w:val="13"/>
          <w:color w:val="auto"/>
        </w:rPr>
        <w:t>GAAP:</w:t>
      </w:r>
    </w:p>
    <w:p>
      <w:pPr>
        <w:sectPr>
          <w:pgSz w:w="11900" w:h="16838" w:orient="portrait"/>
          <w:cols w:equalWidth="0" w:num="1">
            <w:col w:w="11540"/>
          </w:cols>
          <w:pgMar w:left="220" w:top="141" w:right="13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48"/>
        </w:trPr>
        <w:tc>
          <w:tcPr>
            <w:tcW w:w="2220" w:type="dxa"/>
            <w:vAlign w:val="bottom"/>
          </w:tcPr>
          <w:p>
            <w:pPr>
              <w:spacing w:after="0"/>
              <w:rPr>
                <w:sz w:val="20"/>
                <w:szCs w:val="20"/>
                <w:color w:val="auto"/>
              </w:rPr>
            </w:pPr>
            <w:r>
              <w:rPr>
                <w:rFonts w:ascii="Courier New" w:cs="Courier New" w:eastAsia="Courier New" w:hAnsi="Courier New"/>
                <w:sz w:val="13"/>
                <w:szCs w:val="13"/>
                <w:color w:val="auto"/>
              </w:rPr>
              <w:t>TOTAL ASSETS</w:t>
            </w:r>
          </w:p>
        </w:tc>
        <w:tc>
          <w:tcPr>
            <w:tcW w:w="1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52"/>
        </w:trPr>
        <w:tc>
          <w:tcPr>
            <w:tcW w:w="2220" w:type="dxa"/>
            <w:vAlign w:val="bottom"/>
          </w:tcPr>
          <w:p>
            <w:pPr>
              <w:spacing w:after="0"/>
              <w:rPr>
                <w:sz w:val="20"/>
                <w:szCs w:val="20"/>
                <w:color w:val="auto"/>
              </w:rPr>
            </w:pPr>
            <w:r>
              <w:rPr>
                <w:rFonts w:ascii="Courier New" w:cs="Courier New" w:eastAsia="Courier New" w:hAnsi="Courier New"/>
                <w:sz w:val="13"/>
                <w:szCs w:val="13"/>
                <w:color w:val="auto"/>
              </w:rPr>
              <w:t>According to Israel</w:t>
            </w:r>
          </w:p>
        </w:tc>
        <w:tc>
          <w:tcPr>
            <w:tcW w:w="1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2"/>
        </w:trPr>
        <w:tc>
          <w:tcPr>
            <w:tcW w:w="2220" w:type="dxa"/>
            <w:vAlign w:val="bottom"/>
          </w:tcPr>
          <w:p>
            <w:pPr>
              <w:ind w:left="240"/>
              <w:spacing w:after="0"/>
              <w:rPr>
                <w:sz w:val="20"/>
                <w:szCs w:val="20"/>
                <w:color w:val="auto"/>
              </w:rPr>
            </w:pPr>
            <w:r>
              <w:rPr>
                <w:rFonts w:ascii="Courier New" w:cs="Courier New" w:eastAsia="Courier New" w:hAnsi="Courier New"/>
                <w:sz w:val="13"/>
                <w:szCs w:val="13"/>
                <w:color w:val="auto"/>
              </w:rPr>
              <w:t>GAAP</w:t>
            </w:r>
          </w:p>
        </w:tc>
        <w:tc>
          <w:tcPr>
            <w:tcW w:w="138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$ 636,039</w:t>
            </w:r>
          </w:p>
        </w:tc>
        <w:tc>
          <w:tcPr>
            <w:tcW w:w="1340" w:type="dxa"/>
            <w:vAlign w:val="bottom"/>
          </w:tcPr>
          <w:p>
            <w:pPr>
              <w:jc w:val="right"/>
              <w:ind w:right="274"/>
              <w:spacing w:after="0"/>
              <w:rPr>
                <w:sz w:val="20"/>
                <w:szCs w:val="20"/>
                <w:color w:val="auto"/>
              </w:rPr>
            </w:pPr>
            <w:r>
              <w:rPr>
                <w:rFonts w:ascii="Courier New" w:cs="Courier New" w:eastAsia="Courier New" w:hAnsi="Courier New"/>
                <w:sz w:val="13"/>
                <w:szCs w:val="13"/>
                <w:color w:val="auto"/>
              </w:rPr>
              <w:t>$ 678,686</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$ 847,508</w:t>
            </w:r>
          </w:p>
        </w:tc>
      </w:tr>
      <w:tr>
        <w:trPr>
          <w:trHeight w:val="152"/>
        </w:trPr>
        <w:tc>
          <w:tcPr>
            <w:tcW w:w="2220" w:type="dxa"/>
            <w:vAlign w:val="bottom"/>
          </w:tcPr>
          <w:p>
            <w:pPr>
              <w:spacing w:after="0"/>
              <w:rPr>
                <w:sz w:val="20"/>
                <w:szCs w:val="20"/>
                <w:color w:val="auto"/>
              </w:rPr>
            </w:pPr>
            <w:r>
              <w:rPr>
                <w:rFonts w:ascii="Courier New" w:cs="Courier New" w:eastAsia="Courier New" w:hAnsi="Courier New"/>
                <w:sz w:val="13"/>
                <w:szCs w:val="13"/>
                <w:color w:val="auto"/>
              </w:rPr>
              <w:t>The effect of:</w:t>
            </w:r>
          </w:p>
        </w:tc>
        <w:tc>
          <w:tcPr>
            <w:tcW w:w="1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2"/>
        </w:trPr>
        <w:tc>
          <w:tcPr>
            <w:tcW w:w="2220" w:type="dxa"/>
            <w:vAlign w:val="bottom"/>
          </w:tcPr>
          <w:p>
            <w:pPr>
              <w:spacing w:after="0"/>
              <w:rPr>
                <w:sz w:val="20"/>
                <w:szCs w:val="20"/>
                <w:color w:val="auto"/>
              </w:rPr>
            </w:pPr>
            <w:r>
              <w:rPr>
                <w:rFonts w:ascii="Courier New" w:cs="Courier New" w:eastAsia="Courier New" w:hAnsi="Courier New"/>
                <w:sz w:val="13"/>
                <w:szCs w:val="13"/>
                <w:color w:val="auto"/>
              </w:rPr>
              <w:t>Presentation of</w:t>
            </w:r>
          </w:p>
        </w:tc>
        <w:tc>
          <w:tcPr>
            <w:tcW w:w="1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2"/>
        </w:trPr>
        <w:tc>
          <w:tcPr>
            <w:tcW w:w="2220" w:type="dxa"/>
            <w:vAlign w:val="bottom"/>
          </w:tcPr>
          <w:p>
            <w:pPr>
              <w:ind w:left="240"/>
              <w:spacing w:after="0"/>
              <w:rPr>
                <w:sz w:val="20"/>
                <w:szCs w:val="20"/>
                <w:color w:val="auto"/>
              </w:rPr>
            </w:pPr>
            <w:r>
              <w:rPr>
                <w:rFonts w:ascii="Courier New" w:cs="Courier New" w:eastAsia="Courier New" w:hAnsi="Courier New"/>
                <w:sz w:val="13"/>
                <w:szCs w:val="13"/>
                <w:color w:val="auto"/>
              </w:rPr>
              <w:t>long-term</w:t>
            </w:r>
          </w:p>
        </w:tc>
        <w:tc>
          <w:tcPr>
            <w:tcW w:w="1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2"/>
        </w:trPr>
        <w:tc>
          <w:tcPr>
            <w:tcW w:w="2220" w:type="dxa"/>
            <w:vAlign w:val="bottom"/>
          </w:tcPr>
          <w:p>
            <w:pPr>
              <w:ind w:left="240"/>
              <w:spacing w:after="0"/>
              <w:rPr>
                <w:sz w:val="20"/>
                <w:szCs w:val="20"/>
                <w:color w:val="auto"/>
              </w:rPr>
            </w:pPr>
            <w:r>
              <w:rPr>
                <w:rFonts w:ascii="Courier New" w:cs="Courier New" w:eastAsia="Courier New" w:hAnsi="Courier New"/>
                <w:sz w:val="13"/>
                <w:szCs w:val="13"/>
                <w:color w:val="auto"/>
              </w:rPr>
              <w:t>liabilities in</w:t>
            </w:r>
          </w:p>
        </w:tc>
        <w:tc>
          <w:tcPr>
            <w:tcW w:w="1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2"/>
        </w:trPr>
        <w:tc>
          <w:tcPr>
            <w:tcW w:w="2220" w:type="dxa"/>
            <w:vAlign w:val="bottom"/>
          </w:tcPr>
          <w:p>
            <w:pPr>
              <w:ind w:left="240"/>
              <w:spacing w:after="0"/>
              <w:rPr>
                <w:sz w:val="20"/>
                <w:szCs w:val="20"/>
                <w:color w:val="auto"/>
              </w:rPr>
            </w:pPr>
            <w:r>
              <w:rPr>
                <w:rFonts w:ascii="Courier New" w:cs="Courier New" w:eastAsia="Courier New" w:hAnsi="Courier New"/>
                <w:sz w:val="13"/>
                <w:szCs w:val="13"/>
                <w:color w:val="auto"/>
              </w:rPr>
              <w:t>respect of</w:t>
            </w:r>
          </w:p>
        </w:tc>
        <w:tc>
          <w:tcPr>
            <w:tcW w:w="1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2"/>
        </w:trPr>
        <w:tc>
          <w:tcPr>
            <w:tcW w:w="2220" w:type="dxa"/>
            <w:vAlign w:val="bottom"/>
          </w:tcPr>
          <w:p>
            <w:pPr>
              <w:ind w:left="240"/>
              <w:spacing w:after="0"/>
              <w:rPr>
                <w:sz w:val="20"/>
                <w:szCs w:val="20"/>
                <w:color w:val="auto"/>
              </w:rPr>
            </w:pPr>
            <w:r>
              <w:rPr>
                <w:rFonts w:ascii="Courier New" w:cs="Courier New" w:eastAsia="Courier New" w:hAnsi="Courier New"/>
                <w:sz w:val="13"/>
                <w:szCs w:val="13"/>
                <w:color w:val="auto"/>
              </w:rPr>
              <w:t>employees</w:t>
            </w:r>
          </w:p>
        </w:tc>
        <w:tc>
          <w:tcPr>
            <w:tcW w:w="138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13,587</w:t>
            </w:r>
          </w:p>
        </w:tc>
        <w:tc>
          <w:tcPr>
            <w:tcW w:w="1340" w:type="dxa"/>
            <w:vAlign w:val="bottom"/>
          </w:tcPr>
          <w:p>
            <w:pPr>
              <w:jc w:val="right"/>
              <w:ind w:right="274"/>
              <w:spacing w:after="0"/>
              <w:rPr>
                <w:sz w:val="20"/>
                <w:szCs w:val="20"/>
                <w:color w:val="auto"/>
              </w:rPr>
            </w:pPr>
            <w:r>
              <w:rPr>
                <w:rFonts w:ascii="Courier New" w:cs="Courier New" w:eastAsia="Courier New" w:hAnsi="Courier New"/>
                <w:sz w:val="13"/>
                <w:szCs w:val="13"/>
                <w:color w:val="auto"/>
              </w:rPr>
              <w:t>13,658</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16,350</w:t>
            </w:r>
          </w:p>
        </w:tc>
      </w:tr>
      <w:tr>
        <w:trPr>
          <w:trHeight w:val="152"/>
        </w:trPr>
        <w:tc>
          <w:tcPr>
            <w:tcW w:w="2220" w:type="dxa"/>
            <w:vAlign w:val="bottom"/>
          </w:tcPr>
          <w:p>
            <w:pPr>
              <w:spacing w:after="0"/>
              <w:rPr>
                <w:sz w:val="20"/>
                <w:szCs w:val="20"/>
                <w:color w:val="auto"/>
              </w:rPr>
            </w:pPr>
            <w:r>
              <w:rPr>
                <w:rFonts w:ascii="Courier New" w:cs="Courier New" w:eastAsia="Courier New" w:hAnsi="Courier New"/>
                <w:sz w:val="13"/>
                <w:szCs w:val="13"/>
                <w:color w:val="auto"/>
              </w:rPr>
              <w:t>Hedging activities</w:t>
            </w:r>
          </w:p>
        </w:tc>
        <w:tc>
          <w:tcPr>
            <w:tcW w:w="1380" w:type="dxa"/>
            <w:vAlign w:val="bottom"/>
          </w:tcPr>
          <w:p>
            <w:pPr>
              <w:jc w:val="right"/>
              <w:ind w:right="214"/>
              <w:spacing w:after="0"/>
              <w:rPr>
                <w:sz w:val="20"/>
                <w:szCs w:val="20"/>
                <w:color w:val="auto"/>
              </w:rPr>
            </w:pPr>
            <w:r>
              <w:rPr>
                <w:rFonts w:ascii="Courier New" w:cs="Courier New" w:eastAsia="Courier New" w:hAnsi="Courier New"/>
                <w:sz w:val="13"/>
                <w:szCs w:val="13"/>
                <w:color w:val="auto"/>
              </w:rPr>
              <w:t>(466)</w:t>
            </w:r>
          </w:p>
        </w:tc>
        <w:tc>
          <w:tcPr>
            <w:tcW w:w="1340" w:type="dxa"/>
            <w:vAlign w:val="bottom"/>
          </w:tcPr>
          <w:p>
            <w:pPr>
              <w:jc w:val="right"/>
              <w:ind w:right="194"/>
              <w:spacing w:after="0"/>
              <w:rPr>
                <w:sz w:val="20"/>
                <w:szCs w:val="20"/>
                <w:color w:val="auto"/>
              </w:rPr>
            </w:pPr>
            <w:r>
              <w:rPr>
                <w:rFonts w:ascii="Courier New" w:cs="Courier New" w:eastAsia="Courier New" w:hAnsi="Courier New"/>
                <w:sz w:val="13"/>
                <w:szCs w:val="13"/>
                <w:color w:val="auto"/>
              </w:rPr>
              <w:t>(1,524)</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(4,619)</w:t>
            </w:r>
          </w:p>
        </w:tc>
      </w:tr>
      <w:tr>
        <w:trPr>
          <w:trHeight w:val="152"/>
        </w:trPr>
        <w:tc>
          <w:tcPr>
            <w:tcW w:w="2220" w:type="dxa"/>
            <w:vAlign w:val="bottom"/>
          </w:tcPr>
          <w:p>
            <w:pPr>
              <w:spacing w:after="0"/>
              <w:rPr>
                <w:sz w:val="20"/>
                <w:szCs w:val="20"/>
                <w:color w:val="auto"/>
              </w:rPr>
            </w:pPr>
            <w:r>
              <w:rPr>
                <w:rFonts w:ascii="Courier New" w:cs="Courier New" w:eastAsia="Courier New" w:hAnsi="Courier New"/>
                <w:sz w:val="13"/>
                <w:szCs w:val="13"/>
                <w:color w:val="auto"/>
              </w:rPr>
              <w:t>Sale of convertible</w:t>
            </w:r>
          </w:p>
        </w:tc>
        <w:tc>
          <w:tcPr>
            <w:tcW w:w="1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2"/>
        </w:trPr>
        <w:tc>
          <w:tcPr>
            <w:tcW w:w="2220" w:type="dxa"/>
            <w:vAlign w:val="bottom"/>
          </w:tcPr>
          <w:p>
            <w:pPr>
              <w:ind w:left="240"/>
              <w:spacing w:after="0"/>
              <w:rPr>
                <w:sz w:val="20"/>
                <w:szCs w:val="20"/>
                <w:color w:val="auto"/>
              </w:rPr>
            </w:pPr>
            <w:r>
              <w:rPr>
                <w:rFonts w:ascii="Courier New" w:cs="Courier New" w:eastAsia="Courier New" w:hAnsi="Courier New"/>
                <w:sz w:val="13"/>
                <w:szCs w:val="13"/>
                <w:color w:val="auto"/>
              </w:rPr>
              <w:t>debentures</w:t>
            </w:r>
          </w:p>
        </w:tc>
        <w:tc>
          <w:tcPr>
            <w:tcW w:w="138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2,387</w:t>
            </w:r>
          </w:p>
        </w:tc>
        <w:tc>
          <w:tcPr>
            <w:tcW w:w="1340" w:type="dxa"/>
            <w:vAlign w:val="bottom"/>
          </w:tcPr>
          <w:p>
            <w:pPr>
              <w:jc w:val="right"/>
              <w:ind w:right="194"/>
              <w:spacing w:after="0"/>
              <w:rPr>
                <w:sz w:val="20"/>
                <w:szCs w:val="20"/>
                <w:color w:val="auto"/>
              </w:rPr>
            </w:pPr>
            <w:r>
              <w:rPr>
                <w:rFonts w:ascii="Courier New" w:cs="Courier New" w:eastAsia="Courier New" w:hAnsi="Courier New"/>
                <w:sz w:val="13"/>
                <w:szCs w:val="13"/>
                <w:color w:val="auto"/>
              </w:rPr>
              <w:t>(196)</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(196)</w:t>
            </w:r>
          </w:p>
        </w:tc>
      </w:tr>
      <w:tr>
        <w:trPr>
          <w:trHeight w:val="152"/>
        </w:trPr>
        <w:tc>
          <w:tcPr>
            <w:tcW w:w="2220" w:type="dxa"/>
            <w:vAlign w:val="bottom"/>
          </w:tcPr>
          <w:p>
            <w:pPr>
              <w:spacing w:after="0"/>
              <w:rPr>
                <w:sz w:val="20"/>
                <w:szCs w:val="20"/>
                <w:color w:val="auto"/>
              </w:rPr>
            </w:pPr>
            <w:r>
              <w:rPr>
                <w:rFonts w:ascii="Courier New" w:cs="Courier New" w:eastAsia="Courier New" w:hAnsi="Courier New"/>
                <w:sz w:val="13"/>
                <w:szCs w:val="13"/>
                <w:color w:val="auto"/>
              </w:rPr>
              <w:t>Deferred financing</w:t>
            </w:r>
          </w:p>
        </w:tc>
        <w:tc>
          <w:tcPr>
            <w:tcW w:w="1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2"/>
        </w:trPr>
        <w:tc>
          <w:tcPr>
            <w:tcW w:w="2220" w:type="dxa"/>
            <w:vAlign w:val="bottom"/>
          </w:tcPr>
          <w:p>
            <w:pPr>
              <w:ind w:left="240"/>
              <w:spacing w:after="0"/>
              <w:rPr>
                <w:sz w:val="20"/>
                <w:szCs w:val="20"/>
                <w:color w:val="auto"/>
              </w:rPr>
            </w:pPr>
            <w:r>
              <w:rPr>
                <w:rFonts w:ascii="Courier New" w:cs="Courier New" w:eastAsia="Courier New" w:hAnsi="Courier New"/>
                <w:sz w:val="13"/>
                <w:szCs w:val="13"/>
                <w:color w:val="auto"/>
              </w:rPr>
              <w:t>charges</w:t>
            </w:r>
          </w:p>
        </w:tc>
        <w:tc>
          <w:tcPr>
            <w:tcW w:w="138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11,727</w:t>
            </w:r>
          </w:p>
        </w:tc>
        <w:tc>
          <w:tcPr>
            <w:tcW w:w="1340" w:type="dxa"/>
            <w:vAlign w:val="bottom"/>
          </w:tcPr>
          <w:p>
            <w:pPr>
              <w:jc w:val="right"/>
              <w:ind w:right="274"/>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w:t>
            </w:r>
          </w:p>
        </w:tc>
      </w:tr>
      <w:tr>
        <w:trPr>
          <w:trHeight w:val="152"/>
        </w:trPr>
        <w:tc>
          <w:tcPr>
            <w:tcW w:w="2220" w:type="dxa"/>
            <w:vAlign w:val="bottom"/>
          </w:tcPr>
          <w:p>
            <w:pPr>
              <w:spacing w:after="0"/>
              <w:rPr>
                <w:sz w:val="13"/>
                <w:szCs w:val="13"/>
                <w:color w:val="auto"/>
              </w:rPr>
            </w:pPr>
          </w:p>
        </w:tc>
        <w:tc>
          <w:tcPr>
            <w:tcW w:w="138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w:t>
            </w:r>
          </w:p>
        </w:tc>
        <w:tc>
          <w:tcPr>
            <w:tcW w:w="1340" w:type="dxa"/>
            <w:vAlign w:val="bottom"/>
          </w:tcPr>
          <w:p>
            <w:pPr>
              <w:jc w:val="right"/>
              <w:ind w:right="274"/>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w:t>
            </w:r>
          </w:p>
        </w:tc>
      </w:tr>
      <w:tr>
        <w:trPr>
          <w:trHeight w:val="304"/>
        </w:trPr>
        <w:tc>
          <w:tcPr>
            <w:tcW w:w="2220" w:type="dxa"/>
            <w:vAlign w:val="bottom"/>
          </w:tcPr>
          <w:p>
            <w:pPr>
              <w:spacing w:after="0"/>
              <w:rPr>
                <w:sz w:val="20"/>
                <w:szCs w:val="20"/>
                <w:color w:val="auto"/>
              </w:rPr>
            </w:pPr>
            <w:r>
              <w:rPr>
                <w:rFonts w:ascii="Courier New" w:cs="Courier New" w:eastAsia="Courier New" w:hAnsi="Courier New"/>
                <w:sz w:val="13"/>
                <w:szCs w:val="13"/>
                <w:color w:val="auto"/>
              </w:rPr>
              <w:t>According to US GAAP</w:t>
            </w:r>
          </w:p>
        </w:tc>
        <w:tc>
          <w:tcPr>
            <w:tcW w:w="138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$ 663,274</w:t>
            </w:r>
          </w:p>
        </w:tc>
        <w:tc>
          <w:tcPr>
            <w:tcW w:w="1340" w:type="dxa"/>
            <w:vAlign w:val="bottom"/>
          </w:tcPr>
          <w:p>
            <w:pPr>
              <w:jc w:val="right"/>
              <w:ind w:right="274"/>
              <w:spacing w:after="0"/>
              <w:rPr>
                <w:sz w:val="20"/>
                <w:szCs w:val="20"/>
                <w:color w:val="auto"/>
              </w:rPr>
            </w:pPr>
            <w:r>
              <w:rPr>
                <w:rFonts w:ascii="Courier New" w:cs="Courier New" w:eastAsia="Courier New" w:hAnsi="Courier New"/>
                <w:sz w:val="13"/>
                <w:szCs w:val="13"/>
                <w:color w:val="auto"/>
              </w:rPr>
              <w:t>$ 690,624</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$ 859,043</w:t>
            </w:r>
          </w:p>
        </w:tc>
      </w:tr>
      <w:tr>
        <w:trPr>
          <w:trHeight w:val="152"/>
        </w:trPr>
        <w:tc>
          <w:tcPr>
            <w:tcW w:w="2220" w:type="dxa"/>
            <w:vAlign w:val="bottom"/>
          </w:tcPr>
          <w:p>
            <w:pPr>
              <w:spacing w:after="0"/>
              <w:rPr>
                <w:sz w:val="13"/>
                <w:szCs w:val="13"/>
                <w:color w:val="auto"/>
              </w:rPr>
            </w:pPr>
          </w:p>
        </w:tc>
        <w:tc>
          <w:tcPr>
            <w:tcW w:w="138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w:t>
            </w:r>
          </w:p>
        </w:tc>
        <w:tc>
          <w:tcPr>
            <w:tcW w:w="1340" w:type="dxa"/>
            <w:vAlign w:val="bottom"/>
          </w:tcPr>
          <w:p>
            <w:pPr>
              <w:jc w:val="right"/>
              <w:ind w:right="274"/>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w:t>
            </w:r>
          </w:p>
        </w:tc>
      </w:tr>
      <w:tr>
        <w:trPr>
          <w:trHeight w:val="304"/>
        </w:trPr>
        <w:tc>
          <w:tcPr>
            <w:tcW w:w="2220" w:type="dxa"/>
            <w:vAlign w:val="bottom"/>
          </w:tcPr>
          <w:p>
            <w:pPr>
              <w:spacing w:after="0"/>
              <w:rPr>
                <w:sz w:val="20"/>
                <w:szCs w:val="20"/>
                <w:color w:val="auto"/>
              </w:rPr>
            </w:pPr>
            <w:r>
              <w:rPr>
                <w:rFonts w:ascii="Courier New" w:cs="Courier New" w:eastAsia="Courier New" w:hAnsi="Courier New"/>
                <w:sz w:val="13"/>
                <w:szCs w:val="13"/>
                <w:color w:val="auto"/>
              </w:rPr>
              <w:t>SHAREHOLDERS' EQUITY</w:t>
            </w: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52"/>
        </w:trPr>
        <w:tc>
          <w:tcPr>
            <w:tcW w:w="2220" w:type="dxa"/>
            <w:vAlign w:val="bottom"/>
          </w:tcPr>
          <w:p>
            <w:pPr>
              <w:spacing w:after="0"/>
              <w:rPr>
                <w:sz w:val="20"/>
                <w:szCs w:val="20"/>
                <w:color w:val="auto"/>
              </w:rPr>
            </w:pPr>
            <w:r>
              <w:rPr>
                <w:rFonts w:ascii="Courier New" w:cs="Courier New" w:eastAsia="Courier New" w:hAnsi="Courier New"/>
                <w:sz w:val="13"/>
                <w:szCs w:val="13"/>
                <w:color w:val="auto"/>
              </w:rPr>
              <w:t>(DEFICIT)</w:t>
            </w:r>
          </w:p>
        </w:tc>
        <w:tc>
          <w:tcPr>
            <w:tcW w:w="1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2"/>
        </w:trPr>
        <w:tc>
          <w:tcPr>
            <w:tcW w:w="2220" w:type="dxa"/>
            <w:vAlign w:val="bottom"/>
          </w:tcPr>
          <w:p>
            <w:pPr>
              <w:spacing w:after="0"/>
              <w:rPr>
                <w:sz w:val="20"/>
                <w:szCs w:val="20"/>
                <w:color w:val="auto"/>
              </w:rPr>
            </w:pPr>
            <w:r>
              <w:rPr>
                <w:rFonts w:ascii="Courier New" w:cs="Courier New" w:eastAsia="Courier New" w:hAnsi="Courier New"/>
                <w:sz w:val="13"/>
                <w:szCs w:val="13"/>
                <w:color w:val="auto"/>
              </w:rPr>
              <w:t>According to Israel GAAP</w:t>
            </w:r>
          </w:p>
        </w:tc>
        <w:tc>
          <w:tcPr>
            <w:tcW w:w="1380" w:type="dxa"/>
            <w:vAlign w:val="bottom"/>
          </w:tcPr>
          <w:p>
            <w:pPr>
              <w:jc w:val="right"/>
              <w:ind w:right="214"/>
              <w:spacing w:after="0"/>
              <w:rPr>
                <w:sz w:val="20"/>
                <w:szCs w:val="20"/>
                <w:color w:val="auto"/>
              </w:rPr>
            </w:pPr>
            <w:r>
              <w:rPr>
                <w:rFonts w:ascii="Courier New" w:cs="Courier New" w:eastAsia="Courier New" w:hAnsi="Courier New"/>
                <w:sz w:val="13"/>
                <w:szCs w:val="13"/>
                <w:color w:val="auto"/>
              </w:rPr>
              <w:t>$ (44,806)</w:t>
            </w:r>
          </w:p>
        </w:tc>
        <w:tc>
          <w:tcPr>
            <w:tcW w:w="1340" w:type="dxa"/>
            <w:vAlign w:val="bottom"/>
          </w:tcPr>
          <w:p>
            <w:pPr>
              <w:jc w:val="right"/>
              <w:ind w:right="194"/>
              <w:spacing w:after="0"/>
              <w:rPr>
                <w:sz w:val="20"/>
                <w:szCs w:val="20"/>
                <w:color w:val="auto"/>
              </w:rPr>
            </w:pPr>
            <w:r>
              <w:rPr>
                <w:rFonts w:ascii="Courier New" w:cs="Courier New" w:eastAsia="Courier New" w:hAnsi="Courier New"/>
                <w:sz w:val="13"/>
                <w:szCs w:val="13"/>
                <w:color w:val="auto"/>
              </w:rPr>
              <w:t>$ (30,067)</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$ 167,980</w:t>
            </w:r>
          </w:p>
        </w:tc>
      </w:tr>
      <w:tr>
        <w:trPr>
          <w:trHeight w:val="152"/>
        </w:trPr>
        <w:tc>
          <w:tcPr>
            <w:tcW w:w="2220" w:type="dxa"/>
            <w:vAlign w:val="bottom"/>
          </w:tcPr>
          <w:p>
            <w:pPr>
              <w:spacing w:after="0"/>
              <w:rPr>
                <w:sz w:val="20"/>
                <w:szCs w:val="20"/>
                <w:color w:val="auto"/>
              </w:rPr>
            </w:pPr>
            <w:r>
              <w:rPr>
                <w:rFonts w:ascii="Courier New" w:cs="Courier New" w:eastAsia="Courier New" w:hAnsi="Courier New"/>
                <w:sz w:val="13"/>
                <w:szCs w:val="13"/>
                <w:color w:val="auto"/>
              </w:rPr>
              <w:t>The effect of:</w:t>
            </w:r>
          </w:p>
        </w:tc>
        <w:tc>
          <w:tcPr>
            <w:tcW w:w="1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2"/>
        </w:trPr>
        <w:tc>
          <w:tcPr>
            <w:tcW w:w="2220" w:type="dxa"/>
            <w:vAlign w:val="bottom"/>
          </w:tcPr>
          <w:p>
            <w:pPr>
              <w:ind w:left="320"/>
              <w:spacing w:after="0"/>
              <w:rPr>
                <w:sz w:val="20"/>
                <w:szCs w:val="20"/>
                <w:color w:val="auto"/>
              </w:rPr>
            </w:pPr>
            <w:r>
              <w:rPr>
                <w:rFonts w:ascii="Courier New" w:cs="Courier New" w:eastAsia="Courier New" w:hAnsi="Courier New"/>
                <w:sz w:val="13"/>
                <w:szCs w:val="13"/>
                <w:color w:val="auto"/>
              </w:rPr>
              <w:t>Hedging</w:t>
            </w:r>
          </w:p>
        </w:tc>
        <w:tc>
          <w:tcPr>
            <w:tcW w:w="1380" w:type="dxa"/>
            <w:vAlign w:val="bottom"/>
          </w:tcPr>
          <w:p>
            <w:pPr>
              <w:jc w:val="right"/>
              <w:ind w:right="214"/>
              <w:spacing w:after="0"/>
              <w:rPr>
                <w:sz w:val="20"/>
                <w:szCs w:val="20"/>
                <w:color w:val="auto"/>
              </w:rPr>
            </w:pPr>
            <w:r>
              <w:rPr>
                <w:rFonts w:ascii="Courier New" w:cs="Courier New" w:eastAsia="Courier New" w:hAnsi="Courier New"/>
                <w:sz w:val="13"/>
                <w:szCs w:val="13"/>
                <w:color w:val="auto"/>
              </w:rPr>
              <w:t>(466)</w:t>
            </w:r>
          </w:p>
        </w:tc>
        <w:tc>
          <w:tcPr>
            <w:tcW w:w="1340" w:type="dxa"/>
            <w:vAlign w:val="bottom"/>
          </w:tcPr>
          <w:p>
            <w:pPr>
              <w:jc w:val="right"/>
              <w:ind w:right="194"/>
              <w:spacing w:after="0"/>
              <w:rPr>
                <w:sz w:val="20"/>
                <w:szCs w:val="20"/>
                <w:color w:val="auto"/>
              </w:rPr>
            </w:pPr>
            <w:r>
              <w:rPr>
                <w:rFonts w:ascii="Courier New" w:cs="Courier New" w:eastAsia="Courier New" w:hAnsi="Courier New"/>
                <w:sz w:val="13"/>
                <w:szCs w:val="13"/>
                <w:color w:val="auto"/>
              </w:rPr>
              <w:t>(1,524)</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(7,025)</w:t>
            </w:r>
          </w:p>
        </w:tc>
      </w:tr>
      <w:tr>
        <w:trPr>
          <w:trHeight w:val="152"/>
        </w:trPr>
        <w:tc>
          <w:tcPr>
            <w:tcW w:w="2220" w:type="dxa"/>
            <w:vAlign w:val="bottom"/>
          </w:tcPr>
          <w:p>
            <w:pPr>
              <w:ind w:left="320"/>
              <w:spacing w:after="0"/>
              <w:rPr>
                <w:sz w:val="20"/>
                <w:szCs w:val="20"/>
                <w:color w:val="auto"/>
              </w:rPr>
            </w:pPr>
            <w:r>
              <w:rPr>
                <w:rFonts w:ascii="Courier New" w:cs="Courier New" w:eastAsia="Courier New" w:hAnsi="Courier New"/>
                <w:sz w:val="13"/>
                <w:szCs w:val="13"/>
                <w:color w:val="auto"/>
              </w:rPr>
              <w:t>activities</w:t>
            </w:r>
          </w:p>
        </w:tc>
        <w:tc>
          <w:tcPr>
            <w:tcW w:w="1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2"/>
        </w:trPr>
        <w:tc>
          <w:tcPr>
            <w:tcW w:w="2220" w:type="dxa"/>
            <w:vAlign w:val="bottom"/>
          </w:tcPr>
          <w:p>
            <w:pPr>
              <w:ind w:left="320"/>
              <w:spacing w:after="0"/>
              <w:rPr>
                <w:sz w:val="20"/>
                <w:szCs w:val="20"/>
                <w:color w:val="auto"/>
              </w:rPr>
            </w:pPr>
            <w:r>
              <w:rPr>
                <w:rFonts w:ascii="Courier New" w:cs="Courier New" w:eastAsia="Courier New" w:hAnsi="Courier New"/>
                <w:sz w:val="13"/>
                <w:szCs w:val="13"/>
                <w:color w:val="auto"/>
              </w:rPr>
              <w:t>Proceeds on</w:t>
            </w:r>
          </w:p>
        </w:tc>
        <w:tc>
          <w:tcPr>
            <w:tcW w:w="1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2"/>
        </w:trPr>
        <w:tc>
          <w:tcPr>
            <w:tcW w:w="2220" w:type="dxa"/>
            <w:vAlign w:val="bottom"/>
          </w:tcPr>
          <w:p>
            <w:pPr>
              <w:ind w:left="320"/>
              <w:spacing w:after="0"/>
              <w:rPr>
                <w:sz w:val="20"/>
                <w:szCs w:val="20"/>
                <w:color w:val="auto"/>
              </w:rPr>
            </w:pPr>
            <w:r>
              <w:rPr>
                <w:rFonts w:ascii="Courier New" w:cs="Courier New" w:eastAsia="Courier New" w:hAnsi="Courier New"/>
                <w:sz w:val="13"/>
                <w:szCs w:val="13"/>
                <w:color w:val="auto"/>
              </w:rPr>
              <w:t>account of</w:t>
            </w:r>
          </w:p>
        </w:tc>
        <w:tc>
          <w:tcPr>
            <w:tcW w:w="1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2"/>
        </w:trPr>
        <w:tc>
          <w:tcPr>
            <w:tcW w:w="2220" w:type="dxa"/>
            <w:vAlign w:val="bottom"/>
          </w:tcPr>
          <w:p>
            <w:pPr>
              <w:ind w:left="320"/>
              <w:spacing w:after="0"/>
              <w:rPr>
                <w:sz w:val="20"/>
                <w:szCs w:val="20"/>
                <w:color w:val="auto"/>
              </w:rPr>
            </w:pPr>
            <w:r>
              <w:rPr>
                <w:rFonts w:ascii="Courier New" w:cs="Courier New" w:eastAsia="Courier New" w:hAnsi="Courier New"/>
                <w:sz w:val="13"/>
                <w:szCs w:val="13"/>
                <w:color w:val="auto"/>
              </w:rPr>
              <w:t>share capital</w:t>
            </w:r>
          </w:p>
        </w:tc>
        <w:tc>
          <w:tcPr>
            <w:tcW w:w="138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w:t>
            </w:r>
          </w:p>
        </w:tc>
        <w:tc>
          <w:tcPr>
            <w:tcW w:w="1340" w:type="dxa"/>
            <w:vAlign w:val="bottom"/>
          </w:tcPr>
          <w:p>
            <w:pPr>
              <w:jc w:val="right"/>
              <w:ind w:right="274"/>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w:t>
            </w:r>
          </w:p>
        </w:tc>
      </w:tr>
      <w:tr>
        <w:trPr>
          <w:trHeight w:val="152"/>
        </w:trPr>
        <w:tc>
          <w:tcPr>
            <w:tcW w:w="2220" w:type="dxa"/>
            <w:vAlign w:val="bottom"/>
          </w:tcPr>
          <w:p>
            <w:pPr>
              <w:ind w:left="320"/>
              <w:spacing w:after="0"/>
              <w:rPr>
                <w:sz w:val="20"/>
                <w:szCs w:val="20"/>
                <w:color w:val="auto"/>
              </w:rPr>
            </w:pPr>
            <w:r>
              <w:rPr>
                <w:rFonts w:ascii="Courier New" w:cs="Courier New" w:eastAsia="Courier New" w:hAnsi="Courier New"/>
                <w:sz w:val="13"/>
                <w:szCs w:val="13"/>
                <w:color w:val="auto"/>
              </w:rPr>
              <w:t>Sale of</w:t>
            </w:r>
          </w:p>
        </w:tc>
        <w:tc>
          <w:tcPr>
            <w:tcW w:w="1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2"/>
        </w:trPr>
        <w:tc>
          <w:tcPr>
            <w:tcW w:w="2220" w:type="dxa"/>
            <w:vAlign w:val="bottom"/>
          </w:tcPr>
          <w:p>
            <w:pPr>
              <w:ind w:left="320"/>
              <w:spacing w:after="0"/>
              <w:rPr>
                <w:sz w:val="20"/>
                <w:szCs w:val="20"/>
                <w:color w:val="auto"/>
              </w:rPr>
            </w:pPr>
            <w:r>
              <w:rPr>
                <w:rFonts w:ascii="Courier New" w:cs="Courier New" w:eastAsia="Courier New" w:hAnsi="Courier New"/>
                <w:sz w:val="13"/>
                <w:szCs w:val="13"/>
                <w:color w:val="auto"/>
              </w:rPr>
              <w:t>convertible</w:t>
            </w:r>
          </w:p>
        </w:tc>
        <w:tc>
          <w:tcPr>
            <w:tcW w:w="1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2"/>
        </w:trPr>
        <w:tc>
          <w:tcPr>
            <w:tcW w:w="2220" w:type="dxa"/>
            <w:vAlign w:val="bottom"/>
          </w:tcPr>
          <w:p>
            <w:pPr>
              <w:ind w:left="320"/>
              <w:spacing w:after="0"/>
              <w:rPr>
                <w:sz w:val="20"/>
                <w:szCs w:val="20"/>
                <w:color w:val="auto"/>
              </w:rPr>
            </w:pPr>
            <w:r>
              <w:rPr>
                <w:rFonts w:ascii="Courier New" w:cs="Courier New" w:eastAsia="Courier New" w:hAnsi="Courier New"/>
                <w:sz w:val="13"/>
                <w:szCs w:val="13"/>
                <w:color w:val="auto"/>
              </w:rPr>
              <w:t>debentures(*)</w:t>
            </w:r>
          </w:p>
        </w:tc>
        <w:tc>
          <w:tcPr>
            <w:tcW w:w="1380" w:type="dxa"/>
            <w:vAlign w:val="bottom"/>
          </w:tcPr>
          <w:p>
            <w:pPr>
              <w:jc w:val="right"/>
              <w:ind w:right="214"/>
              <w:spacing w:after="0"/>
              <w:rPr>
                <w:sz w:val="20"/>
                <w:szCs w:val="20"/>
                <w:color w:val="auto"/>
              </w:rPr>
            </w:pPr>
            <w:r>
              <w:rPr>
                <w:rFonts w:ascii="Courier New" w:cs="Courier New" w:eastAsia="Courier New" w:hAnsi="Courier New"/>
                <w:sz w:val="13"/>
                <w:szCs w:val="13"/>
                <w:color w:val="auto"/>
              </w:rPr>
              <w:t>(11,370)</w:t>
            </w:r>
          </w:p>
        </w:tc>
        <w:tc>
          <w:tcPr>
            <w:tcW w:w="1340" w:type="dxa"/>
            <w:vAlign w:val="bottom"/>
          </w:tcPr>
          <w:p>
            <w:pPr>
              <w:jc w:val="right"/>
              <w:ind w:right="274"/>
              <w:spacing w:after="0"/>
              <w:rPr>
                <w:sz w:val="20"/>
                <w:szCs w:val="20"/>
                <w:color w:val="auto"/>
              </w:rPr>
            </w:pPr>
            <w:r>
              <w:rPr>
                <w:rFonts w:ascii="Courier New" w:cs="Courier New" w:eastAsia="Courier New" w:hAnsi="Courier New"/>
                <w:sz w:val="13"/>
                <w:szCs w:val="13"/>
                <w:color w:val="auto"/>
              </w:rPr>
              <w:t>2,363</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2,363</w:t>
            </w:r>
          </w:p>
        </w:tc>
      </w:tr>
      <w:tr>
        <w:trPr>
          <w:trHeight w:val="152"/>
        </w:trPr>
        <w:tc>
          <w:tcPr>
            <w:tcW w:w="2220" w:type="dxa"/>
            <w:vAlign w:val="bottom"/>
          </w:tcPr>
          <w:p>
            <w:pPr>
              <w:spacing w:after="0"/>
              <w:rPr>
                <w:sz w:val="13"/>
                <w:szCs w:val="13"/>
                <w:color w:val="auto"/>
              </w:rPr>
            </w:pPr>
          </w:p>
        </w:tc>
        <w:tc>
          <w:tcPr>
            <w:tcW w:w="138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w:t>
            </w:r>
          </w:p>
        </w:tc>
        <w:tc>
          <w:tcPr>
            <w:tcW w:w="1340" w:type="dxa"/>
            <w:vAlign w:val="bottom"/>
          </w:tcPr>
          <w:p>
            <w:pPr>
              <w:jc w:val="right"/>
              <w:ind w:right="274"/>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w:t>
            </w:r>
          </w:p>
        </w:tc>
      </w:tr>
      <w:tr>
        <w:trPr>
          <w:trHeight w:val="304"/>
        </w:trPr>
        <w:tc>
          <w:tcPr>
            <w:tcW w:w="2220" w:type="dxa"/>
            <w:vAlign w:val="bottom"/>
          </w:tcPr>
          <w:p>
            <w:pPr>
              <w:spacing w:after="0"/>
              <w:rPr>
                <w:sz w:val="20"/>
                <w:szCs w:val="20"/>
                <w:color w:val="auto"/>
              </w:rPr>
            </w:pPr>
            <w:r>
              <w:rPr>
                <w:rFonts w:ascii="Courier New" w:cs="Courier New" w:eastAsia="Courier New" w:hAnsi="Courier New"/>
                <w:sz w:val="13"/>
                <w:szCs w:val="13"/>
                <w:color w:val="auto"/>
              </w:rPr>
              <w:t>According to US GAAP</w:t>
            </w:r>
          </w:p>
        </w:tc>
        <w:tc>
          <w:tcPr>
            <w:tcW w:w="1380" w:type="dxa"/>
            <w:vAlign w:val="bottom"/>
          </w:tcPr>
          <w:p>
            <w:pPr>
              <w:jc w:val="right"/>
              <w:ind w:right="214"/>
              <w:spacing w:after="0"/>
              <w:rPr>
                <w:sz w:val="20"/>
                <w:szCs w:val="20"/>
                <w:color w:val="auto"/>
              </w:rPr>
            </w:pPr>
            <w:r>
              <w:rPr>
                <w:rFonts w:ascii="Courier New" w:cs="Courier New" w:eastAsia="Courier New" w:hAnsi="Courier New"/>
                <w:sz w:val="13"/>
                <w:szCs w:val="13"/>
                <w:color w:val="auto"/>
              </w:rPr>
              <w:t>$ (56,642)</w:t>
            </w:r>
          </w:p>
        </w:tc>
        <w:tc>
          <w:tcPr>
            <w:tcW w:w="1340" w:type="dxa"/>
            <w:vAlign w:val="bottom"/>
          </w:tcPr>
          <w:p>
            <w:pPr>
              <w:jc w:val="right"/>
              <w:ind w:right="194"/>
              <w:spacing w:after="0"/>
              <w:rPr>
                <w:sz w:val="20"/>
                <w:szCs w:val="20"/>
                <w:color w:val="auto"/>
              </w:rPr>
            </w:pPr>
            <w:r>
              <w:rPr>
                <w:rFonts w:ascii="Courier New" w:cs="Courier New" w:eastAsia="Courier New" w:hAnsi="Courier New"/>
                <w:sz w:val="13"/>
                <w:szCs w:val="13"/>
                <w:color w:val="auto"/>
              </w:rPr>
              <w:t>$ (29,228)</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$ 163,318</w:t>
            </w:r>
          </w:p>
        </w:tc>
      </w:tr>
      <w:tr>
        <w:trPr>
          <w:trHeight w:val="152"/>
        </w:trPr>
        <w:tc>
          <w:tcPr>
            <w:tcW w:w="2220" w:type="dxa"/>
            <w:vAlign w:val="bottom"/>
          </w:tcPr>
          <w:p>
            <w:pPr>
              <w:spacing w:after="0"/>
              <w:rPr>
                <w:sz w:val="13"/>
                <w:szCs w:val="13"/>
                <w:color w:val="auto"/>
              </w:rPr>
            </w:pPr>
          </w:p>
        </w:tc>
        <w:tc>
          <w:tcPr>
            <w:tcW w:w="138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w:t>
            </w:r>
          </w:p>
        </w:tc>
        <w:tc>
          <w:tcPr>
            <w:tcW w:w="1340" w:type="dxa"/>
            <w:vAlign w:val="bottom"/>
          </w:tcPr>
          <w:p>
            <w:pPr>
              <w:jc w:val="right"/>
              <w:ind w:right="274"/>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w:t>
            </w:r>
          </w:p>
        </w:tc>
      </w:tr>
    </w:tbl>
    <w:p>
      <w:pPr>
        <w:spacing w:after="0" w:line="309" w:lineRule="exact"/>
        <w:rPr>
          <w:sz w:val="20"/>
          <w:szCs w:val="20"/>
          <w:color w:val="auto"/>
        </w:rPr>
      </w:pPr>
    </w:p>
    <w:p>
      <w:pPr>
        <w:jc w:val="both"/>
        <w:ind w:right="80" w:firstLine="1"/>
        <w:spacing w:after="0" w:line="248" w:lineRule="auto"/>
        <w:tabs>
          <w:tab w:leader="none" w:pos="317"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Including mainly the allocation of a portion of the total proceeds from the sale of securities issued in January 2002 and the classification as liabilities of the equity component of the 2002 and 2005 convertible debentures, presented, following January 1, 2006, as equity under Israeli GAAP.</w:t>
      </w:r>
    </w:p>
    <w:p>
      <w:pPr>
        <w:spacing w:after="0" w:line="152" w:lineRule="exact"/>
        <w:rPr>
          <w:sz w:val="20"/>
          <w:szCs w:val="20"/>
          <w:color w:val="auto"/>
        </w:rPr>
      </w:pPr>
    </w:p>
    <w:p>
      <w:pPr>
        <w:spacing w:after="0" w:line="248" w:lineRule="auto"/>
        <w:rPr>
          <w:sz w:val="20"/>
          <w:szCs w:val="20"/>
          <w:color w:val="auto"/>
        </w:rPr>
      </w:pPr>
      <w:r>
        <w:rPr>
          <w:rFonts w:ascii="Courier New" w:cs="Courier New" w:eastAsia="Courier New" w:hAnsi="Courier New"/>
          <w:sz w:val="13"/>
          <w:szCs w:val="13"/>
          <w:color w:val="auto"/>
        </w:rPr>
        <w:t>RECONCILIATION TO US GAAP OF THE STATEMENTS OF OPERATIONS DATA: The loss for the three month period ended March 31, 2006 under US GAAP would have decreased in the amount of approximately $4.9 million from its respective data in accordance with Israeli GAAP and would result in a loss of approximately $40.2 million. The loss under US GAAP for the other periods presented would not have materially differed from the respective data in accordance with Israeli GAAP.</w:t>
      </w:r>
    </w:p>
    <w:p>
      <w:pPr>
        <w:spacing w:after="0" w:line="30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3"/>
          <w:szCs w:val="13"/>
          <w:color w:val="auto"/>
        </w:rPr>
        <w:t>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RECENT EVENTS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AMENDMENT TO OUR FACILITY AGREEMENT</w:t>
      </w:r>
    </w:p>
    <w:p>
      <w:pPr>
        <w:spacing w:after="0" w:line="157" w:lineRule="exact"/>
        <w:rPr>
          <w:sz w:val="20"/>
          <w:szCs w:val="20"/>
          <w:color w:val="auto"/>
        </w:rPr>
      </w:pPr>
    </w:p>
    <w:p>
      <w:pPr>
        <w:ind w:firstLine="396"/>
        <w:spacing w:after="0" w:line="248" w:lineRule="auto"/>
        <w:rPr>
          <w:sz w:val="20"/>
          <w:szCs w:val="20"/>
          <w:color w:val="auto"/>
        </w:rPr>
      </w:pPr>
      <w:r>
        <w:rPr>
          <w:rFonts w:ascii="Courier New" w:cs="Courier New" w:eastAsia="Courier New" w:hAnsi="Courier New"/>
          <w:sz w:val="13"/>
          <w:szCs w:val="13"/>
          <w:color w:val="auto"/>
        </w:rPr>
        <w:t>In May 2006, we signed amendments to the facility agreement with our banks, according to which: (i) repayments of long-terms loans in the amount of approximately $100 million scheduled to be paid between October 2006 and June 2007, were deferred to July 2007; and (ii) the date on which we were required to raise approximately $8 million was deferred from June 30, 2006 to September 30, 2006.</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RAMP-UP OF FAB 2</w:t>
      </w:r>
    </w:p>
    <w:p>
      <w:pPr>
        <w:spacing w:after="0" w:line="157" w:lineRule="exact"/>
        <w:rPr>
          <w:sz w:val="20"/>
          <w:szCs w:val="20"/>
          <w:color w:val="auto"/>
        </w:rPr>
      </w:pPr>
    </w:p>
    <w:p>
      <w:pPr>
        <w:ind w:right="160" w:firstLine="396"/>
        <w:spacing w:after="0" w:line="248" w:lineRule="auto"/>
        <w:rPr>
          <w:sz w:val="20"/>
          <w:szCs w:val="20"/>
          <w:color w:val="auto"/>
        </w:rPr>
      </w:pPr>
      <w:r>
        <w:rPr>
          <w:rFonts w:ascii="Courier New" w:cs="Courier New" w:eastAsia="Courier New" w:hAnsi="Courier New"/>
          <w:sz w:val="13"/>
          <w:szCs w:val="13"/>
          <w:color w:val="auto"/>
        </w:rPr>
        <w:t>In March 2006, our board of directors approved a plan to ramp up Fab 2 in order to meet our customer and product qualification needs, based on our customer pipeline and reinforced by forecasted market conditions. According to this plan, we will need to raise approximately $130 million during 2006, which will take the current Fab 2 capacity to approximately 24,000 wafers per month.</w:t>
      </w:r>
    </w:p>
    <w:p>
      <w:pPr>
        <w:spacing w:after="0" w:line="152" w:lineRule="exact"/>
        <w:rPr>
          <w:sz w:val="20"/>
          <w:szCs w:val="20"/>
          <w:color w:val="auto"/>
        </w:rPr>
      </w:pPr>
    </w:p>
    <w:p>
      <w:pPr>
        <w:ind w:right="80" w:firstLine="396"/>
        <w:spacing w:after="0" w:line="248" w:lineRule="auto"/>
        <w:rPr>
          <w:sz w:val="20"/>
          <w:szCs w:val="20"/>
          <w:color w:val="auto"/>
        </w:rPr>
      </w:pPr>
      <w:r>
        <w:rPr>
          <w:rFonts w:ascii="Courier New" w:cs="Courier New" w:eastAsia="Courier New" w:hAnsi="Courier New"/>
          <w:sz w:val="13"/>
          <w:szCs w:val="13"/>
          <w:color w:val="auto"/>
        </w:rPr>
        <w:t>Depending on the process technology and product mix, when fully ramped-up we estimate that Fab 2 will be able to achieve capacity levels of up to approximately 40,000 wafers per month, which we currently estimate will require the raising of approximately $150 million, in addition to the amounts described above.</w:t>
      </w:r>
    </w:p>
    <w:p>
      <w:pPr>
        <w:spacing w:after="0" w:line="152" w:lineRule="exact"/>
        <w:rPr>
          <w:sz w:val="20"/>
          <w:szCs w:val="20"/>
          <w:color w:val="auto"/>
        </w:rPr>
      </w:pPr>
    </w:p>
    <w:p>
      <w:pPr>
        <w:ind w:firstLine="396"/>
        <w:spacing w:after="0" w:line="248" w:lineRule="auto"/>
        <w:rPr>
          <w:sz w:val="20"/>
          <w:szCs w:val="20"/>
          <w:color w:val="auto"/>
        </w:rPr>
      </w:pPr>
      <w:r>
        <w:rPr>
          <w:rFonts w:ascii="Courier New" w:cs="Courier New" w:eastAsia="Courier New" w:hAnsi="Courier New"/>
          <w:sz w:val="13"/>
          <w:szCs w:val="13"/>
          <w:color w:val="auto"/>
        </w:rPr>
        <w:t>As part of the financing efforts for that expansion plan, in May 2006, we signed a Memorandum of Understanding (MOU) with our banks for the refinancing of the approximately $526.7 million of long-term debt under our facility agreement, according to which: (i) $158 million, representing 30% of such debt, will be converted to equity for 51,973,684 of our ordinary shares, at a price per share of $3.04, which is equal to twice the average closing price during the 10 consecutive trading days prior to signing the MOU; (ii) the interest rate of the long-term loans will be decreased from LIBOR plus 2.5% per annum to LIBOR plus 1.1% per annum; and (iii) the commencement date for the repayment of principal shall be postponed from July 2007 to no earlier than September 2009. The terms of the MOU are subject to a commitment of Israel Corporation Ltd. (Israel Corp.) to our banks to invest $100 million in our capacity expansion as described below. The MOU is further subject to reaching a definitive amendment to the facility agreement based on the terms of the MOU, and may include other terms to be agreed to between us and our banks, including arrangements to compensate the banks, under certain conditions, for the reduction in interest payments (such compensation may include the issuance of our securities and/or the extension of the exercise period of the banks' warrants), and revised financial ratios and covenants based on our new working plan. In this regard, Israel Corp. has committed to our banks to invest $100 million in consideration for 65,789,474 of our ordinary shares, at a price per share of $1.52, which equals the average closing price during the 10 consecutive trading days prior to signing the MOU. Such amount may include amounts that may be payable by us to Israel Corp. in connection with the agreement for the ordering of equipment described below. Israel Corp.'s investment is subject to the signing of a definitive investment agreement, the approvals of our audit committee, board of directors and shareholders and the closing of a definitive amendment to the facility agreement with our banks based on the terms of the MOU.</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tabs>
          <w:tab w:leader="none" w:pos="1320" w:val="left"/>
          <w:tab w:leader="none" w:pos="2660" w:val="left"/>
        </w:tabs>
        <w:rPr>
          <w:sz w:val="20"/>
          <w:szCs w:val="20"/>
          <w:color w:val="auto"/>
        </w:rPr>
      </w:pPr>
      <w:r>
        <w:rPr>
          <w:rFonts w:ascii="Courier New" w:cs="Courier New" w:eastAsia="Courier New" w:hAnsi="Courier New"/>
          <w:sz w:val="13"/>
          <w:szCs w:val="13"/>
          <w:color w:val="auto"/>
        </w:rPr>
        <w:t>$ 788,335</w:t>
      </w:r>
      <w:r>
        <w:rPr>
          <w:sz w:val="20"/>
          <w:szCs w:val="20"/>
          <w:color w:val="auto"/>
        </w:rPr>
        <w:tab/>
      </w:r>
      <w:r>
        <w:rPr>
          <w:rFonts w:ascii="Courier New" w:cs="Courier New" w:eastAsia="Courier New" w:hAnsi="Courier New"/>
          <w:sz w:val="13"/>
          <w:szCs w:val="13"/>
          <w:color w:val="auto"/>
        </w:rPr>
        <w:t>$ 716,261</w:t>
      </w:r>
      <w:r>
        <w:rPr>
          <w:sz w:val="20"/>
          <w:szCs w:val="20"/>
          <w:color w:val="auto"/>
        </w:rPr>
        <w:tab/>
      </w:r>
      <w:r>
        <w:rPr>
          <w:rFonts w:ascii="Courier New" w:cs="Courier New" w:eastAsia="Courier New" w:hAnsi="Courier New"/>
          <w:sz w:val="13"/>
          <w:szCs w:val="13"/>
          <w:color w:val="auto"/>
        </w:rPr>
        <w:t>$ 472,054</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06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14,607</w:t>
            </w:r>
          </w:p>
        </w:tc>
        <w:tc>
          <w:tcPr>
            <w:tcW w:w="134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12,368</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10,334</w:t>
            </w:r>
          </w:p>
        </w:tc>
      </w:tr>
      <w:tr>
        <w:trPr>
          <w:trHeight w:val="152"/>
        </w:trPr>
        <w:tc>
          <w:tcPr>
            <w:tcW w:w="1060" w:type="dxa"/>
            <w:vAlign w:val="bottom"/>
          </w:tcPr>
          <w:p>
            <w:pPr>
              <w:jc w:val="right"/>
              <w:ind w:right="214"/>
              <w:spacing w:after="0"/>
              <w:rPr>
                <w:sz w:val="20"/>
                <w:szCs w:val="20"/>
                <w:color w:val="auto"/>
              </w:rPr>
            </w:pPr>
            <w:r>
              <w:rPr>
                <w:rFonts w:ascii="Courier New" w:cs="Courier New" w:eastAsia="Courier New" w:hAnsi="Courier New"/>
                <w:sz w:val="13"/>
                <w:szCs w:val="13"/>
                <w:color w:val="auto"/>
              </w:rPr>
              <w:t>(5,947)</w:t>
            </w:r>
          </w:p>
        </w:tc>
        <w:tc>
          <w:tcPr>
            <w:tcW w:w="1340" w:type="dxa"/>
            <w:vAlign w:val="bottom"/>
          </w:tcPr>
          <w:p>
            <w:pPr>
              <w:jc w:val="right"/>
              <w:ind w:right="214"/>
              <w:spacing w:after="0"/>
              <w:rPr>
                <w:sz w:val="20"/>
                <w:szCs w:val="20"/>
                <w:color w:val="auto"/>
              </w:rPr>
            </w:pPr>
            <w:r>
              <w:rPr>
                <w:rFonts w:ascii="Courier New" w:cs="Courier New" w:eastAsia="Courier New" w:hAnsi="Courier New"/>
                <w:sz w:val="13"/>
                <w:szCs w:val="13"/>
                <w:color w:val="auto"/>
              </w:rPr>
              <w:t>(5,727)</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(4,564)</w:t>
            </w:r>
          </w:p>
        </w:tc>
      </w:tr>
      <w:tr>
        <w:trPr>
          <w:trHeight w:val="304"/>
        </w:trPr>
        <w:tc>
          <w:tcPr>
            <w:tcW w:w="1060" w:type="dxa"/>
            <w:vAlign w:val="bottom"/>
          </w:tcPr>
          <w:p>
            <w:pPr>
              <w:jc w:val="right"/>
              <w:ind w:right="214"/>
              <w:spacing w:after="0"/>
              <w:rPr>
                <w:sz w:val="20"/>
                <w:szCs w:val="20"/>
                <w:color w:val="auto"/>
              </w:rPr>
            </w:pPr>
            <w:r>
              <w:rPr>
                <w:rFonts w:ascii="Courier New" w:cs="Courier New" w:eastAsia="Courier New" w:hAnsi="Courier New"/>
                <w:sz w:val="13"/>
                <w:szCs w:val="13"/>
                <w:color w:val="auto"/>
              </w:rPr>
              <w:t>(196)</w:t>
            </w:r>
          </w:p>
        </w:tc>
        <w:tc>
          <w:tcPr>
            <w:tcW w:w="1340" w:type="dxa"/>
            <w:vAlign w:val="bottom"/>
          </w:tcPr>
          <w:p>
            <w:pPr>
              <w:jc w:val="right"/>
              <w:ind w:right="214"/>
              <w:spacing w:after="0"/>
              <w:rPr>
                <w:sz w:val="20"/>
                <w:szCs w:val="20"/>
                <w:color w:val="auto"/>
              </w:rPr>
            </w:pPr>
            <w:r>
              <w:rPr>
                <w:rFonts w:ascii="Courier New" w:cs="Courier New" w:eastAsia="Courier New" w:hAnsi="Courier New"/>
                <w:sz w:val="13"/>
                <w:szCs w:val="13"/>
                <w:color w:val="auto"/>
              </w:rPr>
              <w:t>(196)</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w:t>
            </w:r>
          </w:p>
        </w:tc>
      </w:tr>
      <w:tr>
        <w:trPr>
          <w:trHeight w:val="304"/>
        </w:trPr>
        <w:tc>
          <w:tcPr>
            <w:tcW w:w="106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w:t>
            </w:r>
          </w:p>
        </w:tc>
        <w:tc>
          <w:tcPr>
            <w:tcW w:w="134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w:t>
            </w:r>
          </w:p>
        </w:tc>
      </w:tr>
      <w:tr>
        <w:trPr>
          <w:trHeight w:val="152"/>
        </w:trPr>
        <w:tc>
          <w:tcPr>
            <w:tcW w:w="1060" w:type="dxa"/>
            <w:vAlign w:val="bottom"/>
          </w:tcPr>
          <w:p>
            <w:pPr>
              <w:jc w:val="right"/>
              <w:ind w:right="294"/>
              <w:spacing w:after="0"/>
              <w:rPr>
                <w:sz w:val="20"/>
                <w:szCs w:val="20"/>
                <w:color w:val="auto"/>
              </w:rPr>
            </w:pPr>
            <w:r>
              <w:rPr>
                <w:rFonts w:ascii="Courier New" w:cs="Courier New" w:eastAsia="Courier New" w:hAnsi="Courier New"/>
                <w:sz w:val="13"/>
                <w:szCs w:val="13"/>
                <w:color w:val="auto"/>
                <w:w w:val="96"/>
              </w:rPr>
              <w:t>---------</w:t>
            </w:r>
          </w:p>
        </w:tc>
        <w:tc>
          <w:tcPr>
            <w:tcW w:w="134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w:t>
            </w:r>
          </w:p>
        </w:tc>
      </w:tr>
      <w:tr>
        <w:trPr>
          <w:trHeight w:val="304"/>
        </w:trPr>
        <w:tc>
          <w:tcPr>
            <w:tcW w:w="1060" w:type="dxa"/>
            <w:vAlign w:val="bottom"/>
          </w:tcPr>
          <w:p>
            <w:pPr>
              <w:jc w:val="right"/>
              <w:ind w:right="294"/>
              <w:spacing w:after="0"/>
              <w:rPr>
                <w:sz w:val="20"/>
                <w:szCs w:val="20"/>
                <w:color w:val="auto"/>
              </w:rPr>
            </w:pPr>
            <w:r>
              <w:rPr>
                <w:rFonts w:ascii="Courier New" w:cs="Courier New" w:eastAsia="Courier New" w:hAnsi="Courier New"/>
                <w:sz w:val="13"/>
                <w:szCs w:val="13"/>
                <w:color w:val="auto"/>
                <w:w w:val="96"/>
              </w:rPr>
              <w:t>$ 796,799</w:t>
            </w:r>
          </w:p>
        </w:tc>
        <w:tc>
          <w:tcPr>
            <w:tcW w:w="134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$ 722,706</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$ 477,824</w:t>
            </w:r>
          </w:p>
        </w:tc>
      </w:tr>
      <w:tr>
        <w:trPr>
          <w:trHeight w:val="152"/>
        </w:trPr>
        <w:tc>
          <w:tcPr>
            <w:tcW w:w="1060" w:type="dxa"/>
            <w:vAlign w:val="bottom"/>
          </w:tcPr>
          <w:p>
            <w:pPr>
              <w:jc w:val="right"/>
              <w:ind w:right="294"/>
              <w:spacing w:after="0"/>
              <w:rPr>
                <w:sz w:val="20"/>
                <w:szCs w:val="20"/>
                <w:color w:val="auto"/>
              </w:rPr>
            </w:pPr>
            <w:r>
              <w:rPr>
                <w:rFonts w:ascii="Courier New" w:cs="Courier New" w:eastAsia="Courier New" w:hAnsi="Courier New"/>
                <w:sz w:val="13"/>
                <w:szCs w:val="13"/>
                <w:color w:val="auto"/>
                <w:w w:val="96"/>
              </w:rPr>
              <w:t>=========</w:t>
            </w:r>
          </w:p>
        </w:tc>
        <w:tc>
          <w:tcPr>
            <w:tcW w:w="134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w:t>
            </w:r>
          </w:p>
        </w:tc>
      </w:tr>
      <w:tr>
        <w:trPr>
          <w:trHeight w:val="609"/>
        </w:trPr>
        <w:tc>
          <w:tcPr>
            <w:tcW w:w="1060" w:type="dxa"/>
            <w:vAlign w:val="bottom"/>
          </w:tcPr>
          <w:p>
            <w:pPr>
              <w:jc w:val="right"/>
              <w:ind w:right="294"/>
              <w:spacing w:after="0"/>
              <w:rPr>
                <w:sz w:val="20"/>
                <w:szCs w:val="20"/>
                <w:color w:val="auto"/>
              </w:rPr>
            </w:pPr>
            <w:r>
              <w:rPr>
                <w:rFonts w:ascii="Courier New" w:cs="Courier New" w:eastAsia="Courier New" w:hAnsi="Courier New"/>
                <w:sz w:val="13"/>
                <w:szCs w:val="13"/>
                <w:color w:val="auto"/>
                <w:w w:val="96"/>
              </w:rPr>
              <w:t>$ 229,457</w:t>
            </w:r>
          </w:p>
        </w:tc>
        <w:tc>
          <w:tcPr>
            <w:tcW w:w="134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$ 298,334</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$ 252,805</w:t>
            </w:r>
          </w:p>
        </w:tc>
      </w:tr>
      <w:tr>
        <w:trPr>
          <w:trHeight w:val="304"/>
        </w:trPr>
        <w:tc>
          <w:tcPr>
            <w:tcW w:w="1060" w:type="dxa"/>
            <w:vAlign w:val="bottom"/>
          </w:tcPr>
          <w:p>
            <w:pPr>
              <w:jc w:val="right"/>
              <w:ind w:right="214"/>
              <w:spacing w:after="0"/>
              <w:rPr>
                <w:sz w:val="20"/>
                <w:szCs w:val="20"/>
                <w:color w:val="auto"/>
              </w:rPr>
            </w:pPr>
            <w:r>
              <w:rPr>
                <w:rFonts w:ascii="Courier New" w:cs="Courier New" w:eastAsia="Courier New" w:hAnsi="Courier New"/>
                <w:sz w:val="13"/>
                <w:szCs w:val="13"/>
                <w:color w:val="auto"/>
              </w:rPr>
              <w:t>(15,867)</w:t>
            </w:r>
          </w:p>
        </w:tc>
        <w:tc>
          <w:tcPr>
            <w:tcW w:w="1340" w:type="dxa"/>
            <w:vAlign w:val="bottom"/>
          </w:tcPr>
          <w:p>
            <w:pPr>
              <w:jc w:val="right"/>
              <w:ind w:right="214"/>
              <w:spacing w:after="0"/>
              <w:rPr>
                <w:sz w:val="20"/>
                <w:szCs w:val="20"/>
                <w:color w:val="auto"/>
              </w:rPr>
            </w:pPr>
            <w:r>
              <w:rPr>
                <w:rFonts w:ascii="Courier New" w:cs="Courier New" w:eastAsia="Courier New" w:hAnsi="Courier New"/>
                <w:sz w:val="13"/>
                <w:szCs w:val="13"/>
                <w:color w:val="auto"/>
              </w:rPr>
              <w:t>(17,807)</w:t>
            </w:r>
          </w:p>
        </w:tc>
        <w:tc>
          <w:tcPr>
            <w:tcW w:w="1080" w:type="dxa"/>
            <w:vAlign w:val="bottom"/>
          </w:tcPr>
          <w:p>
            <w:pPr>
              <w:jc w:val="right"/>
              <w:spacing w:after="0"/>
              <w:rPr>
                <w:sz w:val="20"/>
                <w:szCs w:val="20"/>
                <w:color w:val="auto"/>
              </w:rPr>
            </w:pPr>
            <w:r>
              <w:rPr>
                <w:rFonts w:ascii="Courier New" w:cs="Courier New" w:eastAsia="Courier New" w:hAnsi="Courier New"/>
                <w:sz w:val="13"/>
                <w:szCs w:val="13"/>
                <w:color w:val="auto"/>
              </w:rPr>
              <w:t>(8,169)</w:t>
            </w:r>
          </w:p>
        </w:tc>
      </w:tr>
      <w:tr>
        <w:trPr>
          <w:trHeight w:val="609"/>
        </w:trPr>
        <w:tc>
          <w:tcPr>
            <w:tcW w:w="1060" w:type="dxa"/>
            <w:vAlign w:val="bottom"/>
          </w:tcPr>
          <w:p>
            <w:pPr>
              <w:jc w:val="right"/>
              <w:ind w:right="214"/>
              <w:spacing w:after="0"/>
              <w:rPr>
                <w:sz w:val="20"/>
                <w:szCs w:val="20"/>
                <w:color w:val="auto"/>
              </w:rPr>
            </w:pPr>
            <w:r>
              <w:rPr>
                <w:rFonts w:ascii="Courier New" w:cs="Courier New" w:eastAsia="Courier New" w:hAnsi="Courier New"/>
                <w:sz w:val="13"/>
                <w:szCs w:val="13"/>
                <w:color w:val="auto"/>
              </w:rPr>
              <w:t>(16,428)</w:t>
            </w:r>
          </w:p>
        </w:tc>
        <w:tc>
          <w:tcPr>
            <w:tcW w:w="134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w:t>
            </w:r>
          </w:p>
        </w:tc>
      </w:tr>
      <w:tr>
        <w:trPr>
          <w:trHeight w:val="457"/>
        </w:trPr>
        <w:tc>
          <w:tcPr>
            <w:tcW w:w="106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2,363</w:t>
            </w:r>
          </w:p>
        </w:tc>
        <w:tc>
          <w:tcPr>
            <w:tcW w:w="134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2,363</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w:t>
            </w:r>
          </w:p>
        </w:tc>
      </w:tr>
      <w:tr>
        <w:trPr>
          <w:trHeight w:val="152"/>
        </w:trPr>
        <w:tc>
          <w:tcPr>
            <w:tcW w:w="1060" w:type="dxa"/>
            <w:vAlign w:val="bottom"/>
          </w:tcPr>
          <w:p>
            <w:pPr>
              <w:jc w:val="right"/>
              <w:ind w:right="294"/>
              <w:spacing w:after="0"/>
              <w:rPr>
                <w:sz w:val="20"/>
                <w:szCs w:val="20"/>
                <w:color w:val="auto"/>
              </w:rPr>
            </w:pPr>
            <w:r>
              <w:rPr>
                <w:rFonts w:ascii="Courier New" w:cs="Courier New" w:eastAsia="Courier New" w:hAnsi="Courier New"/>
                <w:sz w:val="13"/>
                <w:szCs w:val="13"/>
                <w:color w:val="auto"/>
                <w:w w:val="96"/>
              </w:rPr>
              <w:t>---------</w:t>
            </w:r>
          </w:p>
        </w:tc>
        <w:tc>
          <w:tcPr>
            <w:tcW w:w="134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w:t>
            </w:r>
          </w:p>
        </w:tc>
      </w:tr>
      <w:tr>
        <w:trPr>
          <w:trHeight w:val="304"/>
        </w:trPr>
        <w:tc>
          <w:tcPr>
            <w:tcW w:w="1060" w:type="dxa"/>
            <w:vAlign w:val="bottom"/>
          </w:tcPr>
          <w:p>
            <w:pPr>
              <w:jc w:val="right"/>
              <w:ind w:right="294"/>
              <w:spacing w:after="0"/>
              <w:rPr>
                <w:sz w:val="20"/>
                <w:szCs w:val="20"/>
                <w:color w:val="auto"/>
              </w:rPr>
            </w:pPr>
            <w:r>
              <w:rPr>
                <w:rFonts w:ascii="Courier New" w:cs="Courier New" w:eastAsia="Courier New" w:hAnsi="Courier New"/>
                <w:sz w:val="13"/>
                <w:szCs w:val="13"/>
                <w:color w:val="auto"/>
                <w:w w:val="96"/>
              </w:rPr>
              <w:t>$ 199,525</w:t>
            </w:r>
          </w:p>
        </w:tc>
        <w:tc>
          <w:tcPr>
            <w:tcW w:w="134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$ 282,890</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$ 244,636</w:t>
            </w:r>
          </w:p>
        </w:tc>
      </w:tr>
      <w:tr>
        <w:trPr>
          <w:trHeight w:val="152"/>
        </w:trPr>
        <w:tc>
          <w:tcPr>
            <w:tcW w:w="1060" w:type="dxa"/>
            <w:vAlign w:val="bottom"/>
          </w:tcPr>
          <w:p>
            <w:pPr>
              <w:jc w:val="right"/>
              <w:ind w:right="294"/>
              <w:spacing w:after="0"/>
              <w:rPr>
                <w:sz w:val="20"/>
                <w:szCs w:val="20"/>
                <w:color w:val="auto"/>
              </w:rPr>
            </w:pPr>
            <w:r>
              <w:rPr>
                <w:rFonts w:ascii="Courier New" w:cs="Courier New" w:eastAsia="Courier New" w:hAnsi="Courier New"/>
                <w:sz w:val="13"/>
                <w:szCs w:val="13"/>
                <w:color w:val="auto"/>
                <w:w w:val="96"/>
              </w:rPr>
              <w:t>=========</w:t>
            </w:r>
          </w:p>
        </w:tc>
        <w:tc>
          <w:tcPr>
            <w:tcW w:w="134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w:t>
            </w:r>
          </w:p>
        </w:tc>
        <w:tc>
          <w:tcPr>
            <w:tcW w:w="1080" w:type="dxa"/>
            <w:vAlign w:val="bottom"/>
          </w:tcPr>
          <w:p>
            <w:pPr>
              <w:jc w:val="right"/>
              <w:ind w:right="14"/>
              <w:spacing w:after="0"/>
              <w:rPr>
                <w:sz w:val="20"/>
                <w:szCs w:val="20"/>
                <w:color w:val="auto"/>
              </w:rPr>
            </w:pPr>
            <w:r>
              <w:rPr>
                <w:rFonts w:ascii="Courier New" w:cs="Courier New" w:eastAsia="Courier New" w:hAnsi="Courier New"/>
                <w:sz w:val="13"/>
                <w:szCs w:val="13"/>
                <w:color w:val="auto"/>
              </w:rPr>
              <w:t>=========</w:t>
            </w:r>
          </w:p>
        </w:tc>
      </w:tr>
    </w:tbl>
    <w:p>
      <w:pPr>
        <w:sectPr>
          <w:pgSz w:w="11900" w:h="16838" w:orient="portrait"/>
          <w:cols w:equalWidth="0" w:num="2">
            <w:col w:w="6340" w:space="240"/>
            <w:col w:w="3659"/>
          </w:cols>
          <w:pgMar w:left="220" w:top="141" w:right="1440" w:bottom="0" w:gutter="0" w:footer="0" w:header="0"/>
        </w:sectPr>
      </w:pPr>
    </w:p>
    <w:bookmarkStart w:id="5" w:name="page6"/>
    <w:bookmarkEnd w:id="5"/>
    <w:p>
      <w:pPr>
        <w:spacing w:after="0" w:line="52"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7</w:t>
      </w:r>
    </w:p>
    <w:p>
      <w:pPr>
        <w:spacing w:after="0" w:line="289" w:lineRule="exact"/>
        <w:rPr>
          <w:sz w:val="20"/>
          <w:szCs w:val="20"/>
          <w:color w:val="auto"/>
        </w:rPr>
      </w:pPr>
    </w:p>
    <w:p>
      <w:pPr>
        <w:ind w:right="3979" w:firstLine="396"/>
        <w:spacing w:after="0" w:line="248" w:lineRule="auto"/>
        <w:rPr>
          <w:sz w:val="20"/>
          <w:szCs w:val="20"/>
          <w:color w:val="auto"/>
        </w:rPr>
      </w:pPr>
      <w:r>
        <w:rPr>
          <w:rFonts w:ascii="Courier New" w:cs="Courier New" w:eastAsia="Courier New" w:hAnsi="Courier New"/>
          <w:sz w:val="13"/>
          <w:szCs w:val="13"/>
          <w:color w:val="auto"/>
        </w:rPr>
        <w:t>In order to implement the acceleration plan in a timely manner, we entered into an agreement with Israel Corp. according to which Israel Corp. will order up to approximately $100 million worth of equipment in connection with the ramp-up of Fab 2. Under the terms of the agreement: (i) Israel Corp. has the right to sell us the equipment at cost, plus related expenses; (ii) we have the right to purchase the equipment from Israel Corp. at cost, plus related expenses, subject to the us having raised $100 million; (iii) upon the sale of the equipment by Israel Corp., we will assume Israel Corp.'s obligations to the equipment suppliers; and (iv) if after 5 months from the signing of the agreement, the equipment has not been sold to us by Israel Corp., Israel Corp. may sell the equipment to a third party and we will pay Israel Corp. the difference between the cost, plus related expenses, of the purchase of the equipment by Israel Corp. and the net sale price.</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OPTIONS GRANTED TO THE CHIEF EXECUTIVE OFFICER (CEO)</w:t>
      </w:r>
    </w:p>
    <w:p>
      <w:pPr>
        <w:spacing w:after="0" w:line="157"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In May 2006, our audit committee and board of directors approved the grant of options to our CEO, who also serves as a director, in addition to the options granted to him in April 2005, such that in total, the CEO will hold options to purchase shares that represent 4% of our shares on a fully diluted basis during the two-year period from the approval of the audit committee. The exercise price of the initial grant of additional options will be $1.45, the average closing price of our shares on the Nasdaq during the 90 consecutive trading days prior to the board of directors' approval. In the event of a future equity financing, additional options will be granted to the CEO as described above with an exercise price equal to the price per share of such investment. The vesting period of the new options will be identical to the vesting period of the existing options. The new grant of options and its terms are subject to the approval of our shareholders. If the new grant of options is approved by our shareholders, no additional options will be granted under the CEO's current option agreement, which was approved by our shareholders in October 2005.</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RE-PRICING OF EMPLOYEE OPTIONS</w:t>
      </w:r>
    </w:p>
    <w:p>
      <w:pPr>
        <w:spacing w:after="0" w:line="157"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Our board of directors approved a plan to offer each of our current employees the opportunity to exchange their existing options to purchase our ordinary shares for new options with an exercise price $1.45, which is the average closing price of our shares on the Nasdaq during the 90 consecutive trading days prior to the board of directors' approval. The new options will be granted based on terms similar to our existing employee option plan with new vesting periods. As of May 19, 2006, options to purchase approximately 9 million ordinary shares held by our current employees, with exercise prices ranging from $1.46 to $25, were outstanding. Our board of directors further approved that if the total number of employee options, including the options to our CEO, during the coming 24 months will represent less than 8% of the our shares on a fully diluted basis, additional options will be allocated for grants to be made to our employees. As of May 18, 2006, no options have been granted under such plan.</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DISMISSAL OF CLASS ACTION</w:t>
      </w:r>
    </w:p>
    <w:p>
      <w:pPr>
        <w:spacing w:after="0" w:line="157"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In June 2006, the United States Court of Appeals for the Second Circuit affirmed the August 2004 decision of the United States District Court for the Southern District of New York to dismiss the class action suit filed in July 2003 against us and certain of our directors and shareholders. The District Court accepted the motion to dismiss filed on behalf of the defendants and noted that our status as a foreign private issuer exempts us, our directors and controlling shareholders, from liability under the proxy rules of Section 14(a) of the Securities Exchange Act.</w:t>
      </w:r>
    </w:p>
    <w:p>
      <w:pPr>
        <w:spacing w:after="0" w:line="305"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8</w:t>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RISK FACTORS</w:t>
      </w:r>
    </w:p>
    <w:p>
      <w:pPr>
        <w:spacing w:after="0" w:line="157" w:lineRule="exact"/>
        <w:rPr>
          <w:sz w:val="20"/>
          <w:szCs w:val="20"/>
          <w:color w:val="auto"/>
        </w:rPr>
      </w:pPr>
    </w:p>
    <w:p>
      <w:pPr>
        <w:ind w:right="3979" w:firstLine="396"/>
        <w:spacing w:after="0" w:line="248" w:lineRule="auto"/>
        <w:rPr>
          <w:sz w:val="20"/>
          <w:szCs w:val="20"/>
          <w:color w:val="auto"/>
        </w:rPr>
      </w:pPr>
      <w:r>
        <w:rPr>
          <w:rFonts w:ascii="Courier New" w:cs="Courier New" w:eastAsia="Courier New" w:hAnsi="Courier New"/>
          <w:sz w:val="13"/>
          <w:szCs w:val="13"/>
          <w:color w:val="auto"/>
        </w:rPr>
        <w:t>AN INVESTMENT IN OUR SECURITIES IS SPECULATIVE AND INVOLVES A HIGH DEGREE OF RISK. THEREFORE, YOU SHOULD NOT INVEST IN OUR SECURITIES UNLESS YOU ARE ABLE TO BEAR A LOSS OF YOUR ENTIRE INVESTMENT. YOU SHOULD CAREFULLY CONSIDER THE FOLLOWING FACTORS AS WELL AS THE OTHER INFORMATION CONTAINED IN THIS PROSPECTUS BEFORE DECIDING TO INVEST IN OUR ORDINARY SHARES, OUR DEBENTURES WHICH ARE CONVERTIBLE INTO OUR ORDINARY SHARES, OUR OPTIONS TO PURCHASE CONVERTIBLE DEBENTURES AND OUR WARRANTS. THIS PROSPECTUS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 THE INFORMATION IN THIS PROSPECTUS IS COMPLETE AND ACCURATE AS OF THIS DATE, BUT THE INFORMATION MAY CHANGE AFTER THE DATE OF THIS PROSPECTUS.</w:t>
      </w:r>
    </w:p>
    <w:p>
      <w:pPr>
        <w:spacing w:after="0" w:line="152"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RISKS AFFECTING OUR BUSINESS</w:t>
      </w:r>
    </w:p>
    <w:p>
      <w:pPr>
        <w:spacing w:after="0" w:line="157" w:lineRule="exact"/>
        <w:rPr>
          <w:sz w:val="20"/>
          <w:szCs w:val="20"/>
          <w:color w:val="auto"/>
        </w:rPr>
      </w:pPr>
    </w:p>
    <w:p>
      <w:pPr>
        <w:ind w:right="4619"/>
        <w:spacing w:after="0" w:line="249" w:lineRule="auto"/>
        <w:rPr>
          <w:sz w:val="20"/>
          <w:szCs w:val="20"/>
          <w:color w:val="auto"/>
        </w:rPr>
      </w:pPr>
      <w:r>
        <w:rPr>
          <w:rFonts w:ascii="Courier New" w:cs="Courier New" w:eastAsia="Courier New" w:hAnsi="Courier New"/>
          <w:sz w:val="13"/>
          <w:szCs w:val="13"/>
          <w:color w:val="auto"/>
        </w:rPr>
        <w:t>IF WE DO NOT RAISE ADDITIONAL FUNDS, WE MAY NOT BE ABLE TO MAINTAIN OUR OPERATIONS.</w:t>
      </w:r>
    </w:p>
    <w:p>
      <w:pPr>
        <w:spacing w:after="0" w:line="151"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If we succeed to raise the minimum amount of immediate proceeds that may be raised in this offering we expect to have sufficient liquidity to finance our short-term activities and liabilities at least through 2006. If this offering is delayed past July 2006 or was cancelled for any reason, we do not expect to have adequate liquidity to meet our short-term activities and liabilities during the next two to three month period and may have to cease our operations, unless we were able to find alternative sources of funding. In addition, in accordance with the credit facility agreement with our banks, as amended on May 30, 2006, in addition to amounts we have raised to date, we are required to raise approximately $8 million by September 30, 2006, which we expect to satisfy through this offering. If we fail to raise the funds required under our facility agreement in a timely manner and our banks do not waive our non-compliance, our banks may require us to immediately repay all loans made by them to us, plus penalties, and they would be entitled to exercise the remedies available to them under the credit facility, including enforcement of their lien against all our assets.</w:t>
      </w:r>
    </w:p>
    <w:p>
      <w:pPr>
        <w:spacing w:after="0" w:line="153" w:lineRule="exact"/>
        <w:rPr>
          <w:sz w:val="20"/>
          <w:szCs w:val="20"/>
          <w:color w:val="auto"/>
        </w:rPr>
      </w:pPr>
    </w:p>
    <w:p>
      <w:pPr>
        <w:jc w:val="both"/>
        <w:ind w:right="4459"/>
        <w:spacing w:after="0" w:line="248" w:lineRule="auto"/>
        <w:rPr>
          <w:sz w:val="20"/>
          <w:szCs w:val="20"/>
          <w:color w:val="auto"/>
        </w:rPr>
      </w:pPr>
      <w:r>
        <w:rPr>
          <w:rFonts w:ascii="Courier New" w:cs="Courier New" w:eastAsia="Courier New" w:hAnsi="Courier New"/>
          <w:sz w:val="13"/>
          <w:szCs w:val="13"/>
          <w:color w:val="auto"/>
        </w:rPr>
        <w:t>IF WE DO NOT COMPLETE THE EQUIPMENT INSTALLATION, TECHNOLOGY TRANSFER AND RAMP-UP OF PRODUCTION IN FAB 2, OUR BUSINESS WILL BE MATERIALLY ADVERSELY AFFECTED.</w:t>
      </w:r>
    </w:p>
    <w:p>
      <w:pPr>
        <w:sectPr>
          <w:pgSz w:w="11900" w:h="16891" w:orient="portrait"/>
          <w:cols w:equalWidth="0" w:num="1">
            <w:col w:w="10239"/>
          </w:cols>
          <w:pgMar w:left="220" w:top="293" w:right="1440" w:bottom="0" w:gutter="0" w:footer="0" w:header="0"/>
        </w:sectPr>
      </w:pPr>
    </w:p>
    <w:bookmarkStart w:id="6" w:name="page7"/>
    <w:bookmarkEnd w:id="6"/>
    <w:p>
      <w:pPr>
        <w:spacing w:after="0" w:line="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Fab 2 production capacity as of May 18, 2006 was approximately 15,000 200-mm wafers per month. Depending on the process technology and product mix, when fully ramped-up, we estimate that Fab 2 will be able to achieve capacity levels of up to approximately 40,000 wafers per month. We have not completed the acquisition, installation, equipping and financing necessary in order for production at our Fab 2 facility to reach such levels. Our determination as to the timing of the implementation of the ramp-up plan recently approved by our board of directors and the increase in Fab 2's production levels is dependent on prevailing and forecasted market conditions and our ability to fund these increases. We need to complete the qualification process of the 0.13-micron technology transferred from Freescale Semiconductor, Inc. to Fab 2 and develop new process technologies for Fab 2 in order to suit our customers' needs. The ramp-up of Fab 2 is a substantial and complex project.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200" w:lineRule="exact"/>
        <w:rPr>
          <w:sz w:val="20"/>
          <w:szCs w:val="20"/>
          <w:color w:val="auto"/>
        </w:rPr>
      </w:pPr>
    </w:p>
    <w:p>
      <w:pPr>
        <w:spacing w:after="0" w:line="257"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9</w:t>
      </w:r>
    </w:p>
    <w:p>
      <w:pPr>
        <w:spacing w:after="0" w:line="200" w:lineRule="exact"/>
        <w:rPr>
          <w:sz w:val="20"/>
          <w:szCs w:val="20"/>
          <w:color w:val="auto"/>
        </w:rPr>
      </w:pPr>
    </w:p>
    <w:p>
      <w:pPr>
        <w:spacing w:after="0" w:line="241" w:lineRule="exact"/>
        <w:rPr>
          <w:sz w:val="20"/>
          <w:szCs w:val="20"/>
          <w:color w:val="auto"/>
        </w:rPr>
      </w:pPr>
    </w:p>
    <w:p>
      <w:pPr>
        <w:ind w:right="4139"/>
        <w:spacing w:after="0" w:line="249" w:lineRule="auto"/>
        <w:rPr>
          <w:sz w:val="20"/>
          <w:szCs w:val="20"/>
          <w:color w:val="auto"/>
        </w:rPr>
      </w:pPr>
      <w:r>
        <w:rPr>
          <w:rFonts w:ascii="Courier New" w:cs="Courier New" w:eastAsia="Courier New" w:hAnsi="Courier New"/>
          <w:sz w:val="13"/>
          <w:szCs w:val="13"/>
          <w:color w:val="auto"/>
        </w:rPr>
        <w:t>IF WE DO NOT HAVE SUFFICIENT FUNDS TO FULLY EQUIP FAB 2, OUR BUSINESS WILL BE MATERIALLY ADVERSELY AFFECTED.</w:t>
      </w:r>
    </w:p>
    <w:p>
      <w:pPr>
        <w:spacing w:after="0" w:line="151"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Fab 2's cost is estimated to be approximately $1.5 billion, including costs of construction, equipment, installation, libraries, intellectual property, technology transfers and other related ramp-up and pre-operation costs. However, the actual total cost of Fab 2 may exceed our estimates. If we cannot successfully raise sufficient funding to complete the ramp-up and to fund other related costs, we may be unable to meet our customers' production demands and as a result we may lose customers and may not attract new ones. In addition, we will be required to scale back our equipment purchases and capacity forecasts, and, as a result, we will not fully utilize the substantial investment made in constructing Fab 2, which will adversely affect our financial results.</w:t>
      </w:r>
    </w:p>
    <w:p>
      <w:pPr>
        <w:spacing w:after="0" w:line="152" w:lineRule="exact"/>
        <w:rPr>
          <w:sz w:val="20"/>
          <w:szCs w:val="20"/>
          <w:color w:val="auto"/>
        </w:rPr>
      </w:pPr>
    </w:p>
    <w:p>
      <w:pPr>
        <w:ind w:right="3899"/>
        <w:spacing w:after="0" w:line="248" w:lineRule="auto"/>
        <w:rPr>
          <w:sz w:val="20"/>
          <w:szCs w:val="20"/>
          <w:color w:val="auto"/>
        </w:rPr>
      </w:pPr>
      <w:r>
        <w:rPr>
          <w:rFonts w:ascii="Courier New" w:cs="Courier New" w:eastAsia="Courier New" w:hAnsi="Courier New"/>
          <w:sz w:val="13"/>
          <w:szCs w:val="13"/>
          <w:color w:val="auto"/>
        </w:rPr>
        <w:t>IF THE INVESTMENT CENTER WILL NOT APPROVE OUR REQUEST FOR A NEW EXPANSION PROGRAM, WE WOULD BE REQUIRED TO SEEK ALTERNATIVE FINANCING SOURCES TO COMPLETE THE RAMP-UP OF FAB 2, WHICH MAY NOT BE AVAILABLE. OUR NOT COMPLETING INVESTMENTS IN THE AMOUNT OF $1.25 BILLION BY THE END OF 2005 MAY RESULT IN THE INVESTMENT CENTER REQUIRING US TO REPAY ALL OR A PORTION OF THE GRANTS ALREADY RECEIVED, AND IF WE ARE UNABLE TO REFUND SUCH GRANTS, WE MAY HAVE TO CLOSE OUR OPERATIONS.</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In connection with Fab 2, we received approval for grants and tax benefits from the Investment Center of the Israeli Ministry of Industry, Trade and Labor (Investment Center) under its Approved Enterprise Program. Under the terms of the approval, we were eligible to receive grants of 20% of up to $1.25 billion invested in Fab 2 plant and equipment, or an aggregate of up to $250 million. As of March 31, 2006, we received approximately $159 million in grants from the Investment Center. Our eligibility to receive grants was with respect to investments in Fab 2 plant and equipment made by the end of 2005. Any failure by us to meet the conditions of our grants may result in the cancellation of all or a portion of our grants to be received and tax benefits and in the Investment Center requiring us to repay all or a portion of grants already received. We did not complete investments in the amount of $1.25 billion by the end of 2005, mainly since we reduced our rate of annual investments as a result of our decision to slow-down the ramp-up of our Fab 2 facility in order to align our capital investments with market conditions in the semiconductor industry. Israeli law limits the ability of the Investment Center to extend this time limitation, unless approved through an expansion plan. Under Israeli law, our not completing investments in an amount of $1.25 billion by the end of 2005 may permit the Investment Center to require us to repay all or a portion of grants already received. We have been holding discussions with the Investment Center to achieve satisfactory arrangements to approve a new expansion program to commence as of January 1, 2006. In 2005, at the Investment Center's request, we submitted a revised business plan to the Investment Center for the period commencing January 1, 2006. Currently, we cannot estimate when we will receive a formal response to our request for a new expansion program to commence as of January 1, 2006 or if the Investment Center will approve our request. If the Investment Center will not approve our request for a new expansion program, we would be required to seek alternative financing sources to complete the ramp-up of Fab 2, which may not be available. While there can be no assurance that we will obtain the Investment Center's approval for the new expansion program, we believe that it is improbable that the Investment Center would demand that we repay all or a portion of grants already received due to our not completing investments in an amount of $1.25 billion by the end of 2005. If we would have to repay the Investment Center all or a portion of grants already received, we would need to seek alternative financing sources to refund the grants we received and if we do not succeed in finding such alternative financing sources, we may have to close our operations.</w:t>
      </w:r>
    </w:p>
    <w:p>
      <w:pPr>
        <w:spacing w:after="0" w:line="200" w:lineRule="exact"/>
        <w:rPr>
          <w:sz w:val="20"/>
          <w:szCs w:val="20"/>
          <w:color w:val="auto"/>
        </w:rPr>
      </w:pPr>
    </w:p>
    <w:p>
      <w:pPr>
        <w:spacing w:after="0" w:line="257"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10</w:t>
      </w:r>
    </w:p>
    <w:p>
      <w:pPr>
        <w:spacing w:after="0" w:line="200" w:lineRule="exact"/>
        <w:rPr>
          <w:sz w:val="20"/>
          <w:szCs w:val="20"/>
          <w:color w:val="auto"/>
        </w:rPr>
      </w:pPr>
    </w:p>
    <w:p>
      <w:pPr>
        <w:spacing w:after="0" w:line="393" w:lineRule="exact"/>
        <w:rPr>
          <w:sz w:val="20"/>
          <w:szCs w:val="20"/>
          <w:color w:val="auto"/>
        </w:rPr>
      </w:pPr>
    </w:p>
    <w:p>
      <w:pPr>
        <w:ind w:right="4379"/>
        <w:spacing w:after="0" w:line="249" w:lineRule="auto"/>
        <w:rPr>
          <w:sz w:val="20"/>
          <w:szCs w:val="20"/>
          <w:color w:val="auto"/>
        </w:rPr>
      </w:pPr>
      <w:r>
        <w:rPr>
          <w:rFonts w:ascii="Courier New" w:cs="Courier New" w:eastAsia="Courier New" w:hAnsi="Courier New"/>
          <w:sz w:val="13"/>
          <w:szCs w:val="13"/>
          <w:color w:val="auto"/>
        </w:rPr>
        <w:t>IF OUR FUTURE OPERATIONS DO NOT INCREASE OR IF WE FAIL TO RAISE ADDITIONAL FUNDING, WE MAY BE UNABLE TO REPAY OUR DEBT ON A TIMELY BASIS.</w:t>
      </w:r>
    </w:p>
    <w:p>
      <w:pPr>
        <w:spacing w:after="0" w:line="151"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There is no assurance that our future operations will increase or that we will succeed in raising the additional funding required for the completion of the ramp up of Fab 2 and the repayment of our short-term and long-term debt, which consists mainly of bank debt, trade accounts payable and convertible debentures and also includes moneys we may owe to Israel Corp. in connection with the agreement we signed with it according to which Israel Corp. will order up to approximately $100 million worth of equipment (See "Recent Events"). As a result, our ramp-up of Fab 2 may be delayed and we may be unable to repay on time or repay at all our short-term and long-term debt, which may significantly harm our financial results or cause us to cease our operations. In accordance with our amended facility agreement with our banks, under which we have drawn down approximately $526.7 million as of March 31, 2006, we are required to repay principal in the amount of approximately $100 million in July 2007 and begin repaying the balance of the principal amount on a quarterly basis commencing September 2007. We anticipate that we will not be in compliance with the</w:t>
      </w:r>
    </w:p>
    <w:p>
      <w:pPr>
        <w:sectPr>
          <w:pgSz w:w="11900" w:h="16891" w:orient="portrait"/>
          <w:cols w:equalWidth="0" w:num="1">
            <w:col w:w="10239"/>
          </w:cols>
          <w:pgMar w:left="220" w:top="293" w:right="1440" w:bottom="0" w:gutter="0" w:footer="0" w:header="0"/>
        </w:sectPr>
      </w:pPr>
    </w:p>
    <w:bookmarkStart w:id="7" w:name="page8"/>
    <w:bookmarkEnd w:id="7"/>
    <w:p>
      <w:pPr>
        <w:spacing w:after="0" w:line="74" w:lineRule="exact"/>
        <w:rPr>
          <w:sz w:val="20"/>
          <w:szCs w:val="20"/>
          <w:color w:val="auto"/>
        </w:rPr>
      </w:pPr>
    </w:p>
    <w:p>
      <w:pPr>
        <w:ind w:right="3899"/>
        <w:spacing w:after="0" w:line="248" w:lineRule="auto"/>
        <w:rPr>
          <w:sz w:val="20"/>
          <w:szCs w:val="20"/>
          <w:color w:val="auto"/>
        </w:rPr>
      </w:pPr>
      <w:r>
        <w:rPr>
          <w:rFonts w:ascii="Courier New" w:cs="Courier New" w:eastAsia="Courier New" w:hAnsi="Courier New"/>
          <w:sz w:val="13"/>
          <w:szCs w:val="13"/>
          <w:color w:val="auto"/>
        </w:rPr>
        <w:t>repayment schedule set forth in our amended facility agreement. In the event that (i) a definitive amendment to our facility agreement based on the May 2006 MOU will not be signed and closed, (ii) we are otherwise unsuccessful in negotiating a revised repayment schedule or (iii) our banks do not waive our non-compliance, pursuant to the terms of our amended facility agreement, our banks may require us to immediately repay all loans made by them to us, plus penalties, and they would be entitled to exercise the remedies available to them under our credit amended facility, including enforcement of their lien against all our assets. This would have a material adverse effect on our company. There can be no assurance that we will succeed in signing or closing a definitive amendment to our facility agreement based on the May 2006 MOU or a definitive investment agreement with Israel Corp. In addition, we cannot assure you we will be successful at negotiating price reductions and arrangements to slow down or postpone payments to our suppliers and service providers, or negotiating revised repayment schedules of our other debt, when we have liquidity problems.</w:t>
      </w:r>
    </w:p>
    <w:p>
      <w:pPr>
        <w:spacing w:after="0" w:line="153" w:lineRule="exact"/>
        <w:rPr>
          <w:sz w:val="20"/>
          <w:szCs w:val="20"/>
          <w:color w:val="auto"/>
        </w:rPr>
      </w:pPr>
    </w:p>
    <w:p>
      <w:pPr>
        <w:ind w:right="4139"/>
        <w:spacing w:after="0" w:line="248" w:lineRule="auto"/>
        <w:rPr>
          <w:sz w:val="20"/>
          <w:szCs w:val="20"/>
          <w:color w:val="auto"/>
        </w:rPr>
      </w:pPr>
      <w:r>
        <w:rPr>
          <w:rFonts w:ascii="Courier New" w:cs="Courier New" w:eastAsia="Courier New" w:hAnsi="Courier New"/>
          <w:sz w:val="13"/>
          <w:szCs w:val="13"/>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pressures characteristic of a prolonged downturn in the semiconductor market may not allow us to operate at a profit, even at full utilization, and could seriously harm our financial results and business.</w:t>
      </w:r>
    </w:p>
    <w:p>
      <w:pPr>
        <w:spacing w:after="0" w:line="152" w:lineRule="exact"/>
        <w:rPr>
          <w:sz w:val="20"/>
          <w:szCs w:val="20"/>
          <w:color w:val="auto"/>
        </w:rPr>
      </w:pPr>
    </w:p>
    <w:p>
      <w:pPr>
        <w:ind w:right="3899"/>
        <w:spacing w:after="0" w:line="248" w:lineRule="auto"/>
        <w:rPr>
          <w:sz w:val="20"/>
          <w:szCs w:val="20"/>
          <w:color w:val="auto"/>
        </w:rPr>
      </w:pPr>
      <w:r>
        <w:rPr>
          <w:rFonts w:ascii="Courier New" w:cs="Courier New" w:eastAsia="Courier New" w:hAnsi="Courier New"/>
          <w:sz w:val="13"/>
          <w:szCs w:val="13"/>
          <w:color w:val="auto"/>
        </w:rPr>
        <w:t>WE HAVE A HISTORY OF OPERATING LOSSES AND EXPECT TO OPERATE AT A LOSS FOR THE FORESEEABLE FUTURE; OUR FACILITIES MUST OPERATE AT HIGH UTILIZATION RATES FOR US TO BE PROFITABLE.</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We have operated at a loss for the last number of years. Because fixed costs represent a substantial portion of the operating costs of semiconductor manufacturing operations, we must operate our facilities at high utilization rates for us to be profitable. We began construction of Fab 2 in 2001 and Fab 2 operations began in 2003. Our losses since 2003 are due primarily to significant depreciation and amortization expenses related mainly to Fab 2, as well as financing and operating expenses which have not yet been offset by a sufficient increase in the level of our sales. If we do not succeed in operating our facilities at high utilization rates, we expect to operate at a loss for the foreseeable future, which may adversely affect our business and company.</w:t>
      </w:r>
    </w:p>
    <w:p>
      <w:pPr>
        <w:spacing w:after="0" w:line="305"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11</w:t>
      </w:r>
    </w:p>
    <w:p>
      <w:pPr>
        <w:spacing w:after="0" w:line="200" w:lineRule="exact"/>
        <w:rPr>
          <w:sz w:val="20"/>
          <w:szCs w:val="20"/>
          <w:color w:val="auto"/>
        </w:rPr>
      </w:pPr>
    </w:p>
    <w:p>
      <w:pPr>
        <w:spacing w:after="0" w:line="241" w:lineRule="exact"/>
        <w:rPr>
          <w:sz w:val="20"/>
          <w:szCs w:val="20"/>
          <w:color w:val="auto"/>
        </w:rPr>
      </w:pPr>
    </w:p>
    <w:p>
      <w:pPr>
        <w:ind w:right="3899"/>
        <w:spacing w:after="0" w:line="249" w:lineRule="auto"/>
        <w:rPr>
          <w:sz w:val="20"/>
          <w:szCs w:val="20"/>
          <w:color w:val="auto"/>
        </w:rPr>
      </w:pPr>
      <w:r>
        <w:rPr>
          <w:rFonts w:ascii="Courier New" w:cs="Courier New" w:eastAsia="Courier New" w:hAnsi="Courier New"/>
          <w:sz w:val="13"/>
          <w:szCs w:val="13"/>
          <w:color w:val="auto"/>
        </w:rPr>
        <w:t>OUR OPERATING RESULTS FLUCTUATE FROM QUARTER TO QUARTER WHICH MAKES IT DIFFICULT TO PREDICT OUR FUTURE PERFORMANCE.</w:t>
      </w:r>
    </w:p>
    <w:p>
      <w:pPr>
        <w:spacing w:after="0" w:line="151" w:lineRule="exact"/>
        <w:rPr>
          <w:sz w:val="20"/>
          <w:szCs w:val="20"/>
          <w:color w:val="auto"/>
        </w:rPr>
      </w:pPr>
    </w:p>
    <w:p>
      <w:pPr>
        <w:ind w:right="3979" w:firstLine="396"/>
        <w:spacing w:after="0" w:line="248" w:lineRule="auto"/>
        <w:rPr>
          <w:sz w:val="20"/>
          <w:szCs w:val="20"/>
          <w:color w:val="auto"/>
        </w:rPr>
      </w:pPr>
      <w:r>
        <w:rPr>
          <w:rFonts w:ascii="Courier New" w:cs="Courier New" w:eastAsia="Courier New" w:hAnsi="Courier New"/>
          <w:sz w:val="13"/>
          <w:szCs w:val="13"/>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52" w:lineRule="exact"/>
        <w:rPr>
          <w:sz w:val="20"/>
          <w:szCs w:val="20"/>
          <w:color w:val="auto"/>
        </w:rPr>
      </w:pPr>
    </w:p>
    <w:p>
      <w:pPr>
        <w:ind w:right="4139" w:firstLine="396"/>
        <w:spacing w:after="0" w:line="249" w:lineRule="auto"/>
        <w:rPr>
          <w:sz w:val="20"/>
          <w:szCs w:val="20"/>
          <w:color w:val="auto"/>
        </w:rPr>
      </w:pPr>
      <w:r>
        <w:rPr>
          <w:rFonts w:ascii="Courier New" w:cs="Courier New" w:eastAsia="Courier New" w:hAnsi="Courier New"/>
          <w:sz w:val="13"/>
          <w:szCs w:val="13"/>
          <w:color w:val="auto"/>
        </w:rPr>
        <w:t>o The cyclical nature of both the semiconductor industry and the markets served by our customers;</w:t>
      </w:r>
    </w:p>
    <w:p>
      <w:pPr>
        <w:spacing w:after="0" w:line="151" w:lineRule="exact"/>
        <w:rPr>
          <w:sz w:val="20"/>
          <w:szCs w:val="20"/>
          <w:color w:val="auto"/>
        </w:rPr>
      </w:pPr>
    </w:p>
    <w:p>
      <w:pPr>
        <w:ind w:right="4299" w:firstLine="396"/>
        <w:spacing w:after="0" w:line="249" w:lineRule="auto"/>
        <w:rPr>
          <w:sz w:val="20"/>
          <w:szCs w:val="20"/>
          <w:color w:val="auto"/>
        </w:rPr>
      </w:pPr>
      <w:r>
        <w:rPr>
          <w:rFonts w:ascii="Courier New" w:cs="Courier New" w:eastAsia="Courier New" w:hAnsi="Courier New"/>
          <w:sz w:val="13"/>
          <w:szCs w:val="13"/>
          <w:color w:val="auto"/>
        </w:rPr>
        <w:t>o Changes in the economic conditions of geographical regions where our customers and their markets are located;</w:t>
      </w:r>
    </w:p>
    <w:p>
      <w:pPr>
        <w:spacing w:after="0" w:line="151" w:lineRule="exact"/>
        <w:rPr>
          <w:sz w:val="20"/>
          <w:szCs w:val="20"/>
          <w:color w:val="auto"/>
        </w:rPr>
      </w:pPr>
    </w:p>
    <w:p>
      <w:pPr>
        <w:ind w:right="4139" w:firstLine="396"/>
        <w:spacing w:after="0" w:line="249" w:lineRule="auto"/>
        <w:rPr>
          <w:sz w:val="20"/>
          <w:szCs w:val="20"/>
          <w:color w:val="auto"/>
        </w:rPr>
      </w:pPr>
      <w:r>
        <w:rPr>
          <w:rFonts w:ascii="Courier New" w:cs="Courier New" w:eastAsia="Courier New" w:hAnsi="Courier New"/>
          <w:sz w:val="13"/>
          <w:szCs w:val="13"/>
          <w:color w:val="auto"/>
        </w:rPr>
        <w:t>o Shifts by integrated device manufacturers (IDMs) and customers between internal and outsourced production;</w:t>
      </w:r>
    </w:p>
    <w:p>
      <w:pPr>
        <w:spacing w:after="0" w:line="15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o Inventory and supply chain management of our customers;</w:t>
      </w:r>
    </w:p>
    <w:p>
      <w:pPr>
        <w:spacing w:after="0" w:line="157" w:lineRule="exact"/>
        <w:rPr>
          <w:sz w:val="20"/>
          <w:szCs w:val="20"/>
          <w:color w:val="auto"/>
        </w:rPr>
      </w:pPr>
    </w:p>
    <w:p>
      <w:pPr>
        <w:jc w:val="both"/>
        <w:ind w:right="3899" w:firstLine="396"/>
        <w:spacing w:after="0" w:line="248" w:lineRule="auto"/>
        <w:rPr>
          <w:sz w:val="20"/>
          <w:szCs w:val="20"/>
          <w:color w:val="auto"/>
        </w:rPr>
      </w:pPr>
      <w:r>
        <w:rPr>
          <w:rFonts w:ascii="Courier New" w:cs="Courier New" w:eastAsia="Courier New" w:hAnsi="Courier New"/>
          <w:sz w:val="13"/>
          <w:szCs w:val="13"/>
          <w:color w:val="auto"/>
        </w:rPr>
        <w:t>o The loss of a key customer, postponement of an order from a key customer, failure of a key customer to pay accounts receivables in a timely manner or the financial condition of our customers;</w:t>
      </w:r>
    </w:p>
    <w:p>
      <w:pPr>
        <w:spacing w:after="0" w:line="152"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o The occurrence of accounts receivables write-offs;</w:t>
      </w:r>
    </w:p>
    <w:p>
      <w:pPr>
        <w:spacing w:after="0" w:line="157" w:lineRule="exact"/>
        <w:rPr>
          <w:sz w:val="20"/>
          <w:szCs w:val="20"/>
          <w:color w:val="auto"/>
        </w:rPr>
      </w:pPr>
    </w:p>
    <w:p>
      <w:pPr>
        <w:ind w:right="4379" w:firstLine="396"/>
        <w:spacing w:after="0" w:line="249" w:lineRule="auto"/>
        <w:rPr>
          <w:sz w:val="20"/>
          <w:szCs w:val="20"/>
          <w:color w:val="auto"/>
        </w:rPr>
      </w:pPr>
      <w:r>
        <w:rPr>
          <w:rFonts w:ascii="Courier New" w:cs="Courier New" w:eastAsia="Courier New" w:hAnsi="Courier New"/>
          <w:sz w:val="13"/>
          <w:szCs w:val="13"/>
          <w:color w:val="auto"/>
        </w:rPr>
        <w:t>o The rescheduling or cancellation of large orders or planned capital expenditures;</w:t>
      </w:r>
    </w:p>
    <w:p>
      <w:pPr>
        <w:spacing w:after="0" w:line="151" w:lineRule="exact"/>
        <w:rPr>
          <w:sz w:val="20"/>
          <w:szCs w:val="20"/>
          <w:color w:val="auto"/>
        </w:rPr>
      </w:pPr>
    </w:p>
    <w:p>
      <w:pPr>
        <w:ind w:right="4379" w:firstLine="396"/>
        <w:spacing w:after="0" w:line="249" w:lineRule="auto"/>
        <w:rPr>
          <w:sz w:val="20"/>
          <w:szCs w:val="20"/>
          <w:color w:val="auto"/>
        </w:rPr>
      </w:pPr>
      <w:r>
        <w:rPr>
          <w:rFonts w:ascii="Courier New" w:cs="Courier New" w:eastAsia="Courier New" w:hAnsi="Courier New"/>
          <w:sz w:val="13"/>
          <w:szCs w:val="13"/>
          <w:color w:val="auto"/>
        </w:rPr>
        <w:t>o Our ability to satisfy our customers' demand for quality and timely production;</w:t>
      </w:r>
    </w:p>
    <w:p>
      <w:pPr>
        <w:spacing w:after="0" w:line="151" w:lineRule="exact"/>
        <w:rPr>
          <w:sz w:val="20"/>
          <w:szCs w:val="20"/>
          <w:color w:val="auto"/>
        </w:rPr>
      </w:pPr>
    </w:p>
    <w:p>
      <w:pPr>
        <w:ind w:right="4299" w:firstLine="396"/>
        <w:spacing w:after="0" w:line="249" w:lineRule="auto"/>
        <w:rPr>
          <w:sz w:val="20"/>
          <w:szCs w:val="20"/>
          <w:color w:val="auto"/>
        </w:rPr>
      </w:pPr>
      <w:r>
        <w:rPr>
          <w:rFonts w:ascii="Courier New" w:cs="Courier New" w:eastAsia="Courier New" w:hAnsi="Courier New"/>
          <w:sz w:val="13"/>
          <w:szCs w:val="13"/>
          <w:color w:val="auto"/>
        </w:rPr>
        <w:t>o The timing and volume of orders relative to our available production capacity;</w:t>
      </w:r>
    </w:p>
    <w:p>
      <w:pPr>
        <w:spacing w:after="0" w:line="151" w:lineRule="exact"/>
        <w:rPr>
          <w:sz w:val="20"/>
          <w:szCs w:val="20"/>
          <w:color w:val="auto"/>
        </w:rPr>
      </w:pPr>
    </w:p>
    <w:p>
      <w:pPr>
        <w:ind w:right="4539" w:firstLine="396"/>
        <w:spacing w:after="0" w:line="249" w:lineRule="auto"/>
        <w:rPr>
          <w:sz w:val="20"/>
          <w:szCs w:val="20"/>
          <w:color w:val="auto"/>
        </w:rPr>
      </w:pPr>
      <w:r>
        <w:rPr>
          <w:rFonts w:ascii="Courier New" w:cs="Courier New" w:eastAsia="Courier New" w:hAnsi="Courier New"/>
          <w:sz w:val="13"/>
          <w:szCs w:val="13"/>
          <w:color w:val="auto"/>
        </w:rPr>
        <w:t>o Our ability to obtain raw materials and equipment on a timely and cost-effective basis;</w:t>
      </w:r>
    </w:p>
    <w:p>
      <w:pPr>
        <w:spacing w:after="0" w:line="15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o Environmental events or industrial accidents such as fires or explosions;</w:t>
      </w:r>
    </w:p>
    <w:p>
      <w:pPr>
        <w:spacing w:after="0" w:line="15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o Our susceptibility to intellectual property rights disputes;</w:t>
      </w:r>
    </w:p>
    <w:p>
      <w:pPr>
        <w:spacing w:after="0" w:line="157" w:lineRule="exact"/>
        <w:rPr>
          <w:sz w:val="20"/>
          <w:szCs w:val="20"/>
          <w:color w:val="auto"/>
        </w:rPr>
      </w:pPr>
    </w:p>
    <w:p>
      <w:pPr>
        <w:ind w:right="3979" w:firstLine="396"/>
        <w:spacing w:after="0" w:line="249" w:lineRule="auto"/>
        <w:rPr>
          <w:sz w:val="20"/>
          <w:szCs w:val="20"/>
          <w:color w:val="auto"/>
        </w:rPr>
      </w:pPr>
      <w:r>
        <w:rPr>
          <w:rFonts w:ascii="Courier New" w:cs="Courier New" w:eastAsia="Courier New" w:hAnsi="Courier New"/>
          <w:sz w:val="13"/>
          <w:szCs w:val="13"/>
          <w:color w:val="auto"/>
        </w:rPr>
        <w:t>o Our ability to continue with existing and to enter into new partnerships and technology and supply alliances on mutually beneficial terms;</w:t>
      </w:r>
    </w:p>
    <w:p>
      <w:pPr>
        <w:spacing w:after="0" w:line="15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o Actual capital expenditures exceeding planned capital expenditures;</w:t>
      </w:r>
    </w:p>
    <w:p>
      <w:pPr>
        <w:spacing w:after="0" w:line="157" w:lineRule="exact"/>
        <w:rPr>
          <w:sz w:val="20"/>
          <w:szCs w:val="20"/>
          <w:color w:val="auto"/>
        </w:rPr>
      </w:pPr>
    </w:p>
    <w:p>
      <w:pPr>
        <w:ind w:right="4459" w:firstLine="396"/>
        <w:spacing w:after="0" w:line="249" w:lineRule="auto"/>
        <w:rPr>
          <w:sz w:val="20"/>
          <w:szCs w:val="20"/>
          <w:color w:val="auto"/>
        </w:rPr>
      </w:pPr>
      <w:r>
        <w:rPr>
          <w:rFonts w:ascii="Courier New" w:cs="Courier New" w:eastAsia="Courier New" w:hAnsi="Courier New"/>
          <w:sz w:val="13"/>
          <w:szCs w:val="13"/>
          <w:color w:val="auto"/>
        </w:rPr>
        <w:t>o Interest and currency rate fluctuations that may not be adequately hedged;</w:t>
      </w:r>
    </w:p>
    <w:p>
      <w:pPr>
        <w:spacing w:after="0" w:line="15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o Technological changes and short product life cycles; and</w:t>
      </w:r>
    </w:p>
    <w:p>
      <w:pPr>
        <w:spacing w:after="0" w:line="15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o Timing for designing and the qualification of new products.</w:t>
      </w:r>
    </w:p>
    <w:p>
      <w:pPr>
        <w:spacing w:after="0" w:line="157"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Due to the factors noted above and other risks discussed in this section, many of which are beyond our control, you should not rely on quarter to quarter comparisons to predict our future performance. Unfavorable changes in any of the above factors may seriously harm our company.</w:t>
      </w:r>
    </w:p>
    <w:p>
      <w:pPr>
        <w:spacing w:after="0" w:line="152" w:lineRule="exact"/>
        <w:rPr>
          <w:sz w:val="20"/>
          <w:szCs w:val="20"/>
          <w:color w:val="auto"/>
        </w:rPr>
      </w:pPr>
    </w:p>
    <w:p>
      <w:pPr>
        <w:ind w:right="4379"/>
        <w:spacing w:after="0" w:line="249" w:lineRule="auto"/>
        <w:rPr>
          <w:sz w:val="20"/>
          <w:szCs w:val="20"/>
          <w:color w:val="auto"/>
        </w:rPr>
      </w:pPr>
      <w:r>
        <w:rPr>
          <w:rFonts w:ascii="Courier New" w:cs="Courier New" w:eastAsia="Courier New" w:hAnsi="Courier New"/>
          <w:sz w:val="13"/>
          <w:szCs w:val="13"/>
          <w:color w:val="auto"/>
        </w:rPr>
        <w:t>THE LACK OF A SIGNIFICANT BACKLOG RESULTING FROM OUR CUSTOMERS NOT PLACING PURCHASE ORDERS FAR IN ADVANCE MAKES IT DIFFICULT FOR US TO FORECAST OUR</w:t>
      </w:r>
    </w:p>
    <w:p>
      <w:pPr>
        <w:sectPr>
          <w:pgSz w:w="11900" w:h="16912" w:orient="portrait"/>
          <w:cols w:equalWidth="0" w:num="1">
            <w:col w:w="10239"/>
          </w:cols>
          <w:pgMar w:left="220" w:top="141"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3"/>
          <w:szCs w:val="13"/>
          <w:color w:val="auto"/>
        </w:rPr>
        <w:t>REVENUES IN FUTURE PERIODS.</w:t>
      </w:r>
    </w:p>
    <w:p>
      <w:pPr>
        <w:spacing w:after="0" w:line="157"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w:t>
      </w:r>
    </w:p>
    <w:p>
      <w:pPr>
        <w:spacing w:after="0" w:line="305"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12</w:t>
      </w:r>
    </w:p>
    <w:p>
      <w:pPr>
        <w:spacing w:after="0" w:line="200" w:lineRule="exact"/>
        <w:rPr>
          <w:sz w:val="20"/>
          <w:szCs w:val="20"/>
          <w:color w:val="auto"/>
        </w:rPr>
      </w:pPr>
    </w:p>
    <w:p>
      <w:pPr>
        <w:spacing w:after="0" w:line="241" w:lineRule="exact"/>
        <w:rPr>
          <w:sz w:val="20"/>
          <w:szCs w:val="20"/>
          <w:color w:val="auto"/>
        </w:rPr>
      </w:pPr>
    </w:p>
    <w:p>
      <w:pPr>
        <w:ind w:right="3979"/>
        <w:spacing w:after="0" w:line="249" w:lineRule="auto"/>
        <w:rPr>
          <w:sz w:val="20"/>
          <w:szCs w:val="20"/>
          <w:color w:val="auto"/>
        </w:rPr>
      </w:pPr>
      <w:r>
        <w:rPr>
          <w:rFonts w:ascii="Courier New" w:cs="Courier New" w:eastAsia="Courier New" w:hAnsi="Courier New"/>
          <w:sz w:val="13"/>
          <w:szCs w:val="13"/>
          <w:color w:val="auto"/>
        </w:rPr>
        <w:t>OUR SALES CYCLES MAY BE LONG AND, AS A RESULT, ORDERS RECEIVED MAY NOT MEET OUR EXPECTATIONS WHICH MAY ADVERSELY AFFECT OUR OPERATING RESULTS.</w:t>
      </w:r>
    </w:p>
    <w:p>
      <w:pPr>
        <w:spacing w:after="0" w:line="151"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Our sales cycles, which measure the time between our first contact with a customer and the first shipment of product orders to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may be adversely affected.</w:t>
      </w:r>
    </w:p>
    <w:p>
      <w:pPr>
        <w:spacing w:after="0" w:line="152" w:lineRule="exact"/>
        <w:rPr>
          <w:sz w:val="20"/>
          <w:szCs w:val="20"/>
          <w:color w:val="auto"/>
        </w:rPr>
      </w:pPr>
    </w:p>
    <w:p>
      <w:pPr>
        <w:ind w:right="3899"/>
        <w:spacing w:after="0" w:line="249" w:lineRule="auto"/>
        <w:rPr>
          <w:sz w:val="20"/>
          <w:szCs w:val="20"/>
          <w:color w:val="auto"/>
        </w:rPr>
      </w:pPr>
      <w:r>
        <w:rPr>
          <w:rFonts w:ascii="Courier New" w:cs="Courier New" w:eastAsia="Courier New" w:hAnsi="Courier New"/>
          <w:sz w:val="13"/>
          <w:szCs w:val="13"/>
          <w:color w:val="auto"/>
        </w:rPr>
        <w:t>DEMAND FOR OUR FOUNDRY SERVICES IS DEPENDENT ON THE DEMAND IN OUR CUSTOMERS' END MARKETS.</w:t>
      </w:r>
    </w:p>
    <w:p>
      <w:pPr>
        <w:spacing w:after="0" w:line="151" w:lineRule="exact"/>
        <w:rPr>
          <w:sz w:val="20"/>
          <w:szCs w:val="20"/>
          <w:color w:val="auto"/>
        </w:rPr>
      </w:pPr>
    </w:p>
    <w:p>
      <w:pPr>
        <w:ind w:right="3979" w:firstLine="396"/>
        <w:spacing w:after="0" w:line="248" w:lineRule="auto"/>
        <w:rPr>
          <w:sz w:val="20"/>
          <w:szCs w:val="20"/>
          <w:color w:val="auto"/>
        </w:rPr>
      </w:pPr>
      <w:r>
        <w:rPr>
          <w:rFonts w:ascii="Courier New" w:cs="Courier New" w:eastAsia="Courier New" w:hAnsi="Courier New"/>
          <w:sz w:val="13"/>
          <w:szCs w:val="13"/>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revenues.</w:t>
      </w:r>
    </w:p>
    <w:p>
      <w:pPr>
        <w:spacing w:after="0" w:line="152" w:lineRule="exact"/>
        <w:rPr>
          <w:sz w:val="20"/>
          <w:szCs w:val="20"/>
          <w:color w:val="auto"/>
        </w:rPr>
      </w:pPr>
    </w:p>
    <w:p>
      <w:pPr>
        <w:ind w:right="4539"/>
        <w:spacing w:after="0" w:line="249" w:lineRule="auto"/>
        <w:rPr>
          <w:sz w:val="20"/>
          <w:szCs w:val="20"/>
          <w:color w:val="auto"/>
        </w:rPr>
      </w:pPr>
      <w:r>
        <w:rPr>
          <w:rFonts w:ascii="Courier New" w:cs="Courier New" w:eastAsia="Courier New" w:hAnsi="Courier New"/>
          <w:sz w:val="13"/>
          <w:szCs w:val="13"/>
          <w:color w:val="auto"/>
        </w:rPr>
        <w:t>IF WE DO NOT ATTRACT ADDITIONAL CUSTOMERS, OUR BUSINESS MAY BE ADVERSELY AFFECTED.</w:t>
      </w:r>
    </w:p>
    <w:p>
      <w:pPr>
        <w:spacing w:after="0" w:line="151"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During the three months ended March 31, 2006, approximately 55% of our business was generated by four significant customers that contributed 18%, 14%, 12%, and 11% of our revenues, respectively. We expect to continue to receive a significant portion of our revenue from a limited number of customers in 2006. Loss or cancellation of business from, or decreases in, the sales volume or sales prices to our significant customers, could seriously harm our financial results, revenues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revenues in a timely manner, which could harm our financial results.</w:t>
      </w:r>
    </w:p>
    <w:p>
      <w:pPr>
        <w:spacing w:after="0" w:line="152" w:lineRule="exact"/>
        <w:rPr>
          <w:sz w:val="20"/>
          <w:szCs w:val="20"/>
          <w:color w:val="auto"/>
        </w:rPr>
      </w:pPr>
    </w:p>
    <w:p>
      <w:pPr>
        <w:ind w:right="3979"/>
        <w:spacing w:after="0" w:line="249" w:lineRule="auto"/>
        <w:rPr>
          <w:sz w:val="20"/>
          <w:szCs w:val="20"/>
          <w:color w:val="auto"/>
        </w:rPr>
      </w:pPr>
      <w:r>
        <w:rPr>
          <w:rFonts w:ascii="Courier New" w:cs="Courier New" w:eastAsia="Courier New" w:hAnsi="Courier New"/>
          <w:sz w:val="13"/>
          <w:szCs w:val="13"/>
          <w:color w:val="auto"/>
        </w:rPr>
        <w:t>WE DEPEND ON A RELATIVELY SMALL NUMBER OF PRODUCTS FOR A SIGNIFICANT PORTION OF OUR REVENUES.</w:t>
      </w:r>
    </w:p>
    <w:p>
      <w:pPr>
        <w:spacing w:after="0" w:line="151"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in the foreseeable future we will continue to be dependent upon a relatively limited number of products for a significant portion of our revenue due to the nature of our business. We cannot assure you that revenue generated from these products, individually or in the aggregate, will reach or exceed historical levels in any future period. A decrease in the price of, or demand for, any of these products could negatively impact our financial results.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IF WE DO NOT RECEIVE ORDERS FROM OUR WAFER PARTNERS WE MAY HAVE EXCESS CAPACITY.</w:t>
      </w:r>
    </w:p>
    <w:p>
      <w:pPr>
        <w:spacing w:after="0" w:line="157"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We have committed a portion of our Fab 2 capacity for future orders. During the ramp-up of Fab 2, our capacity commitments to our wafer partners, which are SanDisk Corporation, Alliance Semiconductor Corporation, Macronix International Co. Ltd. and Quicklogic Corporation, are limited to approximately 50% of our Fab 2 capacity.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and if we are unable to fill such unutilized capacity, our financial results may be adversely affected.</w:t>
      </w:r>
    </w:p>
    <w:p>
      <w:pPr>
        <w:spacing w:after="0" w:line="305"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13</w:t>
      </w:r>
    </w:p>
    <w:p>
      <w:pPr>
        <w:spacing w:after="0" w:line="200" w:lineRule="exact"/>
        <w:rPr>
          <w:sz w:val="20"/>
          <w:szCs w:val="20"/>
          <w:color w:val="auto"/>
        </w:rPr>
      </w:pPr>
    </w:p>
    <w:p>
      <w:pPr>
        <w:spacing w:after="0" w:line="241" w:lineRule="exact"/>
        <w:rPr>
          <w:sz w:val="20"/>
          <w:szCs w:val="20"/>
          <w:color w:val="auto"/>
        </w:rPr>
      </w:pPr>
    </w:p>
    <w:p>
      <w:pPr>
        <w:ind w:right="3899"/>
        <w:spacing w:after="0" w:line="249" w:lineRule="auto"/>
        <w:rPr>
          <w:sz w:val="20"/>
          <w:szCs w:val="20"/>
          <w:color w:val="auto"/>
        </w:rPr>
      </w:pPr>
      <w:r>
        <w:rPr>
          <w:rFonts w:ascii="Courier New" w:cs="Courier New" w:eastAsia="Courier New" w:hAnsi="Courier New"/>
          <w:sz w:val="13"/>
          <w:szCs w:val="13"/>
          <w:color w:val="auto"/>
        </w:rPr>
        <w:t>IF WE DO NOT MAINTAIN AND DEVELOP OUR TECHNOLOGY PROCESSES AND SERVICES, WE WILL LOSE CUSTOMERS AND MAY NOT BE ABLE TO ATTRACT NEW ONES.</w:t>
      </w:r>
    </w:p>
    <w:p>
      <w:pPr>
        <w:spacing w:after="0" w:line="151" w:lineRule="exact"/>
        <w:rPr>
          <w:sz w:val="20"/>
          <w:szCs w:val="20"/>
          <w:color w:val="auto"/>
        </w:rPr>
      </w:pPr>
    </w:p>
    <w:p>
      <w:pPr>
        <w:ind w:right="4139" w:firstLine="396"/>
        <w:spacing w:after="0" w:line="249" w:lineRule="auto"/>
        <w:rPr>
          <w:sz w:val="20"/>
          <w:szCs w:val="20"/>
          <w:color w:val="auto"/>
        </w:rPr>
      </w:pPr>
      <w:r>
        <w:rPr>
          <w:rFonts w:ascii="Courier New" w:cs="Courier New" w:eastAsia="Courier New" w:hAnsi="Courier New"/>
          <w:sz w:val="13"/>
          <w:szCs w:val="13"/>
          <w:color w:val="auto"/>
        </w:rPr>
        <w:t>The semiconductor market is characterized by rapid change, including the following:</w:t>
      </w:r>
    </w:p>
    <w:p>
      <w:pPr>
        <w:spacing w:after="0" w:line="151" w:lineRule="exact"/>
        <w:rPr>
          <w:sz w:val="20"/>
          <w:szCs w:val="20"/>
          <w:color w:val="auto"/>
        </w:rPr>
      </w:pPr>
    </w:p>
    <w:p>
      <w:pPr>
        <w:ind w:left="1180" w:hanging="387"/>
        <w:spacing w:after="0"/>
        <w:tabs>
          <w:tab w:leader="none" w:pos="118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rapid technological developments;</w:t>
      </w:r>
    </w:p>
    <w:p>
      <w:pPr>
        <w:spacing w:after="0" w:line="157" w:lineRule="exact"/>
        <w:rPr>
          <w:rFonts w:ascii="Courier New" w:cs="Courier New" w:eastAsia="Courier New" w:hAnsi="Courier New"/>
          <w:sz w:val="13"/>
          <w:szCs w:val="13"/>
          <w:color w:val="auto"/>
        </w:rPr>
      </w:pPr>
    </w:p>
    <w:p>
      <w:pPr>
        <w:ind w:left="1180" w:hanging="387"/>
        <w:spacing w:after="0"/>
        <w:tabs>
          <w:tab w:leader="none" w:pos="118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evolving industry standards;</w:t>
      </w:r>
    </w:p>
    <w:p>
      <w:pPr>
        <w:spacing w:after="0" w:line="157" w:lineRule="exact"/>
        <w:rPr>
          <w:rFonts w:ascii="Courier New" w:cs="Courier New" w:eastAsia="Courier New" w:hAnsi="Courier New"/>
          <w:sz w:val="13"/>
          <w:szCs w:val="13"/>
          <w:color w:val="auto"/>
        </w:rPr>
      </w:pPr>
    </w:p>
    <w:p>
      <w:pPr>
        <w:ind w:left="1180" w:hanging="387"/>
        <w:spacing w:after="0"/>
        <w:tabs>
          <w:tab w:leader="none" w:pos="118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changes in customer and product end user requirements;</w:t>
      </w:r>
    </w:p>
    <w:p>
      <w:pPr>
        <w:sectPr>
          <w:pgSz w:w="11900" w:h="16838" w:orient="portrait"/>
          <w:cols w:equalWidth="0" w:num="1">
            <w:col w:w="10239"/>
          </w:cols>
          <w:pgMar w:left="220" w:top="141" w:right="1440" w:bottom="0" w:gutter="0" w:footer="0" w:header="0"/>
        </w:sectPr>
      </w:pPr>
    </w:p>
    <w:bookmarkStart w:id="9" w:name="page10"/>
    <w:bookmarkEnd w:id="9"/>
    <w:p>
      <w:pPr>
        <w:spacing w:after="0" w:line="52" w:lineRule="exact"/>
        <w:rPr>
          <w:sz w:val="20"/>
          <w:szCs w:val="20"/>
          <w:color w:val="auto"/>
        </w:rPr>
      </w:pPr>
    </w:p>
    <w:p>
      <w:pPr>
        <w:ind w:left="1180" w:hanging="387"/>
        <w:spacing w:after="0"/>
        <w:tabs>
          <w:tab w:leader="none" w:pos="11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frequent new product introductions and enhancements; and</w:t>
      </w:r>
    </w:p>
    <w:p>
      <w:pPr>
        <w:spacing w:after="0" w:line="157" w:lineRule="exact"/>
        <w:rPr>
          <w:rFonts w:ascii="Courier New" w:cs="Courier New" w:eastAsia="Courier New" w:hAnsi="Courier New"/>
          <w:sz w:val="13"/>
          <w:szCs w:val="13"/>
          <w:color w:val="auto"/>
        </w:rPr>
      </w:pPr>
    </w:p>
    <w:p>
      <w:pPr>
        <w:ind w:left="1180" w:right="4379" w:hanging="387"/>
        <w:spacing w:after="0" w:line="249" w:lineRule="auto"/>
        <w:tabs>
          <w:tab w:leader="none" w:pos="118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short product life cycles with declining prices as products mature.</w:t>
      </w:r>
    </w:p>
    <w:p>
      <w:pPr>
        <w:spacing w:after="0" w:line="151" w:lineRule="exact"/>
        <w:rPr>
          <w:sz w:val="20"/>
          <w:szCs w:val="20"/>
          <w:color w:val="auto"/>
        </w:rPr>
      </w:pPr>
    </w:p>
    <w:p>
      <w:pPr>
        <w:ind w:right="3979" w:firstLine="396"/>
        <w:spacing w:after="0" w:line="248" w:lineRule="auto"/>
        <w:rPr>
          <w:sz w:val="20"/>
          <w:szCs w:val="20"/>
          <w:color w:val="auto"/>
        </w:rPr>
      </w:pPr>
      <w:r>
        <w:rPr>
          <w:rFonts w:ascii="Courier New" w:cs="Courier New" w:eastAsia="Courier New" w:hAnsi="Courier New"/>
          <w:sz w:val="13"/>
          <w:szCs w:val="13"/>
          <w:color w:val="auto"/>
        </w:rPr>
        <w:t>In order to maintain our current customer base and attract new customers, we must continue to advance our manufacturing process technologies. We are developing and introducing to production specialized process technologies. Our ability to achieve and maintain profitable operations depends on the successful development and introduction to production of these processes, which we may not achieve in a timely manner or at all.</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IF WE DO NOT COMPETE EFFECTIVELY, WE WILL LOSE BUSINESS TO OUR COMPETITORS.</w:t>
      </w:r>
    </w:p>
    <w:p>
      <w:pPr>
        <w:spacing w:after="0" w:line="157"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The semiconductor foundry industry is highly competitive. We compete with more than ten independent dedicated foundries, the majority of which are located in Asia-Pacific, including new foundries based in Taiwan, China, Korea and Malaysia, and with over twenty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If we do not compete effectively, our business and results of operations may be adversely affected. Many of our competitors may have one or more of the following competitive advantages over us:</w:t>
      </w:r>
    </w:p>
    <w:p>
      <w:pPr>
        <w:spacing w:after="0" w:line="152" w:lineRule="exact"/>
        <w:rPr>
          <w:sz w:val="20"/>
          <w:szCs w:val="20"/>
          <w:color w:val="auto"/>
        </w:rPr>
      </w:pPr>
    </w:p>
    <w:p>
      <w:pPr>
        <w:ind w:left="800" w:hanging="403"/>
        <w:spacing w:after="0"/>
        <w:tabs>
          <w:tab w:leader="none" w:pos="800" w:val="left"/>
        </w:tabs>
        <w:numPr>
          <w:ilvl w:val="0"/>
          <w:numId w:val="6"/>
        </w:numPr>
        <w:rPr>
          <w:rFonts w:ascii="Courier New" w:cs="Courier New" w:eastAsia="Courier New" w:hAnsi="Courier New"/>
          <w:sz w:val="13"/>
          <w:szCs w:val="13"/>
          <w:color w:val="auto"/>
        </w:rPr>
      </w:pPr>
      <w:r>
        <w:rPr>
          <w:rFonts w:ascii="Courier New" w:cs="Courier New" w:eastAsia="Courier New" w:hAnsi="Courier New"/>
          <w:sz w:val="13"/>
          <w:szCs w:val="13"/>
          <w:color w:val="auto"/>
        </w:rPr>
        <w:t>greater manufacturing capacity;</w:t>
      </w:r>
    </w:p>
    <w:p>
      <w:pPr>
        <w:spacing w:after="0" w:line="157" w:lineRule="exact"/>
        <w:rPr>
          <w:rFonts w:ascii="Courier New" w:cs="Courier New" w:eastAsia="Courier New" w:hAnsi="Courier New"/>
          <w:sz w:val="13"/>
          <w:szCs w:val="13"/>
          <w:color w:val="auto"/>
        </w:rPr>
      </w:pPr>
    </w:p>
    <w:p>
      <w:pPr>
        <w:ind w:left="800" w:hanging="403"/>
        <w:spacing w:after="0"/>
        <w:tabs>
          <w:tab w:leader="none" w:pos="800" w:val="left"/>
        </w:tabs>
        <w:numPr>
          <w:ilvl w:val="0"/>
          <w:numId w:val="6"/>
        </w:numPr>
        <w:rPr>
          <w:rFonts w:ascii="Courier New" w:cs="Courier New" w:eastAsia="Courier New" w:hAnsi="Courier New"/>
          <w:sz w:val="13"/>
          <w:szCs w:val="13"/>
          <w:color w:val="auto"/>
        </w:rPr>
      </w:pPr>
      <w:r>
        <w:rPr>
          <w:rFonts w:ascii="Courier New" w:cs="Courier New" w:eastAsia="Courier New" w:hAnsi="Courier New"/>
          <w:sz w:val="13"/>
          <w:szCs w:val="13"/>
          <w:color w:val="auto"/>
        </w:rPr>
        <w:t>multiple and more advanced manufacturing facilities;</w:t>
      </w:r>
    </w:p>
    <w:p>
      <w:pPr>
        <w:spacing w:after="0" w:line="157" w:lineRule="exact"/>
        <w:rPr>
          <w:rFonts w:ascii="Courier New" w:cs="Courier New" w:eastAsia="Courier New" w:hAnsi="Courier New"/>
          <w:sz w:val="13"/>
          <w:szCs w:val="13"/>
          <w:color w:val="auto"/>
        </w:rPr>
      </w:pPr>
    </w:p>
    <w:p>
      <w:pPr>
        <w:ind w:left="800" w:hanging="403"/>
        <w:spacing w:after="0"/>
        <w:tabs>
          <w:tab w:leader="none" w:pos="800" w:val="left"/>
        </w:tabs>
        <w:numPr>
          <w:ilvl w:val="0"/>
          <w:numId w:val="6"/>
        </w:numPr>
        <w:rPr>
          <w:rFonts w:ascii="Courier New" w:cs="Courier New" w:eastAsia="Courier New" w:hAnsi="Courier New"/>
          <w:sz w:val="13"/>
          <w:szCs w:val="13"/>
          <w:color w:val="auto"/>
        </w:rPr>
      </w:pPr>
      <w:r>
        <w:rPr>
          <w:rFonts w:ascii="Courier New" w:cs="Courier New" w:eastAsia="Courier New" w:hAnsi="Courier New"/>
          <w:sz w:val="13"/>
          <w:szCs w:val="13"/>
          <w:color w:val="auto"/>
        </w:rPr>
        <w:t>more advanced technological capabilities;</w:t>
      </w:r>
    </w:p>
    <w:p>
      <w:pPr>
        <w:spacing w:after="0" w:line="157" w:lineRule="exact"/>
        <w:rPr>
          <w:rFonts w:ascii="Courier New" w:cs="Courier New" w:eastAsia="Courier New" w:hAnsi="Courier New"/>
          <w:sz w:val="13"/>
          <w:szCs w:val="13"/>
          <w:color w:val="auto"/>
        </w:rPr>
      </w:pPr>
    </w:p>
    <w:p>
      <w:pPr>
        <w:ind w:left="800" w:hanging="403"/>
        <w:spacing w:after="0"/>
        <w:tabs>
          <w:tab w:leader="none" w:pos="800" w:val="left"/>
        </w:tabs>
        <w:numPr>
          <w:ilvl w:val="0"/>
          <w:numId w:val="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more diverse and established customer base;</w:t>
      </w:r>
    </w:p>
    <w:p>
      <w:pPr>
        <w:spacing w:after="0" w:line="157" w:lineRule="exact"/>
        <w:rPr>
          <w:rFonts w:ascii="Courier New" w:cs="Courier New" w:eastAsia="Courier New" w:hAnsi="Courier New"/>
          <w:sz w:val="13"/>
          <w:szCs w:val="13"/>
          <w:color w:val="auto"/>
        </w:rPr>
      </w:pPr>
    </w:p>
    <w:p>
      <w:pPr>
        <w:ind w:left="800" w:hanging="403"/>
        <w:spacing w:after="0"/>
        <w:tabs>
          <w:tab w:leader="none" w:pos="800" w:val="left"/>
        </w:tabs>
        <w:numPr>
          <w:ilvl w:val="0"/>
          <w:numId w:val="6"/>
        </w:numPr>
        <w:rPr>
          <w:rFonts w:ascii="Courier New" w:cs="Courier New" w:eastAsia="Courier New" w:hAnsi="Courier New"/>
          <w:sz w:val="13"/>
          <w:szCs w:val="13"/>
          <w:color w:val="auto"/>
        </w:rPr>
      </w:pPr>
      <w:r>
        <w:rPr>
          <w:rFonts w:ascii="Courier New" w:cs="Courier New" w:eastAsia="Courier New" w:hAnsi="Courier New"/>
          <w:sz w:val="13"/>
          <w:szCs w:val="13"/>
          <w:color w:val="auto"/>
        </w:rPr>
        <w:t>greater financial, marketing, distribution and other resources;</w:t>
      </w:r>
    </w:p>
    <w:p>
      <w:pPr>
        <w:spacing w:after="0" w:line="157" w:lineRule="exact"/>
        <w:rPr>
          <w:rFonts w:ascii="Courier New" w:cs="Courier New" w:eastAsia="Courier New" w:hAnsi="Courier New"/>
          <w:sz w:val="13"/>
          <w:szCs w:val="13"/>
          <w:color w:val="auto"/>
        </w:rPr>
      </w:pPr>
    </w:p>
    <w:p>
      <w:pPr>
        <w:ind w:left="800" w:hanging="403"/>
        <w:spacing w:after="0"/>
        <w:tabs>
          <w:tab w:leader="none" w:pos="800" w:val="left"/>
        </w:tabs>
        <w:numPr>
          <w:ilvl w:val="0"/>
          <w:numId w:val="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better cost structure; and/or</w:t>
      </w:r>
    </w:p>
    <w:p>
      <w:pPr>
        <w:spacing w:after="0" w:line="157" w:lineRule="exact"/>
        <w:rPr>
          <w:rFonts w:ascii="Courier New" w:cs="Courier New" w:eastAsia="Courier New" w:hAnsi="Courier New"/>
          <w:sz w:val="13"/>
          <w:szCs w:val="13"/>
          <w:color w:val="auto"/>
        </w:rPr>
      </w:pPr>
    </w:p>
    <w:p>
      <w:pPr>
        <w:ind w:left="800" w:hanging="403"/>
        <w:spacing w:after="0"/>
        <w:tabs>
          <w:tab w:leader="none" w:pos="800" w:val="left"/>
        </w:tabs>
        <w:numPr>
          <w:ilvl w:val="0"/>
          <w:numId w:val="6"/>
        </w:numPr>
        <w:rPr>
          <w:rFonts w:ascii="Courier New" w:cs="Courier New" w:eastAsia="Courier New" w:hAnsi="Courier New"/>
          <w:sz w:val="13"/>
          <w:szCs w:val="13"/>
          <w:color w:val="auto"/>
        </w:rPr>
      </w:pPr>
      <w:r>
        <w:rPr>
          <w:rFonts w:ascii="Courier New" w:cs="Courier New" w:eastAsia="Courier New" w:hAnsi="Courier New"/>
          <w:sz w:val="13"/>
          <w:szCs w:val="13"/>
          <w:color w:val="auto"/>
        </w:rPr>
        <w:t>better operational performance in cycle time and yields.</w:t>
      </w:r>
    </w:p>
    <w:p>
      <w:pPr>
        <w:spacing w:after="0" w:line="157" w:lineRule="exact"/>
        <w:rPr>
          <w:sz w:val="20"/>
          <w:szCs w:val="20"/>
          <w:color w:val="auto"/>
        </w:rPr>
      </w:pPr>
    </w:p>
    <w:p>
      <w:pPr>
        <w:ind w:right="4859"/>
        <w:spacing w:after="0" w:line="249" w:lineRule="auto"/>
        <w:rPr>
          <w:sz w:val="20"/>
          <w:szCs w:val="20"/>
          <w:color w:val="auto"/>
        </w:rPr>
      </w:pPr>
      <w:r>
        <w:rPr>
          <w:rFonts w:ascii="Courier New" w:cs="Courier New" w:eastAsia="Courier New" w:hAnsi="Courier New"/>
          <w:sz w:val="13"/>
          <w:szCs w:val="13"/>
          <w:color w:val="auto"/>
        </w:rPr>
        <w:t>WE HAVE A LARGE AMOUNT OF DEBT WHICH COULD HAVE SIGNIFICANT NEGATIVE CONSEQUENCES.</w:t>
      </w:r>
    </w:p>
    <w:p>
      <w:pPr>
        <w:spacing w:after="0" w:line="151"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We have a large amount of long-term debt, which could have significant negative consequences. As of March 31, 2006, we had approximately $526.7 million of bank debt and approximately $60 million of convertible debt. Our current and future indebtedness could have significant negative consequences, including:</w:t>
      </w:r>
    </w:p>
    <w:p>
      <w:pPr>
        <w:spacing w:after="0" w:line="152" w:lineRule="exact"/>
        <w:rPr>
          <w:sz w:val="20"/>
          <w:szCs w:val="20"/>
          <w:color w:val="auto"/>
        </w:rPr>
      </w:pPr>
    </w:p>
    <w:p>
      <w:pPr>
        <w:ind w:right="4139" w:firstLine="396"/>
        <w:spacing w:after="0" w:line="249" w:lineRule="auto"/>
        <w:rPr>
          <w:sz w:val="20"/>
          <w:szCs w:val="20"/>
          <w:color w:val="auto"/>
        </w:rPr>
      </w:pPr>
      <w:r>
        <w:rPr>
          <w:rFonts w:ascii="Courier New" w:cs="Courier New" w:eastAsia="Courier New" w:hAnsi="Courier New"/>
          <w:sz w:val="13"/>
          <w:szCs w:val="13"/>
          <w:color w:val="auto"/>
        </w:rPr>
        <w:t>o requiring the dedication of a substantial portion of our expected cash flow from operations to service our indebtedness;</w:t>
      </w:r>
    </w:p>
    <w:p>
      <w:pPr>
        <w:spacing w:after="0" w:line="151" w:lineRule="exact"/>
        <w:rPr>
          <w:sz w:val="20"/>
          <w:szCs w:val="20"/>
          <w:color w:val="auto"/>
        </w:rPr>
      </w:pPr>
    </w:p>
    <w:p>
      <w:pPr>
        <w:ind w:right="4219" w:firstLine="396"/>
        <w:spacing w:after="0" w:line="249" w:lineRule="auto"/>
        <w:rPr>
          <w:sz w:val="20"/>
          <w:szCs w:val="20"/>
          <w:color w:val="auto"/>
        </w:rPr>
      </w:pPr>
      <w:r>
        <w:rPr>
          <w:rFonts w:ascii="Courier New" w:cs="Courier New" w:eastAsia="Courier New" w:hAnsi="Courier New"/>
          <w:sz w:val="13"/>
          <w:szCs w:val="13"/>
          <w:color w:val="auto"/>
        </w:rPr>
        <w:t>o increasing our vulnerability to general adverse economic and industry conditions;</w:t>
      </w:r>
    </w:p>
    <w:p>
      <w:pPr>
        <w:spacing w:after="0" w:line="15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o limiting our ability to obtain additional financing;</w:t>
      </w:r>
    </w:p>
    <w:p>
      <w:pPr>
        <w:spacing w:after="0" w:line="157" w:lineRule="exact"/>
        <w:rPr>
          <w:sz w:val="20"/>
          <w:szCs w:val="20"/>
          <w:color w:val="auto"/>
        </w:rPr>
      </w:pPr>
    </w:p>
    <w:p>
      <w:pPr>
        <w:ind w:right="3979" w:firstLine="396"/>
        <w:spacing w:after="0" w:line="249" w:lineRule="auto"/>
        <w:rPr>
          <w:sz w:val="20"/>
          <w:szCs w:val="20"/>
          <w:color w:val="auto"/>
        </w:rPr>
      </w:pPr>
      <w:r>
        <w:rPr>
          <w:rFonts w:ascii="Courier New" w:cs="Courier New" w:eastAsia="Courier New" w:hAnsi="Courier New"/>
          <w:sz w:val="13"/>
          <w:szCs w:val="13"/>
          <w:color w:val="auto"/>
        </w:rPr>
        <w:t>o limiting our flexibility in planning for, or reacting to, changes in our business and the industry in which we compete;</w:t>
      </w: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14</w:t>
      </w:r>
    </w:p>
    <w:p>
      <w:pPr>
        <w:spacing w:after="0" w:line="289" w:lineRule="exact"/>
        <w:rPr>
          <w:sz w:val="20"/>
          <w:szCs w:val="20"/>
          <w:color w:val="auto"/>
        </w:rPr>
      </w:pPr>
    </w:p>
    <w:p>
      <w:pPr>
        <w:ind w:right="4139" w:firstLine="396"/>
        <w:spacing w:after="0" w:line="249" w:lineRule="auto"/>
        <w:rPr>
          <w:sz w:val="20"/>
          <w:szCs w:val="20"/>
          <w:color w:val="auto"/>
        </w:rPr>
      </w:pPr>
      <w:r>
        <w:rPr>
          <w:rFonts w:ascii="Courier New" w:cs="Courier New" w:eastAsia="Courier New" w:hAnsi="Courier New"/>
          <w:sz w:val="13"/>
          <w:szCs w:val="13"/>
          <w:color w:val="auto"/>
        </w:rPr>
        <w:t>o placing us at a competitive disadvantage to less leveraged competitors and competitors that have better access to capital resources; and/or</w:t>
      </w:r>
    </w:p>
    <w:p>
      <w:pPr>
        <w:spacing w:after="0" w:line="151" w:lineRule="exact"/>
        <w:rPr>
          <w:sz w:val="20"/>
          <w:szCs w:val="20"/>
          <w:color w:val="auto"/>
        </w:rPr>
      </w:pPr>
    </w:p>
    <w:p>
      <w:pPr>
        <w:jc w:val="both"/>
        <w:ind w:right="4059" w:firstLine="396"/>
        <w:spacing w:after="0" w:line="249" w:lineRule="auto"/>
        <w:rPr>
          <w:sz w:val="20"/>
          <w:szCs w:val="20"/>
          <w:color w:val="auto"/>
        </w:rPr>
      </w:pPr>
      <w:r>
        <w:rPr>
          <w:rFonts w:ascii="Courier New" w:cs="Courier New" w:eastAsia="Courier New" w:hAnsi="Courier New"/>
          <w:sz w:val="13"/>
          <w:szCs w:val="13"/>
          <w:color w:val="auto"/>
        </w:rPr>
        <w:t>o affecting our ability to make interest payments and other required debt service on our indebtedness.</w:t>
      </w:r>
    </w:p>
    <w:p>
      <w:pPr>
        <w:spacing w:after="0" w:line="151" w:lineRule="exact"/>
        <w:rPr>
          <w:sz w:val="20"/>
          <w:szCs w:val="20"/>
          <w:color w:val="auto"/>
        </w:rPr>
      </w:pPr>
    </w:p>
    <w:p>
      <w:pPr>
        <w:jc w:val="both"/>
        <w:ind w:right="4059"/>
        <w:spacing w:after="0" w:line="248" w:lineRule="auto"/>
        <w:rPr>
          <w:sz w:val="20"/>
          <w:szCs w:val="20"/>
          <w:color w:val="auto"/>
        </w:rPr>
      </w:pPr>
      <w:r>
        <w:rPr>
          <w:rFonts w:ascii="Courier New" w:cs="Courier New" w:eastAsia="Courier New" w:hAnsi="Courier New"/>
          <w:sz w:val="13"/>
          <w:szCs w:val="13"/>
          <w:color w:val="auto"/>
        </w:rPr>
        <w:t>IF WE DO NOT RAISE THE FUNDS REQUIRED BY OUR AMENDED CREDIT FACILITY AGREEMENT OR FAIL TO SATISFY THE COVENANTS SET FORTH IN OUR AMENDED CREDIT FACILITY, OUR BANKS WILL BE ABLE TO CALL OUR LOANS.</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Our credit facility, under which we have drawn down approximately $526.7 million as of March 31, 2006, requires that we comply with certain financial, capital raising and production milestone covenants. In accordance with the credit facility agreement with our banks, as amended on May 30, 2006, in addition to amounts we have raised to date, we are required to raise approximately $8 million by September 30, 2006, which we expect to raise through this offering. In the July 2005 amendment to our credit facility agreement, our banks agreed to amend our financial ratios and covenants through the third quarter of 2006. We anticipate that we will not be in compliance with all of the financial ratios and covenants under the amended facility agreement commencing in the fourth quarter of 2006. Should we fail to raise the funds required under our facility agreement in a timely manner or to comply with our revised covenants, and our banks do not waive our non-compliance, pursuant to the terms of the credit facility agreement, our banks may require us to immediately repay all loans made by them to us, plus penalties, and they would be entitled to exercise the remedies available to them under the credit facility, including enforcement of their lien against all our assets. This would have a material adverse effect on our company.</w:t>
      </w:r>
    </w:p>
    <w:p>
      <w:pPr>
        <w:spacing w:after="0" w:line="200" w:lineRule="exact"/>
        <w:rPr>
          <w:sz w:val="20"/>
          <w:szCs w:val="20"/>
          <w:color w:val="auto"/>
        </w:rPr>
      </w:pPr>
    </w:p>
    <w:p>
      <w:pPr>
        <w:spacing w:after="0" w:line="257"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15</w:t>
      </w:r>
    </w:p>
    <w:p>
      <w:pPr>
        <w:spacing w:after="0" w:line="200" w:lineRule="exact"/>
        <w:rPr>
          <w:sz w:val="20"/>
          <w:szCs w:val="20"/>
          <w:color w:val="auto"/>
        </w:rPr>
      </w:pPr>
    </w:p>
    <w:p>
      <w:pPr>
        <w:spacing w:after="0" w:line="241" w:lineRule="exact"/>
        <w:rPr>
          <w:sz w:val="20"/>
          <w:szCs w:val="20"/>
          <w:color w:val="auto"/>
        </w:rPr>
      </w:pPr>
    </w:p>
    <w:p>
      <w:pPr>
        <w:ind w:right="4379"/>
        <w:spacing w:after="0" w:line="249" w:lineRule="auto"/>
        <w:rPr>
          <w:sz w:val="20"/>
          <w:szCs w:val="20"/>
          <w:color w:val="auto"/>
        </w:rPr>
      </w:pPr>
      <w:r>
        <w:rPr>
          <w:rFonts w:ascii="Courier New" w:cs="Courier New" w:eastAsia="Courier New" w:hAnsi="Courier New"/>
          <w:sz w:val="13"/>
          <w:szCs w:val="13"/>
          <w:color w:val="auto"/>
        </w:rPr>
        <w:t>ISRAELI BANKING LAWS MAY IMPOSE RESTRICTIONS ON THE TOTAL DEBT THAT WE MAY BORROW FROM OUR BANKS.</w:t>
      </w:r>
    </w:p>
    <w:p>
      <w:pPr>
        <w:spacing w:after="0" w:line="151"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Pursuant to an amendment to a directive published by the Israel Supervisor of Banks, effective March 31, 2004, we may be deemed part of a group of borrowers comprised of the Ofer Brothers Group, Israel Corp., and other companies which are also included in such group of borrowers pursuant to the directive, including companies under the control or deemed control of these entities. The directive imposes limitations on amounts that banks may lend to borrowers or groups of borrowers. Should our banks exceed these limitations, they may limit our ability to borrow other money in the future and may require us to return some or all of our outstanding borrowings (which were approximately $526.7 million as of March 31, 2006), which may have a material adverse effect</w:t>
      </w:r>
    </w:p>
    <w:p>
      <w:pPr>
        <w:sectPr>
          <w:pgSz w:w="11900" w:h="16891" w:orient="portrait"/>
          <w:cols w:equalWidth="0" w:num="1">
            <w:col w:w="10239"/>
          </w:cols>
          <w:pgMar w:left="220" w:top="141" w:right="1440" w:bottom="0" w:gutter="0" w:footer="0" w:header="0"/>
        </w:sectPr>
      </w:pPr>
    </w:p>
    <w:bookmarkStart w:id="10" w:name="page11"/>
    <w:bookmarkEnd w:id="10"/>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on our business, financial condition and results of operations.</w:t>
      </w:r>
    </w:p>
    <w:p>
      <w:pPr>
        <w:spacing w:after="0" w:line="157" w:lineRule="exact"/>
        <w:rPr>
          <w:sz w:val="20"/>
          <w:szCs w:val="20"/>
          <w:color w:val="auto"/>
        </w:rPr>
      </w:pPr>
    </w:p>
    <w:p>
      <w:pPr>
        <w:ind w:right="4379"/>
        <w:spacing w:after="0" w:line="248" w:lineRule="auto"/>
        <w:rPr>
          <w:sz w:val="20"/>
          <w:szCs w:val="20"/>
          <w:color w:val="auto"/>
        </w:rPr>
      </w:pPr>
      <w:r>
        <w:rPr>
          <w:rFonts w:ascii="Courier New" w:cs="Courier New" w:eastAsia="Courier New" w:hAnsi="Courier New"/>
          <w:sz w:val="13"/>
          <w:szCs w:val="13"/>
          <w:color w:val="auto"/>
        </w:rPr>
        <w:t>IF WE EXPERIENCE DIFFICULTY IN ACHIEVING ACCEPTABLE DEVICE YIELDS, PRODUCT PERFORMANCE AND DELIVERY TIMES AS A RESULT OF MANUFACTURING PROBLEMS, OUR BUSINESS WILL BE ADVERSELY AFFECTED.</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financial results and business.</w:t>
      </w:r>
    </w:p>
    <w:p>
      <w:pPr>
        <w:spacing w:after="0" w:line="152" w:lineRule="exact"/>
        <w:rPr>
          <w:sz w:val="20"/>
          <w:szCs w:val="20"/>
          <w:color w:val="auto"/>
        </w:rPr>
      </w:pPr>
    </w:p>
    <w:p>
      <w:pPr>
        <w:ind w:right="3979"/>
        <w:spacing w:after="0" w:line="248" w:lineRule="auto"/>
        <w:rPr>
          <w:sz w:val="20"/>
          <w:szCs w:val="20"/>
          <w:color w:val="auto"/>
        </w:rPr>
      </w:pPr>
      <w:r>
        <w:rPr>
          <w:rFonts w:ascii="Courier New" w:cs="Courier New" w:eastAsia="Courier New" w:hAnsi="Courier New"/>
          <w:sz w:val="13"/>
          <w:szCs w:val="13"/>
          <w:color w:val="auto"/>
        </w:rPr>
        <w:t>IF WE ARE UNABLE TO PURCHASE EQUIPMENT AND RAW MATERIALS, WE MAY NOT BE ABLE TO MANUFACTURE OUR PRODUCTS IN A TIMELY FASHION, WHICH MAY RESULT IN A LOSS OF EXISTING AND POTENTIAL NEW CUSTOMERS.</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52" w:lineRule="exact"/>
        <w:rPr>
          <w:sz w:val="20"/>
          <w:szCs w:val="20"/>
          <w:color w:val="auto"/>
        </w:rPr>
      </w:pPr>
    </w:p>
    <w:p>
      <w:pPr>
        <w:ind w:right="4139"/>
        <w:spacing w:after="0" w:line="249" w:lineRule="auto"/>
        <w:rPr>
          <w:sz w:val="20"/>
          <w:szCs w:val="20"/>
          <w:color w:val="auto"/>
        </w:rPr>
      </w:pPr>
      <w:r>
        <w:rPr>
          <w:rFonts w:ascii="Courier New" w:cs="Courier New" w:eastAsia="Courier New" w:hAnsi="Courier New"/>
          <w:sz w:val="13"/>
          <w:szCs w:val="13"/>
          <w:color w:val="auto"/>
        </w:rPr>
        <w:t>OUR EXPOSURE TO CURRENCY EXCHANGE AND INTEREST RATE FLUCTUATIONS MAY INCREASE OUR COST OF OPERATIONS.</w:t>
      </w:r>
    </w:p>
    <w:p>
      <w:pPr>
        <w:spacing w:after="0" w:line="151"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Almost all of our cash generated from operations and from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Our borrowings under our Fab 2 credit facility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 agreement.</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which may increase the cost of our operating and financing activities.</w:t>
      </w:r>
    </w:p>
    <w:p>
      <w:pPr>
        <w:spacing w:after="0" w:line="152"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16</w:t>
      </w:r>
    </w:p>
    <w:p>
      <w:pPr>
        <w:spacing w:after="0" w:line="200" w:lineRule="exact"/>
        <w:rPr>
          <w:sz w:val="20"/>
          <w:szCs w:val="20"/>
          <w:color w:val="auto"/>
        </w:rPr>
      </w:pPr>
    </w:p>
    <w:p>
      <w:pPr>
        <w:spacing w:after="0" w:line="241" w:lineRule="exact"/>
        <w:rPr>
          <w:sz w:val="20"/>
          <w:szCs w:val="20"/>
          <w:color w:val="auto"/>
        </w:rPr>
      </w:pPr>
    </w:p>
    <w:p>
      <w:pPr>
        <w:ind w:right="4459"/>
        <w:spacing w:after="0" w:line="249" w:lineRule="auto"/>
        <w:rPr>
          <w:sz w:val="20"/>
          <w:szCs w:val="20"/>
          <w:color w:val="auto"/>
        </w:rPr>
      </w:pPr>
      <w:r>
        <w:rPr>
          <w:rFonts w:ascii="Courier New" w:cs="Courier New" w:eastAsia="Courier New" w:hAnsi="Courier New"/>
          <w:sz w:val="13"/>
          <w:szCs w:val="13"/>
          <w:color w:val="auto"/>
        </w:rPr>
        <w:t>WE DEPEND ON INTELLECTUAL PROPERTY RIGHTS OF THIRD PARTIES AND FAILURE TO MAINTAIN OR ACQUIRE LICENSES COULD HARM OUR BUSINESS.</w:t>
      </w:r>
    </w:p>
    <w:p>
      <w:pPr>
        <w:spacing w:after="0" w:line="151"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We depend on third party intellectual property in order for us to provide foundry and design services to our clients. If problems or delays arise with respect to the timely development, quality and provision of such intellectual property to us, our customers' design and production could be delayed, resulting in underutilization of our capacity. If any of our third party intellectual property right vendors go out of business, liquidate, merge 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52" w:lineRule="exact"/>
        <w:rPr>
          <w:sz w:val="20"/>
          <w:szCs w:val="20"/>
          <w:color w:val="auto"/>
        </w:rPr>
      </w:pPr>
    </w:p>
    <w:p>
      <w:pPr>
        <w:ind w:right="4299"/>
        <w:spacing w:after="0" w:line="249" w:lineRule="auto"/>
        <w:rPr>
          <w:sz w:val="20"/>
          <w:szCs w:val="20"/>
          <w:color w:val="auto"/>
        </w:rPr>
      </w:pPr>
      <w:r>
        <w:rPr>
          <w:rFonts w:ascii="Courier New" w:cs="Courier New" w:eastAsia="Courier New" w:hAnsi="Courier New"/>
          <w:sz w:val="13"/>
          <w:szCs w:val="13"/>
          <w:color w:val="auto"/>
        </w:rPr>
        <w:t>FAILURE TO COMPLY WITH THE INTELLECTUAL PROPERTY RIGHTS OF THIRD PARTIES OR DEFEND OUR INTELLECTUAL PROPERTY RIGHTS COULD HARM OUR BUSINESS.</w:t>
      </w:r>
    </w:p>
    <w:p>
      <w:pPr>
        <w:spacing w:after="0" w:line="151"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Our ability to compete successfully depends on our ability to operate without infringing on the proprietary rights of others and defend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a plaintiff in any such action against other parties. However, we have been subject to such claims in the past, all of which have been resolved through license agreements, the terms of which have not had a material effect on our business. One of these agreements expired at the end of 2005, and we are currently negotiating its renewal. If we are unable to renew it on similar terms, we may have to agree to less favorable terms or consider other alternatives, including designing around certain processes.</w:t>
      </w:r>
    </w:p>
    <w:p>
      <w:pPr>
        <w:spacing w:after="0" w:line="153" w:lineRule="exact"/>
        <w:rPr>
          <w:sz w:val="20"/>
          <w:szCs w:val="20"/>
          <w:color w:val="auto"/>
        </w:rPr>
      </w:pPr>
    </w:p>
    <w:p>
      <w:pPr>
        <w:ind w:right="4059" w:firstLine="396"/>
        <w:spacing w:after="0" w:line="248" w:lineRule="auto"/>
        <w:rPr>
          <w:sz w:val="20"/>
          <w:szCs w:val="20"/>
          <w:color w:val="auto"/>
        </w:rPr>
      </w:pPr>
      <w:r>
        <w:rPr>
          <w:rFonts w:ascii="Courier New" w:cs="Courier New" w:eastAsia="Courier New" w:hAnsi="Courier New"/>
          <w:sz w:val="13"/>
          <w:szCs w:val="13"/>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52"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o negotiating cross-license agreements;</w:t>
      </w:r>
    </w:p>
    <w:p>
      <w:pPr>
        <w:spacing w:after="0" w:line="157" w:lineRule="exact"/>
        <w:rPr>
          <w:sz w:val="20"/>
          <w:szCs w:val="20"/>
          <w:color w:val="auto"/>
        </w:rPr>
      </w:pPr>
    </w:p>
    <w:p>
      <w:pPr>
        <w:ind w:right="3899" w:firstLine="396"/>
        <w:spacing w:after="0" w:line="249" w:lineRule="auto"/>
        <w:rPr>
          <w:sz w:val="20"/>
          <w:szCs w:val="20"/>
          <w:color w:val="auto"/>
        </w:rPr>
      </w:pPr>
      <w:r>
        <w:rPr>
          <w:rFonts w:ascii="Courier New" w:cs="Courier New" w:eastAsia="Courier New" w:hAnsi="Courier New"/>
          <w:sz w:val="13"/>
          <w:szCs w:val="13"/>
          <w:color w:val="auto"/>
        </w:rPr>
        <w:t>o seeking to acquire licenses to the allegedly infringed patents, which may not be available on commercially reasonable terms, if at all;</w:t>
      </w:r>
    </w:p>
    <w:p>
      <w:pPr>
        <w:spacing w:after="0" w:line="151" w:lineRule="exact"/>
        <w:rPr>
          <w:sz w:val="20"/>
          <w:szCs w:val="20"/>
          <w:color w:val="auto"/>
        </w:rPr>
      </w:pPr>
    </w:p>
    <w:p>
      <w:pPr>
        <w:ind w:right="3979" w:firstLine="396"/>
        <w:spacing w:after="0" w:line="249" w:lineRule="auto"/>
        <w:rPr>
          <w:sz w:val="20"/>
          <w:szCs w:val="20"/>
          <w:color w:val="auto"/>
        </w:rPr>
      </w:pPr>
      <w:r>
        <w:rPr>
          <w:rFonts w:ascii="Courier New" w:cs="Courier New" w:eastAsia="Courier New" w:hAnsi="Courier New"/>
          <w:sz w:val="13"/>
          <w:szCs w:val="13"/>
          <w:color w:val="auto"/>
        </w:rPr>
        <w:t>o discontinuing use of certain process technologies, architectures, or designs, which could cause us to stop manufacturing certain integrated circuits</w:t>
      </w:r>
    </w:p>
    <w:p>
      <w:pPr>
        <w:sectPr>
          <w:pgSz w:w="11900" w:h="16912" w:orient="portrait"/>
          <w:cols w:equalWidth="0" w:num="1">
            <w:col w:w="10239"/>
          </w:cols>
          <w:pgMar w:left="220" w:top="141"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3"/>
          <w:szCs w:val="13"/>
          <w:color w:val="auto"/>
        </w:rPr>
        <w:t>if we were unable to design around the allegedly infringed patents;</w:t>
      </w:r>
    </w:p>
    <w:p>
      <w:pPr>
        <w:spacing w:after="0" w:line="157" w:lineRule="exact"/>
        <w:rPr>
          <w:sz w:val="20"/>
          <w:szCs w:val="20"/>
          <w:color w:val="auto"/>
        </w:rPr>
      </w:pPr>
    </w:p>
    <w:p>
      <w:pPr>
        <w:ind w:right="4059" w:firstLine="396"/>
        <w:spacing w:after="0" w:line="249" w:lineRule="auto"/>
        <w:rPr>
          <w:sz w:val="20"/>
          <w:szCs w:val="20"/>
          <w:color w:val="auto"/>
        </w:rPr>
      </w:pPr>
      <w:r>
        <w:rPr>
          <w:rFonts w:ascii="Courier New" w:cs="Courier New" w:eastAsia="Courier New" w:hAnsi="Courier New"/>
          <w:sz w:val="13"/>
          <w:szCs w:val="13"/>
          <w:color w:val="auto"/>
        </w:rPr>
        <w:t>o fighting the matter in court and paying substantial monetary damages in the event we lose; or</w:t>
      </w:r>
    </w:p>
    <w:p>
      <w:pPr>
        <w:spacing w:after="0" w:line="151" w:lineRule="exact"/>
        <w:rPr>
          <w:sz w:val="20"/>
          <w:szCs w:val="20"/>
          <w:color w:val="auto"/>
        </w:rPr>
      </w:pPr>
    </w:p>
    <w:p>
      <w:pPr>
        <w:ind w:right="4619" w:firstLine="396"/>
        <w:spacing w:after="0" w:line="249" w:lineRule="auto"/>
        <w:rPr>
          <w:sz w:val="20"/>
          <w:szCs w:val="20"/>
          <w:color w:val="auto"/>
        </w:rPr>
      </w:pPr>
      <w:r>
        <w:rPr>
          <w:rFonts w:ascii="Courier New" w:cs="Courier New" w:eastAsia="Courier New" w:hAnsi="Courier New"/>
          <w:sz w:val="13"/>
          <w:szCs w:val="13"/>
          <w:color w:val="auto"/>
        </w:rPr>
        <w:t>o seeking to develop non-infringing technologies, which may not be feasible.</w:t>
      </w:r>
    </w:p>
    <w:p>
      <w:pPr>
        <w:spacing w:after="0" w:line="151"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and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305"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17</w:t>
      </w:r>
    </w:p>
    <w:p>
      <w:pPr>
        <w:spacing w:after="0" w:line="289"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As of March 31, 2006, we held 58 patents worldwide.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WE COULD BE SERIOUSLY HARMED BY FAILURE TO COMPLY WITH ENVIRONMENTAL REGULATIONS.</w:t>
      </w:r>
    </w:p>
    <w:p>
      <w:pPr>
        <w:spacing w:after="0" w:line="157" w:lineRule="exact"/>
        <w:rPr>
          <w:sz w:val="20"/>
          <w:szCs w:val="20"/>
          <w:color w:val="auto"/>
        </w:rPr>
      </w:pPr>
    </w:p>
    <w:p>
      <w:pPr>
        <w:ind w:right="4059" w:firstLine="396"/>
        <w:spacing w:after="0" w:line="248" w:lineRule="auto"/>
        <w:rPr>
          <w:sz w:val="20"/>
          <w:szCs w:val="20"/>
          <w:color w:val="auto"/>
        </w:rPr>
      </w:pPr>
      <w:r>
        <w:rPr>
          <w:rFonts w:ascii="Courier New" w:cs="Courier New" w:eastAsia="Courier New" w:hAnsi="Courier New"/>
          <w:sz w:val="13"/>
          <w:szCs w:val="13"/>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52" w:lineRule="exact"/>
        <w:rPr>
          <w:sz w:val="20"/>
          <w:szCs w:val="20"/>
          <w:color w:val="auto"/>
        </w:rPr>
      </w:pPr>
    </w:p>
    <w:p>
      <w:pPr>
        <w:ind w:right="4059"/>
        <w:spacing w:after="0" w:line="249" w:lineRule="auto"/>
        <w:rPr>
          <w:sz w:val="20"/>
          <w:szCs w:val="20"/>
          <w:color w:val="auto"/>
        </w:rPr>
      </w:pPr>
      <w:r>
        <w:rPr>
          <w:rFonts w:ascii="Courier New" w:cs="Courier New" w:eastAsia="Courier New" w:hAnsi="Courier New"/>
          <w:sz w:val="13"/>
          <w:szCs w:val="13"/>
          <w:color w:val="auto"/>
        </w:rPr>
        <w:t>WE ARE SUBJECT TO THE RISK OF LOSS DUE TO FIRE BECAUSE THE MATERIALS WE USE IN OUR MANUFACTURING PROCESSES ARE HIGHLY FLAMMABLE.</w:t>
      </w:r>
    </w:p>
    <w:p>
      <w:pPr>
        <w:spacing w:after="0" w:line="151"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POSSIBLE PRODUCT RETURNS COULD HARM OUR BUSINESS.</w:t>
      </w:r>
    </w:p>
    <w:p>
      <w:pPr>
        <w:spacing w:after="0" w:line="157" w:lineRule="exact"/>
        <w:rPr>
          <w:sz w:val="20"/>
          <w:szCs w:val="20"/>
          <w:color w:val="auto"/>
        </w:rPr>
      </w:pPr>
    </w:p>
    <w:p>
      <w:pPr>
        <w:ind w:right="3979" w:firstLine="396"/>
        <w:spacing w:after="0" w:line="248" w:lineRule="auto"/>
        <w:rPr>
          <w:sz w:val="20"/>
          <w:szCs w:val="20"/>
          <w:color w:val="auto"/>
        </w:rPr>
      </w:pPr>
      <w:r>
        <w:rPr>
          <w:rFonts w:ascii="Courier New" w:cs="Courier New" w:eastAsia="Courier New" w:hAnsi="Courier New"/>
          <w:sz w:val="13"/>
          <w:szCs w:val="13"/>
          <w:color w:val="auto"/>
        </w:rPr>
        <w:t>Products manufactured by us may be returned within specified periods if they are defective or otherwise fail to meet customers' prior agreed upon specifications. Product returns in excess of established provisions may have an adverse effect on our business and financial condition.</w:t>
      </w:r>
    </w:p>
    <w:p>
      <w:pPr>
        <w:spacing w:after="0" w:line="152" w:lineRule="exact"/>
        <w:rPr>
          <w:sz w:val="20"/>
          <w:szCs w:val="20"/>
          <w:color w:val="auto"/>
        </w:rPr>
      </w:pPr>
    </w:p>
    <w:p>
      <w:pPr>
        <w:ind w:right="3979"/>
        <w:spacing w:after="0" w:line="249" w:lineRule="auto"/>
        <w:rPr>
          <w:sz w:val="20"/>
          <w:szCs w:val="20"/>
          <w:color w:val="auto"/>
        </w:rPr>
      </w:pPr>
      <w:r>
        <w:rPr>
          <w:rFonts w:ascii="Courier New" w:cs="Courier New" w:eastAsia="Courier New" w:hAnsi="Courier New"/>
          <w:sz w:val="13"/>
          <w:szCs w:val="13"/>
          <w:color w:val="auto"/>
        </w:rPr>
        <w:t>WE MAY BE REQUIRED TO REPAY GRANTS TO THE INVESTMENT CENTER THAT WE RECEIVED IN CONNECTION WITH FAB 1.</w:t>
      </w:r>
    </w:p>
    <w:p>
      <w:pPr>
        <w:spacing w:after="0" w:line="151"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Since our actual level of Fab 1 revenues and employees for 2003 and 2004 were not in compliance with the above mentioned levels, we may be required to repay the Investment Center up to approximately $2.5 million.</w:t>
      </w: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WE ARE SUBJECT TO RISKS RELATED TO OUR INTERNATIONAL OPERATIONS.</w:t>
      </w:r>
    </w:p>
    <w:p>
      <w:pPr>
        <w:spacing w:after="0" w:line="157" w:lineRule="exact"/>
        <w:rPr>
          <w:sz w:val="20"/>
          <w:szCs w:val="20"/>
          <w:color w:val="auto"/>
        </w:rPr>
      </w:pPr>
    </w:p>
    <w:p>
      <w:pPr>
        <w:ind w:right="4299" w:firstLine="396"/>
        <w:spacing w:after="0" w:line="248" w:lineRule="auto"/>
        <w:rPr>
          <w:sz w:val="20"/>
          <w:szCs w:val="20"/>
          <w:color w:val="auto"/>
        </w:rPr>
      </w:pPr>
      <w:r>
        <w:rPr>
          <w:rFonts w:ascii="Courier New" w:cs="Courier New" w:eastAsia="Courier New" w:hAnsi="Courier New"/>
          <w:sz w:val="13"/>
          <w:szCs w:val="13"/>
          <w:color w:val="auto"/>
        </w:rPr>
        <w:t>Since 2003, we have made substantial sales to customers located in Asia-Pacific and in Europe. Because of our international operations, we are vulnerable to the following risks:</w:t>
      </w:r>
    </w:p>
    <w:p>
      <w:pPr>
        <w:spacing w:after="0" w:line="152" w:lineRule="exact"/>
        <w:rPr>
          <w:sz w:val="20"/>
          <w:szCs w:val="20"/>
          <w:color w:val="auto"/>
        </w:rPr>
      </w:pPr>
    </w:p>
    <w:p>
      <w:pPr>
        <w:ind w:right="3979" w:firstLine="396"/>
        <w:spacing w:after="0" w:line="248" w:lineRule="auto"/>
        <w:rPr>
          <w:sz w:val="20"/>
          <w:szCs w:val="20"/>
          <w:color w:val="auto"/>
        </w:rPr>
      </w:pPr>
      <w:r>
        <w:rPr>
          <w:rFonts w:ascii="Courier New" w:cs="Courier New" w:eastAsia="Courier New" w:hAnsi="Courier New"/>
          <w:sz w:val="13"/>
          <w:szCs w:val="13"/>
          <w:color w:val="auto"/>
        </w:rPr>
        <w:t>o we price our products primarily in U.S. dollars; if the Euro, Yen or other currencies weaken relative to the U.S. dollar, our products may be relatively more expensive in these regions, which could result in a decrease in our sales;</w:t>
      </w:r>
    </w:p>
    <w:p>
      <w:pPr>
        <w:spacing w:after="0" w:line="152"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o the need to comply with foreign government regulation;</w:t>
      </w:r>
    </w:p>
    <w:p>
      <w:pPr>
        <w:spacing w:after="0" w:line="157" w:lineRule="exact"/>
        <w:rPr>
          <w:sz w:val="20"/>
          <w:szCs w:val="20"/>
          <w:color w:val="auto"/>
        </w:rPr>
      </w:pPr>
    </w:p>
    <w:p>
      <w:pPr>
        <w:ind w:right="4139" w:firstLine="396"/>
        <w:spacing w:after="0" w:line="249" w:lineRule="auto"/>
        <w:rPr>
          <w:sz w:val="20"/>
          <w:szCs w:val="20"/>
          <w:color w:val="auto"/>
        </w:rPr>
      </w:pPr>
      <w:r>
        <w:rPr>
          <w:rFonts w:ascii="Courier New" w:cs="Courier New" w:eastAsia="Courier New" w:hAnsi="Courier New"/>
          <w:sz w:val="13"/>
          <w:szCs w:val="13"/>
          <w:color w:val="auto"/>
        </w:rPr>
        <w:t>o general geopolitical risks such as political and economic instability, potential hostilities and changes in diplomatic and trade relationships;</w:t>
      </w:r>
    </w:p>
    <w:p>
      <w:pPr>
        <w:spacing w:after="0" w:line="200" w:lineRule="exact"/>
        <w:rPr>
          <w:sz w:val="20"/>
          <w:szCs w:val="20"/>
          <w:color w:val="auto"/>
        </w:rPr>
      </w:pPr>
    </w:p>
    <w:p>
      <w:pPr>
        <w:spacing w:after="0" w:line="255"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18</w:t>
      </w:r>
    </w:p>
    <w:p>
      <w:pPr>
        <w:spacing w:after="0" w:line="200" w:lineRule="exact"/>
        <w:rPr>
          <w:sz w:val="20"/>
          <w:szCs w:val="20"/>
          <w:color w:val="auto"/>
        </w:rPr>
      </w:pPr>
    </w:p>
    <w:p>
      <w:pPr>
        <w:spacing w:after="0" w:line="241" w:lineRule="exact"/>
        <w:rPr>
          <w:sz w:val="20"/>
          <w:szCs w:val="20"/>
          <w:color w:val="auto"/>
        </w:rPr>
      </w:pPr>
    </w:p>
    <w:p>
      <w:pPr>
        <w:ind w:right="4459" w:firstLine="396"/>
        <w:spacing w:after="0" w:line="249" w:lineRule="auto"/>
        <w:rPr>
          <w:sz w:val="20"/>
          <w:szCs w:val="20"/>
          <w:color w:val="auto"/>
        </w:rPr>
      </w:pPr>
      <w:r>
        <w:rPr>
          <w:rFonts w:ascii="Courier New" w:cs="Courier New" w:eastAsia="Courier New" w:hAnsi="Courier New"/>
          <w:sz w:val="13"/>
          <w:szCs w:val="13"/>
          <w:color w:val="auto"/>
        </w:rPr>
        <w:t>o natural disasters affecting the countries in which we conduct our business, such as the earthquakes experienced in China, Japan and Taiwan;</w:t>
      </w:r>
    </w:p>
    <w:p>
      <w:pPr>
        <w:spacing w:after="0" w:line="151" w:lineRule="exact"/>
        <w:rPr>
          <w:sz w:val="20"/>
          <w:szCs w:val="20"/>
          <w:color w:val="auto"/>
        </w:rPr>
      </w:pPr>
    </w:p>
    <w:p>
      <w:pPr>
        <w:ind w:right="4379" w:firstLine="396"/>
        <w:spacing w:after="0" w:line="249" w:lineRule="auto"/>
        <w:rPr>
          <w:sz w:val="20"/>
          <w:szCs w:val="20"/>
          <w:color w:val="auto"/>
        </w:rPr>
      </w:pPr>
      <w:r>
        <w:rPr>
          <w:rFonts w:ascii="Courier New" w:cs="Courier New" w:eastAsia="Courier New" w:hAnsi="Courier New"/>
          <w:sz w:val="13"/>
          <w:szCs w:val="13"/>
          <w:color w:val="auto"/>
        </w:rPr>
        <w:t>o reduced sales to our customers or interruption in our manufacturing processes in Asia Pacific that may arise from regional issues in Asia;</w:t>
      </w:r>
    </w:p>
    <w:p>
      <w:pPr>
        <w:sectPr>
          <w:pgSz w:w="11900" w:h="16838" w:orient="portrait"/>
          <w:cols w:equalWidth="0" w:num="1">
            <w:col w:w="10239"/>
          </w:cols>
          <w:pgMar w:left="220" w:top="141" w:right="1440" w:bottom="0" w:gutter="0" w:footer="0" w:header="0"/>
        </w:sectPr>
      </w:pPr>
    </w:p>
    <w:bookmarkStart w:id="12" w:name="page13"/>
    <w:bookmarkEnd w:id="12"/>
    <w:p>
      <w:pPr>
        <w:jc w:val="both"/>
        <w:ind w:right="4459" w:firstLine="396"/>
        <w:spacing w:after="0" w:line="248" w:lineRule="auto"/>
        <w:rPr>
          <w:sz w:val="20"/>
          <w:szCs w:val="20"/>
          <w:color w:val="auto"/>
        </w:rPr>
      </w:pPr>
      <w:r>
        <w:rPr>
          <w:rFonts w:ascii="Courier New" w:cs="Courier New" w:eastAsia="Courier New" w:hAnsi="Courier New"/>
          <w:sz w:val="13"/>
          <w:szCs w:val="13"/>
          <w:color w:val="auto"/>
        </w:rPr>
        <w:t>o imposition of regulatory requirements, tariffs, import and export restrictions and other barriers and restrictions; o adverse tax rules and regulations;</w:t>
      </w:r>
    </w:p>
    <w:p>
      <w:pPr>
        <w:spacing w:after="0" w:line="152"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o weak protection of our intellectual property rights; and</w:t>
      </w:r>
    </w:p>
    <w:p>
      <w:pPr>
        <w:spacing w:after="0" w:line="157"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3"/>
          <w:szCs w:val="13"/>
          <w:color w:val="auto"/>
        </w:rPr>
        <w:t>o delays in product shipments due to local customs restrictions.</w:t>
      </w:r>
    </w:p>
    <w:p>
      <w:pPr>
        <w:spacing w:after="0" w:line="157" w:lineRule="exact"/>
        <w:rPr>
          <w:sz w:val="20"/>
          <w:szCs w:val="20"/>
          <w:color w:val="auto"/>
        </w:rPr>
      </w:pPr>
    </w:p>
    <w:p>
      <w:pPr>
        <w:ind w:right="4379"/>
        <w:spacing w:after="0" w:line="249" w:lineRule="auto"/>
        <w:rPr>
          <w:sz w:val="20"/>
          <w:szCs w:val="20"/>
          <w:color w:val="auto"/>
        </w:rPr>
      </w:pPr>
      <w:r>
        <w:rPr>
          <w:rFonts w:ascii="Courier New" w:cs="Courier New" w:eastAsia="Courier New" w:hAnsi="Courier New"/>
          <w:sz w:val="13"/>
          <w:szCs w:val="13"/>
          <w:color w:val="auto"/>
        </w:rPr>
        <w:t>OUR BUSINESS COULD SUFFER IF WE ARE UNABLE TO RETAIN AND RECRUIT QUALIFIED PERSONNEL.</w:t>
      </w:r>
    </w:p>
    <w:p>
      <w:pPr>
        <w:spacing w:after="0" w:line="151"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We may need to review employee compensation competitiveness with the purpose of retaining our existing officers and employees and attracting and retaining additional personnel, including granting large packages of options to purchase our ordinary shares.</w:t>
      </w:r>
    </w:p>
    <w:p>
      <w:pPr>
        <w:spacing w:after="0" w:line="152"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RISKS RELATED TO OUR SECURITIES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OUR STOCK PRICE MAY BE VOLATILE IN THE FUTURE.</w:t>
      </w:r>
    </w:p>
    <w:p>
      <w:pPr>
        <w:spacing w:after="0" w:line="157"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152" w:lineRule="exact"/>
        <w:rPr>
          <w:sz w:val="20"/>
          <w:szCs w:val="20"/>
          <w:color w:val="auto"/>
        </w:rPr>
      </w:pPr>
    </w:p>
    <w:p>
      <w:pPr>
        <w:ind w:right="4059" w:firstLine="396"/>
        <w:spacing w:after="0" w:line="248" w:lineRule="auto"/>
        <w:rPr>
          <w:sz w:val="20"/>
          <w:szCs w:val="20"/>
          <w:color w:val="auto"/>
        </w:rPr>
      </w:pPr>
      <w:r>
        <w:rPr>
          <w:rFonts w:ascii="Courier New" w:cs="Courier New" w:eastAsia="Courier New" w:hAnsi="Courier New"/>
          <w:sz w:val="13"/>
          <w:szCs w:val="13"/>
          <w:color w:val="auto"/>
        </w:rPr>
        <w:t>In addition, it is possible that in some future periods our operating results may be below the expectations of public market analysts and investors. In this event, the price of our securities may under perform or fall.</w:t>
      </w:r>
    </w:p>
    <w:p>
      <w:pPr>
        <w:spacing w:after="0" w:line="152" w:lineRule="exact"/>
        <w:rPr>
          <w:sz w:val="20"/>
          <w:szCs w:val="20"/>
          <w:color w:val="auto"/>
        </w:rPr>
      </w:pPr>
    </w:p>
    <w:p>
      <w:pPr>
        <w:ind w:right="4059"/>
        <w:spacing w:after="0" w:line="248" w:lineRule="auto"/>
        <w:rPr>
          <w:sz w:val="20"/>
          <w:szCs w:val="20"/>
          <w:color w:val="auto"/>
        </w:rPr>
      </w:pPr>
      <w:r>
        <w:rPr>
          <w:rFonts w:ascii="Courier New" w:cs="Courier New" w:eastAsia="Courier New" w:hAnsi="Courier New"/>
          <w:sz w:val="13"/>
          <w:szCs w:val="13"/>
          <w:color w:val="auto"/>
        </w:rPr>
        <w:t>ISSUANCE OF ADDITIONAL SHARES PURSUANT TO OUR FAB 2 FINANCING ARRANGEMENTS AND OPTIONS GRANTED TO OUR FAB 2 BUILDING CONTRACTOR, EMPLOYEES AND DIRECTORS MAY DILUTE THE INTEREST OF OUR SHAREHOLDERS.</w:t>
      </w:r>
    </w:p>
    <w:p>
      <w:pPr>
        <w:spacing w:after="0" w:line="152" w:lineRule="exact"/>
        <w:rPr>
          <w:sz w:val="20"/>
          <w:szCs w:val="20"/>
          <w:color w:val="auto"/>
        </w:rPr>
      </w:pPr>
    </w:p>
    <w:p>
      <w:pPr>
        <w:ind w:right="3979" w:firstLine="396"/>
        <w:spacing w:after="0" w:line="248" w:lineRule="auto"/>
        <w:rPr>
          <w:sz w:val="20"/>
          <w:szCs w:val="20"/>
          <w:color w:val="auto"/>
        </w:rPr>
      </w:pPr>
      <w:r>
        <w:rPr>
          <w:rFonts w:ascii="Courier New" w:cs="Courier New" w:eastAsia="Courier New" w:hAnsi="Courier New"/>
          <w:sz w:val="13"/>
          <w:szCs w:val="13"/>
          <w:color w:val="auto"/>
        </w:rPr>
        <w:t>In connection with Fab 2, we have issued as of May 19, 2006, approximately 65.3 million ordinary shares to our wafer and equity partners and other shareholders. In December 2003, we issued to our banks and to one of our shareholders warrants exercisable into 896,596 and 58,906 ordinary shares, respectively, with an exercise price of $6.17. In addition, in connection with the July 2005 amendment to our credit facility agreement, we issued warrants to our banks exercisable into an aggregate 8,264,464 ordinary shares with an exercise price of $1.21, one-half of which shall only be exercisable if our banks agree to reschedule the repayment dates of the loans made to us under the July 2005 amendment. As of May 19, 2006, up to approximately 51.4 million additional ordinary shares may be issued upon the conversion of our 2002 outstanding convertible debentures, 2005 outstanding convertible debentures and upon exercise of warrants held by some of our shareholders and others.</w:t>
      </w:r>
    </w:p>
    <w:p>
      <w:pPr>
        <w:spacing w:after="0" w:line="305"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19</w:t>
      </w:r>
    </w:p>
    <w:p>
      <w:pPr>
        <w:spacing w:after="0" w:line="200" w:lineRule="exact"/>
        <w:rPr>
          <w:sz w:val="20"/>
          <w:szCs w:val="20"/>
          <w:color w:val="auto"/>
        </w:rPr>
      </w:pPr>
    </w:p>
    <w:p>
      <w:pPr>
        <w:spacing w:after="0" w:line="393"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In addition, as of April 30, 2006, we had outstanding employee and directors options to purchase up to approximately 13 million shares at a weighted average exercise price of $4.15. We have also entered into a number of agreements which may result in our issuing large numbers of shares, particularly if we complete the transactions contemplated by these agreements at a time when our share price is low. For example, we have agreed that our three major wafer partners may elect to convert, on a quarterly basis through 2006, wafer credits we have issued to them into our ordinary shares rather than use these credits to reduce their cash payments for wafers manufactured in Fab 2, based on the average trading price of our ordinary shares during the 15 consecutive trading days preceding the relevant quarter. As of May 19, 2006, we had issued approximately 2.2 million of our ordinary shares to SanDisk Corporation and approximately 2.6 million ordinary shares to Alliance Semiconductor upon conversion of approximately $7.6 million of wafer credits. Following such conversions, an aggregate of approximately $30 million of credits issued to our three major wafer partners were outstanding as of May 19, 2006.</w:t>
      </w:r>
    </w:p>
    <w:p>
      <w:pPr>
        <w:spacing w:after="0" w:line="153"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The MOU we signed with our banks contemplates the issuance of 51,973,684 of our ordinary shares and, in connection thereto, Israel Corp. committed to our banks to invest $100 million in consideration for 65,789,474 of our ordinary shares. Our audit committee and board of directors approved, subject to shareholder approval, the grant of options to our CEO, such that the CEO will hold options to purchase shares that represent 4% of our shares on a fully diluted basis, our board of directors approved a plan to offer our current employees the opportunity to exchange their existing options to purchase our ordinary shares for new options and approved the allocation of additional options to be made to our employees if the total number of employee options, including the options to our CEO, during a 24 month period will represent less than 8% of the our shares on a fully diluted basis.</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In addition to the proceeds we may raise in this offering and the contemplated investment by Israel Corp., we will need to raise significant additional funds from other sources to finance the ramp-up of Fab 2, which we currently estimate to be up to an additional $150 million and our payments on the long-term loans from our banks and other debt. We are engaged in discussions with potential investors in order to attract them to make investments in our company. However, no understandings have been reached with respect to the amount of any investment or the terms of any investment and there can be no assurance that any investment will be made. These investments may be for shares or for securities convertible into shares, which would materially dilute the holdings of our current shareholders.</w:t>
      </w:r>
    </w:p>
    <w:p>
      <w:pPr>
        <w:spacing w:after="0" w:line="152" w:lineRule="exact"/>
        <w:rPr>
          <w:sz w:val="20"/>
          <w:szCs w:val="20"/>
          <w:color w:val="auto"/>
        </w:rPr>
      </w:pPr>
    </w:p>
    <w:p>
      <w:pPr>
        <w:ind w:right="4059"/>
        <w:spacing w:after="0" w:line="249" w:lineRule="auto"/>
        <w:rPr>
          <w:sz w:val="20"/>
          <w:szCs w:val="20"/>
          <w:color w:val="auto"/>
        </w:rPr>
      </w:pPr>
      <w:r>
        <w:rPr>
          <w:rFonts w:ascii="Courier New" w:cs="Courier New" w:eastAsia="Courier New" w:hAnsi="Courier New"/>
          <w:sz w:val="13"/>
          <w:szCs w:val="13"/>
          <w:color w:val="auto"/>
        </w:rPr>
        <w:t>MARKET SALES OF LARGE AMOUNTS OF OUR SHARES ELIGIBLE FOR FUTURE SALE MAY LOWER THE PRICE OF OUR ORDINARY SHARES.</w:t>
      </w:r>
    </w:p>
    <w:p>
      <w:pPr>
        <w:sectPr>
          <w:pgSz w:w="11900" w:h="16838" w:orient="portrait"/>
          <w:cols w:equalWidth="0" w:num="1">
            <w:col w:w="10239"/>
          </w:cols>
          <w:pgMar w:left="220" w:top="141" w:right="1440" w:bottom="0" w:gutter="0" w:footer="0" w:header="0"/>
        </w:sectPr>
      </w:pPr>
    </w:p>
    <w:bookmarkStart w:id="13" w:name="page14"/>
    <w:bookmarkEnd w:id="13"/>
    <w:p>
      <w:pPr>
        <w:ind w:right="3899" w:firstLine="396"/>
        <w:spacing w:after="0" w:line="248" w:lineRule="auto"/>
        <w:rPr>
          <w:sz w:val="20"/>
          <w:szCs w:val="20"/>
          <w:color w:val="auto"/>
        </w:rPr>
      </w:pPr>
      <w:r>
        <w:rPr>
          <w:rFonts w:ascii="Courier New" w:cs="Courier New" w:eastAsia="Courier New" w:hAnsi="Courier New"/>
          <w:sz w:val="13"/>
          <w:szCs w:val="13"/>
          <w:color w:val="auto"/>
        </w:rPr>
        <w:t>Of our 77,561,979 outstanding ordinary shares as of May 19, 2006, approximately 33.3 million are freely tradable and held by non-affiliates under U.S. securities laws. In addition, certain of our affiliates (Israel Corp., SanDisk Corporation, Alliance Semiconductor, and Macronix International) hold approximately 44.3 million of our shares, of which approximately 4.1 million are registered for resale and are therefore freely tradable under U.S. securities laws and approximately 35.5 million are currently eligible for sale subject to the time, volume and manner of sale limitations of Rule 144 promulgated under the U.S. Securities Act of 1933, as amended. An additional approximately 2.6 million shares held by Alliance Semiconductor and 2 million shares held by SanDisk Corporation, will become eligible for sale subject to the time, volume and manner of sale limitations of Rule 144 through 2007. Shares held by these affiliates are subject to the share transfer restrictions set forth in the shareholders agreement to which they are a party and which remain in effect through January 2008. As of May 19, 2006, up to 36,598,425 additional shares issuable upon the conversion of our convertible debentures due 2012 are held by non-affiliates or are registered for resale and are therefore freely tradable under U.S. securities laws. In addition, 9,161,060 shares issuable upon the exercise of warrants we granted to our banks are registered for resale and are therefore freely tradable under U.S. securities laws.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pacing w:after="0" w:line="200" w:lineRule="exact"/>
        <w:rPr>
          <w:sz w:val="20"/>
          <w:szCs w:val="20"/>
          <w:color w:val="auto"/>
        </w:rPr>
      </w:pPr>
    </w:p>
    <w:p>
      <w:pPr>
        <w:spacing w:after="0" w:line="257"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20</w:t>
      </w:r>
    </w:p>
    <w:p>
      <w:pPr>
        <w:spacing w:after="0" w:line="200" w:lineRule="exact"/>
        <w:rPr>
          <w:sz w:val="20"/>
          <w:szCs w:val="20"/>
          <w:color w:val="auto"/>
        </w:rPr>
      </w:pPr>
    </w:p>
    <w:p>
      <w:pPr>
        <w:spacing w:after="0" w:line="241" w:lineRule="exact"/>
        <w:rPr>
          <w:sz w:val="20"/>
          <w:szCs w:val="20"/>
          <w:color w:val="auto"/>
        </w:rPr>
      </w:pPr>
    </w:p>
    <w:p>
      <w:pPr>
        <w:jc w:val="both"/>
        <w:ind w:right="4219"/>
        <w:spacing w:after="0" w:line="248" w:lineRule="auto"/>
        <w:rPr>
          <w:sz w:val="20"/>
          <w:szCs w:val="20"/>
          <w:color w:val="auto"/>
        </w:rPr>
      </w:pPr>
      <w:r>
        <w:rPr>
          <w:rFonts w:ascii="Courier New" w:cs="Courier New" w:eastAsia="Courier New" w:hAnsi="Courier New"/>
          <w:sz w:val="13"/>
          <w:szCs w:val="13"/>
          <w:color w:val="auto"/>
        </w:rPr>
        <w:t>OUR PRINCIPAL SHAREHOLDERS COLLECTIVELY OWN A CONTROLLING INTEREST IN US AND WILL BE ABLE TO EXERCISE THEIR VOTING RIGHTS IN WAYS WHICH MAY BE ADVERSE TO YOUR INTERESTS.</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As of May 19, 2006, our wafer partners and Israel Corp. collectively owned approximately 57% of our outstanding shares. Under our articles of association, two shareholders holding together 33% of our outstanding shares constitute a quorum for conducting a shareholders meeting. Our wafer partners and Israel Corp.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shareholders meetings. If only two large shareholders, owning collectively at least 33% of our shares, were to participate in one of our shareholders meetings, these shareholders would determine the outcome of our shareholders meeting without the benefit of the participation of our other shareholders. In addition, even if our other shareholders were to participate in our shareholders meetings in person or by proxy, our wafer partners and Israel Corp. collectively control our company and may exercise this control in a manner adverse to the interests of our other shareholders.</w:t>
      </w:r>
    </w:p>
    <w:p>
      <w:pPr>
        <w:spacing w:after="0" w:line="153" w:lineRule="exact"/>
        <w:rPr>
          <w:sz w:val="20"/>
          <w:szCs w:val="20"/>
          <w:color w:val="auto"/>
        </w:rPr>
      </w:pPr>
    </w:p>
    <w:p>
      <w:pPr>
        <w:ind w:right="4539"/>
        <w:spacing w:after="0" w:line="248" w:lineRule="auto"/>
        <w:rPr>
          <w:sz w:val="20"/>
          <w:szCs w:val="20"/>
          <w:color w:val="auto"/>
        </w:rPr>
      </w:pPr>
      <w:r>
        <w:rPr>
          <w:rFonts w:ascii="Courier New" w:cs="Courier New" w:eastAsia="Courier New" w:hAnsi="Courier New"/>
          <w:sz w:val="13"/>
          <w:szCs w:val="13"/>
          <w:color w:val="auto"/>
        </w:rPr>
        <w:t>THE PAYMENT OF THE REDEMPTION AMOUNT ON ACCOUNT OF THE DEBENTURES IS SUBORDINATED TO OUR INDEBTEDNESS TO OUR BANKS AND OBLIGATIONS TO SECURED CREDITORS.</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The payment of the redemption amount on account of the debentures is subordinated to the prior payment of all amounts payable by us to Bank Hapoalim B.M and Bank Leumi Le-Israel Ltd. under our credit facility agreement with them, to any obligations to the Investment Center of the Israeli Ministry of Industry, Trade and Labor related to $159 million in grants received through March 31,</w:t>
      </w:r>
    </w:p>
    <w:p>
      <w:pPr>
        <w:ind w:right="3899"/>
        <w:spacing w:after="0" w:line="248" w:lineRule="auto"/>
        <w:rPr>
          <w:sz w:val="20"/>
          <w:szCs w:val="20"/>
          <w:color w:val="auto"/>
        </w:rPr>
      </w:pPr>
      <w:r>
        <w:rPr>
          <w:rFonts w:ascii="Courier New" w:cs="Courier New" w:eastAsia="Courier New" w:hAnsi="Courier New"/>
          <w:sz w:val="13"/>
          <w:szCs w:val="13"/>
          <w:color w:val="auto"/>
        </w:rPr>
        <w:t>2006 under the Investment Center's "Approved Enterprise" program, and to a first ranking charge in favor of Siliconix Technology C.V., on approximately $20 million of equipment purchased in connection with the performance of our obligations under our agreement with Siliconix. As a result, upon any distribution to our creditors in liquidation or reorganization or similar proceedings, these secured creditors will be entitled to be paid in full before any payment may be made with respect to the debentures issuable under this prospectus. In any of these circumstances, we may not have sufficient assets remaining to pay amounts due on any or all of the debentures then outstanding. In addition, we are not permitted under the terms of our facility agreement to make a payment on account of the debentures if on the date of such payment an "Event of Default" exists under our facility agreement The terms of the Indenture permit the Trustee to initiate legal proceedings against us only in a limited number of cases, and always provided that an advance notice is given to us and to the banks.</w:t>
      </w:r>
    </w:p>
    <w:p>
      <w:pPr>
        <w:spacing w:after="0" w:line="153" w:lineRule="exact"/>
        <w:rPr>
          <w:sz w:val="20"/>
          <w:szCs w:val="20"/>
          <w:color w:val="auto"/>
        </w:rPr>
      </w:pPr>
    </w:p>
    <w:p>
      <w:pPr>
        <w:ind w:right="4379"/>
        <w:spacing w:after="0" w:line="249" w:lineRule="auto"/>
        <w:rPr>
          <w:sz w:val="20"/>
          <w:szCs w:val="20"/>
          <w:color w:val="auto"/>
        </w:rPr>
      </w:pPr>
      <w:r>
        <w:rPr>
          <w:rFonts w:ascii="Courier New" w:cs="Courier New" w:eastAsia="Courier New" w:hAnsi="Courier New"/>
          <w:sz w:val="13"/>
          <w:szCs w:val="13"/>
          <w:color w:val="auto"/>
        </w:rPr>
        <w:t>WE MAY INCUR ADDITIONAL INDEBTEDNESS, INCLUDING INDEBTEDNESS THAT WOULD BE SENIOR TO OUR DEBENTURES.</w:t>
      </w:r>
    </w:p>
    <w:p>
      <w:pPr>
        <w:spacing w:after="0" w:line="151" w:lineRule="exact"/>
        <w:rPr>
          <w:sz w:val="20"/>
          <w:szCs w:val="20"/>
          <w:color w:val="auto"/>
        </w:rPr>
      </w:pPr>
    </w:p>
    <w:p>
      <w:pPr>
        <w:ind w:right="4139" w:firstLine="396"/>
        <w:spacing w:after="0" w:line="248" w:lineRule="auto"/>
        <w:rPr>
          <w:sz w:val="20"/>
          <w:szCs w:val="20"/>
          <w:color w:val="auto"/>
        </w:rPr>
      </w:pPr>
      <w:r>
        <w:rPr>
          <w:rFonts w:ascii="Courier New" w:cs="Courier New" w:eastAsia="Courier New" w:hAnsi="Courier New"/>
          <w:sz w:val="13"/>
          <w:szCs w:val="13"/>
          <w:color w:val="auto"/>
        </w:rPr>
        <w:t>Although we are limited by the covenants in the facility agreement, we could enter into certain transactions that would increase the amount of our outstanding senior indebtedness. It is possible that all or part of these borrowings would be senior to the debentures. If new indebtedness is added to our current indebtedness levels, the related risks that we now face could intensify.</w:t>
      </w:r>
    </w:p>
    <w:p>
      <w:pPr>
        <w:spacing w:after="0" w:line="152" w:lineRule="exact"/>
        <w:rPr>
          <w:sz w:val="20"/>
          <w:szCs w:val="20"/>
          <w:color w:val="auto"/>
        </w:rPr>
      </w:pPr>
    </w:p>
    <w:p>
      <w:pPr>
        <w:ind w:right="4139"/>
        <w:spacing w:after="0" w:line="248" w:lineRule="auto"/>
        <w:rPr>
          <w:sz w:val="20"/>
          <w:szCs w:val="20"/>
          <w:color w:val="auto"/>
        </w:rPr>
      </w:pPr>
      <w:r>
        <w:rPr>
          <w:rFonts w:ascii="Courier New" w:cs="Courier New" w:eastAsia="Courier New" w:hAnsi="Courier New"/>
          <w:sz w:val="13"/>
          <w:szCs w:val="13"/>
          <w:color w:val="auto"/>
        </w:rPr>
        <w:t>THE PRICE OF OUR ORDINARY SHARES MAY DECLINE AFTER THE WARRANTS ARE EXERCISED INTO OUR ORDINARY SHARES, AFTER OPTIONS ARE EXERCISED INTO OUR DEBENTURES OR AFTER DEBENTURES ARE CONVERTED INTO OUR ORDINARY SHARES.</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We cannot assure you that the public trading market price of our ordinary shares will not decline after the warrants are exercised into our ordinary shares, options are exercised into our convertible debentures or after the debentures are converted into our ordinary shares. If the prevailing market price were to decline below the exercise price of our warrants or the conversion price of our debentures then you may not be able to sell your ordinary shares at a price equal to or greater than the exercise price or the conversion price, as the case may be.</w:t>
      </w:r>
    </w:p>
    <w:p>
      <w:pPr>
        <w:spacing w:after="0" w:line="200" w:lineRule="exact"/>
        <w:rPr>
          <w:sz w:val="20"/>
          <w:szCs w:val="20"/>
          <w:color w:val="auto"/>
        </w:rPr>
      </w:pPr>
    </w:p>
    <w:p>
      <w:pPr>
        <w:spacing w:after="0" w:line="257"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21</w:t>
      </w:r>
    </w:p>
    <w:p>
      <w:pPr>
        <w:spacing w:after="0" w:line="200" w:lineRule="exact"/>
        <w:rPr>
          <w:sz w:val="20"/>
          <w:szCs w:val="20"/>
          <w:color w:val="auto"/>
        </w:rPr>
      </w:pPr>
    </w:p>
    <w:p>
      <w:pPr>
        <w:spacing w:after="0" w:line="241" w:lineRule="exact"/>
        <w:rPr>
          <w:sz w:val="20"/>
          <w:szCs w:val="20"/>
          <w:color w:val="auto"/>
        </w:rPr>
      </w:pPr>
    </w:p>
    <w:p>
      <w:pPr>
        <w:ind w:right="4139"/>
        <w:spacing w:after="0" w:line="248" w:lineRule="auto"/>
        <w:rPr>
          <w:sz w:val="20"/>
          <w:szCs w:val="20"/>
          <w:color w:val="auto"/>
        </w:rPr>
      </w:pPr>
      <w:r>
        <w:rPr>
          <w:rFonts w:ascii="Courier New" w:cs="Courier New" w:eastAsia="Courier New" w:hAnsi="Courier New"/>
          <w:sz w:val="13"/>
          <w:szCs w:val="13"/>
          <w:color w:val="auto"/>
        </w:rPr>
        <w:t>THE SUBSCRIPTION PRICE PER UNIT, THE CONVERSION PRICE OF THE CONVERTIBLE DEBENTURES OR THE EXERCISE PRICE OF THE WARRANTS ARE NOT AN INDICATION OF OUR PRESENT OR FUTURE VALUE.</w:t>
      </w:r>
    </w:p>
    <w:p>
      <w:pPr>
        <w:sectPr>
          <w:pgSz w:w="11900" w:h="16838" w:orient="portrait"/>
          <w:cols w:equalWidth="0" w:num="1">
            <w:col w:w="10239"/>
          </w:cols>
          <w:pgMar w:left="220" w:top="141" w:right="1440" w:bottom="0" w:gutter="0" w:footer="0" w:header="0"/>
        </w:sectPr>
      </w:pPr>
    </w:p>
    <w:bookmarkStart w:id="14" w:name="page15"/>
    <w:bookmarkEnd w:id="14"/>
    <w:p>
      <w:pPr>
        <w:ind w:right="3899" w:firstLine="396"/>
        <w:spacing w:after="0" w:line="248" w:lineRule="auto"/>
        <w:rPr>
          <w:sz w:val="20"/>
          <w:szCs w:val="20"/>
          <w:color w:val="auto"/>
        </w:rPr>
      </w:pPr>
      <w:r>
        <w:rPr>
          <w:rFonts w:ascii="Courier New" w:cs="Courier New" w:eastAsia="Courier New" w:hAnsi="Courier New"/>
          <w:sz w:val="13"/>
          <w:szCs w:val="13"/>
          <w:color w:val="auto"/>
        </w:rPr>
        <w:t>Our board of directors set all of the terms and conditions of the units in this offering, including the minimum subscription price per unit, the conversion price of the convertible debentures the exercise price of the warrants and options to purchase our convertible debentures. Our company's objective in establishing the terms of the securities issued in this prospectus was to reflect recent trading prices and to raise the targeted proceeds. In establishing the commercial terms, our board of directors considered the following factors: the strategic alternatives available to us for raising capital, the market price of our ordinary shares, pricing of similar transactions, the effect on our existing securities, our business prospects and general conditions in the securities markets. The terms of the securities issued hereby however, do not necessarily bear any relationship to our past or expected future results of operations, book value of our results, cash flows, current financial condition, or any other established criteria for value.</w:t>
      </w:r>
    </w:p>
    <w:p>
      <w:pPr>
        <w:spacing w:after="0" w:line="152" w:lineRule="exact"/>
        <w:rPr>
          <w:sz w:val="20"/>
          <w:szCs w:val="20"/>
          <w:color w:val="auto"/>
        </w:rPr>
      </w:pPr>
    </w:p>
    <w:p>
      <w:pPr>
        <w:ind w:right="3979" w:firstLine="396"/>
        <w:spacing w:after="0" w:line="248" w:lineRule="auto"/>
        <w:rPr>
          <w:sz w:val="20"/>
          <w:szCs w:val="20"/>
          <w:color w:val="auto"/>
        </w:rPr>
      </w:pPr>
      <w:r>
        <w:rPr>
          <w:rFonts w:ascii="Courier New" w:cs="Courier New" w:eastAsia="Courier New" w:hAnsi="Courier New"/>
          <w:sz w:val="13"/>
          <w:szCs w:val="13"/>
          <w:color w:val="auto"/>
        </w:rPr>
        <w:t>You should not consider the minimum subscription price per unit, the conversion price of the convertible debentures or the exercise price of the warrants and options to purchase our convertible debentures as an indication of our present or future value.</w:t>
      </w:r>
    </w:p>
    <w:p>
      <w:pPr>
        <w:spacing w:after="0" w:line="152" w:lineRule="exact"/>
        <w:rPr>
          <w:sz w:val="20"/>
          <w:szCs w:val="20"/>
          <w:color w:val="auto"/>
        </w:rPr>
      </w:pPr>
    </w:p>
    <w:p>
      <w:pPr>
        <w:ind w:right="3979"/>
        <w:spacing w:after="0" w:line="248" w:lineRule="auto"/>
        <w:rPr>
          <w:sz w:val="20"/>
          <w:szCs w:val="20"/>
          <w:color w:val="auto"/>
        </w:rPr>
      </w:pPr>
      <w:r>
        <w:rPr>
          <w:rFonts w:ascii="Courier New" w:cs="Courier New" w:eastAsia="Courier New" w:hAnsi="Courier New"/>
          <w:sz w:val="13"/>
          <w:szCs w:val="13"/>
          <w:color w:val="auto"/>
        </w:rPr>
        <w:t>THE CONVERTIBLE DEBENTURES, THE OPTIONS TO PURCHASE CONVERTIBLE DEBENTURES AND THE WARRANTS ARE A NEW ISSUANCE OF SECURITIES FOR WHICH THERE HAS BEEN NO PRIOR PUBLIC TRADING MARKET, AND WE CANNOT ASSURE YOU THAT AN ACTIVE TRADING MARKET WILL DEVELOP FOR THESE SECURITIES.</w:t>
      </w:r>
    </w:p>
    <w:p>
      <w:pPr>
        <w:spacing w:after="0" w:line="152" w:lineRule="exact"/>
        <w:rPr>
          <w:sz w:val="20"/>
          <w:szCs w:val="20"/>
          <w:color w:val="auto"/>
        </w:rPr>
      </w:pPr>
    </w:p>
    <w:p>
      <w:pPr>
        <w:ind w:right="3979" w:firstLine="396"/>
        <w:spacing w:after="0" w:line="248" w:lineRule="auto"/>
        <w:rPr>
          <w:sz w:val="20"/>
          <w:szCs w:val="20"/>
          <w:color w:val="auto"/>
        </w:rPr>
      </w:pPr>
      <w:r>
        <w:rPr>
          <w:rFonts w:ascii="Courier New" w:cs="Courier New" w:eastAsia="Courier New" w:hAnsi="Courier New"/>
          <w:sz w:val="13"/>
          <w:szCs w:val="13"/>
          <w:color w:val="auto"/>
        </w:rPr>
        <w:t>The convertible debentures, the options to purchase convertible debentures and the warrants will be listed for trade on the Tel-Aviv Stock Exchange. However, there has been no prior market for such securities. We cannot predict whether an active trading market for the securities will develop or, if such market develops, how liquid it will be. If an active trading market for the securities does not develop, the market price and liquidity of such securities may be adversely affected.</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RISKS RELATED TO OUR OPERATIONS IN ISRAEL</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INSTABILITY IN ISRAEL MAY HARM OUR BUSINESS.</w:t>
      </w:r>
    </w:p>
    <w:p>
      <w:pPr>
        <w:spacing w:after="0" w:line="157"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All of our manufacturing facilities and our corporate and some of our sales offices are located in Israel. Accordingly, political, economic and military conditions in Israel may directly affect our business.</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Israel has been and is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have no impact on our business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has been experiencing civil unrest, terrorist activity and military action.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200" w:lineRule="exact"/>
        <w:rPr>
          <w:sz w:val="20"/>
          <w:szCs w:val="20"/>
          <w:color w:val="auto"/>
        </w:rPr>
      </w:pPr>
    </w:p>
    <w:p>
      <w:pPr>
        <w:spacing w:after="0" w:line="257"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22</w:t>
      </w:r>
    </w:p>
    <w:p>
      <w:pPr>
        <w:spacing w:after="0" w:line="200" w:lineRule="exact"/>
        <w:rPr>
          <w:sz w:val="20"/>
          <w:szCs w:val="20"/>
          <w:color w:val="auto"/>
        </w:rPr>
      </w:pPr>
    </w:p>
    <w:p>
      <w:pPr>
        <w:spacing w:after="0" w:line="241" w:lineRule="exact"/>
        <w:rPr>
          <w:sz w:val="20"/>
          <w:szCs w:val="20"/>
          <w:color w:val="auto"/>
        </w:rPr>
      </w:pPr>
    </w:p>
    <w:p>
      <w:pPr>
        <w:ind w:right="3899"/>
        <w:spacing w:after="0" w:line="249" w:lineRule="auto"/>
        <w:rPr>
          <w:sz w:val="20"/>
          <w:szCs w:val="20"/>
          <w:color w:val="auto"/>
        </w:rPr>
      </w:pPr>
      <w:r>
        <w:rPr>
          <w:rFonts w:ascii="Courier New" w:cs="Courier New" w:eastAsia="Courier New" w:hAnsi="Courier New"/>
          <w:sz w:val="13"/>
          <w:szCs w:val="13"/>
          <w:color w:val="auto"/>
        </w:rPr>
        <w:t>OUR OPERATIONS MAY BE NEGATIVELY AFFECTED BY THE OBLIGATIONS OF OUR PERSONNEL TO PERFORM MILITARY SERVICE.</w:t>
      </w:r>
    </w:p>
    <w:p>
      <w:pPr>
        <w:spacing w:after="0" w:line="151"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 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OUR OPERATIONS MAY BE AFFECTED BY NEGATIVE ECONOMIC CONDITIONS IN ISRAEL.</w:t>
      </w:r>
    </w:p>
    <w:p>
      <w:pPr>
        <w:spacing w:after="0" w:line="157"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In recent years, Israel has experienced periods of recession in economic activity, resulting in low growth rates and growing unemployment. Our operations could be adversely affected if the economic conditions in Israel deteriorate. In addition, Israel has experienced several general strikes and other work stoppages, affecting banks, government offices, airports and ports. These strikes have had an adverse effect on the Israeli economy and on business,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152" w:lineRule="exact"/>
        <w:rPr>
          <w:sz w:val="20"/>
          <w:szCs w:val="20"/>
          <w:color w:val="auto"/>
        </w:rPr>
      </w:pPr>
    </w:p>
    <w:p>
      <w:pPr>
        <w:ind w:right="3979"/>
        <w:spacing w:after="0" w:line="249" w:lineRule="auto"/>
        <w:rPr>
          <w:sz w:val="20"/>
          <w:szCs w:val="20"/>
          <w:color w:val="auto"/>
        </w:rPr>
      </w:pPr>
      <w:r>
        <w:rPr>
          <w:rFonts w:ascii="Courier New" w:cs="Courier New" w:eastAsia="Courier New" w:hAnsi="Courier New"/>
          <w:sz w:val="13"/>
          <w:szCs w:val="13"/>
          <w:color w:val="auto"/>
        </w:rPr>
        <w:t>IF THE EXEMPTION ALLOWING US TO OPERATE OUR MANUFACTURING FACILITIES SEVEN DAYS A WEEK IS NOT RENEWED, OUR BUSINESS WILL BE ADVERSELY AFFECTED.</w:t>
      </w:r>
    </w:p>
    <w:p>
      <w:pPr>
        <w:spacing w:after="0" w:line="151"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We operate our manufacturing facilities seven days a week pursuant to an exemption from the law that requires businesses in Israel to be closed from sundown on Friday through sundown on Saturday. This exemption expires by its terms on December 31, 2006. In addition, a significant increase in the number of employees permitted to work under this exemption will be needed as we ramp-up production at Fab 2. If the exemption is not renewed and we are forced to close any or all of the facilities for this period each week, our financial results and business will be harmed.</w:t>
      </w:r>
    </w:p>
    <w:p>
      <w:pPr>
        <w:sectPr>
          <w:pgSz w:w="11900" w:h="16838" w:orient="portrait"/>
          <w:cols w:equalWidth="0" w:num="1">
            <w:col w:w="10239"/>
          </w:cols>
          <w:pgMar w:left="220" w:top="141" w:right="1440" w:bottom="0" w:gutter="0" w:footer="0" w:header="0"/>
        </w:sectPr>
      </w:pPr>
    </w:p>
    <w:bookmarkStart w:id="15" w:name="page16"/>
    <w:bookmarkEnd w:id="15"/>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RATIO OF EARNINGS TO FIXED CHARGES</w:t>
      </w:r>
    </w:p>
    <w:p>
      <w:pPr>
        <w:spacing w:after="0" w:line="157" w:lineRule="exact"/>
        <w:rPr>
          <w:sz w:val="20"/>
          <w:szCs w:val="20"/>
          <w:color w:val="auto"/>
        </w:rPr>
      </w:pPr>
    </w:p>
    <w:p>
      <w:pPr>
        <w:ind w:right="4020" w:firstLine="396"/>
        <w:spacing w:after="0" w:line="249" w:lineRule="auto"/>
        <w:rPr>
          <w:sz w:val="20"/>
          <w:szCs w:val="20"/>
          <w:color w:val="auto"/>
        </w:rPr>
      </w:pPr>
      <w:r>
        <w:rPr>
          <w:rFonts w:ascii="Courier New" w:cs="Courier New" w:eastAsia="Courier New" w:hAnsi="Courier New"/>
          <w:sz w:val="13"/>
          <w:szCs w:val="13"/>
          <w:color w:val="auto"/>
        </w:rPr>
        <w:t>Our ratio of earnings to fixed charges in accordance with Israeli GAAP for the periods presented are as follows:</w:t>
      </w:r>
    </w:p>
    <w:p>
      <w:pPr>
        <w:sectPr>
          <w:pgSz w:w="11900" w:h="16906" w:orient="portrait"/>
          <w:cols w:equalWidth="0" w:num="1">
            <w:col w:w="10280"/>
          </w:cols>
          <w:pgMar w:left="220" w:top="141" w:right="1399" w:bottom="0" w:gutter="0" w:footer="0" w:header="0"/>
        </w:sectPr>
      </w:pPr>
    </w:p>
    <w:p>
      <w:pPr>
        <w:spacing w:after="0" w:line="303" w:lineRule="exact"/>
        <w:rPr>
          <w:sz w:val="20"/>
          <w:szCs w:val="20"/>
          <w:color w:val="auto"/>
        </w:rPr>
      </w:pPr>
    </w:p>
    <w:p>
      <w:pPr>
        <w:ind w:left="2380"/>
        <w:spacing w:after="0"/>
        <w:rPr>
          <w:sz w:val="20"/>
          <w:szCs w:val="20"/>
          <w:color w:val="auto"/>
        </w:rPr>
      </w:pPr>
      <w:r>
        <w:rPr>
          <w:rFonts w:ascii="Courier New" w:cs="Courier New" w:eastAsia="Courier New" w:hAnsi="Courier New"/>
          <w:sz w:val="13"/>
          <w:szCs w:val="13"/>
          <w:color w:val="auto"/>
        </w:rPr>
        <w:t>THREE</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3"/>
          <w:szCs w:val="13"/>
          <w:color w:val="auto"/>
        </w:rPr>
        <w:t>MONTHS</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3"/>
          <w:szCs w:val="13"/>
          <w:color w:val="auto"/>
        </w:rPr>
        <w:t>ENDED</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3"/>
          <w:szCs w:val="13"/>
          <w:color w:val="auto"/>
        </w:rPr>
        <w:t>MARCH</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3"/>
          <w:szCs w:val="13"/>
          <w:color w:val="auto"/>
        </w:rPr>
        <w:t>31,</w:t>
      </w:r>
    </w:p>
    <w:p>
      <w:pPr>
        <w:spacing w:after="0" w:line="5" w:lineRule="exact"/>
        <w:rPr>
          <w:sz w:val="20"/>
          <w:szCs w:val="20"/>
          <w:color w:val="auto"/>
        </w:rPr>
      </w:pPr>
    </w:p>
    <w:p>
      <w:pPr>
        <w:ind w:left="2220"/>
        <w:spacing w:after="0"/>
        <w:rPr>
          <w:sz w:val="20"/>
          <w:szCs w:val="20"/>
          <w:color w:val="auto"/>
        </w:rPr>
      </w:pPr>
      <w:r>
        <w:rPr>
          <w:rFonts w:ascii="Courier New" w:cs="Courier New" w:eastAsia="Courier New" w:hAnsi="Courier New"/>
          <w:sz w:val="13"/>
          <w:szCs w:val="13"/>
          <w:color w:val="auto"/>
        </w:rPr>
        <w:t>(UNAUDITED)</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3"/>
          <w:szCs w:val="13"/>
          <w:color w:val="auto"/>
        </w:rPr>
        <w:t>----</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3"/>
          <w:szCs w:val="13"/>
          <w:color w:val="auto"/>
        </w:rPr>
        <w:t>2006</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0"/>
        <w:spacing w:after="0"/>
        <w:rPr>
          <w:sz w:val="20"/>
          <w:szCs w:val="20"/>
          <w:color w:val="auto"/>
        </w:rPr>
      </w:pPr>
      <w:r>
        <w:rPr>
          <w:rFonts w:ascii="Courier New" w:cs="Courier New" w:eastAsia="Courier New" w:hAnsi="Courier New"/>
          <w:sz w:val="13"/>
          <w:szCs w:val="13"/>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5" w:lineRule="exact"/>
        <w:rPr>
          <w:sz w:val="20"/>
          <w:szCs w:val="20"/>
          <w:color w:val="auto"/>
        </w:rPr>
      </w:pPr>
    </w:p>
    <w:p>
      <w:pPr>
        <w:spacing w:after="0"/>
        <w:tabs>
          <w:tab w:leader="none" w:pos="700" w:val="left"/>
          <w:tab w:leader="none" w:pos="1500" w:val="left"/>
          <w:tab w:leader="none" w:pos="2280" w:val="left"/>
          <w:tab w:leader="none" w:pos="2920" w:val="left"/>
        </w:tabs>
        <w:rPr>
          <w:sz w:val="20"/>
          <w:szCs w:val="20"/>
          <w:color w:val="auto"/>
        </w:rPr>
      </w:pPr>
      <w:r>
        <w:rPr>
          <w:rFonts w:ascii="Courier New" w:cs="Courier New" w:eastAsia="Courier New" w:hAnsi="Courier New"/>
          <w:sz w:val="13"/>
          <w:szCs w:val="13"/>
          <w:color w:val="auto"/>
        </w:rPr>
        <w:t>2005</w:t>
      </w:r>
      <w:r>
        <w:rPr>
          <w:sz w:val="20"/>
          <w:szCs w:val="20"/>
          <w:color w:val="auto"/>
        </w:rPr>
        <w:tab/>
      </w:r>
      <w:r>
        <w:rPr>
          <w:rFonts w:ascii="Courier New" w:cs="Courier New" w:eastAsia="Courier New" w:hAnsi="Courier New"/>
          <w:sz w:val="13"/>
          <w:szCs w:val="13"/>
          <w:color w:val="auto"/>
        </w:rPr>
        <w:t>2004</w:t>
      </w:r>
      <w:r>
        <w:rPr>
          <w:sz w:val="20"/>
          <w:szCs w:val="20"/>
          <w:color w:val="auto"/>
        </w:rPr>
        <w:tab/>
      </w:r>
      <w:r>
        <w:rPr>
          <w:rFonts w:ascii="Courier New" w:cs="Courier New" w:eastAsia="Courier New" w:hAnsi="Courier New"/>
          <w:sz w:val="13"/>
          <w:szCs w:val="13"/>
          <w:color w:val="auto"/>
        </w:rPr>
        <w:t>2003</w:t>
      </w:r>
      <w:r>
        <w:rPr>
          <w:sz w:val="20"/>
          <w:szCs w:val="20"/>
          <w:color w:val="auto"/>
        </w:rPr>
        <w:tab/>
      </w:r>
      <w:r>
        <w:rPr>
          <w:rFonts w:ascii="Courier New" w:cs="Courier New" w:eastAsia="Courier New" w:hAnsi="Courier New"/>
          <w:sz w:val="13"/>
          <w:szCs w:val="13"/>
          <w:color w:val="auto"/>
        </w:rPr>
        <w:t>2002</w:t>
      </w:r>
      <w:r>
        <w:rPr>
          <w:sz w:val="20"/>
          <w:szCs w:val="20"/>
          <w:color w:val="auto"/>
        </w:rPr>
        <w:tab/>
      </w:r>
      <w:r>
        <w:rPr>
          <w:rFonts w:ascii="Courier New" w:cs="Courier New" w:eastAsia="Courier New" w:hAnsi="Courier New"/>
          <w:sz w:val="13"/>
          <w:szCs w:val="13"/>
          <w:color w:val="auto"/>
        </w:rPr>
        <w:t>2001</w:t>
      </w:r>
    </w:p>
    <w:p>
      <w:pPr>
        <w:spacing w:after="0" w:line="5" w:lineRule="exact"/>
        <w:rPr>
          <w:sz w:val="20"/>
          <w:szCs w:val="20"/>
          <w:color w:val="auto"/>
        </w:rPr>
      </w:pPr>
    </w:p>
    <w:p>
      <w:pPr>
        <w:spacing w:after="0"/>
        <w:tabs>
          <w:tab w:leader="none" w:pos="700" w:val="left"/>
          <w:tab w:leader="none" w:pos="1500" w:val="left"/>
          <w:tab w:leader="none" w:pos="2280" w:val="left"/>
          <w:tab w:leader="none" w:pos="292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sectPr>
          <w:pgSz w:w="11900" w:h="16906" w:orient="portrait"/>
          <w:cols w:equalWidth="0" w:num="2">
            <w:col w:w="3080" w:space="80"/>
            <w:col w:w="7120"/>
          </w:cols>
          <w:pgMar w:left="220" w:top="141" w:right="1399" w:bottom="0" w:gutter="0" w:footer="0" w:header="0"/>
          <w:type w:val="continuous"/>
        </w:sectPr>
      </w:pPr>
    </w:p>
    <w:p>
      <w:pPr>
        <w:spacing w:after="0"/>
        <w:rPr>
          <w:sz w:val="20"/>
          <w:szCs w:val="20"/>
          <w:color w:val="auto"/>
        </w:rPr>
      </w:pPr>
      <w:r>
        <w:rPr>
          <w:rFonts w:ascii="Courier New" w:cs="Courier New" w:eastAsia="Courier New" w:hAnsi="Courier New"/>
          <w:sz w:val="13"/>
          <w:szCs w:val="13"/>
          <w:color w:val="auto"/>
        </w:rPr>
        <w:t>Ratio of earnings to</w:t>
      </w:r>
    </w:p>
    <w:p>
      <w:pPr>
        <w:sectPr>
          <w:pgSz w:w="11900" w:h="16906" w:orient="portrait"/>
          <w:cols w:equalWidth="0" w:num="1">
            <w:col w:w="10280"/>
          </w:cols>
          <w:pgMar w:left="220" w:top="141" w:right="1399"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fixed charges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__(1)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3"/>
          <w:szCs w:val="13"/>
          <w:color w:val="auto"/>
        </w:rPr>
        <w:t>__(2)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__(3)</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2"/>
          <w:szCs w:val="12"/>
          <w:color w:val="auto"/>
        </w:rPr>
        <w:t>__(4)</w:t>
      </w:r>
    </w:p>
    <w:p>
      <w:pPr>
        <w:spacing w:after="0" w:line="20" w:lineRule="exact"/>
        <w:rPr>
          <w:sz w:val="20"/>
          <w:szCs w:val="20"/>
          <w:color w:val="auto"/>
        </w:rPr>
      </w:pPr>
      <w:r>
        <w:rPr>
          <w:sz w:val="20"/>
          <w:szCs w:val="20"/>
          <w:color w:val="auto"/>
        </w:rPr>
        <w:br w:type="column"/>
      </w:r>
    </w:p>
    <w:p>
      <w:pPr>
        <w:spacing w:after="0"/>
        <w:tabs>
          <w:tab w:leader="none" w:pos="540" w:val="left"/>
        </w:tabs>
        <w:rPr>
          <w:sz w:val="20"/>
          <w:szCs w:val="20"/>
          <w:color w:val="auto"/>
        </w:rPr>
      </w:pPr>
      <w:r>
        <w:rPr>
          <w:rFonts w:ascii="Courier New" w:cs="Courier New" w:eastAsia="Courier New" w:hAnsi="Courier New"/>
          <w:sz w:val="13"/>
          <w:szCs w:val="13"/>
          <w:color w:val="auto"/>
        </w:rPr>
        <w:t>__(5)</w:t>
        <w:tab/>
        <w:t>__(6)</w:t>
      </w:r>
    </w:p>
    <w:p>
      <w:pPr>
        <w:spacing w:after="0" w:line="157" w:lineRule="exact"/>
        <w:rPr>
          <w:sz w:val="20"/>
          <w:szCs w:val="20"/>
          <w:color w:val="auto"/>
        </w:rPr>
      </w:pPr>
    </w:p>
    <w:p>
      <w:pPr>
        <w:sectPr>
          <w:pgSz w:w="11900" w:h="16906" w:orient="portrait"/>
          <w:cols w:equalWidth="0" w:num="6">
            <w:col w:w="1660" w:space="720"/>
            <w:col w:w="400" w:space="300"/>
            <w:col w:w="400" w:space="320"/>
            <w:col w:w="400" w:space="400"/>
            <w:col w:w="380" w:space="400"/>
            <w:col w:w="4900"/>
          </w:cols>
          <w:pgMar w:left="220" w:top="141" w:right="1399" w:bottom="0" w:gutter="0" w:footer="0" w:header="0"/>
          <w:type w:val="continuous"/>
        </w:sectPr>
      </w:pPr>
    </w:p>
    <w:p>
      <w:pPr>
        <w:spacing w:after="0"/>
        <w:rPr>
          <w:sz w:val="20"/>
          <w:szCs w:val="20"/>
          <w:color w:val="auto"/>
        </w:rPr>
      </w:pPr>
      <w:r>
        <w:rPr>
          <w:rFonts w:ascii="Courier New" w:cs="Courier New" w:eastAsia="Courier New" w:hAnsi="Courier New"/>
          <w:sz w:val="13"/>
          <w:szCs w:val="13"/>
          <w:color w:val="auto"/>
        </w:rPr>
        <w:t>- ----------</w:t>
      </w:r>
    </w:p>
    <w:p>
      <w:pPr>
        <w:spacing w:after="0" w:line="157" w:lineRule="exact"/>
        <w:rPr>
          <w:sz w:val="20"/>
          <w:szCs w:val="20"/>
          <w:color w:val="auto"/>
        </w:rPr>
      </w:pPr>
    </w:p>
    <w:p>
      <w:pPr>
        <w:ind w:left="400" w:right="4500" w:hanging="399"/>
        <w:spacing w:after="0" w:line="249" w:lineRule="auto"/>
        <w:tabs>
          <w:tab w:leader="none" w:pos="400" w:val="left"/>
        </w:tabs>
        <w:numPr>
          <w:ilvl w:val="0"/>
          <w:numId w:val="7"/>
        </w:numPr>
        <w:rPr>
          <w:rFonts w:ascii="Courier New" w:cs="Courier New" w:eastAsia="Courier New" w:hAnsi="Courier New"/>
          <w:sz w:val="13"/>
          <w:szCs w:val="13"/>
          <w:color w:val="auto"/>
        </w:rPr>
      </w:pPr>
      <w:r>
        <w:rPr>
          <w:rFonts w:ascii="Courier New" w:cs="Courier New" w:eastAsia="Courier New" w:hAnsi="Courier New"/>
          <w:sz w:val="13"/>
          <w:szCs w:val="13"/>
          <w:color w:val="auto"/>
        </w:rPr>
        <w:t>Earnings as adjusted were inadequate to cover fixed charges by $43.5 million for the three months ended March 31, 2006.</w:t>
      </w:r>
    </w:p>
    <w:p>
      <w:pPr>
        <w:spacing w:after="0" w:line="151" w:lineRule="exact"/>
        <w:rPr>
          <w:rFonts w:ascii="Courier New" w:cs="Courier New" w:eastAsia="Courier New" w:hAnsi="Courier New"/>
          <w:sz w:val="13"/>
          <w:szCs w:val="13"/>
          <w:color w:val="auto"/>
        </w:rPr>
      </w:pPr>
    </w:p>
    <w:p>
      <w:pPr>
        <w:ind w:left="400" w:right="4420" w:hanging="399"/>
        <w:spacing w:after="0" w:line="249" w:lineRule="auto"/>
        <w:tabs>
          <w:tab w:leader="none" w:pos="400" w:val="left"/>
        </w:tabs>
        <w:numPr>
          <w:ilvl w:val="0"/>
          <w:numId w:val="7"/>
        </w:numPr>
        <w:rPr>
          <w:rFonts w:ascii="Courier New" w:cs="Courier New" w:eastAsia="Courier New" w:hAnsi="Courier New"/>
          <w:sz w:val="13"/>
          <w:szCs w:val="13"/>
          <w:color w:val="auto"/>
        </w:rPr>
      </w:pPr>
      <w:r>
        <w:rPr>
          <w:rFonts w:ascii="Courier New" w:cs="Courier New" w:eastAsia="Courier New" w:hAnsi="Courier New"/>
          <w:sz w:val="13"/>
          <w:szCs w:val="13"/>
          <w:color w:val="auto"/>
        </w:rPr>
        <w:t>Earnings as adjusted were inadequate to cover fixed charges by $201.7 million in 2005.</w:t>
      </w:r>
    </w:p>
    <w:p>
      <w:pPr>
        <w:spacing w:after="0" w:line="151" w:lineRule="exact"/>
        <w:rPr>
          <w:rFonts w:ascii="Courier New" w:cs="Courier New" w:eastAsia="Courier New" w:hAnsi="Courier New"/>
          <w:sz w:val="13"/>
          <w:szCs w:val="13"/>
          <w:color w:val="auto"/>
        </w:rPr>
      </w:pPr>
    </w:p>
    <w:p>
      <w:pPr>
        <w:ind w:left="400" w:right="4420" w:hanging="399"/>
        <w:spacing w:after="0" w:line="249" w:lineRule="auto"/>
        <w:tabs>
          <w:tab w:leader="none" w:pos="400" w:val="left"/>
        </w:tabs>
        <w:numPr>
          <w:ilvl w:val="0"/>
          <w:numId w:val="7"/>
        </w:numPr>
        <w:rPr>
          <w:rFonts w:ascii="Courier New" w:cs="Courier New" w:eastAsia="Courier New" w:hAnsi="Courier New"/>
          <w:sz w:val="13"/>
          <w:szCs w:val="13"/>
          <w:color w:val="auto"/>
        </w:rPr>
      </w:pPr>
      <w:r>
        <w:rPr>
          <w:rFonts w:ascii="Courier New" w:cs="Courier New" w:eastAsia="Courier New" w:hAnsi="Courier New"/>
          <w:sz w:val="13"/>
          <w:szCs w:val="13"/>
          <w:color w:val="auto"/>
        </w:rPr>
        <w:t>Earnings as adjusted were inadequate to cover fixed charges by $134.2 million in 2004.</w:t>
      </w:r>
    </w:p>
    <w:p>
      <w:pPr>
        <w:spacing w:after="0" w:line="151" w:lineRule="exact"/>
        <w:rPr>
          <w:rFonts w:ascii="Courier New" w:cs="Courier New" w:eastAsia="Courier New" w:hAnsi="Courier New"/>
          <w:sz w:val="13"/>
          <w:szCs w:val="13"/>
          <w:color w:val="auto"/>
        </w:rPr>
      </w:pPr>
    </w:p>
    <w:p>
      <w:pPr>
        <w:ind w:left="400" w:right="4420" w:hanging="399"/>
        <w:spacing w:after="0" w:line="249" w:lineRule="auto"/>
        <w:tabs>
          <w:tab w:leader="none" w:pos="400" w:val="left"/>
        </w:tabs>
        <w:numPr>
          <w:ilvl w:val="0"/>
          <w:numId w:val="7"/>
        </w:numPr>
        <w:rPr>
          <w:rFonts w:ascii="Courier New" w:cs="Courier New" w:eastAsia="Courier New" w:hAnsi="Courier New"/>
          <w:sz w:val="13"/>
          <w:szCs w:val="13"/>
          <w:color w:val="auto"/>
        </w:rPr>
      </w:pPr>
      <w:r>
        <w:rPr>
          <w:rFonts w:ascii="Courier New" w:cs="Courier New" w:eastAsia="Courier New" w:hAnsi="Courier New"/>
          <w:sz w:val="13"/>
          <w:szCs w:val="13"/>
          <w:color w:val="auto"/>
        </w:rPr>
        <w:t>Earnings as adjusted were inadequate to cover fixed charges by $127.3 million in 2003.</w:t>
      </w:r>
    </w:p>
    <w:p>
      <w:pPr>
        <w:spacing w:after="0" w:line="151" w:lineRule="exact"/>
        <w:rPr>
          <w:rFonts w:ascii="Courier New" w:cs="Courier New" w:eastAsia="Courier New" w:hAnsi="Courier New"/>
          <w:sz w:val="13"/>
          <w:szCs w:val="13"/>
          <w:color w:val="auto"/>
        </w:rPr>
      </w:pPr>
    </w:p>
    <w:p>
      <w:pPr>
        <w:ind w:left="400" w:right="4500" w:hanging="399"/>
        <w:spacing w:after="0" w:line="249" w:lineRule="auto"/>
        <w:tabs>
          <w:tab w:leader="none" w:pos="400" w:val="left"/>
        </w:tabs>
        <w:numPr>
          <w:ilvl w:val="0"/>
          <w:numId w:val="7"/>
        </w:numPr>
        <w:rPr>
          <w:rFonts w:ascii="Courier New" w:cs="Courier New" w:eastAsia="Courier New" w:hAnsi="Courier New"/>
          <w:sz w:val="13"/>
          <w:szCs w:val="13"/>
          <w:color w:val="auto"/>
        </w:rPr>
      </w:pPr>
      <w:r>
        <w:rPr>
          <w:rFonts w:ascii="Courier New" w:cs="Courier New" w:eastAsia="Courier New" w:hAnsi="Courier New"/>
          <w:sz w:val="13"/>
          <w:szCs w:val="13"/>
          <w:color w:val="auto"/>
        </w:rPr>
        <w:t>Earnings as adjusted were inadequate to cover fixed charges by $63.7 million in 2002.</w:t>
      </w:r>
    </w:p>
    <w:p>
      <w:pPr>
        <w:spacing w:after="0" w:line="151" w:lineRule="exact"/>
        <w:rPr>
          <w:rFonts w:ascii="Courier New" w:cs="Courier New" w:eastAsia="Courier New" w:hAnsi="Courier New"/>
          <w:sz w:val="13"/>
          <w:szCs w:val="13"/>
          <w:color w:val="auto"/>
        </w:rPr>
      </w:pPr>
    </w:p>
    <w:p>
      <w:pPr>
        <w:ind w:left="400" w:right="4500" w:hanging="399"/>
        <w:spacing w:after="0" w:line="249" w:lineRule="auto"/>
        <w:tabs>
          <w:tab w:leader="none" w:pos="400" w:val="left"/>
        </w:tabs>
        <w:numPr>
          <w:ilvl w:val="0"/>
          <w:numId w:val="7"/>
        </w:numPr>
        <w:rPr>
          <w:rFonts w:ascii="Courier New" w:cs="Courier New" w:eastAsia="Courier New" w:hAnsi="Courier New"/>
          <w:sz w:val="13"/>
          <w:szCs w:val="13"/>
          <w:color w:val="auto"/>
        </w:rPr>
      </w:pPr>
      <w:r>
        <w:rPr>
          <w:rFonts w:ascii="Courier New" w:cs="Courier New" w:eastAsia="Courier New" w:hAnsi="Courier New"/>
          <w:sz w:val="13"/>
          <w:szCs w:val="13"/>
          <w:color w:val="auto"/>
        </w:rPr>
        <w:t>Earnings as adjusted were inadequate to cover fixed charges by $49.5 million in 2001.</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880" w:type="dxa"/>
            <w:vAlign w:val="bottom"/>
          </w:tcPr>
          <w:p>
            <w:pPr>
              <w:spacing w:after="0"/>
              <w:rPr>
                <w:sz w:val="12"/>
                <w:szCs w:val="12"/>
                <w:color w:val="auto"/>
              </w:rPr>
            </w:pPr>
          </w:p>
        </w:tc>
        <w:tc>
          <w:tcPr>
            <w:tcW w:w="600" w:type="dxa"/>
            <w:vAlign w:val="bottom"/>
          </w:tcPr>
          <w:p>
            <w:pPr>
              <w:ind w:left="200"/>
              <w:spacing w:after="0"/>
              <w:rPr>
                <w:sz w:val="20"/>
                <w:szCs w:val="20"/>
                <w:color w:val="auto"/>
              </w:rPr>
            </w:pPr>
            <w:r>
              <w:rPr>
                <w:rFonts w:ascii="Courier New" w:cs="Courier New" w:eastAsia="Courier New" w:hAnsi="Courier New"/>
                <w:sz w:val="13"/>
                <w:szCs w:val="13"/>
                <w:color w:val="auto"/>
              </w:rPr>
              <w:t>23</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589"/>
        </w:trPr>
        <w:tc>
          <w:tcPr>
            <w:tcW w:w="2880" w:type="dxa"/>
            <w:vAlign w:val="bottom"/>
          </w:tcPr>
          <w:p>
            <w:pPr>
              <w:spacing w:after="0"/>
              <w:rPr>
                <w:sz w:val="24"/>
                <w:szCs w:val="24"/>
                <w:color w:val="auto"/>
              </w:rPr>
            </w:pPr>
          </w:p>
        </w:tc>
        <w:tc>
          <w:tcPr>
            <w:tcW w:w="1480" w:type="dxa"/>
            <w:vAlign w:val="bottom"/>
            <w:gridSpan w:val="3"/>
          </w:tcPr>
          <w:p>
            <w:pPr>
              <w:ind w:left="280"/>
              <w:spacing w:after="0"/>
              <w:rPr>
                <w:sz w:val="20"/>
                <w:szCs w:val="20"/>
                <w:color w:val="auto"/>
              </w:rPr>
            </w:pPr>
            <w:r>
              <w:rPr>
                <w:rFonts w:ascii="Courier New" w:cs="Courier New" w:eastAsia="Courier New" w:hAnsi="Courier New"/>
                <w:sz w:val="13"/>
                <w:szCs w:val="13"/>
                <w:color w:val="auto"/>
              </w:rPr>
              <w:t>THREE MONTHS</w:t>
            </w: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3"/>
                <w:szCs w:val="13"/>
                <w:color w:val="auto"/>
              </w:rPr>
              <w:t>YEAR ENDED DECEMBER 31,</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52"/>
        </w:trPr>
        <w:tc>
          <w:tcPr>
            <w:tcW w:w="2880" w:type="dxa"/>
            <w:vAlign w:val="bottom"/>
          </w:tcPr>
          <w:p>
            <w:pPr>
              <w:spacing w:after="0"/>
              <w:rPr>
                <w:sz w:val="13"/>
                <w:szCs w:val="13"/>
                <w:color w:val="auto"/>
              </w:rPr>
            </w:pPr>
          </w:p>
        </w:tc>
        <w:tc>
          <w:tcPr>
            <w:tcW w:w="1000" w:type="dxa"/>
            <w:vAlign w:val="bottom"/>
            <w:gridSpan w:val="2"/>
          </w:tcPr>
          <w:p>
            <w:pPr>
              <w:jc w:val="right"/>
              <w:ind w:right="14"/>
              <w:spacing w:after="0"/>
              <w:rPr>
                <w:sz w:val="20"/>
                <w:szCs w:val="20"/>
                <w:color w:val="auto"/>
              </w:rPr>
            </w:pPr>
            <w:r>
              <w:rPr>
                <w:rFonts w:ascii="Courier New" w:cs="Courier New" w:eastAsia="Courier New" w:hAnsi="Courier New"/>
                <w:sz w:val="13"/>
                <w:szCs w:val="13"/>
                <w:color w:val="auto"/>
              </w:rPr>
              <w:t>ENDED</w:t>
            </w:r>
          </w:p>
        </w:tc>
        <w:tc>
          <w:tcPr>
            <w:tcW w:w="480" w:type="dxa"/>
            <w:vAlign w:val="bottom"/>
          </w:tcPr>
          <w:p>
            <w:pPr>
              <w:spacing w:after="0"/>
              <w:rPr>
                <w:sz w:val="13"/>
                <w:szCs w:val="13"/>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0"/>
              </w:rPr>
              <w:t>------------------------------------------------------------------------</w:t>
            </w:r>
          </w:p>
        </w:tc>
        <w:tc>
          <w:tcPr>
            <w:tcW w:w="1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2"/>
        </w:trPr>
        <w:tc>
          <w:tcPr>
            <w:tcW w:w="2880" w:type="dxa"/>
            <w:vAlign w:val="bottom"/>
          </w:tcPr>
          <w:p>
            <w:pPr>
              <w:spacing w:after="0"/>
              <w:rPr>
                <w:sz w:val="13"/>
                <w:szCs w:val="13"/>
                <w:color w:val="auto"/>
              </w:rPr>
            </w:pPr>
          </w:p>
        </w:tc>
        <w:tc>
          <w:tcPr>
            <w:tcW w:w="600" w:type="dxa"/>
            <w:vAlign w:val="bottom"/>
          </w:tcPr>
          <w:p>
            <w:pPr>
              <w:ind w:left="200"/>
              <w:spacing w:after="0"/>
              <w:rPr>
                <w:sz w:val="20"/>
                <w:szCs w:val="20"/>
                <w:color w:val="auto"/>
              </w:rPr>
            </w:pPr>
            <w:r>
              <w:rPr>
                <w:rFonts w:ascii="Courier New" w:cs="Courier New" w:eastAsia="Courier New" w:hAnsi="Courier New"/>
                <w:sz w:val="13"/>
                <w:szCs w:val="13"/>
                <w:color w:val="auto"/>
                <w:w w:val="97"/>
              </w:rPr>
              <w:t>MARCH</w:t>
            </w:r>
          </w:p>
        </w:tc>
        <w:tc>
          <w:tcPr>
            <w:tcW w:w="400" w:type="dxa"/>
            <w:vAlign w:val="bottom"/>
          </w:tcPr>
          <w:p>
            <w:pPr>
              <w:ind w:left="80"/>
              <w:spacing w:after="0"/>
              <w:rPr>
                <w:sz w:val="20"/>
                <w:szCs w:val="20"/>
                <w:color w:val="auto"/>
              </w:rPr>
            </w:pPr>
            <w:r>
              <w:rPr>
                <w:rFonts w:ascii="Courier New" w:cs="Courier New" w:eastAsia="Courier New" w:hAnsi="Courier New"/>
                <w:sz w:val="13"/>
                <w:szCs w:val="13"/>
                <w:color w:val="auto"/>
              </w:rPr>
              <w:t>31,</w:t>
            </w:r>
          </w:p>
        </w:tc>
        <w:tc>
          <w:tcPr>
            <w:tcW w:w="480" w:type="dxa"/>
            <w:vAlign w:val="bottom"/>
          </w:tcPr>
          <w:p>
            <w:pPr>
              <w:jc w:val="right"/>
              <w:ind w:right="94"/>
              <w:spacing w:after="0"/>
              <w:rPr>
                <w:sz w:val="20"/>
                <w:szCs w:val="20"/>
                <w:color w:val="auto"/>
              </w:rPr>
            </w:pPr>
            <w:r>
              <w:rPr>
                <w:rFonts w:ascii="Courier New" w:cs="Courier New" w:eastAsia="Courier New" w:hAnsi="Courier New"/>
                <w:sz w:val="13"/>
                <w:szCs w:val="13"/>
                <w:color w:val="auto"/>
                <w:w w:val="95"/>
              </w:rPr>
              <w:t>2006</w:t>
            </w:r>
          </w:p>
        </w:tc>
        <w:tc>
          <w:tcPr>
            <w:tcW w:w="1420" w:type="dxa"/>
            <w:vAlign w:val="bottom"/>
          </w:tcPr>
          <w:p>
            <w:pPr>
              <w:jc w:val="right"/>
              <w:ind w:right="736"/>
              <w:spacing w:after="0"/>
              <w:rPr>
                <w:sz w:val="20"/>
                <w:szCs w:val="20"/>
                <w:color w:val="auto"/>
              </w:rPr>
            </w:pPr>
            <w:r>
              <w:rPr>
                <w:rFonts w:ascii="Courier New" w:cs="Courier New" w:eastAsia="Courier New" w:hAnsi="Courier New"/>
                <w:sz w:val="13"/>
                <w:szCs w:val="13"/>
                <w:color w:val="auto"/>
              </w:rPr>
              <w:t>2005</w:t>
            </w:r>
          </w:p>
        </w:tc>
        <w:tc>
          <w:tcPr>
            <w:tcW w:w="720" w:type="dxa"/>
            <w:vAlign w:val="bottom"/>
          </w:tcPr>
          <w:p>
            <w:pPr>
              <w:jc w:val="right"/>
              <w:ind w:right="174"/>
              <w:spacing w:after="0"/>
              <w:rPr>
                <w:sz w:val="20"/>
                <w:szCs w:val="20"/>
                <w:color w:val="auto"/>
              </w:rPr>
            </w:pPr>
            <w:r>
              <w:rPr>
                <w:rFonts w:ascii="Courier New" w:cs="Courier New" w:eastAsia="Courier New" w:hAnsi="Courier New"/>
                <w:sz w:val="13"/>
                <w:szCs w:val="13"/>
                <w:color w:val="auto"/>
              </w:rPr>
              <w:t>2004</w:t>
            </w:r>
          </w:p>
        </w:tc>
        <w:tc>
          <w:tcPr>
            <w:tcW w:w="1820" w:type="dxa"/>
            <w:vAlign w:val="bottom"/>
          </w:tcPr>
          <w:p>
            <w:pPr>
              <w:jc w:val="right"/>
              <w:ind w:right="734"/>
              <w:spacing w:after="0"/>
              <w:rPr>
                <w:sz w:val="20"/>
                <w:szCs w:val="20"/>
                <w:color w:val="auto"/>
              </w:rPr>
            </w:pPr>
            <w:r>
              <w:rPr>
                <w:rFonts w:ascii="Courier New" w:cs="Courier New" w:eastAsia="Courier New" w:hAnsi="Courier New"/>
                <w:sz w:val="13"/>
                <w:szCs w:val="13"/>
                <w:color w:val="auto"/>
              </w:rPr>
              <w:t>2003</w:t>
            </w:r>
          </w:p>
        </w:tc>
        <w:tc>
          <w:tcPr>
            <w:tcW w:w="980" w:type="dxa"/>
            <w:vAlign w:val="bottom"/>
          </w:tcPr>
          <w:p>
            <w:pPr>
              <w:jc w:val="right"/>
              <w:ind w:right="454"/>
              <w:spacing w:after="0"/>
              <w:rPr>
                <w:sz w:val="20"/>
                <w:szCs w:val="20"/>
                <w:color w:val="auto"/>
              </w:rPr>
            </w:pPr>
            <w:r>
              <w:rPr>
                <w:rFonts w:ascii="Courier New" w:cs="Courier New" w:eastAsia="Courier New" w:hAnsi="Courier New"/>
                <w:sz w:val="13"/>
                <w:szCs w:val="13"/>
                <w:color w:val="auto"/>
              </w:rPr>
              <w:t>2002</w:t>
            </w:r>
          </w:p>
        </w:tc>
        <w:tc>
          <w:tcPr>
            <w:tcW w:w="980" w:type="dxa"/>
            <w:vAlign w:val="bottom"/>
          </w:tcPr>
          <w:p>
            <w:pPr>
              <w:jc w:val="right"/>
              <w:ind w:right="154"/>
              <w:spacing w:after="0"/>
              <w:rPr>
                <w:sz w:val="20"/>
                <w:szCs w:val="20"/>
                <w:color w:val="auto"/>
              </w:rPr>
            </w:pPr>
            <w:r>
              <w:rPr>
                <w:rFonts w:ascii="Courier New" w:cs="Courier New" w:eastAsia="Courier New" w:hAnsi="Courier New"/>
                <w:sz w:val="13"/>
                <w:szCs w:val="13"/>
                <w:color w:val="auto"/>
              </w:rPr>
              <w:t>2001</w:t>
            </w:r>
          </w:p>
        </w:tc>
      </w:tr>
      <w:tr>
        <w:trPr>
          <w:trHeight w:val="152"/>
        </w:trPr>
        <w:tc>
          <w:tcPr>
            <w:tcW w:w="288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13"/>
                <w:szCs w:val="13"/>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14"/>
              <w:spacing w:after="0"/>
              <w:rPr>
                <w:sz w:val="20"/>
                <w:szCs w:val="20"/>
                <w:color w:val="auto"/>
              </w:rPr>
            </w:pPr>
            <w:r>
              <w:rPr>
                <w:rFonts w:ascii="Courier New" w:cs="Courier New" w:eastAsia="Courier New" w:hAnsi="Courier New"/>
                <w:sz w:val="13"/>
                <w:szCs w:val="13"/>
                <w:color w:val="auto"/>
                <w:w w:val="99"/>
              </w:rPr>
              <w:t>--------</w:t>
            </w:r>
          </w:p>
        </w:tc>
        <w:tc>
          <w:tcPr>
            <w:tcW w:w="1820" w:type="dxa"/>
            <w:vAlign w:val="bottom"/>
          </w:tcPr>
          <w:p>
            <w:pPr>
              <w:jc w:val="right"/>
              <w:ind w:right="574"/>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jc w:val="right"/>
              <w:ind w:right="294"/>
              <w:spacing w:after="0"/>
              <w:rPr>
                <w:sz w:val="20"/>
                <w:szCs w:val="20"/>
                <w:color w:val="auto"/>
              </w:rPr>
            </w:pPr>
            <w:r>
              <w:rPr>
                <w:rFonts w:ascii="Courier New" w:cs="Courier New" w:eastAsia="Courier New" w:hAnsi="Courier New"/>
                <w:sz w:val="13"/>
                <w:szCs w:val="13"/>
                <w:color w:val="auto"/>
                <w:w w:val="96"/>
              </w:rPr>
              <w:t>--------</w:t>
            </w:r>
          </w:p>
        </w:tc>
        <w:tc>
          <w:tcPr>
            <w:tcW w:w="9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152"/>
        </w:trPr>
        <w:tc>
          <w:tcPr>
            <w:tcW w:w="2880" w:type="dxa"/>
            <w:vAlign w:val="bottom"/>
          </w:tcPr>
          <w:p>
            <w:pPr>
              <w:spacing w:after="0"/>
              <w:rPr>
                <w:sz w:val="13"/>
                <w:szCs w:val="13"/>
                <w:color w:val="auto"/>
              </w:rPr>
            </w:pPr>
          </w:p>
        </w:tc>
        <w:tc>
          <w:tcPr>
            <w:tcW w:w="1480" w:type="dxa"/>
            <w:vAlign w:val="bottom"/>
            <w:gridSpan w:val="3"/>
          </w:tcPr>
          <w:p>
            <w:pPr>
              <w:ind w:left="280"/>
              <w:spacing w:after="0"/>
              <w:rPr>
                <w:sz w:val="20"/>
                <w:szCs w:val="20"/>
                <w:color w:val="auto"/>
              </w:rPr>
            </w:pPr>
            <w:r>
              <w:rPr>
                <w:rFonts w:ascii="Courier New" w:cs="Courier New" w:eastAsia="Courier New" w:hAnsi="Courier New"/>
                <w:sz w:val="13"/>
                <w:szCs w:val="13"/>
                <w:color w:val="auto"/>
              </w:rPr>
              <w:t>(UNAUDITED)</w:t>
            </w:r>
          </w:p>
        </w:tc>
        <w:tc>
          <w:tcPr>
            <w:tcW w:w="1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2"/>
        </w:trPr>
        <w:tc>
          <w:tcPr>
            <w:tcW w:w="288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2"/>
        </w:trPr>
        <w:tc>
          <w:tcPr>
            <w:tcW w:w="2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540" w:type="dxa"/>
            <w:vAlign w:val="bottom"/>
            <w:gridSpan w:val="2"/>
          </w:tcPr>
          <w:p>
            <w:pPr>
              <w:jc w:val="right"/>
              <w:ind w:right="734"/>
              <w:spacing w:after="0"/>
              <w:rPr>
                <w:sz w:val="20"/>
                <w:szCs w:val="20"/>
                <w:color w:val="auto"/>
              </w:rPr>
            </w:pPr>
            <w:r>
              <w:rPr>
                <w:rFonts w:ascii="Courier New" w:cs="Courier New" w:eastAsia="Courier New" w:hAnsi="Courier New"/>
                <w:sz w:val="13"/>
                <w:szCs w:val="13"/>
                <w:color w:val="auto"/>
              </w:rPr>
              <w:t>DOLLARS IN THOUSANDS</w:t>
            </w: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2"/>
        </w:trPr>
        <w:tc>
          <w:tcPr>
            <w:tcW w:w="2880" w:type="dxa"/>
            <w:vAlign w:val="bottom"/>
          </w:tcPr>
          <w:p>
            <w:pPr>
              <w:spacing w:after="0"/>
              <w:rPr>
                <w:sz w:val="13"/>
                <w:szCs w:val="13"/>
                <w:color w:val="auto"/>
              </w:rPr>
            </w:pPr>
          </w:p>
        </w:tc>
        <w:tc>
          <w:tcPr>
            <w:tcW w:w="7400" w:type="dxa"/>
            <w:vAlign w:val="bottom"/>
            <w:gridSpan w:val="8"/>
          </w:tcPr>
          <w:p>
            <w:pPr>
              <w:jc w:val="right"/>
              <w:spacing w:after="0"/>
              <w:rPr>
                <w:sz w:val="20"/>
                <w:szCs w:val="20"/>
                <w:color w:val="auto"/>
              </w:rPr>
            </w:pPr>
            <w:r>
              <w:rPr>
                <w:rFonts w:ascii="Courier New" w:cs="Courier New" w:eastAsia="Courier New" w:hAnsi="Courier New"/>
                <w:sz w:val="13"/>
                <w:szCs w:val="13"/>
                <w:color w:val="auto"/>
              </w:rPr>
              <w:t>----------------------------------------------------------------------------------------</w:t>
            </w:r>
          </w:p>
        </w:tc>
      </w:tr>
      <w:tr>
        <w:trPr>
          <w:trHeight w:val="152"/>
        </w:trPr>
        <w:tc>
          <w:tcPr>
            <w:tcW w:w="2880" w:type="dxa"/>
            <w:vAlign w:val="bottom"/>
          </w:tcPr>
          <w:p>
            <w:pPr>
              <w:spacing w:after="0"/>
              <w:rPr>
                <w:sz w:val="20"/>
                <w:szCs w:val="20"/>
                <w:color w:val="auto"/>
              </w:rPr>
            </w:pPr>
            <w:r>
              <w:rPr>
                <w:rFonts w:ascii="Courier New" w:cs="Courier New" w:eastAsia="Courier New" w:hAnsi="Courier New"/>
                <w:sz w:val="13"/>
                <w:szCs w:val="13"/>
                <w:color w:val="auto"/>
              </w:rPr>
              <w:t>EARNINGS (LOSSES):</w:t>
            </w: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304"/>
        </w:trPr>
        <w:tc>
          <w:tcPr>
            <w:tcW w:w="2880" w:type="dxa"/>
            <w:vAlign w:val="bottom"/>
          </w:tcPr>
          <w:p>
            <w:pPr>
              <w:spacing w:after="0"/>
              <w:rPr>
                <w:sz w:val="20"/>
                <w:szCs w:val="20"/>
                <w:color w:val="auto"/>
              </w:rPr>
            </w:pPr>
            <w:r>
              <w:rPr>
                <w:rFonts w:ascii="Courier New" w:cs="Courier New" w:eastAsia="Courier New" w:hAnsi="Courier New"/>
                <w:sz w:val="13"/>
                <w:szCs w:val="13"/>
                <w:color w:val="auto"/>
              </w:rPr>
              <w:t>Losses before income taxes</w:t>
            </w:r>
          </w:p>
        </w:tc>
        <w:tc>
          <w:tcPr>
            <w:tcW w:w="1480" w:type="dxa"/>
            <w:vAlign w:val="bottom"/>
            <w:gridSpan w:val="3"/>
          </w:tcPr>
          <w:p>
            <w:pPr>
              <w:jc w:val="right"/>
              <w:ind w:right="334"/>
              <w:spacing w:after="0"/>
              <w:rPr>
                <w:sz w:val="20"/>
                <w:szCs w:val="20"/>
                <w:color w:val="auto"/>
              </w:rPr>
            </w:pPr>
            <w:r>
              <w:rPr>
                <w:rFonts w:ascii="Courier New" w:cs="Courier New" w:eastAsia="Courier New" w:hAnsi="Courier New"/>
                <w:sz w:val="13"/>
                <w:szCs w:val="13"/>
                <w:color w:val="auto"/>
              </w:rPr>
              <w:t>(45,056)</w:t>
            </w:r>
          </w:p>
        </w:tc>
        <w:tc>
          <w:tcPr>
            <w:tcW w:w="1420" w:type="dxa"/>
            <w:vAlign w:val="bottom"/>
          </w:tcPr>
          <w:p>
            <w:pPr>
              <w:jc w:val="right"/>
              <w:ind w:right="496"/>
              <w:spacing w:after="0"/>
              <w:rPr>
                <w:sz w:val="20"/>
                <w:szCs w:val="20"/>
                <w:color w:val="auto"/>
              </w:rPr>
            </w:pPr>
            <w:r>
              <w:rPr>
                <w:rFonts w:ascii="Courier New" w:cs="Courier New" w:eastAsia="Courier New" w:hAnsi="Courier New"/>
                <w:sz w:val="13"/>
                <w:szCs w:val="13"/>
                <w:color w:val="auto"/>
              </w:rPr>
              <w:t>(203,082)</w:t>
            </w:r>
          </w:p>
        </w:tc>
        <w:tc>
          <w:tcPr>
            <w:tcW w:w="720" w:type="dxa"/>
            <w:vAlign w:val="bottom"/>
          </w:tcPr>
          <w:p>
            <w:pPr>
              <w:jc w:val="right"/>
              <w:spacing w:after="0"/>
              <w:rPr>
                <w:sz w:val="20"/>
                <w:szCs w:val="20"/>
                <w:color w:val="auto"/>
              </w:rPr>
            </w:pPr>
            <w:r>
              <w:rPr>
                <w:rFonts w:ascii="Courier New" w:cs="Courier New" w:eastAsia="Courier New" w:hAnsi="Courier New"/>
                <w:sz w:val="13"/>
                <w:szCs w:val="13"/>
                <w:color w:val="auto"/>
                <w:w w:val="99"/>
              </w:rPr>
              <w:t>(137,768)</w:t>
            </w:r>
          </w:p>
        </w:tc>
        <w:tc>
          <w:tcPr>
            <w:tcW w:w="1820" w:type="dxa"/>
            <w:vAlign w:val="bottom"/>
          </w:tcPr>
          <w:p>
            <w:pPr>
              <w:jc w:val="right"/>
              <w:ind w:right="494"/>
              <w:spacing w:after="0"/>
              <w:rPr>
                <w:sz w:val="20"/>
                <w:szCs w:val="20"/>
                <w:color w:val="auto"/>
              </w:rPr>
            </w:pPr>
            <w:r>
              <w:rPr>
                <w:rFonts w:ascii="Courier New" w:cs="Courier New" w:eastAsia="Courier New" w:hAnsi="Courier New"/>
                <w:sz w:val="13"/>
                <w:szCs w:val="13"/>
                <w:color w:val="auto"/>
              </w:rPr>
              <w:t>(114,261)</w:t>
            </w:r>
          </w:p>
        </w:tc>
        <w:tc>
          <w:tcPr>
            <w:tcW w:w="980" w:type="dxa"/>
            <w:vAlign w:val="bottom"/>
          </w:tcPr>
          <w:p>
            <w:pPr>
              <w:jc w:val="right"/>
              <w:ind w:right="214"/>
              <w:spacing w:after="0"/>
              <w:rPr>
                <w:sz w:val="20"/>
                <w:szCs w:val="20"/>
                <w:color w:val="auto"/>
              </w:rPr>
            </w:pPr>
            <w:r>
              <w:rPr>
                <w:rFonts w:ascii="Courier New" w:cs="Courier New" w:eastAsia="Courier New" w:hAnsi="Courier New"/>
                <w:sz w:val="13"/>
                <w:szCs w:val="13"/>
                <w:color w:val="auto"/>
              </w:rPr>
              <w:t>(51,402)</w:t>
            </w:r>
          </w:p>
        </w:tc>
        <w:tc>
          <w:tcPr>
            <w:tcW w:w="980" w:type="dxa"/>
            <w:vAlign w:val="bottom"/>
          </w:tcPr>
          <w:p>
            <w:pPr>
              <w:jc w:val="right"/>
              <w:spacing w:after="0"/>
              <w:rPr>
                <w:sz w:val="20"/>
                <w:szCs w:val="20"/>
                <w:color w:val="auto"/>
              </w:rPr>
            </w:pPr>
            <w:r>
              <w:rPr>
                <w:rFonts w:ascii="Courier New" w:cs="Courier New" w:eastAsia="Courier New" w:hAnsi="Courier New"/>
                <w:sz w:val="13"/>
                <w:szCs w:val="13"/>
                <w:color w:val="auto"/>
              </w:rPr>
              <w:t>(38,522)</w:t>
            </w:r>
          </w:p>
        </w:tc>
      </w:tr>
      <w:tr>
        <w:trPr>
          <w:trHeight w:val="304"/>
        </w:trPr>
        <w:tc>
          <w:tcPr>
            <w:tcW w:w="2880" w:type="dxa"/>
            <w:vAlign w:val="bottom"/>
          </w:tcPr>
          <w:p>
            <w:pPr>
              <w:spacing w:after="0"/>
              <w:rPr>
                <w:sz w:val="20"/>
                <w:szCs w:val="20"/>
                <w:color w:val="auto"/>
              </w:rPr>
            </w:pPr>
            <w:r>
              <w:rPr>
                <w:rFonts w:ascii="Courier New" w:cs="Courier New" w:eastAsia="Courier New" w:hAnsi="Courier New"/>
                <w:sz w:val="13"/>
                <w:szCs w:val="13"/>
                <w:color w:val="auto"/>
              </w:rPr>
              <w:t>Amortization of capitalized</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52"/>
        </w:trPr>
        <w:tc>
          <w:tcPr>
            <w:tcW w:w="2880" w:type="dxa"/>
            <w:vAlign w:val="bottom"/>
          </w:tcPr>
          <w:p>
            <w:pPr>
              <w:spacing w:after="0"/>
              <w:rPr>
                <w:sz w:val="20"/>
                <w:szCs w:val="20"/>
                <w:color w:val="auto"/>
              </w:rPr>
            </w:pPr>
            <w:r>
              <w:rPr>
                <w:rFonts w:ascii="Courier New" w:cs="Courier New" w:eastAsia="Courier New" w:hAnsi="Courier New"/>
                <w:sz w:val="13"/>
                <w:szCs w:val="13"/>
                <w:color w:val="auto"/>
              </w:rPr>
              <w:t>interest (a)</w:t>
            </w:r>
          </w:p>
        </w:tc>
        <w:tc>
          <w:tcPr>
            <w:tcW w:w="6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w w:val="97"/>
              </w:rPr>
              <w:t>1,510</w:t>
            </w:r>
          </w:p>
        </w:tc>
        <w:tc>
          <w:tcPr>
            <w:tcW w:w="480" w:type="dxa"/>
            <w:vAlign w:val="bottom"/>
          </w:tcPr>
          <w:p>
            <w:pPr>
              <w:spacing w:after="0"/>
              <w:rPr>
                <w:sz w:val="13"/>
                <w:szCs w:val="13"/>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3"/>
                <w:szCs w:val="13"/>
                <w:color w:val="auto"/>
              </w:rPr>
              <w:t>4,206</w:t>
            </w:r>
          </w:p>
        </w:tc>
        <w:tc>
          <w:tcPr>
            <w:tcW w:w="720" w:type="dxa"/>
            <w:vAlign w:val="bottom"/>
          </w:tcPr>
          <w:p>
            <w:pPr>
              <w:jc w:val="right"/>
              <w:ind w:right="14"/>
              <w:spacing w:after="0"/>
              <w:rPr>
                <w:sz w:val="20"/>
                <w:szCs w:val="20"/>
                <w:color w:val="auto"/>
              </w:rPr>
            </w:pPr>
            <w:r>
              <w:rPr>
                <w:rFonts w:ascii="Courier New" w:cs="Courier New" w:eastAsia="Courier New" w:hAnsi="Courier New"/>
                <w:sz w:val="13"/>
                <w:szCs w:val="13"/>
                <w:color w:val="auto"/>
              </w:rPr>
              <w:t>3,557</w:t>
            </w:r>
          </w:p>
        </w:tc>
        <w:tc>
          <w:tcPr>
            <w:tcW w:w="1820" w:type="dxa"/>
            <w:vAlign w:val="bottom"/>
          </w:tcPr>
          <w:p>
            <w:pPr>
              <w:jc w:val="right"/>
              <w:ind w:right="574"/>
              <w:spacing w:after="0"/>
              <w:rPr>
                <w:sz w:val="20"/>
                <w:szCs w:val="20"/>
                <w:color w:val="auto"/>
              </w:rPr>
            </w:pPr>
            <w:r>
              <w:rPr>
                <w:rFonts w:ascii="Courier New" w:cs="Courier New" w:eastAsia="Courier New" w:hAnsi="Courier New"/>
                <w:sz w:val="13"/>
                <w:szCs w:val="13"/>
                <w:color w:val="auto"/>
              </w:rPr>
              <w:t>954</w:t>
            </w:r>
          </w:p>
        </w:tc>
        <w:tc>
          <w:tcPr>
            <w:tcW w:w="98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4"/>
        </w:trPr>
        <w:tc>
          <w:tcPr>
            <w:tcW w:w="2880" w:type="dxa"/>
            <w:vAlign w:val="bottom"/>
          </w:tcPr>
          <w:p>
            <w:pPr>
              <w:spacing w:after="0"/>
              <w:rPr>
                <w:sz w:val="20"/>
                <w:szCs w:val="20"/>
                <w:color w:val="auto"/>
              </w:rPr>
            </w:pPr>
            <w:r>
              <w:rPr>
                <w:rFonts w:ascii="Courier New" w:cs="Courier New" w:eastAsia="Courier New" w:hAnsi="Courier New"/>
                <w:sz w:val="13"/>
                <w:szCs w:val="13"/>
                <w:color w:val="auto"/>
              </w:rPr>
              <w:t>Interest capitalized (d)</w:t>
            </w:r>
          </w:p>
        </w:tc>
        <w:tc>
          <w:tcPr>
            <w:tcW w:w="6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24"/>
                <w:szCs w:val="24"/>
                <w:color w:val="auto"/>
              </w:rPr>
            </w:pPr>
          </w:p>
        </w:tc>
        <w:tc>
          <w:tcPr>
            <w:tcW w:w="1420" w:type="dxa"/>
            <w:vAlign w:val="bottom"/>
          </w:tcPr>
          <w:p>
            <w:pPr>
              <w:jc w:val="right"/>
              <w:ind w:right="496"/>
              <w:spacing w:after="0"/>
              <w:rPr>
                <w:sz w:val="20"/>
                <w:szCs w:val="20"/>
                <w:color w:val="auto"/>
              </w:rPr>
            </w:pPr>
            <w:r>
              <w:rPr>
                <w:rFonts w:ascii="Courier New" w:cs="Courier New" w:eastAsia="Courier New" w:hAnsi="Courier New"/>
                <w:sz w:val="13"/>
                <w:szCs w:val="13"/>
                <w:color w:val="auto"/>
              </w:rPr>
              <w:t>(2,793)</w:t>
            </w:r>
          </w:p>
        </w:tc>
        <w:tc>
          <w:tcPr>
            <w:tcW w:w="720" w:type="dxa"/>
            <w:vAlign w:val="bottom"/>
          </w:tcPr>
          <w:p>
            <w:pPr>
              <w:jc w:val="right"/>
              <w:ind w:right="14"/>
              <w:spacing w:after="0"/>
              <w:rPr>
                <w:sz w:val="20"/>
                <w:szCs w:val="20"/>
                <w:color w:val="auto"/>
              </w:rPr>
            </w:pPr>
            <w:r>
              <w:rPr>
                <w:rFonts w:ascii="Courier New" w:cs="Courier New" w:eastAsia="Courier New" w:hAnsi="Courier New"/>
                <w:sz w:val="13"/>
                <w:szCs w:val="13"/>
                <w:color w:val="auto"/>
              </w:rPr>
              <w:t>-</w:t>
            </w:r>
          </w:p>
        </w:tc>
        <w:tc>
          <w:tcPr>
            <w:tcW w:w="1820" w:type="dxa"/>
            <w:vAlign w:val="bottom"/>
          </w:tcPr>
          <w:p>
            <w:pPr>
              <w:jc w:val="right"/>
              <w:ind w:right="494"/>
              <w:spacing w:after="0"/>
              <w:rPr>
                <w:sz w:val="20"/>
                <w:szCs w:val="20"/>
                <w:color w:val="auto"/>
              </w:rPr>
            </w:pPr>
            <w:r>
              <w:rPr>
                <w:rFonts w:ascii="Courier New" w:cs="Courier New" w:eastAsia="Courier New" w:hAnsi="Courier New"/>
                <w:sz w:val="13"/>
                <w:szCs w:val="13"/>
                <w:color w:val="auto"/>
              </w:rPr>
              <w:t>(14,042)</w:t>
            </w:r>
          </w:p>
        </w:tc>
        <w:tc>
          <w:tcPr>
            <w:tcW w:w="980" w:type="dxa"/>
            <w:vAlign w:val="bottom"/>
          </w:tcPr>
          <w:p>
            <w:pPr>
              <w:jc w:val="right"/>
              <w:ind w:right="214"/>
              <w:spacing w:after="0"/>
              <w:rPr>
                <w:sz w:val="20"/>
                <w:szCs w:val="20"/>
                <w:color w:val="auto"/>
              </w:rPr>
            </w:pPr>
            <w:r>
              <w:rPr>
                <w:rFonts w:ascii="Courier New" w:cs="Courier New" w:eastAsia="Courier New" w:hAnsi="Courier New"/>
                <w:sz w:val="13"/>
                <w:szCs w:val="13"/>
                <w:color w:val="auto"/>
              </w:rPr>
              <w:t>(12,300)</w:t>
            </w:r>
          </w:p>
        </w:tc>
        <w:tc>
          <w:tcPr>
            <w:tcW w:w="980" w:type="dxa"/>
            <w:vAlign w:val="bottom"/>
          </w:tcPr>
          <w:p>
            <w:pPr>
              <w:jc w:val="right"/>
              <w:spacing w:after="0"/>
              <w:rPr>
                <w:sz w:val="20"/>
                <w:szCs w:val="20"/>
                <w:color w:val="auto"/>
              </w:rPr>
            </w:pPr>
            <w:r>
              <w:rPr>
                <w:rFonts w:ascii="Courier New" w:cs="Courier New" w:eastAsia="Courier New" w:hAnsi="Courier New"/>
                <w:sz w:val="13"/>
                <w:szCs w:val="13"/>
                <w:color w:val="auto"/>
              </w:rPr>
              <w:t>(10,994)</w:t>
            </w:r>
          </w:p>
        </w:tc>
      </w:tr>
      <w:tr>
        <w:trPr>
          <w:trHeight w:val="152"/>
        </w:trPr>
        <w:tc>
          <w:tcPr>
            <w:tcW w:w="288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13"/>
                <w:szCs w:val="13"/>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14"/>
              <w:spacing w:after="0"/>
              <w:rPr>
                <w:sz w:val="20"/>
                <w:szCs w:val="20"/>
                <w:color w:val="auto"/>
              </w:rPr>
            </w:pPr>
            <w:r>
              <w:rPr>
                <w:rFonts w:ascii="Courier New" w:cs="Courier New" w:eastAsia="Courier New" w:hAnsi="Courier New"/>
                <w:sz w:val="13"/>
                <w:szCs w:val="13"/>
                <w:color w:val="auto"/>
                <w:w w:val="99"/>
              </w:rPr>
              <w:t>--------</w:t>
            </w:r>
          </w:p>
        </w:tc>
        <w:tc>
          <w:tcPr>
            <w:tcW w:w="1820" w:type="dxa"/>
            <w:vAlign w:val="bottom"/>
          </w:tcPr>
          <w:p>
            <w:pPr>
              <w:jc w:val="right"/>
              <w:ind w:right="574"/>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jc w:val="right"/>
              <w:ind w:right="294"/>
              <w:spacing w:after="0"/>
              <w:rPr>
                <w:sz w:val="20"/>
                <w:szCs w:val="20"/>
                <w:color w:val="auto"/>
              </w:rPr>
            </w:pPr>
            <w:r>
              <w:rPr>
                <w:rFonts w:ascii="Courier New" w:cs="Courier New" w:eastAsia="Courier New" w:hAnsi="Courier New"/>
                <w:sz w:val="13"/>
                <w:szCs w:val="13"/>
                <w:color w:val="auto"/>
                <w:w w:val="96"/>
              </w:rPr>
              <w:t>--------</w:t>
            </w:r>
          </w:p>
        </w:tc>
        <w:tc>
          <w:tcPr>
            <w:tcW w:w="9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4"/>
        </w:trPr>
        <w:tc>
          <w:tcPr>
            <w:tcW w:w="2880" w:type="dxa"/>
            <w:vAlign w:val="bottom"/>
          </w:tcPr>
          <w:p>
            <w:pPr>
              <w:spacing w:after="0"/>
              <w:rPr>
                <w:sz w:val="24"/>
                <w:szCs w:val="24"/>
                <w:color w:val="auto"/>
              </w:rPr>
            </w:pPr>
          </w:p>
        </w:tc>
        <w:tc>
          <w:tcPr>
            <w:tcW w:w="1480" w:type="dxa"/>
            <w:vAlign w:val="bottom"/>
            <w:gridSpan w:val="3"/>
          </w:tcPr>
          <w:p>
            <w:pPr>
              <w:jc w:val="right"/>
              <w:ind w:right="334"/>
              <w:spacing w:after="0"/>
              <w:rPr>
                <w:sz w:val="20"/>
                <w:szCs w:val="20"/>
                <w:color w:val="auto"/>
              </w:rPr>
            </w:pPr>
            <w:r>
              <w:rPr>
                <w:rFonts w:ascii="Courier New" w:cs="Courier New" w:eastAsia="Courier New" w:hAnsi="Courier New"/>
                <w:sz w:val="13"/>
                <w:szCs w:val="13"/>
                <w:color w:val="auto"/>
              </w:rPr>
              <w:t>(43,546)</w:t>
            </w:r>
          </w:p>
        </w:tc>
        <w:tc>
          <w:tcPr>
            <w:tcW w:w="1420" w:type="dxa"/>
            <w:vAlign w:val="bottom"/>
          </w:tcPr>
          <w:p>
            <w:pPr>
              <w:jc w:val="right"/>
              <w:ind w:right="496"/>
              <w:spacing w:after="0"/>
              <w:rPr>
                <w:sz w:val="20"/>
                <w:szCs w:val="20"/>
                <w:color w:val="auto"/>
              </w:rPr>
            </w:pPr>
            <w:r>
              <w:rPr>
                <w:rFonts w:ascii="Courier New" w:cs="Courier New" w:eastAsia="Courier New" w:hAnsi="Courier New"/>
                <w:sz w:val="13"/>
                <w:szCs w:val="13"/>
                <w:color w:val="auto"/>
              </w:rPr>
              <w:t>(201,669)</w:t>
            </w:r>
          </w:p>
        </w:tc>
        <w:tc>
          <w:tcPr>
            <w:tcW w:w="720" w:type="dxa"/>
            <w:vAlign w:val="bottom"/>
          </w:tcPr>
          <w:p>
            <w:pPr>
              <w:jc w:val="right"/>
              <w:spacing w:after="0"/>
              <w:rPr>
                <w:sz w:val="20"/>
                <w:szCs w:val="20"/>
                <w:color w:val="auto"/>
              </w:rPr>
            </w:pPr>
            <w:r>
              <w:rPr>
                <w:rFonts w:ascii="Courier New" w:cs="Courier New" w:eastAsia="Courier New" w:hAnsi="Courier New"/>
                <w:sz w:val="13"/>
                <w:szCs w:val="13"/>
                <w:color w:val="auto"/>
                <w:w w:val="99"/>
              </w:rPr>
              <w:t>(134,211)</w:t>
            </w:r>
          </w:p>
        </w:tc>
        <w:tc>
          <w:tcPr>
            <w:tcW w:w="1820" w:type="dxa"/>
            <w:vAlign w:val="bottom"/>
          </w:tcPr>
          <w:p>
            <w:pPr>
              <w:jc w:val="right"/>
              <w:ind w:right="494"/>
              <w:spacing w:after="0"/>
              <w:rPr>
                <w:sz w:val="20"/>
                <w:szCs w:val="20"/>
                <w:color w:val="auto"/>
              </w:rPr>
            </w:pPr>
            <w:r>
              <w:rPr>
                <w:rFonts w:ascii="Courier New" w:cs="Courier New" w:eastAsia="Courier New" w:hAnsi="Courier New"/>
                <w:sz w:val="13"/>
                <w:szCs w:val="13"/>
                <w:color w:val="auto"/>
              </w:rPr>
              <w:t>(127,349)</w:t>
            </w:r>
          </w:p>
        </w:tc>
        <w:tc>
          <w:tcPr>
            <w:tcW w:w="980" w:type="dxa"/>
            <w:vAlign w:val="bottom"/>
          </w:tcPr>
          <w:p>
            <w:pPr>
              <w:jc w:val="right"/>
              <w:ind w:right="214"/>
              <w:spacing w:after="0"/>
              <w:rPr>
                <w:sz w:val="20"/>
                <w:szCs w:val="20"/>
                <w:color w:val="auto"/>
              </w:rPr>
            </w:pPr>
            <w:r>
              <w:rPr>
                <w:rFonts w:ascii="Courier New" w:cs="Courier New" w:eastAsia="Courier New" w:hAnsi="Courier New"/>
                <w:sz w:val="13"/>
                <w:szCs w:val="13"/>
                <w:color w:val="auto"/>
              </w:rPr>
              <w:t>(63,702)</w:t>
            </w:r>
          </w:p>
        </w:tc>
        <w:tc>
          <w:tcPr>
            <w:tcW w:w="980" w:type="dxa"/>
            <w:vAlign w:val="bottom"/>
          </w:tcPr>
          <w:p>
            <w:pPr>
              <w:jc w:val="right"/>
              <w:spacing w:after="0"/>
              <w:rPr>
                <w:sz w:val="20"/>
                <w:szCs w:val="20"/>
                <w:color w:val="auto"/>
              </w:rPr>
            </w:pPr>
            <w:r>
              <w:rPr>
                <w:rFonts w:ascii="Courier New" w:cs="Courier New" w:eastAsia="Courier New" w:hAnsi="Courier New"/>
                <w:sz w:val="13"/>
                <w:szCs w:val="13"/>
                <w:color w:val="auto"/>
              </w:rPr>
              <w:t>(49,516)</w:t>
            </w:r>
          </w:p>
        </w:tc>
      </w:tr>
      <w:tr>
        <w:trPr>
          <w:trHeight w:val="152"/>
        </w:trPr>
        <w:tc>
          <w:tcPr>
            <w:tcW w:w="288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13"/>
                <w:szCs w:val="13"/>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14"/>
              <w:spacing w:after="0"/>
              <w:rPr>
                <w:sz w:val="20"/>
                <w:szCs w:val="20"/>
                <w:color w:val="auto"/>
              </w:rPr>
            </w:pPr>
            <w:r>
              <w:rPr>
                <w:rFonts w:ascii="Courier New" w:cs="Courier New" w:eastAsia="Courier New" w:hAnsi="Courier New"/>
                <w:sz w:val="13"/>
                <w:szCs w:val="13"/>
                <w:color w:val="auto"/>
                <w:w w:val="99"/>
              </w:rPr>
              <w:t>--------</w:t>
            </w:r>
          </w:p>
        </w:tc>
        <w:tc>
          <w:tcPr>
            <w:tcW w:w="1820" w:type="dxa"/>
            <w:vAlign w:val="bottom"/>
          </w:tcPr>
          <w:p>
            <w:pPr>
              <w:jc w:val="right"/>
              <w:ind w:right="574"/>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jc w:val="right"/>
              <w:ind w:right="294"/>
              <w:spacing w:after="0"/>
              <w:rPr>
                <w:sz w:val="20"/>
                <w:szCs w:val="20"/>
                <w:color w:val="auto"/>
              </w:rPr>
            </w:pPr>
            <w:r>
              <w:rPr>
                <w:rFonts w:ascii="Courier New" w:cs="Courier New" w:eastAsia="Courier New" w:hAnsi="Courier New"/>
                <w:sz w:val="13"/>
                <w:szCs w:val="13"/>
                <w:color w:val="auto"/>
                <w:w w:val="96"/>
              </w:rPr>
              <w:t>--------</w:t>
            </w:r>
          </w:p>
        </w:tc>
        <w:tc>
          <w:tcPr>
            <w:tcW w:w="9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4"/>
        </w:trPr>
        <w:tc>
          <w:tcPr>
            <w:tcW w:w="2880" w:type="dxa"/>
            <w:vAlign w:val="bottom"/>
          </w:tcPr>
          <w:p>
            <w:pPr>
              <w:spacing w:after="0"/>
              <w:rPr>
                <w:sz w:val="20"/>
                <w:szCs w:val="20"/>
                <w:color w:val="auto"/>
              </w:rPr>
            </w:pPr>
            <w:r>
              <w:rPr>
                <w:rFonts w:ascii="Courier New" w:cs="Courier New" w:eastAsia="Courier New" w:hAnsi="Courier New"/>
                <w:sz w:val="13"/>
                <w:szCs w:val="13"/>
                <w:color w:val="auto"/>
              </w:rPr>
              <w:t>FIXED CHARGES:</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4"/>
        </w:trPr>
        <w:tc>
          <w:tcPr>
            <w:tcW w:w="2880" w:type="dxa"/>
            <w:vAlign w:val="bottom"/>
          </w:tcPr>
          <w:p>
            <w:pPr>
              <w:spacing w:after="0"/>
              <w:rPr>
                <w:sz w:val="20"/>
                <w:szCs w:val="20"/>
                <w:color w:val="auto"/>
              </w:rPr>
            </w:pPr>
            <w:r>
              <w:rPr>
                <w:rFonts w:ascii="Courier New" w:cs="Courier New" w:eastAsia="Courier New" w:hAnsi="Courier New"/>
                <w:sz w:val="13"/>
                <w:szCs w:val="13"/>
                <w:color w:val="auto"/>
              </w:rPr>
              <w:t>Amortization of expenses</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52"/>
        </w:trPr>
        <w:tc>
          <w:tcPr>
            <w:tcW w:w="2880" w:type="dxa"/>
            <w:vAlign w:val="bottom"/>
          </w:tcPr>
          <w:p>
            <w:pPr>
              <w:spacing w:after="0"/>
              <w:rPr>
                <w:sz w:val="20"/>
                <w:szCs w:val="20"/>
                <w:color w:val="auto"/>
              </w:rPr>
            </w:pPr>
            <w:r>
              <w:rPr>
                <w:rFonts w:ascii="Courier New" w:cs="Courier New" w:eastAsia="Courier New" w:hAnsi="Courier New"/>
                <w:sz w:val="13"/>
                <w:szCs w:val="13"/>
                <w:color w:val="auto"/>
              </w:rPr>
              <w:t>related to indebtedness (b)</w:t>
            </w:r>
          </w:p>
        </w:tc>
        <w:tc>
          <w:tcPr>
            <w:tcW w:w="6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rPr>
              <w:t>549</w:t>
            </w:r>
          </w:p>
        </w:tc>
        <w:tc>
          <w:tcPr>
            <w:tcW w:w="480" w:type="dxa"/>
            <w:vAlign w:val="bottom"/>
          </w:tcPr>
          <w:p>
            <w:pPr>
              <w:spacing w:after="0"/>
              <w:rPr>
                <w:sz w:val="13"/>
                <w:szCs w:val="13"/>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3"/>
                <w:szCs w:val="13"/>
                <w:color w:val="auto"/>
              </w:rPr>
              <w:t>523</w:t>
            </w:r>
          </w:p>
        </w:tc>
        <w:tc>
          <w:tcPr>
            <w:tcW w:w="720" w:type="dxa"/>
            <w:vAlign w:val="bottom"/>
          </w:tcPr>
          <w:p>
            <w:pPr>
              <w:jc w:val="right"/>
              <w:ind w:right="14"/>
              <w:spacing w:after="0"/>
              <w:rPr>
                <w:sz w:val="20"/>
                <w:szCs w:val="20"/>
                <w:color w:val="auto"/>
              </w:rPr>
            </w:pPr>
            <w:r>
              <w:rPr>
                <w:rFonts w:ascii="Courier New" w:cs="Courier New" w:eastAsia="Courier New" w:hAnsi="Courier New"/>
                <w:sz w:val="13"/>
                <w:szCs w:val="13"/>
                <w:color w:val="auto"/>
              </w:rPr>
              <w:t>524</w:t>
            </w:r>
          </w:p>
        </w:tc>
        <w:tc>
          <w:tcPr>
            <w:tcW w:w="1820" w:type="dxa"/>
            <w:vAlign w:val="bottom"/>
          </w:tcPr>
          <w:p>
            <w:pPr>
              <w:jc w:val="right"/>
              <w:ind w:right="574"/>
              <w:spacing w:after="0"/>
              <w:rPr>
                <w:sz w:val="20"/>
                <w:szCs w:val="20"/>
                <w:color w:val="auto"/>
              </w:rPr>
            </w:pPr>
            <w:r>
              <w:rPr>
                <w:rFonts w:ascii="Courier New" w:cs="Courier New" w:eastAsia="Courier New" w:hAnsi="Courier New"/>
                <w:sz w:val="13"/>
                <w:szCs w:val="13"/>
                <w:color w:val="auto"/>
              </w:rPr>
              <w:t>271</w:t>
            </w:r>
          </w:p>
        </w:tc>
        <w:tc>
          <w:tcPr>
            <w:tcW w:w="98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4"/>
        </w:trPr>
        <w:tc>
          <w:tcPr>
            <w:tcW w:w="2880" w:type="dxa"/>
            <w:vAlign w:val="bottom"/>
          </w:tcPr>
          <w:p>
            <w:pPr>
              <w:spacing w:after="0"/>
              <w:rPr>
                <w:sz w:val="20"/>
                <w:szCs w:val="20"/>
                <w:color w:val="auto"/>
              </w:rPr>
            </w:pPr>
            <w:r>
              <w:rPr>
                <w:rFonts w:ascii="Courier New" w:cs="Courier New" w:eastAsia="Courier New" w:hAnsi="Courier New"/>
                <w:sz w:val="13"/>
                <w:szCs w:val="13"/>
                <w:color w:val="auto"/>
              </w:rPr>
              <w:t>Interest expenses (c)</w:t>
            </w:r>
          </w:p>
        </w:tc>
        <w:tc>
          <w:tcPr>
            <w:tcW w:w="6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w w:val="97"/>
              </w:rPr>
              <w:t>9,859</w:t>
            </w:r>
          </w:p>
        </w:tc>
        <w:tc>
          <w:tcPr>
            <w:tcW w:w="480" w:type="dxa"/>
            <w:vAlign w:val="bottom"/>
          </w:tcPr>
          <w:p>
            <w:pPr>
              <w:spacing w:after="0"/>
              <w:rPr>
                <w:sz w:val="24"/>
                <w:szCs w:val="24"/>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3"/>
                <w:szCs w:val="13"/>
                <w:color w:val="auto"/>
              </w:rPr>
              <w:t>32,360</w:t>
            </w:r>
          </w:p>
        </w:tc>
        <w:tc>
          <w:tcPr>
            <w:tcW w:w="720" w:type="dxa"/>
            <w:vAlign w:val="bottom"/>
          </w:tcPr>
          <w:p>
            <w:pPr>
              <w:jc w:val="right"/>
              <w:ind w:right="14"/>
              <w:spacing w:after="0"/>
              <w:rPr>
                <w:sz w:val="20"/>
                <w:szCs w:val="20"/>
                <w:color w:val="auto"/>
              </w:rPr>
            </w:pPr>
            <w:r>
              <w:rPr>
                <w:rFonts w:ascii="Courier New" w:cs="Courier New" w:eastAsia="Courier New" w:hAnsi="Courier New"/>
                <w:sz w:val="13"/>
                <w:szCs w:val="13"/>
                <w:color w:val="auto"/>
              </w:rPr>
              <w:t>26,582</w:t>
            </w:r>
          </w:p>
        </w:tc>
        <w:tc>
          <w:tcPr>
            <w:tcW w:w="1820" w:type="dxa"/>
            <w:vAlign w:val="bottom"/>
          </w:tcPr>
          <w:p>
            <w:pPr>
              <w:jc w:val="right"/>
              <w:ind w:right="574"/>
              <w:spacing w:after="0"/>
              <w:rPr>
                <w:sz w:val="20"/>
                <w:szCs w:val="20"/>
                <w:color w:val="auto"/>
              </w:rPr>
            </w:pPr>
            <w:r>
              <w:rPr>
                <w:rFonts w:ascii="Courier New" w:cs="Courier New" w:eastAsia="Courier New" w:hAnsi="Courier New"/>
                <w:sz w:val="13"/>
                <w:szCs w:val="13"/>
                <w:color w:val="auto"/>
              </w:rPr>
              <w:t>7,891</w:t>
            </w:r>
          </w:p>
        </w:tc>
        <w:tc>
          <w:tcPr>
            <w:tcW w:w="98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708</w:t>
            </w:r>
          </w:p>
        </w:tc>
        <w:tc>
          <w:tcPr>
            <w:tcW w:w="980" w:type="dxa"/>
            <w:vAlign w:val="bottom"/>
          </w:tcPr>
          <w:p>
            <w:pPr>
              <w:jc w:val="right"/>
              <w:spacing w:after="0"/>
              <w:rPr>
                <w:sz w:val="20"/>
                <w:szCs w:val="20"/>
                <w:color w:val="auto"/>
              </w:rPr>
            </w:pPr>
            <w:r>
              <w:rPr>
                <w:rFonts w:ascii="Courier New" w:cs="Courier New" w:eastAsia="Courier New" w:hAnsi="Courier New"/>
                <w:sz w:val="13"/>
                <w:szCs w:val="13"/>
                <w:color w:val="auto"/>
              </w:rPr>
              <w:t>1,568</w:t>
            </w:r>
          </w:p>
        </w:tc>
      </w:tr>
      <w:tr>
        <w:trPr>
          <w:trHeight w:val="304"/>
        </w:trPr>
        <w:tc>
          <w:tcPr>
            <w:tcW w:w="2880" w:type="dxa"/>
            <w:vAlign w:val="bottom"/>
          </w:tcPr>
          <w:p>
            <w:pPr>
              <w:spacing w:after="0"/>
              <w:rPr>
                <w:sz w:val="20"/>
                <w:szCs w:val="20"/>
                <w:color w:val="auto"/>
              </w:rPr>
            </w:pPr>
            <w:r>
              <w:rPr>
                <w:rFonts w:ascii="Courier New" w:cs="Courier New" w:eastAsia="Courier New" w:hAnsi="Courier New"/>
                <w:sz w:val="13"/>
                <w:szCs w:val="13"/>
                <w:color w:val="auto"/>
              </w:rPr>
              <w:t>Interest capitalized (d)</w:t>
            </w:r>
          </w:p>
        </w:tc>
        <w:tc>
          <w:tcPr>
            <w:tcW w:w="6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24"/>
                <w:szCs w:val="24"/>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3"/>
                <w:szCs w:val="13"/>
                <w:color w:val="auto"/>
              </w:rPr>
              <w:t>2,793</w:t>
            </w:r>
          </w:p>
        </w:tc>
        <w:tc>
          <w:tcPr>
            <w:tcW w:w="720" w:type="dxa"/>
            <w:vAlign w:val="bottom"/>
          </w:tcPr>
          <w:p>
            <w:pPr>
              <w:jc w:val="right"/>
              <w:ind w:right="14"/>
              <w:spacing w:after="0"/>
              <w:rPr>
                <w:sz w:val="20"/>
                <w:szCs w:val="20"/>
                <w:color w:val="auto"/>
              </w:rPr>
            </w:pPr>
            <w:r>
              <w:rPr>
                <w:rFonts w:ascii="Courier New" w:cs="Courier New" w:eastAsia="Courier New" w:hAnsi="Courier New"/>
                <w:sz w:val="13"/>
                <w:szCs w:val="13"/>
                <w:color w:val="auto"/>
              </w:rPr>
              <w:t>-</w:t>
            </w:r>
          </w:p>
        </w:tc>
        <w:tc>
          <w:tcPr>
            <w:tcW w:w="1820" w:type="dxa"/>
            <w:vAlign w:val="bottom"/>
          </w:tcPr>
          <w:p>
            <w:pPr>
              <w:jc w:val="right"/>
              <w:ind w:right="574"/>
              <w:spacing w:after="0"/>
              <w:rPr>
                <w:sz w:val="20"/>
                <w:szCs w:val="20"/>
                <w:color w:val="auto"/>
              </w:rPr>
            </w:pPr>
            <w:r>
              <w:rPr>
                <w:rFonts w:ascii="Courier New" w:cs="Courier New" w:eastAsia="Courier New" w:hAnsi="Courier New"/>
                <w:sz w:val="13"/>
                <w:szCs w:val="13"/>
                <w:color w:val="auto"/>
              </w:rPr>
              <w:t>14,042</w:t>
            </w:r>
          </w:p>
        </w:tc>
        <w:tc>
          <w:tcPr>
            <w:tcW w:w="98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12,300</w:t>
            </w:r>
          </w:p>
        </w:tc>
        <w:tc>
          <w:tcPr>
            <w:tcW w:w="980" w:type="dxa"/>
            <w:vAlign w:val="bottom"/>
          </w:tcPr>
          <w:p>
            <w:pPr>
              <w:jc w:val="right"/>
              <w:spacing w:after="0"/>
              <w:rPr>
                <w:sz w:val="20"/>
                <w:szCs w:val="20"/>
                <w:color w:val="auto"/>
              </w:rPr>
            </w:pPr>
            <w:r>
              <w:rPr>
                <w:rFonts w:ascii="Courier New" w:cs="Courier New" w:eastAsia="Courier New" w:hAnsi="Courier New"/>
                <w:sz w:val="13"/>
                <w:szCs w:val="13"/>
                <w:color w:val="auto"/>
              </w:rPr>
              <w:t>10,994</w:t>
            </w:r>
          </w:p>
        </w:tc>
      </w:tr>
      <w:tr>
        <w:trPr>
          <w:trHeight w:val="152"/>
        </w:trPr>
        <w:tc>
          <w:tcPr>
            <w:tcW w:w="288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13"/>
                <w:szCs w:val="13"/>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14"/>
              <w:spacing w:after="0"/>
              <w:rPr>
                <w:sz w:val="20"/>
                <w:szCs w:val="20"/>
                <w:color w:val="auto"/>
              </w:rPr>
            </w:pPr>
            <w:r>
              <w:rPr>
                <w:rFonts w:ascii="Courier New" w:cs="Courier New" w:eastAsia="Courier New" w:hAnsi="Courier New"/>
                <w:sz w:val="13"/>
                <w:szCs w:val="13"/>
                <w:color w:val="auto"/>
                <w:w w:val="99"/>
              </w:rPr>
              <w:t>--------</w:t>
            </w:r>
          </w:p>
        </w:tc>
        <w:tc>
          <w:tcPr>
            <w:tcW w:w="1820" w:type="dxa"/>
            <w:vAlign w:val="bottom"/>
          </w:tcPr>
          <w:p>
            <w:pPr>
              <w:jc w:val="right"/>
              <w:ind w:right="574"/>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jc w:val="right"/>
              <w:ind w:right="294"/>
              <w:spacing w:after="0"/>
              <w:rPr>
                <w:sz w:val="20"/>
                <w:szCs w:val="20"/>
                <w:color w:val="auto"/>
              </w:rPr>
            </w:pPr>
            <w:r>
              <w:rPr>
                <w:rFonts w:ascii="Courier New" w:cs="Courier New" w:eastAsia="Courier New" w:hAnsi="Courier New"/>
                <w:sz w:val="13"/>
                <w:szCs w:val="13"/>
                <w:color w:val="auto"/>
                <w:w w:val="96"/>
              </w:rPr>
              <w:t>--------</w:t>
            </w:r>
          </w:p>
        </w:tc>
        <w:tc>
          <w:tcPr>
            <w:tcW w:w="9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304"/>
        </w:trPr>
        <w:tc>
          <w:tcPr>
            <w:tcW w:w="2880" w:type="dxa"/>
            <w:vAlign w:val="bottom"/>
          </w:tcPr>
          <w:p>
            <w:pPr>
              <w:spacing w:after="0"/>
              <w:rPr>
                <w:sz w:val="20"/>
                <w:szCs w:val="20"/>
                <w:color w:val="auto"/>
              </w:rPr>
            </w:pPr>
            <w:r>
              <w:rPr>
                <w:rFonts w:ascii="Courier New" w:cs="Courier New" w:eastAsia="Courier New" w:hAnsi="Courier New"/>
                <w:sz w:val="13"/>
                <w:szCs w:val="13"/>
                <w:color w:val="auto"/>
              </w:rPr>
              <w:t>Total Fixed Charges</w:t>
            </w:r>
          </w:p>
        </w:tc>
        <w:tc>
          <w:tcPr>
            <w:tcW w:w="10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10,408</w:t>
            </w:r>
          </w:p>
        </w:tc>
        <w:tc>
          <w:tcPr>
            <w:tcW w:w="480" w:type="dxa"/>
            <w:vAlign w:val="bottom"/>
          </w:tcPr>
          <w:p>
            <w:pPr>
              <w:spacing w:after="0"/>
              <w:rPr>
                <w:sz w:val="24"/>
                <w:szCs w:val="24"/>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3"/>
                <w:szCs w:val="13"/>
                <w:color w:val="auto"/>
              </w:rPr>
              <w:t>35,676</w:t>
            </w:r>
          </w:p>
        </w:tc>
        <w:tc>
          <w:tcPr>
            <w:tcW w:w="720" w:type="dxa"/>
            <w:vAlign w:val="bottom"/>
          </w:tcPr>
          <w:p>
            <w:pPr>
              <w:jc w:val="right"/>
              <w:ind w:right="14"/>
              <w:spacing w:after="0"/>
              <w:rPr>
                <w:sz w:val="20"/>
                <w:szCs w:val="20"/>
                <w:color w:val="auto"/>
              </w:rPr>
            </w:pPr>
            <w:r>
              <w:rPr>
                <w:rFonts w:ascii="Courier New" w:cs="Courier New" w:eastAsia="Courier New" w:hAnsi="Courier New"/>
                <w:sz w:val="13"/>
                <w:szCs w:val="13"/>
                <w:color w:val="auto"/>
              </w:rPr>
              <w:t>27,106</w:t>
            </w:r>
          </w:p>
        </w:tc>
        <w:tc>
          <w:tcPr>
            <w:tcW w:w="1820" w:type="dxa"/>
            <w:vAlign w:val="bottom"/>
          </w:tcPr>
          <w:p>
            <w:pPr>
              <w:jc w:val="right"/>
              <w:ind w:right="574"/>
              <w:spacing w:after="0"/>
              <w:rPr>
                <w:sz w:val="20"/>
                <w:szCs w:val="20"/>
                <w:color w:val="auto"/>
              </w:rPr>
            </w:pPr>
            <w:r>
              <w:rPr>
                <w:rFonts w:ascii="Courier New" w:cs="Courier New" w:eastAsia="Courier New" w:hAnsi="Courier New"/>
                <w:sz w:val="13"/>
                <w:szCs w:val="13"/>
                <w:color w:val="auto"/>
              </w:rPr>
              <w:t>22,204</w:t>
            </w:r>
          </w:p>
        </w:tc>
        <w:tc>
          <w:tcPr>
            <w:tcW w:w="980" w:type="dxa"/>
            <w:vAlign w:val="bottom"/>
          </w:tcPr>
          <w:p>
            <w:pPr>
              <w:jc w:val="right"/>
              <w:ind w:right="294"/>
              <w:spacing w:after="0"/>
              <w:rPr>
                <w:sz w:val="20"/>
                <w:szCs w:val="20"/>
                <w:color w:val="auto"/>
              </w:rPr>
            </w:pPr>
            <w:r>
              <w:rPr>
                <w:rFonts w:ascii="Courier New" w:cs="Courier New" w:eastAsia="Courier New" w:hAnsi="Courier New"/>
                <w:sz w:val="13"/>
                <w:szCs w:val="13"/>
                <w:color w:val="auto"/>
              </w:rPr>
              <w:t>13,008</w:t>
            </w:r>
          </w:p>
        </w:tc>
        <w:tc>
          <w:tcPr>
            <w:tcW w:w="980" w:type="dxa"/>
            <w:vAlign w:val="bottom"/>
          </w:tcPr>
          <w:p>
            <w:pPr>
              <w:jc w:val="right"/>
              <w:spacing w:after="0"/>
              <w:rPr>
                <w:sz w:val="20"/>
                <w:szCs w:val="20"/>
                <w:color w:val="auto"/>
              </w:rPr>
            </w:pPr>
            <w:r>
              <w:rPr>
                <w:rFonts w:ascii="Courier New" w:cs="Courier New" w:eastAsia="Courier New" w:hAnsi="Courier New"/>
                <w:sz w:val="13"/>
                <w:szCs w:val="13"/>
                <w:color w:val="auto"/>
              </w:rPr>
              <w:t>12,562</w:t>
            </w:r>
          </w:p>
        </w:tc>
      </w:tr>
      <w:tr>
        <w:trPr>
          <w:trHeight w:val="152"/>
        </w:trPr>
        <w:tc>
          <w:tcPr>
            <w:tcW w:w="288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w:t>
            </w:r>
          </w:p>
        </w:tc>
        <w:tc>
          <w:tcPr>
            <w:tcW w:w="480" w:type="dxa"/>
            <w:vAlign w:val="bottom"/>
          </w:tcPr>
          <w:p>
            <w:pPr>
              <w:spacing w:after="0"/>
              <w:rPr>
                <w:sz w:val="13"/>
                <w:szCs w:val="13"/>
                <w:color w:val="auto"/>
              </w:rPr>
            </w:pPr>
          </w:p>
        </w:tc>
        <w:tc>
          <w:tcPr>
            <w:tcW w:w="1420" w:type="dxa"/>
            <w:vAlign w:val="bottom"/>
          </w:tcPr>
          <w:p>
            <w:pPr>
              <w:jc w:val="right"/>
              <w:ind w:right="576"/>
              <w:spacing w:after="0"/>
              <w:rPr>
                <w:sz w:val="20"/>
                <w:szCs w:val="20"/>
                <w:color w:val="auto"/>
              </w:rPr>
            </w:pPr>
            <w:r>
              <w:rPr>
                <w:rFonts w:ascii="Courier New" w:cs="Courier New" w:eastAsia="Courier New" w:hAnsi="Courier New"/>
                <w:sz w:val="13"/>
                <w:szCs w:val="13"/>
                <w:color w:val="auto"/>
              </w:rPr>
              <w:t>--------</w:t>
            </w:r>
          </w:p>
        </w:tc>
        <w:tc>
          <w:tcPr>
            <w:tcW w:w="720" w:type="dxa"/>
            <w:vAlign w:val="bottom"/>
          </w:tcPr>
          <w:p>
            <w:pPr>
              <w:jc w:val="right"/>
              <w:ind w:right="14"/>
              <w:spacing w:after="0"/>
              <w:rPr>
                <w:sz w:val="20"/>
                <w:szCs w:val="20"/>
                <w:color w:val="auto"/>
              </w:rPr>
            </w:pPr>
            <w:r>
              <w:rPr>
                <w:rFonts w:ascii="Courier New" w:cs="Courier New" w:eastAsia="Courier New" w:hAnsi="Courier New"/>
                <w:sz w:val="13"/>
                <w:szCs w:val="13"/>
                <w:color w:val="auto"/>
                <w:w w:val="99"/>
              </w:rPr>
              <w:t>--------</w:t>
            </w:r>
          </w:p>
        </w:tc>
        <w:tc>
          <w:tcPr>
            <w:tcW w:w="1820" w:type="dxa"/>
            <w:vAlign w:val="bottom"/>
          </w:tcPr>
          <w:p>
            <w:pPr>
              <w:jc w:val="right"/>
              <w:ind w:right="574"/>
              <w:spacing w:after="0"/>
              <w:rPr>
                <w:sz w:val="20"/>
                <w:szCs w:val="20"/>
                <w:color w:val="auto"/>
              </w:rPr>
            </w:pPr>
            <w:r>
              <w:rPr>
                <w:rFonts w:ascii="Courier New" w:cs="Courier New" w:eastAsia="Courier New" w:hAnsi="Courier New"/>
                <w:sz w:val="13"/>
                <w:szCs w:val="13"/>
                <w:color w:val="auto"/>
              </w:rPr>
              <w:t>--------</w:t>
            </w:r>
          </w:p>
        </w:tc>
        <w:tc>
          <w:tcPr>
            <w:tcW w:w="980" w:type="dxa"/>
            <w:vAlign w:val="bottom"/>
          </w:tcPr>
          <w:p>
            <w:pPr>
              <w:jc w:val="right"/>
              <w:ind w:right="294"/>
              <w:spacing w:after="0"/>
              <w:rPr>
                <w:sz w:val="20"/>
                <w:szCs w:val="20"/>
                <w:color w:val="auto"/>
              </w:rPr>
            </w:pPr>
            <w:r>
              <w:rPr>
                <w:rFonts w:ascii="Courier New" w:cs="Courier New" w:eastAsia="Courier New" w:hAnsi="Courier New"/>
                <w:sz w:val="13"/>
                <w:szCs w:val="13"/>
                <w:color w:val="auto"/>
                <w:w w:val="96"/>
              </w:rPr>
              <w:t>--------</w:t>
            </w:r>
          </w:p>
        </w:tc>
        <w:tc>
          <w:tcPr>
            <w:tcW w:w="98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r>
      <w:tr>
        <w:trPr>
          <w:trHeight w:val="457"/>
        </w:trPr>
        <w:tc>
          <w:tcPr>
            <w:tcW w:w="2880" w:type="dxa"/>
            <w:vAlign w:val="bottom"/>
          </w:tcPr>
          <w:p>
            <w:pPr>
              <w:spacing w:after="0"/>
              <w:rPr>
                <w:sz w:val="20"/>
                <w:szCs w:val="20"/>
                <w:color w:val="auto"/>
              </w:rPr>
            </w:pPr>
            <w:r>
              <w:rPr>
                <w:rFonts w:ascii="Courier New" w:cs="Courier New" w:eastAsia="Courier New" w:hAnsi="Courier New"/>
                <w:sz w:val="13"/>
                <w:szCs w:val="13"/>
                <w:color w:val="auto"/>
              </w:rPr>
              <w:t>EARNINGS (LOSSES), AS ADJUSTED</w:t>
            </w:r>
          </w:p>
        </w:tc>
        <w:tc>
          <w:tcPr>
            <w:tcW w:w="1480" w:type="dxa"/>
            <w:vAlign w:val="bottom"/>
            <w:gridSpan w:val="3"/>
          </w:tcPr>
          <w:p>
            <w:pPr>
              <w:jc w:val="right"/>
              <w:ind w:right="334"/>
              <w:spacing w:after="0"/>
              <w:rPr>
                <w:sz w:val="20"/>
                <w:szCs w:val="20"/>
                <w:color w:val="auto"/>
              </w:rPr>
            </w:pPr>
            <w:r>
              <w:rPr>
                <w:rFonts w:ascii="Courier New" w:cs="Courier New" w:eastAsia="Courier New" w:hAnsi="Courier New"/>
                <w:sz w:val="13"/>
                <w:szCs w:val="13"/>
                <w:color w:val="auto"/>
              </w:rPr>
              <w:t>(33,138)</w:t>
            </w:r>
          </w:p>
        </w:tc>
        <w:tc>
          <w:tcPr>
            <w:tcW w:w="1420" w:type="dxa"/>
            <w:vAlign w:val="bottom"/>
          </w:tcPr>
          <w:p>
            <w:pPr>
              <w:jc w:val="right"/>
              <w:ind w:right="496"/>
              <w:spacing w:after="0"/>
              <w:rPr>
                <w:sz w:val="20"/>
                <w:szCs w:val="20"/>
                <w:color w:val="auto"/>
              </w:rPr>
            </w:pPr>
            <w:r>
              <w:rPr>
                <w:rFonts w:ascii="Courier New" w:cs="Courier New" w:eastAsia="Courier New" w:hAnsi="Courier New"/>
                <w:sz w:val="13"/>
                <w:szCs w:val="13"/>
                <w:color w:val="auto"/>
              </w:rPr>
              <w:t>(165,993)</w:t>
            </w:r>
          </w:p>
        </w:tc>
        <w:tc>
          <w:tcPr>
            <w:tcW w:w="720" w:type="dxa"/>
            <w:vAlign w:val="bottom"/>
          </w:tcPr>
          <w:p>
            <w:pPr>
              <w:jc w:val="right"/>
              <w:spacing w:after="0"/>
              <w:rPr>
                <w:sz w:val="20"/>
                <w:szCs w:val="20"/>
                <w:color w:val="auto"/>
              </w:rPr>
            </w:pPr>
            <w:r>
              <w:rPr>
                <w:rFonts w:ascii="Courier New" w:cs="Courier New" w:eastAsia="Courier New" w:hAnsi="Courier New"/>
                <w:sz w:val="13"/>
                <w:szCs w:val="13"/>
                <w:color w:val="auto"/>
                <w:w w:val="99"/>
              </w:rPr>
              <w:t>(107,105)</w:t>
            </w:r>
          </w:p>
        </w:tc>
        <w:tc>
          <w:tcPr>
            <w:tcW w:w="1820" w:type="dxa"/>
            <w:vAlign w:val="bottom"/>
          </w:tcPr>
          <w:p>
            <w:pPr>
              <w:jc w:val="right"/>
              <w:ind w:right="494"/>
              <w:spacing w:after="0"/>
              <w:rPr>
                <w:sz w:val="20"/>
                <w:szCs w:val="20"/>
                <w:color w:val="auto"/>
              </w:rPr>
            </w:pPr>
            <w:r>
              <w:rPr>
                <w:rFonts w:ascii="Courier New" w:cs="Courier New" w:eastAsia="Courier New" w:hAnsi="Courier New"/>
                <w:sz w:val="13"/>
                <w:szCs w:val="13"/>
                <w:color w:val="auto"/>
              </w:rPr>
              <w:t>(105,145)</w:t>
            </w:r>
          </w:p>
        </w:tc>
        <w:tc>
          <w:tcPr>
            <w:tcW w:w="980" w:type="dxa"/>
            <w:vAlign w:val="bottom"/>
          </w:tcPr>
          <w:p>
            <w:pPr>
              <w:jc w:val="right"/>
              <w:ind w:right="214"/>
              <w:spacing w:after="0"/>
              <w:rPr>
                <w:sz w:val="20"/>
                <w:szCs w:val="20"/>
                <w:color w:val="auto"/>
              </w:rPr>
            </w:pPr>
            <w:r>
              <w:rPr>
                <w:rFonts w:ascii="Courier New" w:cs="Courier New" w:eastAsia="Courier New" w:hAnsi="Courier New"/>
                <w:sz w:val="13"/>
                <w:szCs w:val="13"/>
                <w:color w:val="auto"/>
              </w:rPr>
              <w:t>(50,694)</w:t>
            </w:r>
          </w:p>
        </w:tc>
        <w:tc>
          <w:tcPr>
            <w:tcW w:w="980" w:type="dxa"/>
            <w:vAlign w:val="bottom"/>
          </w:tcPr>
          <w:p>
            <w:pPr>
              <w:jc w:val="right"/>
              <w:spacing w:after="0"/>
              <w:rPr>
                <w:sz w:val="20"/>
                <w:szCs w:val="20"/>
                <w:color w:val="auto"/>
              </w:rPr>
            </w:pPr>
            <w:r>
              <w:rPr>
                <w:rFonts w:ascii="Courier New" w:cs="Courier New" w:eastAsia="Courier New" w:hAnsi="Courier New"/>
                <w:sz w:val="13"/>
                <w:szCs w:val="13"/>
                <w:color w:val="auto"/>
              </w:rPr>
              <w:t>(36,954)</w:t>
            </w:r>
          </w:p>
        </w:tc>
      </w:tr>
      <w:tr>
        <w:trPr>
          <w:trHeight w:val="304"/>
        </w:trPr>
        <w:tc>
          <w:tcPr>
            <w:tcW w:w="2880" w:type="dxa"/>
            <w:vAlign w:val="bottom"/>
          </w:tcPr>
          <w:p>
            <w:pPr>
              <w:spacing w:after="0"/>
              <w:rPr>
                <w:sz w:val="20"/>
                <w:szCs w:val="20"/>
                <w:color w:val="auto"/>
              </w:rPr>
            </w:pPr>
            <w:r>
              <w:rPr>
                <w:rFonts w:ascii="Courier New" w:cs="Courier New" w:eastAsia="Courier New" w:hAnsi="Courier New"/>
                <w:sz w:val="13"/>
                <w:szCs w:val="13"/>
                <w:color w:val="auto"/>
              </w:rPr>
              <w:t>RATIO OF EARNINGS TO FIXED CHARGES</w:t>
            </w:r>
          </w:p>
        </w:tc>
        <w:tc>
          <w:tcPr>
            <w:tcW w:w="60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Courier New" w:cs="Courier New" w:eastAsia="Courier New" w:hAnsi="Courier New"/>
                <w:sz w:val="13"/>
                <w:szCs w:val="13"/>
                <w:color w:val="auto"/>
              </w:rPr>
              <w:t>- (1)</w:t>
            </w:r>
          </w:p>
        </w:tc>
        <w:tc>
          <w:tcPr>
            <w:tcW w:w="1420" w:type="dxa"/>
            <w:vAlign w:val="bottom"/>
          </w:tcPr>
          <w:p>
            <w:pPr>
              <w:jc w:val="right"/>
              <w:ind w:right="496"/>
              <w:spacing w:after="0"/>
              <w:rPr>
                <w:sz w:val="20"/>
                <w:szCs w:val="20"/>
                <w:color w:val="auto"/>
              </w:rPr>
            </w:pPr>
            <w:r>
              <w:rPr>
                <w:rFonts w:ascii="Courier New" w:cs="Courier New" w:eastAsia="Courier New" w:hAnsi="Courier New"/>
                <w:sz w:val="13"/>
                <w:szCs w:val="13"/>
                <w:color w:val="auto"/>
              </w:rPr>
              <w:t>- (2)</w:t>
            </w:r>
          </w:p>
        </w:tc>
        <w:tc>
          <w:tcPr>
            <w:tcW w:w="720" w:type="dxa"/>
            <w:vAlign w:val="bottom"/>
          </w:tcPr>
          <w:p>
            <w:pPr>
              <w:jc w:val="right"/>
              <w:spacing w:after="0"/>
              <w:rPr>
                <w:sz w:val="20"/>
                <w:szCs w:val="20"/>
                <w:color w:val="auto"/>
              </w:rPr>
            </w:pPr>
            <w:r>
              <w:rPr>
                <w:rFonts w:ascii="Courier New" w:cs="Courier New" w:eastAsia="Courier New" w:hAnsi="Courier New"/>
                <w:sz w:val="13"/>
                <w:szCs w:val="13"/>
                <w:color w:val="auto"/>
              </w:rPr>
              <w:t>- (3)</w:t>
            </w:r>
          </w:p>
        </w:tc>
        <w:tc>
          <w:tcPr>
            <w:tcW w:w="1820" w:type="dxa"/>
            <w:vAlign w:val="bottom"/>
          </w:tcPr>
          <w:p>
            <w:pPr>
              <w:jc w:val="right"/>
              <w:ind w:right="494"/>
              <w:spacing w:after="0"/>
              <w:rPr>
                <w:sz w:val="20"/>
                <w:szCs w:val="20"/>
                <w:color w:val="auto"/>
              </w:rPr>
            </w:pPr>
            <w:r>
              <w:rPr>
                <w:rFonts w:ascii="Courier New" w:cs="Courier New" w:eastAsia="Courier New" w:hAnsi="Courier New"/>
                <w:sz w:val="13"/>
                <w:szCs w:val="13"/>
                <w:color w:val="auto"/>
              </w:rPr>
              <w:t>- (4)</w:t>
            </w:r>
          </w:p>
        </w:tc>
        <w:tc>
          <w:tcPr>
            <w:tcW w:w="980" w:type="dxa"/>
            <w:vAlign w:val="bottom"/>
          </w:tcPr>
          <w:p>
            <w:pPr>
              <w:jc w:val="right"/>
              <w:ind w:right="214"/>
              <w:spacing w:after="0"/>
              <w:rPr>
                <w:sz w:val="20"/>
                <w:szCs w:val="20"/>
                <w:color w:val="auto"/>
              </w:rPr>
            </w:pPr>
            <w:r>
              <w:rPr>
                <w:rFonts w:ascii="Courier New" w:cs="Courier New" w:eastAsia="Courier New" w:hAnsi="Courier New"/>
                <w:sz w:val="13"/>
                <w:szCs w:val="13"/>
                <w:color w:val="auto"/>
              </w:rPr>
              <w:t>- (5)</w:t>
            </w:r>
          </w:p>
        </w:tc>
        <w:tc>
          <w:tcPr>
            <w:tcW w:w="980" w:type="dxa"/>
            <w:vAlign w:val="bottom"/>
          </w:tcPr>
          <w:p>
            <w:pPr>
              <w:jc w:val="right"/>
              <w:spacing w:after="0"/>
              <w:rPr>
                <w:sz w:val="20"/>
                <w:szCs w:val="20"/>
                <w:color w:val="auto"/>
              </w:rPr>
            </w:pPr>
            <w:r>
              <w:rPr>
                <w:rFonts w:ascii="Courier New" w:cs="Courier New" w:eastAsia="Courier New" w:hAnsi="Courier New"/>
                <w:sz w:val="13"/>
                <w:szCs w:val="13"/>
                <w:color w:val="auto"/>
              </w:rPr>
              <w:t>- (6)</w:t>
            </w:r>
          </w:p>
        </w:tc>
      </w:tr>
    </w:tbl>
    <w:p>
      <w:pPr>
        <w:spacing w:after="0" w:line="309" w:lineRule="exact"/>
        <w:rPr>
          <w:sz w:val="20"/>
          <w:szCs w:val="20"/>
          <w:color w:val="auto"/>
        </w:rPr>
      </w:pPr>
    </w:p>
    <w:p>
      <w:pPr>
        <w:ind w:left="400" w:right="4500" w:hanging="399"/>
        <w:spacing w:after="0" w:line="249" w:lineRule="auto"/>
        <w:tabs>
          <w:tab w:leader="none" w:pos="400" w:val="left"/>
        </w:tabs>
        <w:numPr>
          <w:ilvl w:val="0"/>
          <w:numId w:val="8"/>
        </w:numPr>
        <w:rPr>
          <w:rFonts w:ascii="Courier New" w:cs="Courier New" w:eastAsia="Courier New" w:hAnsi="Courier New"/>
          <w:sz w:val="13"/>
          <w:szCs w:val="13"/>
          <w:color w:val="auto"/>
        </w:rPr>
      </w:pPr>
      <w:r>
        <w:rPr>
          <w:rFonts w:ascii="Courier New" w:cs="Courier New" w:eastAsia="Courier New" w:hAnsi="Courier New"/>
          <w:sz w:val="13"/>
          <w:szCs w:val="13"/>
          <w:color w:val="auto"/>
        </w:rPr>
        <w:t>Earnings as adjusted were inadequate to cover fixed charges by $43.5 million for the three months ended March 31, 2006.</w:t>
      </w:r>
    </w:p>
    <w:p>
      <w:pPr>
        <w:spacing w:after="0" w:line="151" w:lineRule="exact"/>
        <w:rPr>
          <w:rFonts w:ascii="Courier New" w:cs="Courier New" w:eastAsia="Courier New" w:hAnsi="Courier New"/>
          <w:sz w:val="13"/>
          <w:szCs w:val="13"/>
          <w:color w:val="auto"/>
        </w:rPr>
      </w:pPr>
    </w:p>
    <w:p>
      <w:pPr>
        <w:ind w:left="400" w:right="4420" w:hanging="399"/>
        <w:spacing w:after="0" w:line="249" w:lineRule="auto"/>
        <w:tabs>
          <w:tab w:leader="none" w:pos="400" w:val="left"/>
        </w:tabs>
        <w:numPr>
          <w:ilvl w:val="0"/>
          <w:numId w:val="8"/>
        </w:numPr>
        <w:rPr>
          <w:rFonts w:ascii="Courier New" w:cs="Courier New" w:eastAsia="Courier New" w:hAnsi="Courier New"/>
          <w:sz w:val="13"/>
          <w:szCs w:val="13"/>
          <w:color w:val="auto"/>
        </w:rPr>
      </w:pPr>
      <w:r>
        <w:rPr>
          <w:rFonts w:ascii="Courier New" w:cs="Courier New" w:eastAsia="Courier New" w:hAnsi="Courier New"/>
          <w:sz w:val="13"/>
          <w:szCs w:val="13"/>
          <w:color w:val="auto"/>
        </w:rPr>
        <w:t>Earnings as adjusted were inadequate to cover fixed charges by $201.7 million in 2005.</w:t>
      </w:r>
    </w:p>
    <w:p>
      <w:pPr>
        <w:spacing w:after="0" w:line="151" w:lineRule="exact"/>
        <w:rPr>
          <w:rFonts w:ascii="Courier New" w:cs="Courier New" w:eastAsia="Courier New" w:hAnsi="Courier New"/>
          <w:sz w:val="13"/>
          <w:szCs w:val="13"/>
          <w:color w:val="auto"/>
        </w:rPr>
      </w:pPr>
    </w:p>
    <w:p>
      <w:pPr>
        <w:ind w:left="400" w:right="4420" w:hanging="399"/>
        <w:spacing w:after="0" w:line="249" w:lineRule="auto"/>
        <w:tabs>
          <w:tab w:leader="none" w:pos="400" w:val="left"/>
        </w:tabs>
        <w:numPr>
          <w:ilvl w:val="0"/>
          <w:numId w:val="8"/>
        </w:numPr>
        <w:rPr>
          <w:rFonts w:ascii="Courier New" w:cs="Courier New" w:eastAsia="Courier New" w:hAnsi="Courier New"/>
          <w:sz w:val="13"/>
          <w:szCs w:val="13"/>
          <w:color w:val="auto"/>
        </w:rPr>
      </w:pPr>
      <w:r>
        <w:rPr>
          <w:rFonts w:ascii="Courier New" w:cs="Courier New" w:eastAsia="Courier New" w:hAnsi="Courier New"/>
          <w:sz w:val="13"/>
          <w:szCs w:val="13"/>
          <w:color w:val="auto"/>
        </w:rPr>
        <w:t>Earnings as adjusted were inadequate to cover fixed charges by $134.2 million in 2004.</w:t>
      </w:r>
    </w:p>
    <w:p>
      <w:pPr>
        <w:spacing w:after="0" w:line="151" w:lineRule="exact"/>
        <w:rPr>
          <w:rFonts w:ascii="Courier New" w:cs="Courier New" w:eastAsia="Courier New" w:hAnsi="Courier New"/>
          <w:sz w:val="13"/>
          <w:szCs w:val="13"/>
          <w:color w:val="auto"/>
        </w:rPr>
      </w:pPr>
    </w:p>
    <w:p>
      <w:pPr>
        <w:ind w:left="400" w:right="4420" w:hanging="399"/>
        <w:spacing w:after="0" w:line="249" w:lineRule="auto"/>
        <w:tabs>
          <w:tab w:leader="none" w:pos="400" w:val="left"/>
        </w:tabs>
        <w:numPr>
          <w:ilvl w:val="0"/>
          <w:numId w:val="8"/>
        </w:numPr>
        <w:rPr>
          <w:rFonts w:ascii="Courier New" w:cs="Courier New" w:eastAsia="Courier New" w:hAnsi="Courier New"/>
          <w:sz w:val="13"/>
          <w:szCs w:val="13"/>
          <w:color w:val="auto"/>
        </w:rPr>
      </w:pPr>
      <w:r>
        <w:rPr>
          <w:rFonts w:ascii="Courier New" w:cs="Courier New" w:eastAsia="Courier New" w:hAnsi="Courier New"/>
          <w:sz w:val="13"/>
          <w:szCs w:val="13"/>
          <w:color w:val="auto"/>
        </w:rPr>
        <w:t>Earnings as adjusted were inadequate to cover fixed charges by $127.3 million in 2003.</w:t>
      </w:r>
    </w:p>
    <w:p>
      <w:pPr>
        <w:spacing w:after="0" w:line="151" w:lineRule="exact"/>
        <w:rPr>
          <w:rFonts w:ascii="Courier New" w:cs="Courier New" w:eastAsia="Courier New" w:hAnsi="Courier New"/>
          <w:sz w:val="13"/>
          <w:szCs w:val="13"/>
          <w:color w:val="auto"/>
        </w:rPr>
      </w:pPr>
    </w:p>
    <w:p>
      <w:pPr>
        <w:ind w:left="400" w:right="4500" w:hanging="399"/>
        <w:spacing w:after="0" w:line="249" w:lineRule="auto"/>
        <w:tabs>
          <w:tab w:leader="none" w:pos="400" w:val="left"/>
        </w:tabs>
        <w:numPr>
          <w:ilvl w:val="0"/>
          <w:numId w:val="8"/>
        </w:numPr>
        <w:rPr>
          <w:rFonts w:ascii="Courier New" w:cs="Courier New" w:eastAsia="Courier New" w:hAnsi="Courier New"/>
          <w:sz w:val="13"/>
          <w:szCs w:val="13"/>
          <w:color w:val="auto"/>
        </w:rPr>
      </w:pPr>
      <w:r>
        <w:rPr>
          <w:rFonts w:ascii="Courier New" w:cs="Courier New" w:eastAsia="Courier New" w:hAnsi="Courier New"/>
          <w:sz w:val="13"/>
          <w:szCs w:val="13"/>
          <w:color w:val="auto"/>
        </w:rPr>
        <w:t>Earnings as adjusted were inadequate to cover fixed charges by $63.7 million in 2002.</w:t>
      </w:r>
    </w:p>
    <w:p>
      <w:pPr>
        <w:spacing w:after="0" w:line="151" w:lineRule="exact"/>
        <w:rPr>
          <w:rFonts w:ascii="Courier New" w:cs="Courier New" w:eastAsia="Courier New" w:hAnsi="Courier New"/>
          <w:sz w:val="13"/>
          <w:szCs w:val="13"/>
          <w:color w:val="auto"/>
        </w:rPr>
      </w:pPr>
    </w:p>
    <w:p>
      <w:pPr>
        <w:ind w:left="400" w:right="4500" w:hanging="399"/>
        <w:spacing w:after="0" w:line="249" w:lineRule="auto"/>
        <w:tabs>
          <w:tab w:leader="none" w:pos="400" w:val="left"/>
        </w:tabs>
        <w:numPr>
          <w:ilvl w:val="0"/>
          <w:numId w:val="8"/>
        </w:numPr>
        <w:rPr>
          <w:rFonts w:ascii="Courier New" w:cs="Courier New" w:eastAsia="Courier New" w:hAnsi="Courier New"/>
          <w:sz w:val="13"/>
          <w:szCs w:val="13"/>
          <w:color w:val="auto"/>
        </w:rPr>
      </w:pPr>
      <w:r>
        <w:rPr>
          <w:rFonts w:ascii="Courier New" w:cs="Courier New" w:eastAsia="Courier New" w:hAnsi="Courier New"/>
          <w:sz w:val="13"/>
          <w:szCs w:val="13"/>
          <w:color w:val="auto"/>
        </w:rPr>
        <w:t>Earnings as adjusted were inadequate to cover fixed charges by $49.5 million in 2001.</w:t>
      </w:r>
    </w:p>
    <w:p>
      <w:pPr>
        <w:spacing w:after="0" w:line="151" w:lineRule="exact"/>
        <w:rPr>
          <w:sz w:val="20"/>
          <w:szCs w:val="20"/>
          <w:color w:val="auto"/>
        </w:rPr>
      </w:pPr>
    </w:p>
    <w:p>
      <w:pPr>
        <w:ind w:left="400" w:right="4180" w:hanging="399"/>
        <w:spacing w:after="0" w:line="248" w:lineRule="auto"/>
        <w:tabs>
          <w:tab w:leader="none" w:pos="400" w:val="left"/>
        </w:tabs>
        <w:numPr>
          <w:ilvl w:val="0"/>
          <w:numId w:val="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Includes amortization of deferred financing charges in connection with obtaining long-term bank loans which are comprised mainly of stock-based compensation related to warrants issued to banks.</w:t>
      </w:r>
    </w:p>
    <w:p>
      <w:pPr>
        <w:spacing w:after="0" w:line="152" w:lineRule="exact"/>
        <w:rPr>
          <w:rFonts w:ascii="Courier New" w:cs="Courier New" w:eastAsia="Courier New" w:hAnsi="Courier New"/>
          <w:sz w:val="13"/>
          <w:szCs w:val="13"/>
          <w:color w:val="auto"/>
        </w:rPr>
      </w:pPr>
    </w:p>
    <w:p>
      <w:pPr>
        <w:ind w:left="400" w:right="4420" w:hanging="399"/>
        <w:spacing w:after="0" w:line="249" w:lineRule="auto"/>
        <w:tabs>
          <w:tab w:leader="none" w:pos="400" w:val="left"/>
        </w:tabs>
        <w:numPr>
          <w:ilvl w:val="0"/>
          <w:numId w:val="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Includes amortization of convertible debentures discount and deferred issuance expenses.</w:t>
      </w:r>
    </w:p>
    <w:p>
      <w:pPr>
        <w:spacing w:after="0" w:line="151" w:lineRule="exact"/>
        <w:rPr>
          <w:rFonts w:ascii="Courier New" w:cs="Courier New" w:eastAsia="Courier New" w:hAnsi="Courier New"/>
          <w:sz w:val="13"/>
          <w:szCs w:val="13"/>
          <w:color w:val="auto"/>
        </w:rPr>
      </w:pPr>
    </w:p>
    <w:p>
      <w:pPr>
        <w:ind w:left="400" w:hanging="399"/>
        <w:spacing w:after="0"/>
        <w:tabs>
          <w:tab w:leader="none" w:pos="400" w:val="left"/>
        </w:tabs>
        <w:numPr>
          <w:ilvl w:val="0"/>
          <w:numId w:val="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Includes, mainly, the effective interest of long-term loans based on their</w:t>
      </w:r>
    </w:p>
    <w:p>
      <w:pPr>
        <w:sectPr>
          <w:pgSz w:w="11900" w:h="16906" w:orient="portrait"/>
          <w:cols w:equalWidth="0" w:num="1">
            <w:col w:w="10280"/>
          </w:cols>
          <w:pgMar w:left="220" w:top="141" w:right="1399" w:bottom="0" w:gutter="0" w:footer="0" w:header="0"/>
          <w:type w:val="continuous"/>
        </w:sectPr>
      </w:pPr>
    </w:p>
    <w:bookmarkStart w:id="16" w:name="page17"/>
    <w:bookmarkEnd w:id="16"/>
    <w:p>
      <w:pPr>
        <w:spacing w:after="0" w:line="47" w:lineRule="exact"/>
        <w:rPr>
          <w:sz w:val="20"/>
          <w:szCs w:val="20"/>
          <w:color w:val="auto"/>
        </w:rPr>
      </w:pPr>
    </w:p>
    <w:p>
      <w:pPr>
        <w:ind w:left="400" w:right="4379"/>
        <w:spacing w:after="0" w:line="249" w:lineRule="auto"/>
        <w:rPr>
          <w:sz w:val="20"/>
          <w:szCs w:val="20"/>
          <w:color w:val="auto"/>
        </w:rPr>
      </w:pPr>
      <w:r>
        <w:rPr>
          <w:rFonts w:ascii="Courier New" w:cs="Courier New" w:eastAsia="Courier New" w:hAnsi="Courier New"/>
          <w:sz w:val="13"/>
          <w:szCs w:val="13"/>
          <w:color w:val="auto"/>
        </w:rPr>
        <w:t>terms and the effect of hedge agreements with knock-out and knock-in features and interest expenses in relation to convertible debentures.</w:t>
      </w:r>
    </w:p>
    <w:p>
      <w:pPr>
        <w:spacing w:after="0" w:line="151" w:lineRule="exact"/>
        <w:rPr>
          <w:sz w:val="20"/>
          <w:szCs w:val="20"/>
          <w:color w:val="auto"/>
        </w:rPr>
      </w:pPr>
    </w:p>
    <w:p>
      <w:pPr>
        <w:ind w:left="400" w:right="4139" w:hanging="399"/>
        <w:spacing w:after="0" w:line="248" w:lineRule="auto"/>
        <w:tabs>
          <w:tab w:leader="none" w:pos="400" w:val="left"/>
        </w:tabs>
        <w:numPr>
          <w:ilvl w:val="0"/>
          <w:numId w:val="10"/>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Includes, mainly, the effective capitalized interest of long-term loans based on their terms and the effect of hedge agreements with a knock-out feature, capitalized interest in relation to convertible debentures and deferred financing charges in connection with obtaining long-term bank loans which are comprised mainly of stock-based compensation related to warrants issued to banks.</w:t>
      </w:r>
    </w:p>
    <w:p>
      <w:pPr>
        <w:spacing w:after="0" w:line="200" w:lineRule="exact"/>
        <w:rPr>
          <w:sz w:val="20"/>
          <w:szCs w:val="20"/>
          <w:color w:val="auto"/>
        </w:rPr>
      </w:pPr>
    </w:p>
    <w:p>
      <w:pPr>
        <w:spacing w:after="0" w:line="257"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24</w:t>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CAPITALIZATION</w:t>
      </w:r>
    </w:p>
    <w:p>
      <w:pPr>
        <w:spacing w:after="0" w:line="157"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The following table sets forth our long-term debt, convertible debentures and capitalization as of March 31, 2006 on an actual basis and, on an as adjusted basis to give effect to the issuance contemplated by this prospectus before deducting estimated expenses of the offering. For the purposes of this table we have assumed that each unit will be sold at the minimum price of NIS 1,785 per unit and a U.S. dollar/NIS exchange rate of 4.458. This table does not take into account the exercise of the options to purchase our convertible debentures, the exercise of the 3-month or 3-year warrants or the issuance of shares issuable upon the conversion of the convertible debentures or upon the exercise of the warrants).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520" w:type="dxa"/>
            <w:vAlign w:val="bottom"/>
          </w:tcPr>
          <w:p>
            <w:pPr>
              <w:spacing w:after="0"/>
              <w:rPr>
                <w:sz w:val="12"/>
                <w:szCs w:val="12"/>
                <w:color w:val="auto"/>
              </w:rPr>
            </w:pPr>
          </w:p>
        </w:tc>
        <w:tc>
          <w:tcPr>
            <w:tcW w:w="1260" w:type="dxa"/>
            <w:vAlign w:val="bottom"/>
          </w:tcPr>
          <w:p>
            <w:pPr>
              <w:ind w:left="360"/>
              <w:spacing w:after="0"/>
              <w:rPr>
                <w:sz w:val="20"/>
                <w:szCs w:val="20"/>
                <w:color w:val="auto"/>
              </w:rPr>
            </w:pPr>
            <w:r>
              <w:rPr>
                <w:rFonts w:ascii="Courier New" w:cs="Courier New" w:eastAsia="Courier New" w:hAnsi="Courier New"/>
                <w:sz w:val="13"/>
                <w:szCs w:val="13"/>
                <w:color w:val="auto"/>
              </w:rPr>
              <w:t>ACTUAL</w:t>
            </w:r>
          </w:p>
        </w:tc>
        <w:tc>
          <w:tcPr>
            <w:tcW w:w="1320" w:type="dxa"/>
            <w:vAlign w:val="bottom"/>
            <w:gridSpan w:val="2"/>
          </w:tcPr>
          <w:p>
            <w:pPr>
              <w:jc w:val="right"/>
              <w:spacing w:after="0"/>
              <w:rPr>
                <w:sz w:val="20"/>
                <w:szCs w:val="20"/>
                <w:color w:val="auto"/>
              </w:rPr>
            </w:pPr>
            <w:r>
              <w:rPr>
                <w:rFonts w:ascii="Courier New" w:cs="Courier New" w:eastAsia="Courier New" w:hAnsi="Courier New"/>
                <w:sz w:val="13"/>
                <w:szCs w:val="13"/>
                <w:color w:val="auto"/>
              </w:rPr>
              <w:t>AS ADJUSTED(1)</w:t>
            </w:r>
          </w:p>
        </w:tc>
      </w:tr>
      <w:tr>
        <w:trPr>
          <w:trHeight w:val="152"/>
        </w:trPr>
        <w:tc>
          <w:tcPr>
            <w:tcW w:w="3520" w:type="dxa"/>
            <w:vAlign w:val="bottom"/>
          </w:tcPr>
          <w:p>
            <w:pPr>
              <w:spacing w:after="0"/>
              <w:rPr>
                <w:sz w:val="13"/>
                <w:szCs w:val="13"/>
                <w:color w:val="auto"/>
              </w:rPr>
            </w:pPr>
          </w:p>
        </w:tc>
        <w:tc>
          <w:tcPr>
            <w:tcW w:w="1260" w:type="dxa"/>
            <w:vAlign w:val="bottom"/>
          </w:tcPr>
          <w:p>
            <w:pPr>
              <w:jc w:val="right"/>
              <w:ind w:right="194"/>
              <w:spacing w:after="0"/>
              <w:rPr>
                <w:sz w:val="20"/>
                <w:szCs w:val="20"/>
                <w:color w:val="auto"/>
              </w:rPr>
            </w:pPr>
            <w:r>
              <w:rPr>
                <w:rFonts w:ascii="Courier New" w:cs="Courier New" w:eastAsia="Courier New" w:hAnsi="Courier New"/>
                <w:sz w:val="13"/>
                <w:szCs w:val="13"/>
                <w:color w:val="auto"/>
              </w:rPr>
              <w:t>---------</w:t>
            </w:r>
          </w:p>
        </w:tc>
        <w:tc>
          <w:tcPr>
            <w:tcW w:w="1320" w:type="dxa"/>
            <w:vAlign w:val="bottom"/>
            <w:gridSpan w:val="2"/>
          </w:tcPr>
          <w:p>
            <w:pPr>
              <w:jc w:val="right"/>
              <w:ind w:right="174"/>
              <w:spacing w:after="0"/>
              <w:rPr>
                <w:sz w:val="20"/>
                <w:szCs w:val="20"/>
                <w:color w:val="auto"/>
              </w:rPr>
            </w:pPr>
            <w:r>
              <w:rPr>
                <w:rFonts w:ascii="Courier New" w:cs="Courier New" w:eastAsia="Courier New" w:hAnsi="Courier New"/>
                <w:sz w:val="13"/>
                <w:szCs w:val="13"/>
                <w:color w:val="auto"/>
              </w:rPr>
              <w:t>---------</w:t>
            </w:r>
          </w:p>
        </w:tc>
      </w:tr>
      <w:tr>
        <w:trPr>
          <w:trHeight w:val="152"/>
        </w:trPr>
        <w:tc>
          <w:tcPr>
            <w:tcW w:w="3520" w:type="dxa"/>
            <w:vAlign w:val="bottom"/>
          </w:tcPr>
          <w:p>
            <w:pPr>
              <w:spacing w:after="0"/>
              <w:rPr>
                <w:sz w:val="13"/>
                <w:szCs w:val="13"/>
                <w:color w:val="auto"/>
              </w:rPr>
            </w:pPr>
          </w:p>
        </w:tc>
        <w:tc>
          <w:tcPr>
            <w:tcW w:w="2580" w:type="dxa"/>
            <w:vAlign w:val="bottom"/>
            <w:gridSpan w:val="3"/>
          </w:tcPr>
          <w:p>
            <w:pPr>
              <w:ind w:left="360"/>
              <w:spacing w:after="0"/>
              <w:rPr>
                <w:sz w:val="20"/>
                <w:szCs w:val="20"/>
                <w:color w:val="auto"/>
              </w:rPr>
            </w:pPr>
            <w:r>
              <w:rPr>
                <w:rFonts w:ascii="Courier New" w:cs="Courier New" w:eastAsia="Courier New" w:hAnsi="Courier New"/>
                <w:sz w:val="13"/>
                <w:szCs w:val="13"/>
                <w:color w:val="auto"/>
              </w:rPr>
              <w:t>(US dollars in thousands)</w:t>
            </w:r>
          </w:p>
        </w:tc>
      </w:tr>
      <w:tr>
        <w:trPr>
          <w:trHeight w:val="304"/>
        </w:trPr>
        <w:tc>
          <w:tcPr>
            <w:tcW w:w="3520" w:type="dxa"/>
            <w:vAlign w:val="bottom"/>
          </w:tcPr>
          <w:p>
            <w:pPr>
              <w:spacing w:after="0"/>
              <w:rPr>
                <w:sz w:val="20"/>
                <w:szCs w:val="20"/>
                <w:color w:val="auto"/>
              </w:rPr>
            </w:pPr>
            <w:r>
              <w:rPr>
                <w:rFonts w:ascii="Courier New" w:cs="Courier New" w:eastAsia="Courier New" w:hAnsi="Courier New"/>
                <w:sz w:val="13"/>
                <w:szCs w:val="13"/>
                <w:color w:val="auto"/>
              </w:rPr>
              <w:t>Options to purchase convertible</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52"/>
        </w:trPr>
        <w:tc>
          <w:tcPr>
            <w:tcW w:w="3520" w:type="dxa"/>
            <w:vAlign w:val="bottom"/>
          </w:tcPr>
          <w:p>
            <w:pPr>
              <w:ind w:left="80"/>
              <w:spacing w:after="0"/>
              <w:rPr>
                <w:sz w:val="20"/>
                <w:szCs w:val="20"/>
                <w:color w:val="auto"/>
              </w:rPr>
            </w:pPr>
            <w:r>
              <w:rPr>
                <w:rFonts w:ascii="Courier New" w:cs="Courier New" w:eastAsia="Courier New" w:hAnsi="Courier New"/>
                <w:sz w:val="13"/>
                <w:szCs w:val="13"/>
                <w:color w:val="auto"/>
              </w:rPr>
              <w:t>debentures</w:t>
            </w:r>
          </w:p>
        </w:tc>
        <w:tc>
          <w:tcPr>
            <w:tcW w:w="12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80" w:type="dxa"/>
            <w:vAlign w:val="bottom"/>
          </w:tcPr>
          <w:p>
            <w:pPr>
              <w:jc w:val="right"/>
              <w:ind w:right="174"/>
              <w:spacing w:after="0"/>
              <w:rPr>
                <w:sz w:val="20"/>
                <w:szCs w:val="20"/>
                <w:color w:val="auto"/>
              </w:rPr>
            </w:pPr>
            <w:r>
              <w:rPr>
                <w:rFonts w:ascii="Courier New" w:cs="Courier New" w:eastAsia="Courier New" w:hAnsi="Courier New"/>
                <w:sz w:val="13"/>
                <w:szCs w:val="13"/>
                <w:color w:val="auto"/>
              </w:rPr>
              <w:t>1,605</w:t>
            </w:r>
          </w:p>
        </w:tc>
      </w:tr>
      <w:tr>
        <w:trPr>
          <w:trHeight w:val="152"/>
        </w:trPr>
        <w:tc>
          <w:tcPr>
            <w:tcW w:w="3520" w:type="dxa"/>
            <w:vAlign w:val="bottom"/>
          </w:tcPr>
          <w:p>
            <w:pPr>
              <w:spacing w:after="0"/>
              <w:rPr>
                <w:sz w:val="20"/>
                <w:szCs w:val="20"/>
                <w:color w:val="auto"/>
              </w:rPr>
            </w:pPr>
            <w:r>
              <w:rPr>
                <w:rFonts w:ascii="Courier New" w:cs="Courier New" w:eastAsia="Courier New" w:hAnsi="Courier New"/>
                <w:sz w:val="13"/>
                <w:szCs w:val="13"/>
                <w:color w:val="auto"/>
              </w:rPr>
              <w:t>Current maturities of convertibles</w:t>
            </w: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2"/>
        </w:trPr>
        <w:tc>
          <w:tcPr>
            <w:tcW w:w="3520" w:type="dxa"/>
            <w:vAlign w:val="bottom"/>
          </w:tcPr>
          <w:p>
            <w:pPr>
              <w:ind w:left="80"/>
              <w:spacing w:after="0"/>
              <w:rPr>
                <w:sz w:val="20"/>
                <w:szCs w:val="20"/>
                <w:color w:val="auto"/>
              </w:rPr>
            </w:pPr>
            <w:r>
              <w:rPr>
                <w:rFonts w:ascii="Courier New" w:cs="Courier New" w:eastAsia="Courier New" w:hAnsi="Courier New"/>
                <w:sz w:val="13"/>
                <w:szCs w:val="13"/>
                <w:color w:val="auto"/>
              </w:rPr>
              <w:t>debentures</w:t>
            </w:r>
          </w:p>
        </w:tc>
        <w:tc>
          <w:tcPr>
            <w:tcW w:w="1260" w:type="dxa"/>
            <w:vAlign w:val="bottom"/>
          </w:tcPr>
          <w:p>
            <w:pPr>
              <w:jc w:val="right"/>
              <w:ind w:right="194"/>
              <w:spacing w:after="0"/>
              <w:rPr>
                <w:sz w:val="20"/>
                <w:szCs w:val="20"/>
                <w:color w:val="auto"/>
              </w:rPr>
            </w:pPr>
            <w:r>
              <w:rPr>
                <w:rFonts w:ascii="Courier New" w:cs="Courier New" w:eastAsia="Courier New" w:hAnsi="Courier New"/>
                <w:sz w:val="13"/>
                <w:szCs w:val="13"/>
                <w:color w:val="auto"/>
              </w:rPr>
              <w:t>$   5,734</w:t>
            </w:r>
          </w:p>
        </w:tc>
        <w:tc>
          <w:tcPr>
            <w:tcW w:w="4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880" w:type="dxa"/>
            <w:vAlign w:val="bottom"/>
          </w:tcPr>
          <w:p>
            <w:pPr>
              <w:jc w:val="right"/>
              <w:ind w:right="174"/>
              <w:spacing w:after="0"/>
              <w:rPr>
                <w:sz w:val="20"/>
                <w:szCs w:val="20"/>
                <w:color w:val="auto"/>
              </w:rPr>
            </w:pPr>
            <w:r>
              <w:rPr>
                <w:rFonts w:ascii="Courier New" w:cs="Courier New" w:eastAsia="Courier New" w:hAnsi="Courier New"/>
                <w:sz w:val="13"/>
                <w:szCs w:val="13"/>
                <w:color w:val="auto"/>
              </w:rPr>
              <w:t>5,734</w:t>
            </w:r>
          </w:p>
        </w:tc>
      </w:tr>
      <w:tr>
        <w:trPr>
          <w:trHeight w:val="304"/>
        </w:trPr>
        <w:tc>
          <w:tcPr>
            <w:tcW w:w="3520" w:type="dxa"/>
            <w:vAlign w:val="bottom"/>
          </w:tcPr>
          <w:p>
            <w:pPr>
              <w:spacing w:after="0"/>
              <w:rPr>
                <w:sz w:val="20"/>
                <w:szCs w:val="20"/>
                <w:color w:val="auto"/>
              </w:rPr>
            </w:pPr>
            <w:r>
              <w:rPr>
                <w:rFonts w:ascii="Courier New" w:cs="Courier New" w:eastAsia="Courier New" w:hAnsi="Courier New"/>
                <w:sz w:val="13"/>
                <w:szCs w:val="13"/>
                <w:color w:val="auto"/>
              </w:rPr>
              <w:t>Long-term debt (4)</w:t>
            </w:r>
          </w:p>
        </w:tc>
        <w:tc>
          <w:tcPr>
            <w:tcW w:w="1260" w:type="dxa"/>
            <w:vAlign w:val="bottom"/>
          </w:tcPr>
          <w:p>
            <w:pPr>
              <w:jc w:val="right"/>
              <w:ind w:right="194"/>
              <w:spacing w:after="0"/>
              <w:rPr>
                <w:sz w:val="20"/>
                <w:szCs w:val="20"/>
                <w:color w:val="auto"/>
              </w:rPr>
            </w:pPr>
            <w:r>
              <w:rPr>
                <w:rFonts w:ascii="Courier New" w:cs="Courier New" w:eastAsia="Courier New" w:hAnsi="Courier New"/>
                <w:sz w:val="13"/>
                <w:szCs w:val="13"/>
                <w:color w:val="auto"/>
              </w:rPr>
              <w:t>514,966</w:t>
            </w:r>
          </w:p>
        </w:tc>
        <w:tc>
          <w:tcPr>
            <w:tcW w:w="440" w:type="dxa"/>
            <w:vAlign w:val="bottom"/>
          </w:tcPr>
          <w:p>
            <w:pPr>
              <w:spacing w:after="0"/>
              <w:rPr>
                <w:sz w:val="24"/>
                <w:szCs w:val="24"/>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3"/>
                <w:szCs w:val="13"/>
                <w:color w:val="auto"/>
              </w:rPr>
              <w:t>514,966</w:t>
            </w:r>
          </w:p>
        </w:tc>
      </w:tr>
      <w:tr>
        <w:trPr>
          <w:trHeight w:val="152"/>
        </w:trPr>
        <w:tc>
          <w:tcPr>
            <w:tcW w:w="3520" w:type="dxa"/>
            <w:vAlign w:val="bottom"/>
          </w:tcPr>
          <w:p>
            <w:pPr>
              <w:spacing w:after="0"/>
              <w:rPr>
                <w:sz w:val="20"/>
                <w:szCs w:val="20"/>
                <w:color w:val="auto"/>
              </w:rPr>
            </w:pPr>
            <w:r>
              <w:rPr>
                <w:rFonts w:ascii="Courier New" w:cs="Courier New" w:eastAsia="Courier New" w:hAnsi="Courier New"/>
                <w:sz w:val="13"/>
                <w:szCs w:val="13"/>
                <w:color w:val="auto"/>
              </w:rPr>
              <w:t>2002 convertible debentures and 2005</w:t>
            </w: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2"/>
        </w:trPr>
        <w:tc>
          <w:tcPr>
            <w:tcW w:w="3520" w:type="dxa"/>
            <w:vAlign w:val="bottom"/>
          </w:tcPr>
          <w:p>
            <w:pPr>
              <w:ind w:left="80"/>
              <w:spacing w:after="0"/>
              <w:rPr>
                <w:sz w:val="20"/>
                <w:szCs w:val="20"/>
                <w:color w:val="auto"/>
              </w:rPr>
            </w:pPr>
            <w:r>
              <w:rPr>
                <w:rFonts w:ascii="Courier New" w:cs="Courier New" w:eastAsia="Courier New" w:hAnsi="Courier New"/>
                <w:sz w:val="13"/>
                <w:szCs w:val="13"/>
                <w:color w:val="auto"/>
              </w:rPr>
              <w:t>convertible debentures excluding current</w:t>
            </w: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2"/>
        </w:trPr>
        <w:tc>
          <w:tcPr>
            <w:tcW w:w="3520" w:type="dxa"/>
            <w:vAlign w:val="bottom"/>
          </w:tcPr>
          <w:p>
            <w:pPr>
              <w:ind w:left="80"/>
              <w:spacing w:after="0"/>
              <w:rPr>
                <w:sz w:val="20"/>
                <w:szCs w:val="20"/>
                <w:color w:val="auto"/>
              </w:rPr>
            </w:pPr>
            <w:r>
              <w:rPr>
                <w:rFonts w:ascii="Courier New" w:cs="Courier New" w:eastAsia="Courier New" w:hAnsi="Courier New"/>
                <w:sz w:val="13"/>
                <w:szCs w:val="13"/>
                <w:color w:val="auto"/>
              </w:rPr>
              <w:t>maturities</w:t>
            </w:r>
          </w:p>
        </w:tc>
        <w:tc>
          <w:tcPr>
            <w:tcW w:w="1260" w:type="dxa"/>
            <w:vAlign w:val="bottom"/>
          </w:tcPr>
          <w:p>
            <w:pPr>
              <w:jc w:val="right"/>
              <w:ind w:right="194"/>
              <w:spacing w:after="0"/>
              <w:rPr>
                <w:sz w:val="20"/>
                <w:szCs w:val="20"/>
                <w:color w:val="auto"/>
              </w:rPr>
            </w:pPr>
            <w:r>
              <w:rPr>
                <w:rFonts w:ascii="Courier New" w:cs="Courier New" w:eastAsia="Courier New" w:hAnsi="Courier New"/>
                <w:sz w:val="13"/>
                <w:szCs w:val="13"/>
                <w:color w:val="auto"/>
              </w:rPr>
              <w:t>34,429</w:t>
            </w:r>
          </w:p>
        </w:tc>
        <w:tc>
          <w:tcPr>
            <w:tcW w:w="440" w:type="dxa"/>
            <w:vAlign w:val="bottom"/>
          </w:tcPr>
          <w:p>
            <w:pPr>
              <w:spacing w:after="0"/>
              <w:rPr>
                <w:sz w:val="13"/>
                <w:szCs w:val="13"/>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3"/>
                <w:szCs w:val="13"/>
                <w:color w:val="auto"/>
              </w:rPr>
              <w:t>34,429</w:t>
            </w:r>
          </w:p>
        </w:tc>
      </w:tr>
      <w:tr>
        <w:trPr>
          <w:trHeight w:val="152"/>
        </w:trPr>
        <w:tc>
          <w:tcPr>
            <w:tcW w:w="3520" w:type="dxa"/>
            <w:vAlign w:val="bottom"/>
          </w:tcPr>
          <w:p>
            <w:pPr>
              <w:spacing w:after="0"/>
              <w:rPr>
                <w:sz w:val="20"/>
                <w:szCs w:val="20"/>
                <w:color w:val="auto"/>
              </w:rPr>
            </w:pPr>
            <w:r>
              <w:rPr>
                <w:rFonts w:ascii="Courier New" w:cs="Courier New" w:eastAsia="Courier New" w:hAnsi="Courier New"/>
                <w:sz w:val="13"/>
                <w:szCs w:val="13"/>
                <w:color w:val="auto"/>
              </w:rPr>
              <w:t>Long-term liability in respect of</w:t>
            </w: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2"/>
        </w:trPr>
        <w:tc>
          <w:tcPr>
            <w:tcW w:w="3520" w:type="dxa"/>
            <w:vAlign w:val="bottom"/>
          </w:tcPr>
          <w:p>
            <w:pPr>
              <w:ind w:left="80"/>
              <w:spacing w:after="0"/>
              <w:rPr>
                <w:sz w:val="20"/>
                <w:szCs w:val="20"/>
                <w:color w:val="auto"/>
              </w:rPr>
            </w:pPr>
            <w:r>
              <w:rPr>
                <w:rFonts w:ascii="Courier New" w:cs="Courier New" w:eastAsia="Courier New" w:hAnsi="Courier New"/>
                <w:sz w:val="13"/>
                <w:szCs w:val="13"/>
                <w:color w:val="auto"/>
              </w:rPr>
              <w:t>customer advances</w:t>
            </w:r>
          </w:p>
        </w:tc>
        <w:tc>
          <w:tcPr>
            <w:tcW w:w="1260" w:type="dxa"/>
            <w:vAlign w:val="bottom"/>
          </w:tcPr>
          <w:p>
            <w:pPr>
              <w:jc w:val="right"/>
              <w:ind w:right="194"/>
              <w:spacing w:after="0"/>
              <w:rPr>
                <w:sz w:val="20"/>
                <w:szCs w:val="20"/>
                <w:color w:val="auto"/>
              </w:rPr>
            </w:pPr>
            <w:r>
              <w:rPr>
                <w:rFonts w:ascii="Courier New" w:cs="Courier New" w:eastAsia="Courier New" w:hAnsi="Courier New"/>
                <w:sz w:val="13"/>
                <w:szCs w:val="13"/>
                <w:color w:val="auto"/>
              </w:rPr>
              <w:t>54,537</w:t>
            </w:r>
          </w:p>
        </w:tc>
        <w:tc>
          <w:tcPr>
            <w:tcW w:w="440" w:type="dxa"/>
            <w:vAlign w:val="bottom"/>
          </w:tcPr>
          <w:p>
            <w:pPr>
              <w:spacing w:after="0"/>
              <w:rPr>
                <w:sz w:val="13"/>
                <w:szCs w:val="13"/>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3"/>
                <w:szCs w:val="13"/>
                <w:color w:val="auto"/>
              </w:rPr>
              <w:t>54,537</w:t>
            </w:r>
          </w:p>
        </w:tc>
      </w:tr>
      <w:tr>
        <w:trPr>
          <w:trHeight w:val="152"/>
        </w:trPr>
        <w:tc>
          <w:tcPr>
            <w:tcW w:w="3520" w:type="dxa"/>
            <w:vAlign w:val="bottom"/>
          </w:tcPr>
          <w:p>
            <w:pPr>
              <w:spacing w:after="0"/>
              <w:rPr>
                <w:sz w:val="20"/>
                <w:szCs w:val="20"/>
                <w:color w:val="auto"/>
              </w:rPr>
            </w:pPr>
            <w:r>
              <w:rPr>
                <w:rFonts w:ascii="Courier New" w:cs="Courier New" w:eastAsia="Courier New" w:hAnsi="Courier New"/>
                <w:sz w:val="13"/>
                <w:szCs w:val="13"/>
                <w:color w:val="auto"/>
              </w:rPr>
              <w:t>Convertible debentures offered in this</w:t>
            </w: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2"/>
        </w:trPr>
        <w:tc>
          <w:tcPr>
            <w:tcW w:w="3520" w:type="dxa"/>
            <w:vAlign w:val="bottom"/>
          </w:tcPr>
          <w:p>
            <w:pPr>
              <w:ind w:left="80"/>
              <w:spacing w:after="0"/>
              <w:rPr>
                <w:sz w:val="20"/>
                <w:szCs w:val="20"/>
                <w:color w:val="auto"/>
              </w:rPr>
            </w:pPr>
            <w:r>
              <w:rPr>
                <w:rFonts w:ascii="Courier New" w:cs="Courier New" w:eastAsia="Courier New" w:hAnsi="Courier New"/>
                <w:sz w:val="13"/>
                <w:szCs w:val="13"/>
                <w:color w:val="auto"/>
              </w:rPr>
              <w:t>offering</w:t>
            </w: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3"/>
                <w:szCs w:val="13"/>
                <w:color w:val="auto"/>
              </w:rPr>
              <w:t>26,999</w:t>
            </w:r>
          </w:p>
        </w:tc>
      </w:tr>
      <w:tr>
        <w:trPr>
          <w:trHeight w:val="152"/>
        </w:trPr>
        <w:tc>
          <w:tcPr>
            <w:tcW w:w="3520" w:type="dxa"/>
            <w:vAlign w:val="bottom"/>
          </w:tcPr>
          <w:p>
            <w:pPr>
              <w:spacing w:after="0"/>
              <w:rPr>
                <w:sz w:val="20"/>
                <w:szCs w:val="20"/>
                <w:color w:val="auto"/>
              </w:rPr>
            </w:pPr>
            <w:r>
              <w:rPr>
                <w:rFonts w:ascii="Courier New" w:cs="Courier New" w:eastAsia="Courier New" w:hAnsi="Courier New"/>
                <w:sz w:val="13"/>
                <w:szCs w:val="13"/>
                <w:color w:val="auto"/>
              </w:rPr>
              <w:t>Shareholders' equity (deficit):</w:t>
            </w: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2"/>
        </w:trPr>
        <w:tc>
          <w:tcPr>
            <w:tcW w:w="3520" w:type="dxa"/>
            <w:vAlign w:val="bottom"/>
          </w:tcPr>
          <w:p>
            <w:pPr>
              <w:spacing w:after="0"/>
              <w:rPr>
                <w:sz w:val="20"/>
                <w:szCs w:val="20"/>
                <w:color w:val="auto"/>
              </w:rPr>
            </w:pPr>
            <w:r>
              <w:rPr>
                <w:rFonts w:ascii="Courier New" w:cs="Courier New" w:eastAsia="Courier New" w:hAnsi="Courier New"/>
                <w:sz w:val="13"/>
                <w:szCs w:val="13"/>
                <w:color w:val="auto"/>
              </w:rPr>
              <w:t>Ordinary Shares, NIS 1.00 par value per</w:t>
            </w: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2"/>
        </w:trPr>
        <w:tc>
          <w:tcPr>
            <w:tcW w:w="3520" w:type="dxa"/>
            <w:vAlign w:val="bottom"/>
          </w:tcPr>
          <w:p>
            <w:pPr>
              <w:ind w:left="80"/>
              <w:spacing w:after="0"/>
              <w:rPr>
                <w:sz w:val="20"/>
                <w:szCs w:val="20"/>
                <w:color w:val="auto"/>
              </w:rPr>
            </w:pPr>
            <w:r>
              <w:rPr>
                <w:rFonts w:ascii="Courier New" w:cs="Courier New" w:eastAsia="Courier New" w:hAnsi="Courier New"/>
                <w:sz w:val="13"/>
                <w:szCs w:val="13"/>
                <w:color w:val="auto"/>
              </w:rPr>
              <w:t>share; 500,000,000 authorized shares*,</w:t>
            </w: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2"/>
        </w:trPr>
        <w:tc>
          <w:tcPr>
            <w:tcW w:w="3520" w:type="dxa"/>
            <w:vAlign w:val="bottom"/>
          </w:tcPr>
          <w:p>
            <w:pPr>
              <w:ind w:left="80"/>
              <w:spacing w:after="0"/>
              <w:rPr>
                <w:sz w:val="20"/>
                <w:szCs w:val="20"/>
                <w:color w:val="auto"/>
              </w:rPr>
            </w:pPr>
            <w:r>
              <w:rPr>
                <w:rFonts w:ascii="Courier New" w:cs="Courier New" w:eastAsia="Courier New" w:hAnsi="Courier New"/>
                <w:sz w:val="13"/>
                <w:szCs w:val="13"/>
                <w:color w:val="auto"/>
              </w:rPr>
              <w:t>76,946,189 issued shares** and</w:t>
            </w: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2"/>
        </w:trPr>
        <w:tc>
          <w:tcPr>
            <w:tcW w:w="3520" w:type="dxa"/>
            <w:vAlign w:val="bottom"/>
          </w:tcPr>
          <w:p>
            <w:pPr>
              <w:ind w:left="80"/>
              <w:spacing w:after="0"/>
              <w:rPr>
                <w:sz w:val="20"/>
                <w:szCs w:val="20"/>
                <w:color w:val="auto"/>
              </w:rPr>
            </w:pPr>
            <w:r>
              <w:rPr>
                <w:rFonts w:ascii="Courier New" w:cs="Courier New" w:eastAsia="Courier New" w:hAnsi="Courier New"/>
                <w:sz w:val="13"/>
                <w:szCs w:val="13"/>
                <w:color w:val="auto"/>
              </w:rPr>
              <w:t>75,646,189 outstanding shares;</w:t>
            </w:r>
          </w:p>
        </w:tc>
        <w:tc>
          <w:tcPr>
            <w:tcW w:w="1260" w:type="dxa"/>
            <w:vAlign w:val="bottom"/>
          </w:tcPr>
          <w:p>
            <w:pPr>
              <w:jc w:val="right"/>
              <w:ind w:right="194"/>
              <w:spacing w:after="0"/>
              <w:rPr>
                <w:sz w:val="20"/>
                <w:szCs w:val="20"/>
                <w:color w:val="auto"/>
              </w:rPr>
            </w:pPr>
            <w:r>
              <w:rPr>
                <w:rFonts w:ascii="Courier New" w:cs="Courier New" w:eastAsia="Courier New" w:hAnsi="Courier New"/>
                <w:sz w:val="13"/>
                <w:szCs w:val="13"/>
                <w:color w:val="auto"/>
              </w:rPr>
              <w:t>18,403</w:t>
            </w:r>
          </w:p>
        </w:tc>
        <w:tc>
          <w:tcPr>
            <w:tcW w:w="440" w:type="dxa"/>
            <w:vAlign w:val="bottom"/>
          </w:tcPr>
          <w:p>
            <w:pPr>
              <w:spacing w:after="0"/>
              <w:rPr>
                <w:sz w:val="13"/>
                <w:szCs w:val="13"/>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3"/>
                <w:szCs w:val="13"/>
                <w:color w:val="auto"/>
              </w:rPr>
              <w:t>18,403</w:t>
            </w:r>
          </w:p>
        </w:tc>
      </w:tr>
      <w:tr>
        <w:trPr>
          <w:trHeight w:val="304"/>
        </w:trPr>
        <w:tc>
          <w:tcPr>
            <w:tcW w:w="3520" w:type="dxa"/>
            <w:vAlign w:val="bottom"/>
          </w:tcPr>
          <w:p>
            <w:pPr>
              <w:spacing w:after="0"/>
              <w:rPr>
                <w:sz w:val="20"/>
                <w:szCs w:val="20"/>
                <w:color w:val="auto"/>
              </w:rPr>
            </w:pPr>
            <w:r>
              <w:rPr>
                <w:rFonts w:ascii="Courier New" w:cs="Courier New" w:eastAsia="Courier New" w:hAnsi="Courier New"/>
                <w:sz w:val="13"/>
                <w:szCs w:val="13"/>
                <w:color w:val="auto"/>
              </w:rPr>
              <w:t>Additional paid-in capital</w:t>
            </w:r>
          </w:p>
        </w:tc>
        <w:tc>
          <w:tcPr>
            <w:tcW w:w="1260" w:type="dxa"/>
            <w:vAlign w:val="bottom"/>
          </w:tcPr>
          <w:p>
            <w:pPr>
              <w:jc w:val="right"/>
              <w:ind w:right="194"/>
              <w:spacing w:after="0"/>
              <w:rPr>
                <w:sz w:val="20"/>
                <w:szCs w:val="20"/>
                <w:color w:val="auto"/>
              </w:rPr>
            </w:pPr>
            <w:r>
              <w:rPr>
                <w:rFonts w:ascii="Courier New" w:cs="Courier New" w:eastAsia="Courier New" w:hAnsi="Courier New"/>
                <w:sz w:val="13"/>
                <w:szCs w:val="13"/>
                <w:color w:val="auto"/>
              </w:rPr>
              <w:t>531,123</w:t>
            </w:r>
          </w:p>
        </w:tc>
        <w:tc>
          <w:tcPr>
            <w:tcW w:w="440" w:type="dxa"/>
            <w:vAlign w:val="bottom"/>
          </w:tcPr>
          <w:p>
            <w:pPr>
              <w:spacing w:after="0"/>
              <w:rPr>
                <w:sz w:val="24"/>
                <w:szCs w:val="24"/>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3"/>
                <w:szCs w:val="13"/>
                <w:color w:val="auto"/>
              </w:rPr>
              <w:t>533,871</w:t>
            </w:r>
          </w:p>
        </w:tc>
      </w:tr>
      <w:tr>
        <w:trPr>
          <w:trHeight w:val="152"/>
        </w:trPr>
        <w:tc>
          <w:tcPr>
            <w:tcW w:w="3520" w:type="dxa"/>
            <w:vAlign w:val="bottom"/>
          </w:tcPr>
          <w:p>
            <w:pPr>
              <w:spacing w:after="0"/>
              <w:rPr>
                <w:sz w:val="20"/>
                <w:szCs w:val="20"/>
                <w:color w:val="auto"/>
              </w:rPr>
            </w:pPr>
            <w:r>
              <w:rPr>
                <w:rFonts w:ascii="Courier New" w:cs="Courier New" w:eastAsia="Courier New" w:hAnsi="Courier New"/>
                <w:sz w:val="13"/>
                <w:szCs w:val="13"/>
                <w:color w:val="auto"/>
              </w:rPr>
              <w:t>Equity component of convertible</w:t>
            </w: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2"/>
        </w:trPr>
        <w:tc>
          <w:tcPr>
            <w:tcW w:w="3520" w:type="dxa"/>
            <w:vAlign w:val="bottom"/>
          </w:tcPr>
          <w:p>
            <w:pPr>
              <w:ind w:left="80"/>
              <w:spacing w:after="0"/>
              <w:rPr>
                <w:sz w:val="20"/>
                <w:szCs w:val="20"/>
                <w:color w:val="auto"/>
              </w:rPr>
            </w:pPr>
            <w:r>
              <w:rPr>
                <w:rFonts w:ascii="Courier New" w:cs="Courier New" w:eastAsia="Courier New" w:hAnsi="Courier New"/>
                <w:sz w:val="13"/>
                <w:szCs w:val="13"/>
                <w:color w:val="auto"/>
              </w:rPr>
              <w:t>debentures and cumulative stock based</w:t>
            </w: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2"/>
        </w:trPr>
        <w:tc>
          <w:tcPr>
            <w:tcW w:w="3520" w:type="dxa"/>
            <w:vAlign w:val="bottom"/>
          </w:tcPr>
          <w:p>
            <w:pPr>
              <w:ind w:left="80"/>
              <w:spacing w:after="0"/>
              <w:rPr>
                <w:sz w:val="20"/>
                <w:szCs w:val="20"/>
                <w:color w:val="auto"/>
              </w:rPr>
            </w:pPr>
            <w:r>
              <w:rPr>
                <w:rFonts w:ascii="Courier New" w:cs="Courier New" w:eastAsia="Courier New" w:hAnsi="Courier New"/>
                <w:sz w:val="13"/>
                <w:szCs w:val="13"/>
                <w:color w:val="auto"/>
              </w:rPr>
              <w:t>compensation</w:t>
            </w:r>
          </w:p>
        </w:tc>
        <w:tc>
          <w:tcPr>
            <w:tcW w:w="1260" w:type="dxa"/>
            <w:vAlign w:val="bottom"/>
          </w:tcPr>
          <w:p>
            <w:pPr>
              <w:jc w:val="right"/>
              <w:ind w:right="194"/>
              <w:spacing w:after="0"/>
              <w:rPr>
                <w:sz w:val="20"/>
                <w:szCs w:val="20"/>
                <w:color w:val="auto"/>
              </w:rPr>
            </w:pPr>
            <w:r>
              <w:rPr>
                <w:rFonts w:ascii="Courier New" w:cs="Courier New" w:eastAsia="Courier New" w:hAnsi="Courier New"/>
                <w:sz w:val="13"/>
                <w:szCs w:val="13"/>
                <w:color w:val="auto"/>
              </w:rPr>
              <w:t>19,550</w:t>
            </w:r>
          </w:p>
        </w:tc>
        <w:tc>
          <w:tcPr>
            <w:tcW w:w="440" w:type="dxa"/>
            <w:vAlign w:val="bottom"/>
          </w:tcPr>
          <w:p>
            <w:pPr>
              <w:spacing w:after="0"/>
              <w:rPr>
                <w:sz w:val="13"/>
                <w:szCs w:val="13"/>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3"/>
                <w:szCs w:val="13"/>
                <w:color w:val="auto"/>
              </w:rPr>
              <w:t>19,550</w:t>
            </w:r>
          </w:p>
        </w:tc>
      </w:tr>
      <w:tr>
        <w:trPr>
          <w:trHeight w:val="152"/>
        </w:trPr>
        <w:tc>
          <w:tcPr>
            <w:tcW w:w="3520" w:type="dxa"/>
            <w:vAlign w:val="bottom"/>
          </w:tcPr>
          <w:p>
            <w:pPr>
              <w:spacing w:after="0"/>
              <w:rPr>
                <w:sz w:val="20"/>
                <w:szCs w:val="20"/>
                <w:color w:val="auto"/>
              </w:rPr>
            </w:pPr>
            <w:r>
              <w:rPr>
                <w:rFonts w:ascii="Courier New" w:cs="Courier New" w:eastAsia="Courier New" w:hAnsi="Courier New"/>
                <w:sz w:val="13"/>
                <w:szCs w:val="13"/>
                <w:color w:val="auto"/>
              </w:rPr>
              <w:t>Accumulated deficit</w:t>
            </w:r>
          </w:p>
        </w:tc>
        <w:tc>
          <w:tcPr>
            <w:tcW w:w="1260" w:type="dxa"/>
            <w:vAlign w:val="bottom"/>
          </w:tcPr>
          <w:p>
            <w:pPr>
              <w:jc w:val="right"/>
              <w:ind w:right="114"/>
              <w:spacing w:after="0"/>
              <w:rPr>
                <w:sz w:val="20"/>
                <w:szCs w:val="20"/>
                <w:color w:val="auto"/>
              </w:rPr>
            </w:pPr>
            <w:r>
              <w:rPr>
                <w:rFonts w:ascii="Courier New" w:cs="Courier New" w:eastAsia="Courier New" w:hAnsi="Courier New"/>
                <w:sz w:val="13"/>
                <w:szCs w:val="13"/>
                <w:color w:val="auto"/>
              </w:rPr>
              <w:t>(604,810)</w:t>
            </w:r>
          </w:p>
        </w:tc>
        <w:tc>
          <w:tcPr>
            <w:tcW w:w="440" w:type="dxa"/>
            <w:vAlign w:val="bottom"/>
          </w:tcPr>
          <w:p>
            <w:pPr>
              <w:spacing w:after="0"/>
              <w:rPr>
                <w:sz w:val="13"/>
                <w:szCs w:val="13"/>
                <w:color w:val="auto"/>
              </w:rPr>
            </w:pPr>
          </w:p>
        </w:tc>
        <w:tc>
          <w:tcPr>
            <w:tcW w:w="880" w:type="dxa"/>
            <w:vAlign w:val="bottom"/>
          </w:tcPr>
          <w:p>
            <w:pPr>
              <w:jc w:val="right"/>
              <w:ind w:right="94"/>
              <w:spacing w:after="0"/>
              <w:rPr>
                <w:sz w:val="20"/>
                <w:szCs w:val="20"/>
                <w:color w:val="auto"/>
              </w:rPr>
            </w:pPr>
            <w:r>
              <w:rPr>
                <w:rFonts w:ascii="Courier New" w:cs="Courier New" w:eastAsia="Courier New" w:hAnsi="Courier New"/>
                <w:sz w:val="13"/>
                <w:szCs w:val="13"/>
                <w:color w:val="auto"/>
                <w:w w:val="99"/>
              </w:rPr>
              <w:t>(604,810)</w:t>
            </w:r>
          </w:p>
        </w:tc>
      </w:tr>
      <w:tr>
        <w:trPr>
          <w:trHeight w:val="152"/>
        </w:trPr>
        <w:tc>
          <w:tcPr>
            <w:tcW w:w="3520" w:type="dxa"/>
            <w:vAlign w:val="bottom"/>
          </w:tcPr>
          <w:p>
            <w:pPr>
              <w:spacing w:after="0"/>
              <w:rPr>
                <w:sz w:val="20"/>
                <w:szCs w:val="20"/>
                <w:color w:val="auto"/>
              </w:rPr>
            </w:pPr>
            <w:r>
              <w:rPr>
                <w:rFonts w:ascii="Courier New" w:cs="Courier New" w:eastAsia="Courier New" w:hAnsi="Courier New"/>
                <w:sz w:val="13"/>
                <w:szCs w:val="13"/>
                <w:color w:val="auto"/>
              </w:rPr>
              <w:t>Treasury stock, 1,300,000 shares</w:t>
            </w:r>
          </w:p>
        </w:tc>
        <w:tc>
          <w:tcPr>
            <w:tcW w:w="1260" w:type="dxa"/>
            <w:vAlign w:val="bottom"/>
          </w:tcPr>
          <w:p>
            <w:pPr>
              <w:jc w:val="right"/>
              <w:ind w:right="114"/>
              <w:spacing w:after="0"/>
              <w:rPr>
                <w:sz w:val="20"/>
                <w:szCs w:val="20"/>
                <w:color w:val="auto"/>
              </w:rPr>
            </w:pPr>
            <w:r>
              <w:rPr>
                <w:rFonts w:ascii="Courier New" w:cs="Courier New" w:eastAsia="Courier New" w:hAnsi="Courier New"/>
                <w:sz w:val="13"/>
                <w:szCs w:val="13"/>
                <w:color w:val="auto"/>
              </w:rPr>
              <w:t>(9,072)</w:t>
            </w:r>
          </w:p>
        </w:tc>
        <w:tc>
          <w:tcPr>
            <w:tcW w:w="440" w:type="dxa"/>
            <w:vAlign w:val="bottom"/>
          </w:tcPr>
          <w:p>
            <w:pPr>
              <w:spacing w:after="0"/>
              <w:rPr>
                <w:sz w:val="13"/>
                <w:szCs w:val="13"/>
                <w:color w:val="auto"/>
              </w:rPr>
            </w:pPr>
          </w:p>
        </w:tc>
        <w:tc>
          <w:tcPr>
            <w:tcW w:w="880" w:type="dxa"/>
            <w:vAlign w:val="bottom"/>
          </w:tcPr>
          <w:p>
            <w:pPr>
              <w:jc w:val="right"/>
              <w:ind w:right="94"/>
              <w:spacing w:after="0"/>
              <w:rPr>
                <w:sz w:val="20"/>
                <w:szCs w:val="20"/>
                <w:color w:val="auto"/>
              </w:rPr>
            </w:pPr>
            <w:r>
              <w:rPr>
                <w:rFonts w:ascii="Courier New" w:cs="Courier New" w:eastAsia="Courier New" w:hAnsi="Courier New"/>
                <w:sz w:val="13"/>
                <w:szCs w:val="13"/>
                <w:color w:val="auto"/>
              </w:rPr>
              <w:t>(9,072)</w:t>
            </w:r>
          </w:p>
        </w:tc>
      </w:tr>
      <w:tr>
        <w:trPr>
          <w:trHeight w:val="152"/>
        </w:trPr>
        <w:tc>
          <w:tcPr>
            <w:tcW w:w="3520" w:type="dxa"/>
            <w:vAlign w:val="bottom"/>
          </w:tcPr>
          <w:p>
            <w:pPr>
              <w:spacing w:after="0"/>
              <w:rPr>
                <w:sz w:val="13"/>
                <w:szCs w:val="13"/>
                <w:color w:val="auto"/>
              </w:rPr>
            </w:pPr>
          </w:p>
        </w:tc>
        <w:tc>
          <w:tcPr>
            <w:tcW w:w="1260" w:type="dxa"/>
            <w:vAlign w:val="bottom"/>
          </w:tcPr>
          <w:p>
            <w:pPr>
              <w:jc w:val="right"/>
              <w:ind w:right="194"/>
              <w:spacing w:after="0"/>
              <w:rPr>
                <w:sz w:val="20"/>
                <w:szCs w:val="20"/>
                <w:color w:val="auto"/>
              </w:rPr>
            </w:pPr>
            <w:r>
              <w:rPr>
                <w:rFonts w:ascii="Courier New" w:cs="Courier New" w:eastAsia="Courier New" w:hAnsi="Courier New"/>
                <w:sz w:val="13"/>
                <w:szCs w:val="13"/>
                <w:color w:val="auto"/>
              </w:rPr>
              <w:t>---------</w:t>
            </w:r>
          </w:p>
        </w:tc>
        <w:tc>
          <w:tcPr>
            <w:tcW w:w="1320" w:type="dxa"/>
            <w:vAlign w:val="bottom"/>
            <w:gridSpan w:val="2"/>
          </w:tcPr>
          <w:p>
            <w:pPr>
              <w:jc w:val="right"/>
              <w:ind w:right="174"/>
              <w:spacing w:after="0"/>
              <w:rPr>
                <w:sz w:val="20"/>
                <w:szCs w:val="20"/>
                <w:color w:val="auto"/>
              </w:rPr>
            </w:pPr>
            <w:r>
              <w:rPr>
                <w:rFonts w:ascii="Courier New" w:cs="Courier New" w:eastAsia="Courier New" w:hAnsi="Courier New"/>
                <w:sz w:val="13"/>
                <w:szCs w:val="13"/>
                <w:color w:val="auto"/>
              </w:rPr>
              <w:t>---------</w:t>
            </w:r>
          </w:p>
        </w:tc>
      </w:tr>
      <w:tr>
        <w:trPr>
          <w:trHeight w:val="304"/>
        </w:trPr>
        <w:tc>
          <w:tcPr>
            <w:tcW w:w="3520" w:type="dxa"/>
            <w:vAlign w:val="bottom"/>
          </w:tcPr>
          <w:p>
            <w:pPr>
              <w:spacing w:after="0"/>
              <w:rPr>
                <w:sz w:val="20"/>
                <w:szCs w:val="20"/>
                <w:color w:val="auto"/>
              </w:rPr>
            </w:pPr>
            <w:r>
              <w:rPr>
                <w:rFonts w:ascii="Courier New" w:cs="Courier New" w:eastAsia="Courier New" w:hAnsi="Courier New"/>
                <w:sz w:val="13"/>
                <w:szCs w:val="13"/>
                <w:color w:val="auto"/>
              </w:rPr>
              <w:t>Total shareholders' equity (deficit)</w:t>
            </w:r>
          </w:p>
        </w:tc>
        <w:tc>
          <w:tcPr>
            <w:tcW w:w="1260" w:type="dxa"/>
            <w:vAlign w:val="bottom"/>
          </w:tcPr>
          <w:p>
            <w:pPr>
              <w:jc w:val="right"/>
              <w:ind w:right="114"/>
              <w:spacing w:after="0"/>
              <w:rPr>
                <w:sz w:val="20"/>
                <w:szCs w:val="20"/>
                <w:color w:val="auto"/>
              </w:rPr>
            </w:pPr>
            <w:r>
              <w:rPr>
                <w:rFonts w:ascii="Courier New" w:cs="Courier New" w:eastAsia="Courier New" w:hAnsi="Courier New"/>
                <w:sz w:val="13"/>
                <w:szCs w:val="13"/>
                <w:color w:val="auto"/>
              </w:rPr>
              <w:t>(44,806)</w:t>
            </w:r>
          </w:p>
        </w:tc>
        <w:tc>
          <w:tcPr>
            <w:tcW w:w="440" w:type="dxa"/>
            <w:vAlign w:val="bottom"/>
          </w:tcPr>
          <w:p>
            <w:pPr>
              <w:spacing w:after="0"/>
              <w:rPr>
                <w:sz w:val="24"/>
                <w:szCs w:val="24"/>
                <w:color w:val="auto"/>
              </w:rPr>
            </w:pPr>
          </w:p>
        </w:tc>
        <w:tc>
          <w:tcPr>
            <w:tcW w:w="880" w:type="dxa"/>
            <w:vAlign w:val="bottom"/>
          </w:tcPr>
          <w:p>
            <w:pPr>
              <w:jc w:val="right"/>
              <w:ind w:right="94"/>
              <w:spacing w:after="0"/>
              <w:rPr>
                <w:sz w:val="20"/>
                <w:szCs w:val="20"/>
                <w:color w:val="auto"/>
              </w:rPr>
            </w:pPr>
            <w:r>
              <w:rPr>
                <w:rFonts w:ascii="Courier New" w:cs="Courier New" w:eastAsia="Courier New" w:hAnsi="Courier New"/>
                <w:sz w:val="13"/>
                <w:szCs w:val="13"/>
                <w:color w:val="auto"/>
              </w:rPr>
              <w:t>(42,058)</w:t>
            </w:r>
          </w:p>
        </w:tc>
      </w:tr>
      <w:tr>
        <w:trPr>
          <w:trHeight w:val="152"/>
        </w:trPr>
        <w:tc>
          <w:tcPr>
            <w:tcW w:w="3520" w:type="dxa"/>
            <w:vAlign w:val="bottom"/>
          </w:tcPr>
          <w:p>
            <w:pPr>
              <w:spacing w:after="0"/>
              <w:rPr>
                <w:sz w:val="13"/>
                <w:szCs w:val="13"/>
                <w:color w:val="auto"/>
              </w:rPr>
            </w:pPr>
          </w:p>
        </w:tc>
        <w:tc>
          <w:tcPr>
            <w:tcW w:w="1260" w:type="dxa"/>
            <w:vAlign w:val="bottom"/>
          </w:tcPr>
          <w:p>
            <w:pPr>
              <w:jc w:val="right"/>
              <w:ind w:right="194"/>
              <w:spacing w:after="0"/>
              <w:rPr>
                <w:sz w:val="20"/>
                <w:szCs w:val="20"/>
                <w:color w:val="auto"/>
              </w:rPr>
            </w:pPr>
            <w:r>
              <w:rPr>
                <w:rFonts w:ascii="Courier New" w:cs="Courier New" w:eastAsia="Courier New" w:hAnsi="Courier New"/>
                <w:sz w:val="13"/>
                <w:szCs w:val="13"/>
                <w:color w:val="auto"/>
              </w:rPr>
              <w:t>---------</w:t>
            </w:r>
          </w:p>
        </w:tc>
        <w:tc>
          <w:tcPr>
            <w:tcW w:w="1320" w:type="dxa"/>
            <w:vAlign w:val="bottom"/>
            <w:gridSpan w:val="2"/>
          </w:tcPr>
          <w:p>
            <w:pPr>
              <w:jc w:val="right"/>
              <w:ind w:right="174"/>
              <w:spacing w:after="0"/>
              <w:rPr>
                <w:sz w:val="20"/>
                <w:szCs w:val="20"/>
                <w:color w:val="auto"/>
              </w:rPr>
            </w:pPr>
            <w:r>
              <w:rPr>
                <w:rFonts w:ascii="Courier New" w:cs="Courier New" w:eastAsia="Courier New" w:hAnsi="Courier New"/>
                <w:sz w:val="13"/>
                <w:szCs w:val="13"/>
                <w:color w:val="auto"/>
              </w:rPr>
              <w:t>---------</w:t>
            </w:r>
          </w:p>
        </w:tc>
      </w:tr>
      <w:tr>
        <w:trPr>
          <w:trHeight w:val="152"/>
        </w:trPr>
        <w:tc>
          <w:tcPr>
            <w:tcW w:w="3520" w:type="dxa"/>
            <w:vAlign w:val="bottom"/>
          </w:tcPr>
          <w:p>
            <w:pPr>
              <w:spacing w:after="0"/>
              <w:rPr>
                <w:sz w:val="20"/>
                <w:szCs w:val="20"/>
                <w:color w:val="auto"/>
              </w:rPr>
            </w:pPr>
            <w:r>
              <w:rPr>
                <w:rFonts w:ascii="Courier New" w:cs="Courier New" w:eastAsia="Courier New" w:hAnsi="Courier New"/>
                <w:sz w:val="13"/>
                <w:szCs w:val="13"/>
                <w:color w:val="auto"/>
              </w:rPr>
              <w:t>Total capitalization</w:t>
            </w:r>
          </w:p>
        </w:tc>
        <w:tc>
          <w:tcPr>
            <w:tcW w:w="1260" w:type="dxa"/>
            <w:vAlign w:val="bottom"/>
          </w:tcPr>
          <w:p>
            <w:pPr>
              <w:jc w:val="right"/>
              <w:ind w:right="194"/>
              <w:spacing w:after="0"/>
              <w:rPr>
                <w:sz w:val="20"/>
                <w:szCs w:val="20"/>
                <w:color w:val="auto"/>
              </w:rPr>
            </w:pPr>
            <w:r>
              <w:rPr>
                <w:rFonts w:ascii="Courier New" w:cs="Courier New" w:eastAsia="Courier New" w:hAnsi="Courier New"/>
                <w:sz w:val="13"/>
                <w:szCs w:val="13"/>
                <w:color w:val="auto"/>
              </w:rPr>
              <w:t>$ 636,039</w:t>
            </w:r>
          </w:p>
        </w:tc>
        <w:tc>
          <w:tcPr>
            <w:tcW w:w="1320" w:type="dxa"/>
            <w:vAlign w:val="bottom"/>
            <w:gridSpan w:val="2"/>
          </w:tcPr>
          <w:p>
            <w:pPr>
              <w:jc w:val="right"/>
              <w:ind w:right="174"/>
              <w:spacing w:after="0"/>
              <w:rPr>
                <w:sz w:val="20"/>
                <w:szCs w:val="20"/>
                <w:color w:val="auto"/>
              </w:rPr>
            </w:pPr>
            <w:r>
              <w:rPr>
                <w:rFonts w:ascii="Courier New" w:cs="Courier New" w:eastAsia="Courier New" w:hAnsi="Courier New"/>
                <w:sz w:val="13"/>
                <w:szCs w:val="13"/>
                <w:color w:val="auto"/>
              </w:rPr>
              <w:t>$ 667,391</w:t>
            </w:r>
          </w:p>
        </w:tc>
      </w:tr>
      <w:tr>
        <w:trPr>
          <w:trHeight w:val="152"/>
        </w:trPr>
        <w:tc>
          <w:tcPr>
            <w:tcW w:w="3520" w:type="dxa"/>
            <w:vAlign w:val="bottom"/>
          </w:tcPr>
          <w:p>
            <w:pPr>
              <w:spacing w:after="0"/>
              <w:rPr>
                <w:sz w:val="13"/>
                <w:szCs w:val="13"/>
                <w:color w:val="auto"/>
              </w:rPr>
            </w:pPr>
          </w:p>
        </w:tc>
        <w:tc>
          <w:tcPr>
            <w:tcW w:w="1260" w:type="dxa"/>
            <w:vAlign w:val="bottom"/>
          </w:tcPr>
          <w:p>
            <w:pPr>
              <w:jc w:val="right"/>
              <w:ind w:right="194"/>
              <w:spacing w:after="0"/>
              <w:rPr>
                <w:sz w:val="20"/>
                <w:szCs w:val="20"/>
                <w:color w:val="auto"/>
              </w:rPr>
            </w:pPr>
            <w:r>
              <w:rPr>
                <w:rFonts w:ascii="Courier New" w:cs="Courier New" w:eastAsia="Courier New" w:hAnsi="Courier New"/>
                <w:sz w:val="13"/>
                <w:szCs w:val="13"/>
                <w:color w:val="auto"/>
              </w:rPr>
              <w:t>=========</w:t>
            </w:r>
          </w:p>
        </w:tc>
        <w:tc>
          <w:tcPr>
            <w:tcW w:w="1320" w:type="dxa"/>
            <w:vAlign w:val="bottom"/>
            <w:gridSpan w:val="2"/>
          </w:tcPr>
          <w:p>
            <w:pPr>
              <w:jc w:val="right"/>
              <w:ind w:right="174"/>
              <w:spacing w:after="0"/>
              <w:rPr>
                <w:sz w:val="20"/>
                <w:szCs w:val="20"/>
                <w:color w:val="auto"/>
              </w:rPr>
            </w:pPr>
            <w:r>
              <w:rPr>
                <w:rFonts w:ascii="Courier New" w:cs="Courier New" w:eastAsia="Courier New" w:hAnsi="Courier New"/>
                <w:sz w:val="13"/>
                <w:szCs w:val="13"/>
                <w:color w:val="auto"/>
              </w:rPr>
              <w:t>=========</w:t>
            </w:r>
          </w:p>
        </w:tc>
      </w:tr>
    </w:tbl>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w:t>
      </w:r>
    </w:p>
    <w:p>
      <w:pPr>
        <w:spacing w:after="0" w:line="157" w:lineRule="exact"/>
        <w:rPr>
          <w:sz w:val="20"/>
          <w:szCs w:val="20"/>
          <w:color w:val="auto"/>
        </w:rPr>
      </w:pPr>
    </w:p>
    <w:p>
      <w:pPr>
        <w:ind w:right="4219"/>
        <w:spacing w:after="0" w:line="249" w:lineRule="auto"/>
        <w:rPr>
          <w:sz w:val="20"/>
          <w:szCs w:val="20"/>
          <w:color w:val="auto"/>
        </w:rPr>
      </w:pPr>
      <w:r>
        <w:rPr>
          <w:rFonts w:ascii="Courier New" w:cs="Courier New" w:eastAsia="Courier New" w:hAnsi="Courier New"/>
          <w:sz w:val="13"/>
          <w:szCs w:val="13"/>
          <w:color w:val="auto"/>
        </w:rPr>
        <w:t>This financial data is derived from unaudited interim consolidated financial statements as of March 31, 2006.</w:t>
      </w:r>
    </w:p>
    <w:p>
      <w:pPr>
        <w:spacing w:after="0" w:line="151" w:lineRule="exact"/>
        <w:rPr>
          <w:sz w:val="20"/>
          <w:szCs w:val="20"/>
          <w:color w:val="auto"/>
        </w:rPr>
      </w:pPr>
    </w:p>
    <w:p>
      <w:pPr>
        <w:ind w:left="400" w:right="3979" w:hanging="399"/>
        <w:spacing w:after="0" w:line="248" w:lineRule="auto"/>
        <w:tabs>
          <w:tab w:leader="none" w:pos="400" w:val="left"/>
        </w:tabs>
        <w:numPr>
          <w:ilvl w:val="0"/>
          <w:numId w:val="11"/>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March 2006, our Board of Directors approved the increase of our authorized shares to 800 million. This increase is subject to the approval of our shareholders.</w:t>
      </w:r>
    </w:p>
    <w:p>
      <w:pPr>
        <w:spacing w:after="0" w:line="152" w:lineRule="exact"/>
        <w:rPr>
          <w:sz w:val="20"/>
          <w:szCs w:val="20"/>
          <w:color w:val="auto"/>
        </w:rPr>
      </w:pPr>
    </w:p>
    <w:p>
      <w:pPr>
        <w:ind w:left="400" w:hanging="399"/>
        <w:spacing w:after="0"/>
        <w:tabs>
          <w:tab w:leader="none" w:pos="400" w:val="left"/>
        </w:tabs>
        <w:numPr>
          <w:ilvl w:val="0"/>
          <w:numId w:val="1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Includes 1,300,000 treasury shares.</w:t>
      </w:r>
    </w:p>
    <w:p>
      <w:pPr>
        <w:spacing w:after="0" w:line="157" w:lineRule="exact"/>
        <w:rPr>
          <w:sz w:val="20"/>
          <w:szCs w:val="20"/>
          <w:color w:val="auto"/>
        </w:rPr>
      </w:pPr>
    </w:p>
    <w:p>
      <w:pPr>
        <w:ind w:left="400" w:right="3979" w:hanging="399"/>
        <w:spacing w:after="0" w:line="248" w:lineRule="auto"/>
        <w:tabs>
          <w:tab w:leader="none" w:pos="400" w:val="left"/>
        </w:tabs>
        <w:numPr>
          <w:ilvl w:val="0"/>
          <w:numId w:val="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As adjusted to reflect our issuance of NIS 163,800,000 in principal amount of convertible debentures, 390,000 options to purchase convertible debentures, 10,920,000 3-month warrants and 5,460,000 3-year warrants as well as our issuance of NIS 630,000 in principal amount of convertible debentures, 1,500 options to purchase convertible debentures, 42,000</w:t>
      </w:r>
    </w:p>
    <w:p>
      <w:pPr>
        <w:ind w:left="400" w:right="4059"/>
        <w:spacing w:after="0" w:line="248"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3-month warrants and 21,000 3-year warrants to IBI Israel Brokerage and Investment Services Ltd., which has agreed to be our market maker. The amounts are adjusted to reflect the estimated immediate gross proceeds to be received from this offering.</w:t>
      </w:r>
    </w:p>
    <w:p>
      <w:pPr>
        <w:spacing w:after="0" w:line="304"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25</w:t>
      </w:r>
    </w:p>
    <w:p>
      <w:pPr>
        <w:spacing w:after="0" w:line="200" w:lineRule="exact"/>
        <w:rPr>
          <w:sz w:val="20"/>
          <w:szCs w:val="20"/>
          <w:color w:val="auto"/>
        </w:rPr>
      </w:pPr>
    </w:p>
    <w:p>
      <w:pPr>
        <w:spacing w:after="0" w:line="241" w:lineRule="exact"/>
        <w:rPr>
          <w:sz w:val="20"/>
          <w:szCs w:val="20"/>
          <w:color w:val="auto"/>
        </w:rPr>
      </w:pPr>
    </w:p>
    <w:p>
      <w:pPr>
        <w:ind w:right="4539" w:firstLine="396"/>
        <w:spacing w:after="0" w:line="249" w:lineRule="auto"/>
        <w:rPr>
          <w:sz w:val="20"/>
          <w:szCs w:val="20"/>
          <w:color w:val="auto"/>
        </w:rPr>
      </w:pPr>
      <w:r>
        <w:rPr>
          <w:rFonts w:ascii="Courier New" w:cs="Courier New" w:eastAsia="Courier New" w:hAnsi="Courier New"/>
          <w:sz w:val="13"/>
          <w:szCs w:val="13"/>
          <w:color w:val="auto"/>
        </w:rPr>
        <w:t>The information set forth on an actual basis in the foregoing table excludes the following securities as of May 19, 2006:</w:t>
      </w:r>
    </w:p>
    <w:p>
      <w:pPr>
        <w:spacing w:after="0" w:line="151" w:lineRule="exact"/>
        <w:rPr>
          <w:sz w:val="20"/>
          <w:szCs w:val="20"/>
          <w:color w:val="auto"/>
        </w:rPr>
      </w:pPr>
    </w:p>
    <w:p>
      <w:pPr>
        <w:ind w:right="3979" w:firstLine="397"/>
        <w:spacing w:after="0" w:line="248" w:lineRule="auto"/>
        <w:tabs>
          <w:tab w:leader="none" w:pos="712" w:val="left"/>
        </w:tabs>
        <w:numPr>
          <w:ilvl w:val="0"/>
          <w:numId w:val="14"/>
        </w:numPr>
        <w:rPr>
          <w:rFonts w:ascii="Courier New" w:cs="Courier New" w:eastAsia="Courier New" w:hAnsi="Courier New"/>
          <w:sz w:val="13"/>
          <w:szCs w:val="13"/>
          <w:color w:val="auto"/>
        </w:rPr>
      </w:pPr>
      <w:r>
        <w:rPr>
          <w:rFonts w:ascii="Courier New" w:cs="Courier New" w:eastAsia="Courier New" w:hAnsi="Courier New"/>
          <w:sz w:val="13"/>
          <w:szCs w:val="13"/>
          <w:color w:val="auto"/>
        </w:rPr>
        <w:t>approximately 13 million ordinary shares issuable upon exercise of options granted to employees and directors at a weighted average exercise price of $4.15;</w:t>
      </w:r>
    </w:p>
    <w:p>
      <w:pPr>
        <w:spacing w:after="0" w:line="152" w:lineRule="exact"/>
        <w:rPr>
          <w:rFonts w:ascii="Courier New" w:cs="Courier New" w:eastAsia="Courier New" w:hAnsi="Courier New"/>
          <w:sz w:val="13"/>
          <w:szCs w:val="13"/>
          <w:color w:val="auto"/>
        </w:rPr>
      </w:pPr>
    </w:p>
    <w:p>
      <w:pPr>
        <w:ind w:right="3899" w:firstLine="397"/>
        <w:spacing w:after="0" w:line="248" w:lineRule="auto"/>
        <w:tabs>
          <w:tab w:leader="none" w:pos="791" w:val="left"/>
        </w:tabs>
        <w:numPr>
          <w:ilvl w:val="0"/>
          <w:numId w:val="14"/>
        </w:numPr>
        <w:rPr>
          <w:rFonts w:ascii="Courier New" w:cs="Courier New" w:eastAsia="Courier New" w:hAnsi="Courier New"/>
          <w:sz w:val="13"/>
          <w:szCs w:val="13"/>
          <w:color w:val="auto"/>
        </w:rPr>
      </w:pPr>
      <w:r>
        <w:rPr>
          <w:rFonts w:ascii="Courier New" w:cs="Courier New" w:eastAsia="Courier New" w:hAnsi="Courier New"/>
          <w:sz w:val="13"/>
          <w:szCs w:val="13"/>
          <w:color w:val="auto"/>
        </w:rPr>
        <w:t>up to 2,022,801 ordinary shares issuable upon conversion of unsecured, subordinated convertible debentures, net that we issued in January 2002, which are convertible through December 31, 2008;</w:t>
      </w:r>
    </w:p>
    <w:p>
      <w:pPr>
        <w:spacing w:after="0" w:line="152" w:lineRule="exact"/>
        <w:rPr>
          <w:rFonts w:ascii="Courier New" w:cs="Courier New" w:eastAsia="Courier New" w:hAnsi="Courier New"/>
          <w:sz w:val="13"/>
          <w:szCs w:val="13"/>
          <w:color w:val="auto"/>
        </w:rPr>
      </w:pPr>
    </w:p>
    <w:p>
      <w:pPr>
        <w:ind w:right="3979" w:firstLine="397"/>
        <w:spacing w:after="0" w:line="249" w:lineRule="auto"/>
        <w:tabs>
          <w:tab w:leader="none" w:pos="871" w:val="left"/>
        </w:tabs>
        <w:numPr>
          <w:ilvl w:val="0"/>
          <w:numId w:val="14"/>
        </w:numPr>
        <w:rPr>
          <w:rFonts w:ascii="Courier New" w:cs="Courier New" w:eastAsia="Courier New" w:hAnsi="Courier New"/>
          <w:sz w:val="13"/>
          <w:szCs w:val="13"/>
          <w:color w:val="auto"/>
        </w:rPr>
      </w:pPr>
      <w:r>
        <w:rPr>
          <w:rFonts w:ascii="Courier New" w:cs="Courier New" w:eastAsia="Courier New" w:hAnsi="Courier New"/>
          <w:sz w:val="13"/>
          <w:szCs w:val="13"/>
          <w:color w:val="auto"/>
        </w:rPr>
        <w:t>3,594,070 ordinary shares issuable upon exercise of warrants with an exercise price of $7.50 exercisable until October 2006;</w:t>
      </w:r>
    </w:p>
    <w:p>
      <w:pPr>
        <w:spacing w:after="0" w:line="151" w:lineRule="exact"/>
        <w:rPr>
          <w:rFonts w:ascii="Courier New" w:cs="Courier New" w:eastAsia="Courier New" w:hAnsi="Courier New"/>
          <w:sz w:val="13"/>
          <w:szCs w:val="13"/>
          <w:color w:val="auto"/>
        </w:rPr>
      </w:pPr>
    </w:p>
    <w:p>
      <w:pPr>
        <w:ind w:right="3979" w:firstLine="397"/>
        <w:spacing w:after="0" w:line="248" w:lineRule="auto"/>
        <w:tabs>
          <w:tab w:leader="none" w:pos="791" w:val="left"/>
        </w:tabs>
        <w:numPr>
          <w:ilvl w:val="0"/>
          <w:numId w:val="14"/>
        </w:numPr>
        <w:rPr>
          <w:rFonts w:ascii="Courier New" w:cs="Courier New" w:eastAsia="Courier New" w:hAnsi="Courier New"/>
          <w:sz w:val="13"/>
          <w:szCs w:val="13"/>
          <w:color w:val="auto"/>
        </w:rPr>
      </w:pPr>
      <w:r>
        <w:rPr>
          <w:rFonts w:ascii="Courier New" w:cs="Courier New" w:eastAsia="Courier New" w:hAnsi="Courier New"/>
          <w:sz w:val="13"/>
          <w:szCs w:val="13"/>
          <w:color w:val="auto"/>
        </w:rPr>
        <w:t>896,596 ordinary shares issuable upon the exercise of warrants issued to our banks in connection with our credit facility with an exercise price of $6.17 per share exercisable until December 2008;</w:t>
      </w:r>
    </w:p>
    <w:p>
      <w:pPr>
        <w:spacing w:after="0" w:line="152" w:lineRule="exact"/>
        <w:rPr>
          <w:rFonts w:ascii="Courier New" w:cs="Courier New" w:eastAsia="Courier New" w:hAnsi="Courier New"/>
          <w:sz w:val="13"/>
          <w:szCs w:val="13"/>
          <w:color w:val="auto"/>
        </w:rPr>
      </w:pPr>
    </w:p>
    <w:p>
      <w:pPr>
        <w:ind w:left="720" w:hanging="323"/>
        <w:spacing w:after="0"/>
        <w:tabs>
          <w:tab w:leader="none" w:pos="720" w:val="left"/>
        </w:tabs>
        <w:numPr>
          <w:ilvl w:val="0"/>
          <w:numId w:val="14"/>
        </w:numPr>
        <w:rPr>
          <w:rFonts w:ascii="Courier New" w:cs="Courier New" w:eastAsia="Courier New" w:hAnsi="Courier New"/>
          <w:sz w:val="13"/>
          <w:szCs w:val="13"/>
          <w:color w:val="auto"/>
        </w:rPr>
      </w:pPr>
      <w:r>
        <w:rPr>
          <w:rFonts w:ascii="Courier New" w:cs="Courier New" w:eastAsia="Courier New" w:hAnsi="Courier New"/>
          <w:sz w:val="13"/>
          <w:szCs w:val="13"/>
          <w:color w:val="auto"/>
        </w:rPr>
        <w:t>58,906 ordinary shares issuable upon exercise of warrants issued to</w:t>
      </w:r>
    </w:p>
    <w:p>
      <w:pPr>
        <w:sectPr>
          <w:pgSz w:w="11900" w:h="16886" w:orient="portrait"/>
          <w:cols w:equalWidth="0" w:num="1">
            <w:col w:w="10239"/>
          </w:cols>
          <w:pgMar w:left="220" w:top="141" w:right="1440" w:bottom="0" w:gutter="0" w:footer="0" w:header="0"/>
        </w:sectPr>
      </w:pPr>
    </w:p>
    <w:bookmarkStart w:id="17" w:name="page18"/>
    <w:bookmarkEnd w:id="17"/>
    <w:p>
      <w:pPr>
        <w:spacing w:after="0" w:line="73" w:lineRule="exact"/>
        <w:rPr>
          <w:sz w:val="20"/>
          <w:szCs w:val="20"/>
          <w:color w:val="auto"/>
        </w:rPr>
      </w:pPr>
    </w:p>
    <w:p>
      <w:pPr>
        <w:ind w:right="480"/>
        <w:spacing w:after="0" w:line="248" w:lineRule="auto"/>
        <w:rPr>
          <w:sz w:val="20"/>
          <w:szCs w:val="20"/>
          <w:color w:val="auto"/>
        </w:rPr>
      </w:pPr>
      <w:r>
        <w:rPr>
          <w:rFonts w:ascii="Courier New" w:cs="Courier New" w:eastAsia="Courier New" w:hAnsi="Courier New"/>
          <w:sz w:val="13"/>
          <w:szCs w:val="13"/>
          <w:color w:val="auto"/>
        </w:rPr>
        <w:t>Israel Corp. in connection with the November 2003 amendment to our facility agreement with an exercise price of $6.17 per share and exercisable until December 2008;</w:t>
      </w:r>
    </w:p>
    <w:p>
      <w:pPr>
        <w:spacing w:after="0" w:line="152" w:lineRule="exact"/>
        <w:rPr>
          <w:sz w:val="20"/>
          <w:szCs w:val="20"/>
          <w:color w:val="auto"/>
        </w:rPr>
      </w:pPr>
    </w:p>
    <w:p>
      <w:pPr>
        <w:ind w:right="160" w:firstLine="397"/>
        <w:spacing w:after="0" w:line="248" w:lineRule="auto"/>
        <w:tabs>
          <w:tab w:leader="none" w:pos="791" w:val="left"/>
        </w:tabs>
        <w:numPr>
          <w:ilvl w:val="0"/>
          <w:numId w:val="15"/>
        </w:numPr>
        <w:rPr>
          <w:rFonts w:ascii="Courier New" w:cs="Courier New" w:eastAsia="Courier New" w:hAnsi="Courier New"/>
          <w:sz w:val="13"/>
          <w:szCs w:val="13"/>
          <w:color w:val="auto"/>
        </w:rPr>
      </w:pPr>
      <w:r>
        <w:rPr>
          <w:rFonts w:ascii="Courier New" w:cs="Courier New" w:eastAsia="Courier New" w:hAnsi="Courier New"/>
          <w:sz w:val="13"/>
          <w:szCs w:val="13"/>
          <w:color w:val="auto"/>
        </w:rPr>
        <w:t>8,264,464 ordinary shares issuable upon exercise of the warrants we issued to our banks with an exercise price of $1.21 in connection with the July 2005 amendment to our facility agreement one-half of which shall only be exercisable if our banks agree to reschedule the repayment dates of the loans made available to us under the July 2005 amendment; and</w:t>
      </w:r>
    </w:p>
    <w:p>
      <w:pPr>
        <w:spacing w:after="0" w:line="152" w:lineRule="exact"/>
        <w:rPr>
          <w:rFonts w:ascii="Courier New" w:cs="Courier New" w:eastAsia="Courier New" w:hAnsi="Courier New"/>
          <w:sz w:val="13"/>
          <w:szCs w:val="13"/>
          <w:color w:val="auto"/>
        </w:rPr>
      </w:pPr>
    </w:p>
    <w:p>
      <w:pPr>
        <w:ind w:right="80" w:firstLine="397"/>
        <w:spacing w:after="0" w:line="248" w:lineRule="auto"/>
        <w:tabs>
          <w:tab w:leader="none" w:pos="871" w:val="left"/>
        </w:tabs>
        <w:numPr>
          <w:ilvl w:val="0"/>
          <w:numId w:val="15"/>
        </w:numPr>
        <w:rPr>
          <w:rFonts w:ascii="Courier New" w:cs="Courier New" w:eastAsia="Courier New" w:hAnsi="Courier New"/>
          <w:sz w:val="13"/>
          <w:szCs w:val="13"/>
          <w:color w:val="auto"/>
        </w:rPr>
      </w:pPr>
      <w:r>
        <w:rPr>
          <w:rFonts w:ascii="Courier New" w:cs="Courier New" w:eastAsia="Courier New" w:hAnsi="Courier New"/>
          <w:sz w:val="13"/>
          <w:szCs w:val="13"/>
          <w:color w:val="auto"/>
        </w:rPr>
        <w:t>37,789,535 ordinary shares issuable upon conversion of our debentures due 2012 convertible until December 2011, pursuant to the prospectus dated December 15, 2005.</w:t>
      </w:r>
    </w:p>
    <w:p>
      <w:pPr>
        <w:spacing w:after="0" w:line="152" w:lineRule="exact"/>
        <w:rPr>
          <w:sz w:val="20"/>
          <w:szCs w:val="20"/>
          <w:color w:val="auto"/>
        </w:rPr>
      </w:pPr>
    </w:p>
    <w:p>
      <w:pPr>
        <w:ind w:right="160" w:firstLine="396"/>
        <w:spacing w:after="0" w:line="248" w:lineRule="auto"/>
        <w:rPr>
          <w:sz w:val="20"/>
          <w:szCs w:val="20"/>
          <w:color w:val="auto"/>
        </w:rPr>
      </w:pPr>
      <w:r>
        <w:rPr>
          <w:rFonts w:ascii="Courier New" w:cs="Courier New" w:eastAsia="Courier New" w:hAnsi="Courier New"/>
          <w:sz w:val="13"/>
          <w:szCs w:val="13"/>
          <w:color w:val="auto"/>
        </w:rPr>
        <w:t>In addition, the information does not reflect the 724,680 shares issued in April 2006 to two of our wafer partners in connection with their conversion of wafer credits.</w:t>
      </w:r>
    </w:p>
    <w:p>
      <w:pPr>
        <w:spacing w:after="0" w:line="152" w:lineRule="exact"/>
        <w:rPr>
          <w:sz w:val="20"/>
          <w:szCs w:val="20"/>
          <w:color w:val="auto"/>
        </w:rPr>
      </w:pPr>
    </w:p>
    <w:p>
      <w:pPr>
        <w:ind w:right="80" w:firstLine="396"/>
        <w:spacing w:after="0" w:line="248" w:lineRule="auto"/>
        <w:rPr>
          <w:sz w:val="20"/>
          <w:szCs w:val="20"/>
          <w:color w:val="auto"/>
        </w:rPr>
      </w:pPr>
      <w:r>
        <w:rPr>
          <w:rFonts w:ascii="Courier New" w:cs="Courier New" w:eastAsia="Courier New" w:hAnsi="Courier New"/>
          <w:sz w:val="13"/>
          <w:szCs w:val="13"/>
          <w:color w:val="auto"/>
        </w:rPr>
        <w:t>This information does not take into account the following potential dilutive issuances of securities pursuant to our credit facility agreement and agreements with our major wafer partners and with Israel Corp. which cannot be calculated as of the date of this prospectus since the number of shares issuable will depend upon future transactions in which we may engage: (i) ordinary shares issuable upon conversion of up to approximately $30 million in wafer prepayment credits (as of May 19, 2006) which we have issued to our major wafer partners; and (ii) ordinary shares issuable upon conversion of securities we may be required to issue in connection with a rights offering and outside investor provisions agreed to in the November 2003 amendment to our facility agreement.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USE OF PROCEEDS</w:t>
      </w:r>
    </w:p>
    <w:p>
      <w:pPr>
        <w:spacing w:after="0" w:line="157" w:lineRule="exact"/>
        <w:rPr>
          <w:sz w:val="20"/>
          <w:szCs w:val="20"/>
          <w:color w:val="auto"/>
        </w:rPr>
      </w:pPr>
    </w:p>
    <w:p>
      <w:pPr>
        <w:ind w:right="240" w:firstLine="396"/>
        <w:spacing w:after="0" w:line="248" w:lineRule="auto"/>
        <w:rPr>
          <w:sz w:val="20"/>
          <w:szCs w:val="20"/>
          <w:color w:val="auto"/>
        </w:rPr>
      </w:pPr>
      <w:r>
        <w:rPr>
          <w:rFonts w:ascii="Courier New" w:cs="Courier New" w:eastAsia="Courier New" w:hAnsi="Courier New"/>
          <w:sz w:val="13"/>
          <w:szCs w:val="13"/>
          <w:color w:val="auto"/>
        </w:rPr>
        <w:t>We intend to use the net proceeds from this offering towards the further ramp-up and deployment of Fab 2 and for marketing expenses for the sale of our products and services as well as for general corporate purposes, including working capital.</w:t>
      </w:r>
    </w:p>
    <w:p>
      <w:pPr>
        <w:spacing w:after="0" w:line="152" w:lineRule="exact"/>
        <w:rPr>
          <w:sz w:val="20"/>
          <w:szCs w:val="20"/>
          <w:color w:val="auto"/>
        </w:rPr>
      </w:pPr>
    </w:p>
    <w:p>
      <w:pPr>
        <w:ind w:right="160" w:firstLine="396"/>
        <w:spacing w:after="0" w:line="248" w:lineRule="auto"/>
        <w:rPr>
          <w:sz w:val="20"/>
          <w:szCs w:val="20"/>
          <w:color w:val="auto"/>
        </w:rPr>
      </w:pPr>
      <w:r>
        <w:rPr>
          <w:rFonts w:ascii="Courier New" w:cs="Courier New" w:eastAsia="Courier New" w:hAnsi="Courier New"/>
          <w:sz w:val="13"/>
          <w:szCs w:val="13"/>
          <w:color w:val="auto"/>
        </w:rPr>
        <w:t>The net proceeds that we will receive from this offering are estimated to be $28.8 million after deduction of the underwriters' fees and commissions and the estimated expenses of the offering and the issuance of NIS 630,000 in principal amount of convertible debentures, 1,500 options to purchase convertible debentures, 42,000 3-month warrants and 21,000 3-year warrants to IBI Israel Brokerage and Investment Services Ltd., which has agreed to be our market maker in consideration for NIS 526,000. The aforementioned does not take into account proceeds that may be received from the exercise of the warrants or the options to purchase convertible debentures.</w:t>
      </w:r>
    </w:p>
    <w:p>
      <w:pPr>
        <w:spacing w:after="0" w:line="152" w:lineRule="exact"/>
        <w:rPr>
          <w:sz w:val="20"/>
          <w:szCs w:val="20"/>
          <w:color w:val="auto"/>
        </w:rPr>
      </w:pPr>
    </w:p>
    <w:p>
      <w:pPr>
        <w:ind w:right="160" w:firstLine="396"/>
        <w:spacing w:after="0" w:line="249" w:lineRule="auto"/>
        <w:rPr>
          <w:sz w:val="20"/>
          <w:szCs w:val="20"/>
          <w:color w:val="auto"/>
        </w:rPr>
      </w:pPr>
      <w:r>
        <w:rPr>
          <w:rFonts w:ascii="Courier New" w:cs="Courier New" w:eastAsia="Courier New" w:hAnsi="Courier New"/>
          <w:sz w:val="13"/>
          <w:szCs w:val="13"/>
          <w:color w:val="auto"/>
        </w:rPr>
        <w:t>For the purposes of estimating net proceeds we have assumed that each unit will be sold at the minimum price of NIS 1,785 per unit.</w:t>
      </w: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26</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OPERATING AND FINANCIAL REVIEW AND PROSPECTS</w:t>
      </w:r>
    </w:p>
    <w:p>
      <w:pPr>
        <w:spacing w:after="0" w:line="157" w:lineRule="exact"/>
        <w:rPr>
          <w:sz w:val="20"/>
          <w:szCs w:val="20"/>
          <w:color w:val="auto"/>
        </w:rPr>
      </w:pPr>
    </w:p>
    <w:p>
      <w:pPr>
        <w:ind w:right="80" w:firstLine="396"/>
        <w:spacing w:after="0" w:line="248" w:lineRule="auto"/>
        <w:rPr>
          <w:sz w:val="20"/>
          <w:szCs w:val="20"/>
          <w:color w:val="auto"/>
        </w:rPr>
      </w:pPr>
      <w:r>
        <w:rPr>
          <w:rFonts w:ascii="Courier New" w:cs="Courier New" w:eastAsia="Courier New" w:hAnsi="Courier New"/>
          <w:sz w:val="13"/>
          <w:szCs w:val="13"/>
          <w:color w:val="auto"/>
        </w:rPr>
        <w:t>See our audited consolidated financial statements for the year ended December 31, 2005, included in our Form 6-K, filed on February 2, 2006 and "Management's Discussion and Analysis of Financial Condition and Results of Operations" attached as exhibit 99.3 thereto and our unaudited consolidated financial statements for the three months ended March 31, 2006, included in our Form 6-K, filed on May 18, 2006 and "Management's Discussion and Analysis of Financial Condition and Results of Operations" attached as exhibit 99.2 thereto, as amended on Form 6-K/A on June 19, 2006.</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MAJOR SHAREHOLDERS</w:t>
      </w:r>
    </w:p>
    <w:p>
      <w:pPr>
        <w:spacing w:after="0" w:line="157" w:lineRule="exact"/>
        <w:rPr>
          <w:sz w:val="20"/>
          <w:szCs w:val="20"/>
          <w:color w:val="auto"/>
        </w:rPr>
      </w:pPr>
    </w:p>
    <w:p>
      <w:pPr>
        <w:ind w:right="80" w:firstLine="396"/>
        <w:spacing w:after="0" w:line="248" w:lineRule="auto"/>
        <w:rPr>
          <w:sz w:val="20"/>
          <w:szCs w:val="20"/>
          <w:color w:val="auto"/>
        </w:rPr>
      </w:pPr>
      <w:r>
        <w:rPr>
          <w:rFonts w:ascii="Courier New" w:cs="Courier New" w:eastAsia="Courier New" w:hAnsi="Courier New"/>
          <w:sz w:val="13"/>
          <w:szCs w:val="13"/>
          <w:color w:val="auto"/>
        </w:rPr>
        <w:t>The following table and notes thereto set forth information, as of May 19, 2006, concerning the beneficial ownership (as defined in Rule 13d-3 under the Securities Exchange Act of 1934, as amended), and on a diluted basis, of ordinary shares by any person who is known to own at least 5% of our issued and outstanding ordinary shares. On such date, 77,561,979 ordinary shares were issued and outstanding. The voting rights of our major shareholders do not differ from the voting rights of other holders of our ordinary shares. However, certain of our shareholders have entered into a shareholders agreement pursuant to which they may be able to exercise control over matters requiring shareholder approval, including the election of directors and approval of significant corporate transactions.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200" w:type="dxa"/>
            <w:vAlign w:val="bottom"/>
          </w:tcPr>
          <w:p>
            <w:pPr>
              <w:ind w:left="560"/>
              <w:spacing w:after="0"/>
              <w:rPr>
                <w:sz w:val="20"/>
                <w:szCs w:val="20"/>
                <w:color w:val="auto"/>
              </w:rPr>
            </w:pPr>
            <w:r>
              <w:rPr>
                <w:rFonts w:ascii="Courier New" w:cs="Courier New" w:eastAsia="Courier New" w:hAnsi="Courier New"/>
                <w:sz w:val="13"/>
                <w:szCs w:val="13"/>
                <w:color w:val="auto"/>
              </w:rPr>
              <w:t>IDENTITY OF PERSON OR GROUP</w:t>
            </w:r>
          </w:p>
        </w:tc>
        <w:tc>
          <w:tcPr>
            <w:tcW w:w="1540" w:type="dxa"/>
            <w:vAlign w:val="bottom"/>
          </w:tcPr>
          <w:p>
            <w:pPr>
              <w:jc w:val="right"/>
              <w:spacing w:after="0"/>
              <w:rPr>
                <w:sz w:val="20"/>
                <w:szCs w:val="20"/>
                <w:color w:val="auto"/>
              </w:rPr>
            </w:pPr>
            <w:r>
              <w:rPr>
                <w:rFonts w:ascii="Courier New" w:cs="Courier New" w:eastAsia="Courier New" w:hAnsi="Courier New"/>
                <w:sz w:val="13"/>
                <w:szCs w:val="13"/>
                <w:color w:val="auto"/>
              </w:rPr>
              <w:t>AMOUNT OWNED (1)</w:t>
            </w:r>
          </w:p>
        </w:tc>
        <w:tc>
          <w:tcPr>
            <w:tcW w:w="1680" w:type="dxa"/>
            <w:vAlign w:val="bottom"/>
          </w:tcPr>
          <w:p>
            <w:pPr>
              <w:ind w:left="80"/>
              <w:spacing w:after="0"/>
              <w:rPr>
                <w:sz w:val="20"/>
                <w:szCs w:val="20"/>
                <w:color w:val="auto"/>
              </w:rPr>
            </w:pPr>
            <w:r>
              <w:rPr>
                <w:rFonts w:ascii="Courier New" w:cs="Courier New" w:eastAsia="Courier New" w:hAnsi="Courier New"/>
                <w:sz w:val="13"/>
                <w:szCs w:val="13"/>
                <w:color w:val="auto"/>
              </w:rPr>
              <w:t>PERCENT OF CLASS (1)</w:t>
            </w:r>
          </w:p>
        </w:tc>
      </w:tr>
      <w:tr>
        <w:trPr>
          <w:trHeight w:val="152"/>
        </w:trPr>
        <w:tc>
          <w:tcPr>
            <w:tcW w:w="3200" w:type="dxa"/>
            <w:vAlign w:val="bottom"/>
          </w:tcPr>
          <w:p>
            <w:pPr>
              <w:ind w:left="560"/>
              <w:spacing w:after="0"/>
              <w:rPr>
                <w:sz w:val="20"/>
                <w:szCs w:val="20"/>
                <w:color w:val="auto"/>
              </w:rPr>
            </w:pPr>
            <w:r>
              <w:rPr>
                <w:rFonts w:ascii="Courier New" w:cs="Courier New" w:eastAsia="Courier New" w:hAnsi="Courier New"/>
                <w:sz w:val="13"/>
                <w:szCs w:val="13"/>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3"/>
                <w:szCs w:val="13"/>
                <w:color w:val="auto"/>
              </w:rPr>
              <w:t>----------------</w:t>
            </w:r>
          </w:p>
        </w:tc>
        <w:tc>
          <w:tcPr>
            <w:tcW w:w="1680" w:type="dxa"/>
            <w:vAlign w:val="bottom"/>
          </w:tcPr>
          <w:p>
            <w:pPr>
              <w:ind w:left="80"/>
              <w:spacing w:after="0"/>
              <w:rPr>
                <w:sz w:val="20"/>
                <w:szCs w:val="20"/>
                <w:color w:val="auto"/>
              </w:rPr>
            </w:pPr>
            <w:r>
              <w:rPr>
                <w:rFonts w:ascii="Courier New" w:cs="Courier New" w:eastAsia="Courier New" w:hAnsi="Courier New"/>
                <w:sz w:val="13"/>
                <w:szCs w:val="13"/>
                <w:color w:val="auto"/>
              </w:rPr>
              <w:t>-------------------</w:t>
            </w:r>
          </w:p>
        </w:tc>
      </w:tr>
      <w:tr>
        <w:trPr>
          <w:trHeight w:val="304"/>
        </w:trPr>
        <w:tc>
          <w:tcPr>
            <w:tcW w:w="3200" w:type="dxa"/>
            <w:vAlign w:val="bottom"/>
          </w:tcPr>
          <w:p>
            <w:pPr>
              <w:spacing w:after="0"/>
              <w:rPr>
                <w:sz w:val="20"/>
                <w:szCs w:val="20"/>
                <w:color w:val="auto"/>
              </w:rPr>
            </w:pPr>
            <w:r>
              <w:rPr>
                <w:rFonts w:ascii="Courier New" w:cs="Courier New" w:eastAsia="Courier New" w:hAnsi="Courier New"/>
                <w:sz w:val="13"/>
                <w:szCs w:val="13"/>
                <w:color w:val="auto"/>
              </w:rPr>
              <w:t>Israel Corporation Ltd. (3)</w:t>
            </w:r>
          </w:p>
        </w:tc>
        <w:tc>
          <w:tcPr>
            <w:tcW w:w="1540" w:type="dxa"/>
            <w:vAlign w:val="bottom"/>
          </w:tcPr>
          <w:p>
            <w:pPr>
              <w:jc w:val="right"/>
              <w:ind w:right="154"/>
              <w:spacing w:after="0"/>
              <w:rPr>
                <w:sz w:val="20"/>
                <w:szCs w:val="20"/>
                <w:color w:val="auto"/>
              </w:rPr>
            </w:pPr>
            <w:r>
              <w:rPr>
                <w:rFonts w:ascii="Courier New" w:cs="Courier New" w:eastAsia="Courier New" w:hAnsi="Courier New"/>
                <w:sz w:val="13"/>
                <w:szCs w:val="13"/>
                <w:color w:val="auto"/>
              </w:rPr>
              <w:t>33,324,887(4)</w:t>
            </w:r>
          </w:p>
        </w:tc>
        <w:tc>
          <w:tcPr>
            <w:tcW w:w="1680" w:type="dxa"/>
            <w:vAlign w:val="bottom"/>
          </w:tcPr>
          <w:p>
            <w:pPr>
              <w:jc w:val="right"/>
              <w:ind w:right="574"/>
              <w:spacing w:after="0"/>
              <w:rPr>
                <w:sz w:val="20"/>
                <w:szCs w:val="20"/>
                <w:color w:val="auto"/>
              </w:rPr>
            </w:pPr>
            <w:r>
              <w:rPr>
                <w:rFonts w:ascii="Courier New" w:cs="Courier New" w:eastAsia="Courier New" w:hAnsi="Courier New"/>
                <w:sz w:val="13"/>
                <w:szCs w:val="13"/>
                <w:color w:val="auto"/>
              </w:rPr>
              <w:t>34.49%</w:t>
            </w:r>
          </w:p>
        </w:tc>
      </w:tr>
      <w:tr>
        <w:trPr>
          <w:trHeight w:val="304"/>
        </w:trPr>
        <w:tc>
          <w:tcPr>
            <w:tcW w:w="3200" w:type="dxa"/>
            <w:vAlign w:val="bottom"/>
          </w:tcPr>
          <w:p>
            <w:pPr>
              <w:spacing w:after="0"/>
              <w:rPr>
                <w:sz w:val="20"/>
                <w:szCs w:val="20"/>
                <w:color w:val="auto"/>
              </w:rPr>
            </w:pPr>
            <w:r>
              <w:rPr>
                <w:rFonts w:ascii="Courier New" w:cs="Courier New" w:eastAsia="Courier New" w:hAnsi="Courier New"/>
                <w:sz w:val="13"/>
                <w:szCs w:val="13"/>
                <w:color w:val="auto"/>
              </w:rPr>
              <w:t>SanDisk Corporation (3)</w:t>
            </w:r>
          </w:p>
        </w:tc>
        <w:tc>
          <w:tcPr>
            <w:tcW w:w="1540" w:type="dxa"/>
            <w:vAlign w:val="bottom"/>
          </w:tcPr>
          <w:p>
            <w:pPr>
              <w:jc w:val="right"/>
              <w:ind w:right="154"/>
              <w:spacing w:after="0"/>
              <w:rPr>
                <w:sz w:val="20"/>
                <w:szCs w:val="20"/>
                <w:color w:val="auto"/>
              </w:rPr>
            </w:pPr>
            <w:r>
              <w:rPr>
                <w:rFonts w:ascii="Courier New" w:cs="Courier New" w:eastAsia="Courier New" w:hAnsi="Courier New"/>
                <w:sz w:val="13"/>
                <w:szCs w:val="13"/>
                <w:color w:val="auto"/>
              </w:rPr>
              <w:t>14,650,132(5)</w:t>
            </w:r>
          </w:p>
        </w:tc>
        <w:tc>
          <w:tcPr>
            <w:tcW w:w="1680" w:type="dxa"/>
            <w:vAlign w:val="bottom"/>
          </w:tcPr>
          <w:p>
            <w:pPr>
              <w:jc w:val="right"/>
              <w:ind w:right="574"/>
              <w:spacing w:after="0"/>
              <w:rPr>
                <w:sz w:val="20"/>
                <w:szCs w:val="20"/>
                <w:color w:val="auto"/>
              </w:rPr>
            </w:pPr>
            <w:r>
              <w:rPr>
                <w:rFonts w:ascii="Courier New" w:cs="Courier New" w:eastAsia="Courier New" w:hAnsi="Courier New"/>
                <w:sz w:val="13"/>
                <w:szCs w:val="13"/>
                <w:color w:val="auto"/>
              </w:rPr>
              <w:t>18.06%</w:t>
            </w:r>
          </w:p>
        </w:tc>
      </w:tr>
      <w:tr>
        <w:trPr>
          <w:trHeight w:val="304"/>
        </w:trPr>
        <w:tc>
          <w:tcPr>
            <w:tcW w:w="3200" w:type="dxa"/>
            <w:vAlign w:val="bottom"/>
          </w:tcPr>
          <w:p>
            <w:pPr>
              <w:spacing w:after="0"/>
              <w:rPr>
                <w:sz w:val="20"/>
                <w:szCs w:val="20"/>
                <w:color w:val="auto"/>
              </w:rPr>
            </w:pPr>
            <w:r>
              <w:rPr>
                <w:rFonts w:ascii="Courier New" w:cs="Courier New" w:eastAsia="Courier New" w:hAnsi="Courier New"/>
                <w:sz w:val="13"/>
                <w:szCs w:val="13"/>
                <w:color w:val="auto"/>
              </w:rPr>
              <w:t>Alliance Semiconductor Corporation (3)</w:t>
            </w:r>
          </w:p>
        </w:tc>
        <w:tc>
          <w:tcPr>
            <w:tcW w:w="1540" w:type="dxa"/>
            <w:vAlign w:val="bottom"/>
          </w:tcPr>
          <w:p>
            <w:pPr>
              <w:jc w:val="right"/>
              <w:ind w:right="154"/>
              <w:spacing w:after="0"/>
              <w:rPr>
                <w:sz w:val="20"/>
                <w:szCs w:val="20"/>
                <w:color w:val="auto"/>
              </w:rPr>
            </w:pPr>
            <w:r>
              <w:rPr>
                <w:rFonts w:ascii="Courier New" w:cs="Courier New" w:eastAsia="Courier New" w:hAnsi="Courier New"/>
                <w:sz w:val="13"/>
                <w:szCs w:val="13"/>
                <w:color w:val="auto"/>
              </w:rPr>
              <w:t>13,492,975(6)</w:t>
            </w:r>
          </w:p>
        </w:tc>
        <w:tc>
          <w:tcPr>
            <w:tcW w:w="1680" w:type="dxa"/>
            <w:vAlign w:val="bottom"/>
          </w:tcPr>
          <w:p>
            <w:pPr>
              <w:jc w:val="right"/>
              <w:ind w:right="574"/>
              <w:spacing w:after="0"/>
              <w:rPr>
                <w:sz w:val="20"/>
                <w:szCs w:val="20"/>
                <w:color w:val="auto"/>
              </w:rPr>
            </w:pPr>
            <w:r>
              <w:rPr>
                <w:rFonts w:ascii="Courier New" w:cs="Courier New" w:eastAsia="Courier New" w:hAnsi="Courier New"/>
                <w:sz w:val="13"/>
                <w:szCs w:val="13"/>
                <w:color w:val="auto"/>
              </w:rPr>
              <w:t>16.67%</w:t>
            </w:r>
          </w:p>
        </w:tc>
      </w:tr>
      <w:tr>
        <w:trPr>
          <w:trHeight w:val="304"/>
        </w:trPr>
        <w:tc>
          <w:tcPr>
            <w:tcW w:w="3200" w:type="dxa"/>
            <w:vAlign w:val="bottom"/>
          </w:tcPr>
          <w:p>
            <w:pPr>
              <w:spacing w:after="0"/>
              <w:rPr>
                <w:sz w:val="20"/>
                <w:szCs w:val="20"/>
                <w:color w:val="auto"/>
              </w:rPr>
            </w:pPr>
            <w:r>
              <w:rPr>
                <w:rFonts w:ascii="Courier New" w:cs="Courier New" w:eastAsia="Courier New" w:hAnsi="Courier New"/>
                <w:sz w:val="13"/>
                <w:szCs w:val="13"/>
                <w:color w:val="auto"/>
              </w:rPr>
              <w:t>Macronix International Co. Ltd.(3)</w:t>
            </w:r>
          </w:p>
        </w:tc>
        <w:tc>
          <w:tcPr>
            <w:tcW w:w="1540" w:type="dxa"/>
            <w:vAlign w:val="bottom"/>
          </w:tcPr>
          <w:p>
            <w:pPr>
              <w:jc w:val="right"/>
              <w:ind w:right="154"/>
              <w:spacing w:after="0"/>
              <w:rPr>
                <w:sz w:val="20"/>
                <w:szCs w:val="20"/>
                <w:color w:val="auto"/>
              </w:rPr>
            </w:pPr>
            <w:r>
              <w:rPr>
                <w:rFonts w:ascii="Courier New" w:cs="Courier New" w:eastAsia="Courier New" w:hAnsi="Courier New"/>
                <w:sz w:val="13"/>
                <w:szCs w:val="13"/>
                <w:color w:val="auto"/>
              </w:rPr>
              <w:t>9,979,485(7)</w:t>
            </w:r>
          </w:p>
        </w:tc>
        <w:tc>
          <w:tcPr>
            <w:tcW w:w="1680" w:type="dxa"/>
            <w:vAlign w:val="bottom"/>
          </w:tcPr>
          <w:p>
            <w:pPr>
              <w:jc w:val="right"/>
              <w:ind w:right="574"/>
              <w:spacing w:after="0"/>
              <w:rPr>
                <w:sz w:val="20"/>
                <w:szCs w:val="20"/>
                <w:color w:val="auto"/>
              </w:rPr>
            </w:pPr>
            <w:r>
              <w:rPr>
                <w:rFonts w:ascii="Courier New" w:cs="Courier New" w:eastAsia="Courier New" w:hAnsi="Courier New"/>
                <w:sz w:val="13"/>
                <w:szCs w:val="13"/>
                <w:color w:val="auto"/>
              </w:rPr>
              <w:t>12.67%</w:t>
            </w:r>
          </w:p>
        </w:tc>
      </w:tr>
    </w:tbl>
    <w:p>
      <w:pPr>
        <w:spacing w:after="0" w:line="309" w:lineRule="exact"/>
        <w:rPr>
          <w:sz w:val="20"/>
          <w:szCs w:val="20"/>
          <w:color w:val="auto"/>
        </w:rPr>
      </w:pPr>
    </w:p>
    <w:p>
      <w:pPr>
        <w:ind w:left="400" w:right="320" w:hanging="399"/>
        <w:spacing w:after="0" w:line="249" w:lineRule="auto"/>
        <w:tabs>
          <w:tab w:leader="none" w:pos="400" w:val="left"/>
        </w:tabs>
        <w:numPr>
          <w:ilvl w:val="0"/>
          <w:numId w:val="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Assumes the holder's beneficial ownership of all Ordinary Shares and all securities that the holder has a right to purchase within 60 days.</w:t>
      </w:r>
    </w:p>
    <w:p>
      <w:pPr>
        <w:spacing w:after="0" w:line="151" w:lineRule="exact"/>
        <w:rPr>
          <w:rFonts w:ascii="Courier New" w:cs="Courier New" w:eastAsia="Courier New" w:hAnsi="Courier New"/>
          <w:sz w:val="13"/>
          <w:szCs w:val="13"/>
          <w:color w:val="auto"/>
        </w:rPr>
      </w:pPr>
    </w:p>
    <w:p>
      <w:pPr>
        <w:ind w:left="400" w:right="160" w:hanging="399"/>
        <w:spacing w:after="0" w:line="248" w:lineRule="auto"/>
        <w:tabs>
          <w:tab w:leader="none" w:pos="400" w:val="left"/>
        </w:tabs>
        <w:numPr>
          <w:ilvl w:val="0"/>
          <w:numId w:val="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Assumes that all currently outstanding securities to purchase Ordinary Shares, other than those which cannot be calculated as of the date of this prospectus (see "Capitalization"), have been exercised by all holders.</w:t>
      </w:r>
    </w:p>
    <w:p>
      <w:pPr>
        <w:spacing w:after="0" w:line="152" w:lineRule="exact"/>
        <w:rPr>
          <w:rFonts w:ascii="Courier New" w:cs="Courier New" w:eastAsia="Courier New" w:hAnsi="Courier New"/>
          <w:sz w:val="13"/>
          <w:szCs w:val="13"/>
          <w:color w:val="auto"/>
        </w:rPr>
      </w:pPr>
    </w:p>
    <w:p>
      <w:pPr>
        <w:ind w:left="400" w:right="160" w:hanging="399"/>
        <w:spacing w:after="0" w:line="248" w:lineRule="auto"/>
        <w:tabs>
          <w:tab w:leader="none" w:pos="400" w:val="left"/>
        </w:tabs>
        <w:numPr>
          <w:ilvl w:val="0"/>
          <w:numId w:val="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Pursuant to a shareholders agreement among Israel Corp., Alliance Semiconductor Corporation, SanDisk Corporation and Macronix Co. Ltd., each of Israel Corp., Alliance Semiconductor Corporation, SanDisk Corporation and Macronix Co. Ltd. may be said to have shared voting and dispositive control over approximately 57% of the outstanding shares of Tower.</w:t>
      </w:r>
    </w:p>
    <w:p>
      <w:pPr>
        <w:spacing w:after="0" w:line="152" w:lineRule="exact"/>
        <w:rPr>
          <w:rFonts w:ascii="Courier New" w:cs="Courier New" w:eastAsia="Courier New" w:hAnsi="Courier New"/>
          <w:sz w:val="13"/>
          <w:szCs w:val="13"/>
          <w:color w:val="auto"/>
        </w:rPr>
      </w:pPr>
    </w:p>
    <w:p>
      <w:pPr>
        <w:ind w:left="400" w:right="80" w:hanging="399"/>
        <w:spacing w:after="0" w:line="248" w:lineRule="auto"/>
        <w:tabs>
          <w:tab w:leader="none" w:pos="400" w:val="left"/>
        </w:tabs>
        <w:numPr>
          <w:ilvl w:val="0"/>
          <w:numId w:val="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on information provided by Israel Corp., represents 14,260,504 shares currently owned by Israel Corp., 882,560 shares issuable upon the exercise of currently exercisable warrants and 18,181,823 shares issuable upon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PERCENT OF CLASS</w:t>
      </w:r>
    </w:p>
    <w:p>
      <w:pPr>
        <w:spacing w:after="0" w:line="5" w:lineRule="exact"/>
        <w:rPr>
          <w:sz w:val="20"/>
          <w:szCs w:val="20"/>
          <w:color w:val="auto"/>
        </w:rPr>
      </w:pPr>
    </w:p>
    <w:p>
      <w:pPr>
        <w:ind w:left="240"/>
        <w:spacing w:after="0"/>
        <w:rPr>
          <w:sz w:val="20"/>
          <w:szCs w:val="20"/>
          <w:color w:val="auto"/>
        </w:rPr>
      </w:pPr>
      <w:r>
        <w:rPr>
          <w:rFonts w:ascii="Courier New" w:cs="Courier New" w:eastAsia="Courier New" w:hAnsi="Courier New"/>
          <w:sz w:val="13"/>
          <w:szCs w:val="13"/>
          <w:color w:val="auto"/>
        </w:rPr>
        <w:t>(DILUTED)(2)</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3"/>
          <w:szCs w:val="13"/>
          <w:color w:val="auto"/>
        </w:rPr>
        <w:t>------------</w:t>
      </w:r>
    </w:p>
    <w:p>
      <w:pPr>
        <w:spacing w:after="0" w:line="157"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23.50%</w:t>
      </w:r>
    </w:p>
    <w:p>
      <w:pPr>
        <w:spacing w:after="0" w:line="157"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10.33%</w:t>
      </w:r>
    </w:p>
    <w:p>
      <w:pPr>
        <w:spacing w:after="0" w:line="15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9.52%</w:t>
      </w:r>
    </w:p>
    <w:p>
      <w:pPr>
        <w:spacing w:after="0" w:line="15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7.04%</w:t>
      </w:r>
    </w:p>
    <w:p>
      <w:pPr>
        <w:sectPr>
          <w:pgSz w:w="11900" w:h="16911" w:orient="portrait"/>
          <w:cols w:equalWidth="0" w:num="2">
            <w:col w:w="6420" w:space="300"/>
            <w:col w:w="3519"/>
          </w:cols>
          <w:pgMar w:left="220" w:top="141" w:right="1440" w:bottom="0" w:gutter="0" w:footer="0" w:header="0"/>
        </w:sectPr>
      </w:pPr>
    </w:p>
    <w:bookmarkStart w:id="18" w:name="page19"/>
    <w:bookmarkEnd w:id="18"/>
    <w:p>
      <w:pPr>
        <w:spacing w:after="0" w:line="54"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conversion of debentures.</w:t>
      </w:r>
    </w:p>
    <w:p>
      <w:pPr>
        <w:spacing w:after="0" w:line="309"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27</w:t>
      </w:r>
    </w:p>
    <w:p>
      <w:pPr>
        <w:spacing w:after="0" w:line="200" w:lineRule="exact"/>
        <w:rPr>
          <w:sz w:val="20"/>
          <w:szCs w:val="20"/>
          <w:color w:val="auto"/>
        </w:rPr>
      </w:pPr>
    </w:p>
    <w:p>
      <w:pPr>
        <w:spacing w:after="0" w:line="241" w:lineRule="exact"/>
        <w:rPr>
          <w:sz w:val="20"/>
          <w:szCs w:val="20"/>
          <w:color w:val="auto"/>
        </w:rPr>
      </w:pPr>
    </w:p>
    <w:p>
      <w:pPr>
        <w:ind w:left="400" w:right="4139" w:hanging="399"/>
        <w:spacing w:after="0" w:line="248" w:lineRule="auto"/>
        <w:tabs>
          <w:tab w:leader="none" w:pos="400" w:val="left"/>
        </w:tabs>
        <w:numPr>
          <w:ilvl w:val="0"/>
          <w:numId w:val="17"/>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on information provided by SanDisk, represents 11,108,002 shares currently owned by SanDisk, 360,312 shares issuable upon the exercise of currently exercisable warrants and 3,181,818 shares issuable upon conversion of debentures.</w:t>
      </w:r>
    </w:p>
    <w:p>
      <w:pPr>
        <w:spacing w:after="0" w:line="152" w:lineRule="exact"/>
        <w:rPr>
          <w:rFonts w:ascii="Courier New" w:cs="Courier New" w:eastAsia="Courier New" w:hAnsi="Courier New"/>
          <w:sz w:val="13"/>
          <w:szCs w:val="13"/>
          <w:color w:val="auto"/>
        </w:rPr>
      </w:pPr>
    </w:p>
    <w:p>
      <w:pPr>
        <w:ind w:left="400" w:right="4059" w:hanging="399"/>
        <w:spacing w:after="0" w:line="248" w:lineRule="auto"/>
        <w:tabs>
          <w:tab w:leader="none" w:pos="400" w:val="left"/>
        </w:tabs>
        <w:numPr>
          <w:ilvl w:val="0"/>
          <w:numId w:val="17"/>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upon information provided by Alliance, represents 10,125,410 shares currently owned by Alliance, 357,747 shares issuable upon the exercise of currently exercisable warrants and 3,009,818 shares issuable upon conversion of debentures.</w:t>
      </w:r>
    </w:p>
    <w:p>
      <w:pPr>
        <w:spacing w:after="0" w:line="152" w:lineRule="exact"/>
        <w:rPr>
          <w:rFonts w:ascii="Courier New" w:cs="Courier New" w:eastAsia="Courier New" w:hAnsi="Courier New"/>
          <w:sz w:val="13"/>
          <w:szCs w:val="13"/>
          <w:color w:val="auto"/>
        </w:rPr>
      </w:pPr>
    </w:p>
    <w:p>
      <w:pPr>
        <w:ind w:left="400" w:right="3979" w:hanging="399"/>
        <w:spacing w:after="0" w:line="248" w:lineRule="auto"/>
        <w:tabs>
          <w:tab w:leader="none" w:pos="400" w:val="left"/>
        </w:tabs>
        <w:numPr>
          <w:ilvl w:val="0"/>
          <w:numId w:val="17"/>
        </w:numPr>
        <w:rPr>
          <w:rFonts w:ascii="Courier New" w:cs="Courier New" w:eastAsia="Courier New" w:hAnsi="Courier New"/>
          <w:sz w:val="13"/>
          <w:szCs w:val="13"/>
          <w:color w:val="auto"/>
        </w:rPr>
      </w:pPr>
      <w:r>
        <w:rPr>
          <w:rFonts w:ascii="Courier New" w:cs="Courier New" w:eastAsia="Courier New" w:hAnsi="Courier New"/>
          <w:sz w:val="13"/>
          <w:szCs w:val="13"/>
          <w:color w:val="auto"/>
        </w:rPr>
        <w:t>Based on information provided by Macronix, represents 8,773,395 shares currently owned by Macronix, 297,000 shares issuable upon the exercise of currently exercisable warrants and 909,090 shares issuable upon conversion of debentures.</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Pursuant to a shareholders agreement dated January 18, 2001, among Israel Corp., Alliance Semiconductor, SanDisk and Macronix, such parties have agreed, among other things, to vote or cause to be voted all their respective shares for the election to the Board of Directors of nominees designated by each party, nominees recommended by the Board, the election of a designee of the Israel Corp. to serve as Chairman of the Board, and against the election of any other persons to the Board of Directors. In addition, subject to certain exceptions, each shareholder agreed to restrictions on the transfer of its shares, including certain rights of first refusal, and through January 2008, to maintain minimum shareholdings. Nothing in this prospectus shall be construed as an admission that any of the aforementioned shareholders is the beneficial owner of any of our securities, other than the securities held directly by such party, nor that any such shareholder or other persons or entities constitute a "group", for purposes of Section 13(d) of the Securities Exchange Act of 1934 and the rules promulgated thereunder.</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ADDITIONAL INFORMATION</w:t>
      </w:r>
    </w:p>
    <w:p>
      <w:pPr>
        <w:spacing w:after="0" w:line="157"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SHARE CAPITAL</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ORDINARY SHARES</w:t>
      </w:r>
    </w:p>
    <w:p>
      <w:pPr>
        <w:spacing w:after="0" w:line="157"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Our authorized share capital consists of 500 million ordinary shares, par value NIS 1.00 per share. Under our articles of association, the ordinary shares do not have preemptive rights. We may from time to time, by approval of a majority of our shareholders, increase our authorized share capital. All ordinary shares are registered shares, rather than bearer shares. In March 2006, our Board of Directors approved the increase of our authorized share capital to 800 million ordinary shares, par value NIS 1.00 per share. This increase is subject to the approval of our shareholders.</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 Our Board of Directors is authorized to declare dividends, although our bank covenants currently in effect prohibit the payment of dividends on our ordinary shares, unless such payments are approved by our banks.</w:t>
      </w:r>
    </w:p>
    <w:p>
      <w:pPr>
        <w:spacing w:after="0" w:line="305"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28</w:t>
      </w:r>
    </w:p>
    <w:p>
      <w:pPr>
        <w:spacing w:after="0" w:line="200" w:lineRule="exact"/>
        <w:rPr>
          <w:sz w:val="20"/>
          <w:szCs w:val="20"/>
          <w:color w:val="auto"/>
        </w:rPr>
      </w:pPr>
    </w:p>
    <w:p>
      <w:pPr>
        <w:spacing w:after="0" w:line="393" w:lineRule="exact"/>
        <w:rPr>
          <w:sz w:val="20"/>
          <w:szCs w:val="20"/>
          <w:color w:val="auto"/>
        </w:rPr>
      </w:pPr>
    </w:p>
    <w:p>
      <w:pPr>
        <w:ind w:right="3979" w:firstLine="396"/>
        <w:spacing w:after="0" w:line="248" w:lineRule="auto"/>
        <w:rPr>
          <w:sz w:val="20"/>
          <w:szCs w:val="20"/>
          <w:color w:val="auto"/>
        </w:rPr>
      </w:pPr>
      <w:r>
        <w:rPr>
          <w:rFonts w:ascii="Courier New" w:cs="Courier New" w:eastAsia="Courier New" w:hAnsi="Courier New"/>
          <w:sz w:val="13"/>
          <w:szCs w:val="13"/>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w:t>
      </w:r>
    </w:p>
    <w:p>
      <w:pPr>
        <w:spacing w:after="0" w:line="152" w:lineRule="exact"/>
        <w:rPr>
          <w:sz w:val="20"/>
          <w:szCs w:val="20"/>
          <w:color w:val="auto"/>
        </w:rPr>
      </w:pPr>
    </w:p>
    <w:p>
      <w:pPr>
        <w:ind w:right="3979" w:firstLine="396"/>
        <w:spacing w:after="0" w:line="248" w:lineRule="auto"/>
        <w:rPr>
          <w:sz w:val="20"/>
          <w:szCs w:val="20"/>
          <w:color w:val="auto"/>
        </w:rPr>
      </w:pPr>
      <w:r>
        <w:rPr>
          <w:rFonts w:ascii="Courier New" w:cs="Courier New" w:eastAsia="Courier New" w:hAnsi="Courier New"/>
          <w:sz w:val="13"/>
          <w:szCs w:val="13"/>
          <w:color w:val="auto"/>
        </w:rPr>
        <w:t>Resolutions of shareholders (e.g. resolutions amending our articles of association, electing or removing directors, appointing an independent registered public accounting firm, authorizing changes in capitalization or the rights attached to our shares or approving a wind-up or merger) require the affirmative vote (at a meeting convened upon advance notice of twenty one days) of shareholders present in person or by proxy and holding shares conferring, in the aggregate, at least a majority of the votes actually cast on such resolutions.</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52" w:lineRule="exact"/>
        <w:rPr>
          <w:sz w:val="20"/>
          <w:szCs w:val="20"/>
          <w:color w:val="auto"/>
        </w:rPr>
      </w:pPr>
    </w:p>
    <w:p>
      <w:pPr>
        <w:ind w:right="4779" w:firstLine="396"/>
        <w:spacing w:after="0" w:line="249" w:lineRule="auto"/>
        <w:rPr>
          <w:sz w:val="20"/>
          <w:szCs w:val="20"/>
          <w:color w:val="auto"/>
        </w:rPr>
      </w:pPr>
      <w:r>
        <w:rPr>
          <w:rFonts w:ascii="Courier New" w:cs="Courier New" w:eastAsia="Courier New" w:hAnsi="Courier New"/>
          <w:sz w:val="13"/>
          <w:szCs w:val="13"/>
          <w:color w:val="auto"/>
        </w:rPr>
        <w:t>Our registration number at the Israeli Registrar of Companies is 52-004199-7.</w:t>
      </w:r>
    </w:p>
    <w:p>
      <w:pPr>
        <w:sectPr>
          <w:pgSz w:w="11900" w:h="16892" w:orient="portrait"/>
          <w:cols w:equalWidth="0" w:num="1">
            <w:col w:w="10239"/>
          </w:cols>
          <w:pgMar w:left="220" w:top="141" w:right="1440" w:bottom="0" w:gutter="0" w:footer="0" w:header="0"/>
        </w:sectPr>
      </w:pPr>
    </w:p>
    <w:bookmarkStart w:id="19" w:name="page20"/>
    <w:bookmarkEnd w:id="19"/>
    <w:p>
      <w:pPr>
        <w:spacing w:after="0" w:line="74" w:lineRule="exact"/>
        <w:rPr>
          <w:sz w:val="20"/>
          <w:szCs w:val="20"/>
          <w:color w:val="auto"/>
        </w:rPr>
      </w:pPr>
    </w:p>
    <w:p>
      <w:pPr>
        <w:ind w:right="4219" w:firstLine="396"/>
        <w:spacing w:after="0" w:line="249" w:lineRule="auto"/>
        <w:rPr>
          <w:sz w:val="20"/>
          <w:szCs w:val="20"/>
          <w:color w:val="auto"/>
        </w:rPr>
      </w:pPr>
      <w:r>
        <w:rPr>
          <w:rFonts w:ascii="Courier New" w:cs="Courier New" w:eastAsia="Courier New" w:hAnsi="Courier New"/>
          <w:sz w:val="13"/>
          <w:szCs w:val="13"/>
          <w:color w:val="auto"/>
        </w:rPr>
        <w:t>The objective stated in our articles of association is to engage in any lawful activity.</w:t>
      </w:r>
    </w:p>
    <w:p>
      <w:pPr>
        <w:spacing w:after="0" w:line="151"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305"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As of March 31, 2006, 75,646,189 of our ordinary shares were outstanding. As of May 19, 2006, 77,561,979 of our ordinary shares were outstanding. The above numbers of outstanding ordinary shares do not include 1.3 million treasury shares held by us through a trustee.</w:t>
      </w:r>
    </w:p>
    <w:p>
      <w:pPr>
        <w:spacing w:after="0" w:line="152" w:lineRule="exact"/>
        <w:rPr>
          <w:sz w:val="20"/>
          <w:szCs w:val="20"/>
          <w:color w:val="auto"/>
        </w:rPr>
      </w:pPr>
    </w:p>
    <w:p>
      <w:pPr>
        <w:ind w:right="4059" w:firstLine="396"/>
        <w:spacing w:after="0" w:line="249" w:lineRule="auto"/>
        <w:rPr>
          <w:sz w:val="20"/>
          <w:szCs w:val="20"/>
          <w:color w:val="auto"/>
        </w:rPr>
      </w:pPr>
      <w:r>
        <w:rPr>
          <w:rFonts w:ascii="Courier New" w:cs="Courier New" w:eastAsia="Courier New" w:hAnsi="Courier New"/>
          <w:sz w:val="13"/>
          <w:szCs w:val="13"/>
          <w:color w:val="auto"/>
        </w:rPr>
        <w:t>For a summary of our securities which are convertible or exercisable into our ordinary shares, see "Capitalization".</w:t>
      </w:r>
    </w:p>
    <w:p>
      <w:pPr>
        <w:spacing w:after="0" w:line="151"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DIVIDEND POLICY</w:t>
      </w:r>
    </w:p>
    <w:p>
      <w:pPr>
        <w:spacing w:after="0" w:line="157"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Since 1998, we have not declared or paid cash dividends on any of our shares and we have no current intention of paying any cash dividends in the future. The facility agreement that we entered into with our banks, as amended, prohibits the payment of dividends prior to January 1, 2008, and before any such distribution, we must have placed on deposit with our banks in an amount equal to the debt service for the quarter in which the distribution is to be made and charged such deposit in favor of our banks, and we must have complied with financial ratios and covenants. In addition, we may only declare and pay a dividend provided that:</w:t>
      </w:r>
    </w:p>
    <w:p>
      <w:pPr>
        <w:spacing w:after="0" w:line="305" w:lineRule="exact"/>
        <w:rPr>
          <w:sz w:val="20"/>
          <w:szCs w:val="20"/>
          <w:color w:val="auto"/>
        </w:rPr>
      </w:pPr>
    </w:p>
    <w:p>
      <w:pPr>
        <w:ind w:left="1180" w:hanging="387"/>
        <w:spacing w:after="0"/>
        <w:tabs>
          <w:tab w:leader="none" w:pos="1180" w:val="left"/>
        </w:tabs>
        <w:numPr>
          <w:ilvl w:val="0"/>
          <w:numId w:val="1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dividend is only paid from excess cash flow from Fab 2;</w:t>
      </w:r>
    </w:p>
    <w:p>
      <w:pPr>
        <w:spacing w:after="0" w:line="157" w:lineRule="exact"/>
        <w:rPr>
          <w:rFonts w:ascii="Courier New" w:cs="Courier New" w:eastAsia="Courier New" w:hAnsi="Courier New"/>
          <w:sz w:val="13"/>
          <w:szCs w:val="13"/>
          <w:color w:val="auto"/>
        </w:rPr>
      </w:pPr>
    </w:p>
    <w:p>
      <w:pPr>
        <w:ind w:left="1180" w:right="4539" w:hanging="387"/>
        <w:spacing w:after="0" w:line="249" w:lineRule="auto"/>
        <w:tabs>
          <w:tab w:leader="none" w:pos="1180" w:val="left"/>
        </w:tabs>
        <w:numPr>
          <w:ilvl w:val="0"/>
          <w:numId w:val="1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there is no event of default outstanding under the credit facility agreement; and</w:t>
      </w:r>
    </w:p>
    <w:p>
      <w:pPr>
        <w:spacing w:after="0" w:line="151" w:lineRule="exact"/>
        <w:rPr>
          <w:rFonts w:ascii="Courier New" w:cs="Courier New" w:eastAsia="Courier New" w:hAnsi="Courier New"/>
          <w:sz w:val="13"/>
          <w:szCs w:val="13"/>
          <w:color w:val="auto"/>
        </w:rPr>
      </w:pPr>
    </w:p>
    <w:p>
      <w:pPr>
        <w:ind w:left="1180" w:right="4539" w:hanging="387"/>
        <w:spacing w:after="0" w:line="249" w:lineRule="auto"/>
        <w:tabs>
          <w:tab w:leader="none" w:pos="1180" w:val="left"/>
        </w:tabs>
        <w:numPr>
          <w:ilvl w:val="0"/>
          <w:numId w:val="18"/>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 event of default could not reasonably exist after such distribution.</w:t>
      </w:r>
    </w:p>
    <w:p>
      <w:pPr>
        <w:spacing w:after="0" w:line="151" w:lineRule="exact"/>
        <w:rPr>
          <w:sz w:val="20"/>
          <w:szCs w:val="20"/>
          <w:color w:val="auto"/>
        </w:rPr>
      </w:pPr>
    </w:p>
    <w:p>
      <w:pPr>
        <w:ind w:right="4059" w:firstLine="396"/>
        <w:spacing w:after="0" w:line="248" w:lineRule="auto"/>
        <w:rPr>
          <w:sz w:val="20"/>
          <w:szCs w:val="20"/>
          <w:color w:val="auto"/>
        </w:rPr>
      </w:pPr>
      <w:r>
        <w:rPr>
          <w:rFonts w:ascii="Courier New" w:cs="Courier New" w:eastAsia="Courier New" w:hAnsi="Courier New"/>
          <w:sz w:val="13"/>
          <w:szCs w:val="13"/>
          <w:color w:val="auto"/>
        </w:rPr>
        <w:t>The Companies Law also restricts our ability to declare dividends. We can only distribute dividends from profits (as defined in the Companies Law), provided that there is no reasonable suspicion that the dividend distribution will prevent us from meeting our existing and future expected obligations as they come due.</w:t>
      </w:r>
    </w:p>
    <w:p>
      <w:pPr>
        <w:spacing w:after="0" w:line="305"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29</w:t>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INCORPORATION OF CERTAIN DOCUMENTS BY REFERENCE</w:t>
      </w:r>
    </w:p>
    <w:p>
      <w:pPr>
        <w:spacing w:after="0" w:line="157" w:lineRule="exact"/>
        <w:rPr>
          <w:sz w:val="20"/>
          <w:szCs w:val="20"/>
          <w:color w:val="auto"/>
        </w:rPr>
      </w:pPr>
    </w:p>
    <w:p>
      <w:pPr>
        <w:ind w:right="3979" w:firstLine="396"/>
        <w:spacing w:after="0" w:line="248" w:lineRule="auto"/>
        <w:rPr>
          <w:sz w:val="20"/>
          <w:szCs w:val="20"/>
          <w:color w:val="auto"/>
        </w:rPr>
      </w:pPr>
      <w:r>
        <w:rPr>
          <w:rFonts w:ascii="Courier New" w:cs="Courier New" w:eastAsia="Courier New" w:hAnsi="Courier New"/>
          <w:sz w:val="13"/>
          <w:szCs w:val="13"/>
          <w:color w:val="auto"/>
        </w:rPr>
        <w:t>We are allowed to "incorporate by reference" the information we file with the Israel Securities Authority (ISA) on the Magna system, which means that we can disclose important information to you by referring to those documents. The information incorporated by reference is considered to be part of this prospectus. References to documents filed by us are references to such forms as filed with the Israel Securities Authority on the Magna system. We incorporate by reference the documents listed below:</w:t>
      </w:r>
    </w:p>
    <w:p>
      <w:pPr>
        <w:spacing w:after="0" w:line="152" w:lineRule="exact"/>
        <w:rPr>
          <w:sz w:val="20"/>
          <w:szCs w:val="20"/>
          <w:color w:val="auto"/>
        </w:rPr>
      </w:pPr>
    </w:p>
    <w:p>
      <w:pPr>
        <w:ind w:left="1180" w:right="4379" w:hanging="387"/>
        <w:spacing w:after="0" w:line="249" w:lineRule="auto"/>
        <w:tabs>
          <w:tab w:leader="none" w:pos="1180" w:val="left"/>
        </w:tabs>
        <w:numPr>
          <w:ilvl w:val="0"/>
          <w:numId w:val="19"/>
        </w:numPr>
        <w:rPr>
          <w:rFonts w:ascii="Courier New" w:cs="Courier New" w:eastAsia="Courier New" w:hAnsi="Courier New"/>
          <w:sz w:val="13"/>
          <w:szCs w:val="13"/>
          <w:color w:val="auto"/>
        </w:rPr>
      </w:pPr>
      <w:r>
        <w:rPr>
          <w:rFonts w:ascii="Courier New" w:cs="Courier New" w:eastAsia="Courier New" w:hAnsi="Courier New"/>
          <w:sz w:val="13"/>
          <w:szCs w:val="13"/>
          <w:color w:val="auto"/>
        </w:rPr>
        <w:t>our registration on Form 8-A filed on November 22, 2005, as amended on December 29, 2005;</w:t>
      </w:r>
    </w:p>
    <w:p>
      <w:pPr>
        <w:spacing w:after="0" w:line="151" w:lineRule="exact"/>
        <w:rPr>
          <w:rFonts w:ascii="Courier New" w:cs="Courier New" w:eastAsia="Courier New" w:hAnsi="Courier New"/>
          <w:sz w:val="13"/>
          <w:szCs w:val="13"/>
          <w:color w:val="auto"/>
        </w:rPr>
      </w:pPr>
    </w:p>
    <w:p>
      <w:pPr>
        <w:ind w:left="1180" w:right="4139" w:hanging="387"/>
        <w:spacing w:after="0" w:line="248" w:lineRule="auto"/>
        <w:tabs>
          <w:tab w:leader="none" w:pos="1180" w:val="left"/>
        </w:tabs>
        <w:numPr>
          <w:ilvl w:val="0"/>
          <w:numId w:val="19"/>
        </w:numPr>
        <w:rPr>
          <w:rFonts w:ascii="Courier New" w:cs="Courier New" w:eastAsia="Courier New" w:hAnsi="Courier New"/>
          <w:sz w:val="13"/>
          <w:szCs w:val="13"/>
          <w:color w:val="auto"/>
        </w:rPr>
      </w:pPr>
      <w:r>
        <w:rPr>
          <w:rFonts w:ascii="Courier New" w:cs="Courier New" w:eastAsia="Courier New" w:hAnsi="Courier New"/>
          <w:sz w:val="13"/>
          <w:szCs w:val="13"/>
          <w:color w:val="auto"/>
        </w:rPr>
        <w:t>our annual report on Form 20-F for the year ended December 31, 2004, filed on June 29, 2005, to the extent the information in that report has not been updated or superseded by this prospectus;</w:t>
      </w:r>
    </w:p>
    <w:p>
      <w:pPr>
        <w:spacing w:after="0" w:line="152" w:lineRule="exact"/>
        <w:rPr>
          <w:rFonts w:ascii="Courier New" w:cs="Courier New" w:eastAsia="Courier New" w:hAnsi="Courier New"/>
          <w:sz w:val="13"/>
          <w:szCs w:val="13"/>
          <w:color w:val="auto"/>
        </w:rPr>
      </w:pPr>
    </w:p>
    <w:p>
      <w:pPr>
        <w:ind w:left="1180" w:right="4059" w:hanging="387"/>
        <w:spacing w:after="0" w:line="248" w:lineRule="auto"/>
        <w:tabs>
          <w:tab w:leader="none" w:pos="1180" w:val="left"/>
        </w:tabs>
        <w:numPr>
          <w:ilvl w:val="0"/>
          <w:numId w:val="19"/>
        </w:numPr>
        <w:rPr>
          <w:rFonts w:ascii="Courier New" w:cs="Courier New" w:eastAsia="Courier New" w:hAnsi="Courier New"/>
          <w:sz w:val="13"/>
          <w:szCs w:val="13"/>
          <w:color w:val="auto"/>
        </w:rPr>
      </w:pPr>
      <w:r>
        <w:rPr>
          <w:rFonts w:ascii="Courier New" w:cs="Courier New" w:eastAsia="Courier New" w:hAnsi="Courier New"/>
          <w:sz w:val="13"/>
          <w:szCs w:val="13"/>
          <w:color w:val="auto"/>
        </w:rPr>
        <w:t>our registration statement on Form F-1, file no. 333-126909, declared effective by the Securities and Exchange Commission on December 15, 2005;</w:t>
      </w:r>
    </w:p>
    <w:p>
      <w:pPr>
        <w:spacing w:after="0" w:line="152" w:lineRule="exact"/>
        <w:rPr>
          <w:rFonts w:ascii="Courier New" w:cs="Courier New" w:eastAsia="Courier New" w:hAnsi="Courier New"/>
          <w:sz w:val="13"/>
          <w:szCs w:val="13"/>
          <w:color w:val="auto"/>
        </w:rPr>
      </w:pPr>
    </w:p>
    <w:p>
      <w:pPr>
        <w:ind w:left="1180" w:hanging="387"/>
        <w:spacing w:after="0"/>
        <w:tabs>
          <w:tab w:leader="none" w:pos="1180" w:val="left"/>
        </w:tabs>
        <w:numPr>
          <w:ilvl w:val="0"/>
          <w:numId w:val="19"/>
        </w:numPr>
        <w:rPr>
          <w:rFonts w:ascii="Courier New" w:cs="Courier New" w:eastAsia="Courier New" w:hAnsi="Courier New"/>
          <w:sz w:val="13"/>
          <w:szCs w:val="13"/>
          <w:color w:val="auto"/>
        </w:rPr>
      </w:pPr>
      <w:r>
        <w:rPr>
          <w:rFonts w:ascii="Courier New" w:cs="Courier New" w:eastAsia="Courier New" w:hAnsi="Courier New"/>
          <w:sz w:val="13"/>
          <w:szCs w:val="13"/>
          <w:color w:val="auto"/>
        </w:rPr>
        <w:t>our report on Form 6-K filed on February 2, 2006;</w:t>
      </w:r>
    </w:p>
    <w:p>
      <w:pPr>
        <w:spacing w:after="0" w:line="157" w:lineRule="exact"/>
        <w:rPr>
          <w:rFonts w:ascii="Courier New" w:cs="Courier New" w:eastAsia="Courier New" w:hAnsi="Courier New"/>
          <w:sz w:val="13"/>
          <w:szCs w:val="13"/>
          <w:color w:val="auto"/>
        </w:rPr>
      </w:pPr>
    </w:p>
    <w:p>
      <w:pPr>
        <w:ind w:left="1180" w:hanging="387"/>
        <w:spacing w:after="0"/>
        <w:tabs>
          <w:tab w:leader="none" w:pos="1180" w:val="left"/>
        </w:tabs>
        <w:numPr>
          <w:ilvl w:val="0"/>
          <w:numId w:val="19"/>
        </w:numPr>
        <w:rPr>
          <w:rFonts w:ascii="Courier New" w:cs="Courier New" w:eastAsia="Courier New" w:hAnsi="Courier New"/>
          <w:sz w:val="13"/>
          <w:szCs w:val="13"/>
          <w:color w:val="auto"/>
        </w:rPr>
      </w:pPr>
      <w:r>
        <w:rPr>
          <w:rFonts w:ascii="Courier New" w:cs="Courier New" w:eastAsia="Courier New" w:hAnsi="Courier New"/>
          <w:sz w:val="13"/>
          <w:szCs w:val="13"/>
          <w:color w:val="auto"/>
        </w:rPr>
        <w:t>our report on Form 6-K filed on February 6, 2006;</w:t>
      </w:r>
    </w:p>
    <w:p>
      <w:pPr>
        <w:spacing w:after="0" w:line="157" w:lineRule="exact"/>
        <w:rPr>
          <w:rFonts w:ascii="Courier New" w:cs="Courier New" w:eastAsia="Courier New" w:hAnsi="Courier New"/>
          <w:sz w:val="13"/>
          <w:szCs w:val="13"/>
          <w:color w:val="auto"/>
        </w:rPr>
      </w:pPr>
    </w:p>
    <w:p>
      <w:pPr>
        <w:ind w:left="1180" w:hanging="387"/>
        <w:spacing w:after="0"/>
        <w:tabs>
          <w:tab w:leader="none" w:pos="1180" w:val="left"/>
        </w:tabs>
        <w:numPr>
          <w:ilvl w:val="0"/>
          <w:numId w:val="19"/>
        </w:numPr>
        <w:rPr>
          <w:rFonts w:ascii="Courier New" w:cs="Courier New" w:eastAsia="Courier New" w:hAnsi="Courier New"/>
          <w:sz w:val="13"/>
          <w:szCs w:val="13"/>
          <w:color w:val="auto"/>
        </w:rPr>
      </w:pPr>
      <w:r>
        <w:rPr>
          <w:rFonts w:ascii="Courier New" w:cs="Courier New" w:eastAsia="Courier New" w:hAnsi="Courier New"/>
          <w:sz w:val="13"/>
          <w:szCs w:val="13"/>
          <w:color w:val="auto"/>
        </w:rPr>
        <w:t>our report on Form 6-K filed on February 16, 2006;</w:t>
      </w:r>
    </w:p>
    <w:p>
      <w:pPr>
        <w:spacing w:after="0" w:line="157" w:lineRule="exact"/>
        <w:rPr>
          <w:rFonts w:ascii="Courier New" w:cs="Courier New" w:eastAsia="Courier New" w:hAnsi="Courier New"/>
          <w:sz w:val="13"/>
          <w:szCs w:val="13"/>
          <w:color w:val="auto"/>
        </w:rPr>
      </w:pPr>
    </w:p>
    <w:p>
      <w:pPr>
        <w:ind w:left="1180" w:right="4059" w:hanging="387"/>
        <w:spacing w:after="0" w:line="248" w:lineRule="auto"/>
        <w:tabs>
          <w:tab w:leader="none" w:pos="1180" w:val="left"/>
        </w:tabs>
        <w:numPr>
          <w:ilvl w:val="0"/>
          <w:numId w:val="19"/>
        </w:numPr>
        <w:rPr>
          <w:rFonts w:ascii="Courier New" w:cs="Courier New" w:eastAsia="Courier New" w:hAnsi="Courier New"/>
          <w:sz w:val="13"/>
          <w:szCs w:val="13"/>
          <w:color w:val="auto"/>
        </w:rPr>
      </w:pPr>
      <w:r>
        <w:rPr>
          <w:rFonts w:ascii="Courier New" w:cs="Courier New" w:eastAsia="Courier New" w:hAnsi="Courier New"/>
          <w:sz w:val="13"/>
          <w:szCs w:val="13"/>
          <w:color w:val="auto"/>
        </w:rPr>
        <w:t>our registration statement on Form F-3, file no. 333-13135, declared effective by the Securities and Exchange Commission on March 15, 2006;</w:t>
      </w:r>
    </w:p>
    <w:p>
      <w:pPr>
        <w:spacing w:after="0" w:line="152" w:lineRule="exact"/>
        <w:rPr>
          <w:rFonts w:ascii="Courier New" w:cs="Courier New" w:eastAsia="Courier New" w:hAnsi="Courier New"/>
          <w:sz w:val="13"/>
          <w:szCs w:val="13"/>
          <w:color w:val="auto"/>
        </w:rPr>
      </w:pPr>
    </w:p>
    <w:p>
      <w:pPr>
        <w:ind w:left="1180" w:hanging="387"/>
        <w:spacing w:after="0"/>
        <w:tabs>
          <w:tab w:leader="none" w:pos="1180" w:val="left"/>
        </w:tabs>
        <w:numPr>
          <w:ilvl w:val="0"/>
          <w:numId w:val="19"/>
        </w:numPr>
        <w:rPr>
          <w:rFonts w:ascii="Courier New" w:cs="Courier New" w:eastAsia="Courier New" w:hAnsi="Courier New"/>
          <w:sz w:val="13"/>
          <w:szCs w:val="13"/>
          <w:color w:val="auto"/>
        </w:rPr>
      </w:pPr>
      <w:r>
        <w:rPr>
          <w:rFonts w:ascii="Courier New" w:cs="Courier New" w:eastAsia="Courier New" w:hAnsi="Courier New"/>
          <w:sz w:val="13"/>
          <w:szCs w:val="13"/>
          <w:color w:val="auto"/>
        </w:rPr>
        <w:t>our reports on Form 6-K filed on May 17, 2006;</w:t>
      </w:r>
    </w:p>
    <w:p>
      <w:pPr>
        <w:spacing w:after="0" w:line="157" w:lineRule="exact"/>
        <w:rPr>
          <w:rFonts w:ascii="Courier New" w:cs="Courier New" w:eastAsia="Courier New" w:hAnsi="Courier New"/>
          <w:sz w:val="13"/>
          <w:szCs w:val="13"/>
          <w:color w:val="auto"/>
        </w:rPr>
      </w:pPr>
    </w:p>
    <w:p>
      <w:pPr>
        <w:ind w:left="1180" w:right="3899" w:hanging="387"/>
        <w:spacing w:after="0" w:line="249" w:lineRule="auto"/>
        <w:tabs>
          <w:tab w:leader="none" w:pos="1180" w:val="left"/>
        </w:tabs>
        <w:numPr>
          <w:ilvl w:val="0"/>
          <w:numId w:val="19"/>
        </w:numPr>
        <w:rPr>
          <w:rFonts w:ascii="Courier New" w:cs="Courier New" w:eastAsia="Courier New" w:hAnsi="Courier New"/>
          <w:sz w:val="13"/>
          <w:szCs w:val="13"/>
          <w:color w:val="auto"/>
        </w:rPr>
      </w:pPr>
      <w:r>
        <w:rPr>
          <w:rFonts w:ascii="Courier New" w:cs="Courier New" w:eastAsia="Courier New" w:hAnsi="Courier New"/>
          <w:sz w:val="13"/>
          <w:szCs w:val="13"/>
          <w:color w:val="auto"/>
        </w:rPr>
        <w:t>our reports on Form 6-K filed on May 18, 2006, as amended on Form 6-K/A on June 19, 2006; and</w:t>
      </w:r>
    </w:p>
    <w:p>
      <w:pPr>
        <w:spacing w:after="0" w:line="151" w:lineRule="exact"/>
        <w:rPr>
          <w:rFonts w:ascii="Courier New" w:cs="Courier New" w:eastAsia="Courier New" w:hAnsi="Courier New"/>
          <w:sz w:val="13"/>
          <w:szCs w:val="13"/>
          <w:color w:val="auto"/>
        </w:rPr>
      </w:pPr>
    </w:p>
    <w:p>
      <w:pPr>
        <w:ind w:left="1180" w:hanging="387"/>
        <w:spacing w:after="0"/>
        <w:tabs>
          <w:tab w:leader="none" w:pos="1180" w:val="left"/>
        </w:tabs>
        <w:numPr>
          <w:ilvl w:val="0"/>
          <w:numId w:val="19"/>
        </w:numPr>
        <w:rPr>
          <w:rFonts w:ascii="Courier New" w:cs="Courier New" w:eastAsia="Courier New" w:hAnsi="Courier New"/>
          <w:sz w:val="13"/>
          <w:szCs w:val="13"/>
          <w:color w:val="auto"/>
        </w:rPr>
      </w:pPr>
      <w:r>
        <w:rPr>
          <w:rFonts w:ascii="Courier New" w:cs="Courier New" w:eastAsia="Courier New" w:hAnsi="Courier New"/>
          <w:sz w:val="13"/>
          <w:szCs w:val="13"/>
          <w:color w:val="auto"/>
        </w:rPr>
        <w:t>our report on Form 6-K filed on June 6, 2006.</w:t>
      </w:r>
    </w:p>
    <w:p>
      <w:pPr>
        <w:spacing w:after="0" w:line="157"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As you read the above documents, you may find inconsistencies in information from one document to another. If you find inconsistencies between the documents and this prospectus, you should rely on the statements made in the most recent document. All information appearing in this prospectus is qualified in its entirety by the information and financial statements, including the notes thereto, contained in the documents incorporated by reference herein.</w:t>
      </w:r>
    </w:p>
    <w:p>
      <w:pPr>
        <w:spacing w:after="0" w:line="152" w:lineRule="exact"/>
        <w:rPr>
          <w:sz w:val="20"/>
          <w:szCs w:val="20"/>
          <w:color w:val="auto"/>
        </w:rPr>
      </w:pPr>
    </w:p>
    <w:p>
      <w:pPr>
        <w:ind w:right="3979" w:firstLine="396"/>
        <w:spacing w:after="0" w:line="248" w:lineRule="auto"/>
        <w:rPr>
          <w:sz w:val="20"/>
          <w:szCs w:val="20"/>
          <w:color w:val="auto"/>
        </w:rPr>
      </w:pPr>
      <w:r>
        <w:rPr>
          <w:rFonts w:ascii="Courier New" w:cs="Courier New" w:eastAsia="Courier New" w:hAnsi="Courier New"/>
          <w:sz w:val="13"/>
          <w:szCs w:val="13"/>
          <w:color w:val="auto"/>
        </w:rPr>
        <w:t>We will provide to each person, including any beneficial owner, to whom this prospectus is delivered, a copy of these filings, at no cost, upon written or oral request to us at: Ramat Gavriel Industrial Park, Post Office Box 619, Migdal Haemek, 23105 Israel, Attn: Corporate Secretary, telephone number:</w:t>
      </w:r>
    </w:p>
    <w:p>
      <w:pPr>
        <w:ind w:right="4219"/>
        <w:spacing w:after="0" w:line="249" w:lineRule="auto"/>
        <w:rPr>
          <w:sz w:val="20"/>
          <w:szCs w:val="20"/>
          <w:color w:val="auto"/>
        </w:rPr>
      </w:pPr>
      <w:r>
        <w:rPr>
          <w:rFonts w:ascii="Courier New" w:cs="Courier New" w:eastAsia="Courier New" w:hAnsi="Courier New"/>
          <w:sz w:val="13"/>
          <w:szCs w:val="13"/>
          <w:color w:val="auto"/>
        </w:rPr>
        <w:t>972-4-650-6611. Copies of these filings may also be accessed at our website, www.towersemi.com. Click on "Investor Relations" and then "Filings."</w:t>
      </w:r>
    </w:p>
    <w:p>
      <w:pPr>
        <w:spacing w:after="0" w:line="151" w:lineRule="exact"/>
        <w:rPr>
          <w:sz w:val="20"/>
          <w:szCs w:val="20"/>
          <w:color w:val="auto"/>
        </w:rPr>
      </w:pPr>
    </w:p>
    <w:p>
      <w:pPr>
        <w:ind w:right="4059" w:firstLine="396"/>
        <w:spacing w:after="0" w:line="249" w:lineRule="auto"/>
        <w:rPr>
          <w:sz w:val="20"/>
          <w:szCs w:val="20"/>
          <w:color w:val="auto"/>
        </w:rPr>
      </w:pPr>
      <w:r>
        <w:rPr>
          <w:rFonts w:ascii="Courier New" w:cs="Courier New" w:eastAsia="Courier New" w:hAnsi="Courier New"/>
          <w:sz w:val="13"/>
          <w:szCs w:val="13"/>
          <w:color w:val="auto"/>
        </w:rPr>
        <w:t>A copy of this prospectus, our memorandum of association and our articles of association, are available for inspection at our offices at Hamada Avenue,</w:t>
      </w:r>
    </w:p>
    <w:p>
      <w:pPr>
        <w:sectPr>
          <w:pgSz w:w="11900" w:h="16912" w:orient="portrait"/>
          <w:cols w:equalWidth="0" w:num="1">
            <w:col w:w="10239"/>
          </w:cols>
          <w:pgMar w:left="220" w:top="293" w:right="1440" w:bottom="0" w:gutter="0" w:footer="0" w:header="0"/>
        </w:sectPr>
      </w:pPr>
    </w:p>
    <w:bookmarkStart w:id="20" w:name="page21"/>
    <w:bookmarkEnd w:id="20"/>
    <w:p>
      <w:pPr>
        <w:spacing w:after="0" w:line="52" w:lineRule="exact"/>
        <w:rPr>
          <w:sz w:val="20"/>
          <w:szCs w:val="20"/>
          <w:color w:val="auto"/>
        </w:rPr>
      </w:pPr>
    </w:p>
    <w:p>
      <w:pPr>
        <w:ind w:right="4699"/>
        <w:spacing w:after="0" w:line="249" w:lineRule="auto"/>
        <w:rPr>
          <w:sz w:val="20"/>
          <w:szCs w:val="20"/>
          <w:color w:val="auto"/>
        </w:rPr>
      </w:pPr>
      <w:r>
        <w:rPr>
          <w:rFonts w:ascii="Courier New" w:cs="Courier New" w:eastAsia="Courier New" w:hAnsi="Courier New"/>
          <w:sz w:val="13"/>
          <w:szCs w:val="13"/>
          <w:color w:val="auto"/>
        </w:rPr>
        <w:t>Ramat Gavriel Industrial Park, Migdal Haemek, Israel and on the Israel Securities Authority's Magna website, www.magna.isa.gov.il.</w:t>
      </w:r>
    </w:p>
    <w:p>
      <w:pPr>
        <w:spacing w:after="0" w:line="151"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Our ordinary shares are listed on the Tel Aviv Stock Exchange. However, because our ordinary shares are also listed on the NASDAQ National Market, we are exempt from certain of the reporting obligations specified in Chapter Six of the Israel Securities Law, 1968, that would otherwise by applicable to a company whose securities are listed for trade on the Tel Aviv Stock Exchange, provided that a copy of each report submitted or published in accordance with applicable United States law or that we publish or circulate to holders of our registered securities is filed with the Israel Securities Authority and the Tel Aviv Stock Exchange within the time specified under Israeli law.</w:t>
      </w:r>
    </w:p>
    <w:p>
      <w:pPr>
        <w:spacing w:after="0" w:line="305"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30</w:t>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EXEMPTION, INSURANCE AND INDEMNIFICATION OF DIRECTORS AND OFFICERS</w:t>
      </w:r>
    </w:p>
    <w:p>
      <w:pPr>
        <w:spacing w:after="0" w:line="157" w:lineRule="exact"/>
        <w:rPr>
          <w:sz w:val="20"/>
          <w:szCs w:val="20"/>
          <w:color w:val="auto"/>
        </w:rPr>
      </w:pPr>
    </w:p>
    <w:p>
      <w:pPr>
        <w:ind w:right="4139" w:firstLine="396"/>
        <w:spacing w:after="0" w:line="249" w:lineRule="auto"/>
        <w:rPr>
          <w:sz w:val="20"/>
          <w:szCs w:val="20"/>
          <w:color w:val="auto"/>
        </w:rPr>
      </w:pPr>
      <w:r>
        <w:rPr>
          <w:rFonts w:ascii="Courier New" w:cs="Courier New" w:eastAsia="Courier New" w:hAnsi="Courier New"/>
          <w:sz w:val="13"/>
          <w:szCs w:val="13"/>
          <w:color w:val="auto"/>
        </w:rPr>
        <w:t>The Israeli Companies Law-1999, or the Companies Law, provides that a company may include in its articles of association provisions allowing it to:</w:t>
      </w:r>
    </w:p>
    <w:p>
      <w:pPr>
        <w:spacing w:after="0" w:line="151" w:lineRule="exact"/>
        <w:rPr>
          <w:sz w:val="20"/>
          <w:szCs w:val="20"/>
          <w:color w:val="auto"/>
        </w:rPr>
      </w:pPr>
    </w:p>
    <w:p>
      <w:pPr>
        <w:ind w:left="400" w:right="3899" w:hanging="399"/>
        <w:spacing w:after="0" w:line="248" w:lineRule="auto"/>
        <w:tabs>
          <w:tab w:leader="none" w:pos="400" w:val="left"/>
        </w:tabs>
        <w:numPr>
          <w:ilvl w:val="0"/>
          <w:numId w:val="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w:t>
      </w:r>
    </w:p>
    <w:p>
      <w:pPr>
        <w:ind w:left="40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(as defined in the Companies Law).</w:t>
      </w:r>
    </w:p>
    <w:p>
      <w:pPr>
        <w:spacing w:after="0" w:line="157" w:lineRule="exact"/>
        <w:rPr>
          <w:rFonts w:ascii="Courier New" w:cs="Courier New" w:eastAsia="Courier New" w:hAnsi="Courier New"/>
          <w:sz w:val="13"/>
          <w:szCs w:val="13"/>
          <w:color w:val="auto"/>
        </w:rPr>
      </w:pPr>
    </w:p>
    <w:p>
      <w:pPr>
        <w:ind w:left="400" w:right="4139" w:hanging="399"/>
        <w:spacing w:after="0" w:line="248" w:lineRule="auto"/>
        <w:tabs>
          <w:tab w:leader="none" w:pos="400" w:val="left"/>
        </w:tabs>
        <w:numPr>
          <w:ilvl w:val="0"/>
          <w:numId w:val="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enter into a contract to insure the liability of an office holder of the company by reason of acts or omissions committed in his capacity as an office holder of the company with respect to the following:</w:t>
      </w:r>
    </w:p>
    <w:p>
      <w:pPr>
        <w:spacing w:after="0" w:line="152" w:lineRule="exact"/>
        <w:rPr>
          <w:rFonts w:ascii="Courier New" w:cs="Courier New" w:eastAsia="Courier New" w:hAnsi="Courier New"/>
          <w:sz w:val="13"/>
          <w:szCs w:val="13"/>
          <w:color w:val="auto"/>
        </w:rPr>
      </w:pPr>
    </w:p>
    <w:p>
      <w:pPr>
        <w:ind w:left="800" w:hanging="403"/>
        <w:spacing w:after="0"/>
        <w:tabs>
          <w:tab w:leader="none" w:pos="800" w:val="left"/>
        </w:tabs>
        <w:numPr>
          <w:ilvl w:val="1"/>
          <w:numId w:val="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breach of his duty of care to the company or any other person;</w:t>
      </w:r>
    </w:p>
    <w:p>
      <w:pPr>
        <w:spacing w:after="0" w:line="157" w:lineRule="exact"/>
        <w:rPr>
          <w:rFonts w:ascii="Courier New" w:cs="Courier New" w:eastAsia="Courier New" w:hAnsi="Courier New"/>
          <w:sz w:val="13"/>
          <w:szCs w:val="13"/>
          <w:color w:val="auto"/>
        </w:rPr>
      </w:pPr>
    </w:p>
    <w:p>
      <w:pPr>
        <w:ind w:left="800" w:right="3899" w:hanging="403"/>
        <w:spacing w:after="0" w:line="248" w:lineRule="auto"/>
        <w:tabs>
          <w:tab w:leader="none" w:pos="800" w:val="left"/>
        </w:tabs>
        <w:numPr>
          <w:ilvl w:val="1"/>
          <w:numId w:val="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breach of his fiduciary duty to the company to the extent he acted in good faith and had a reasonable basis to believe that the act or omission would not prejudice the interests of the company; and</w:t>
      </w:r>
    </w:p>
    <w:p>
      <w:pPr>
        <w:spacing w:after="0" w:line="152" w:lineRule="exact"/>
        <w:rPr>
          <w:rFonts w:ascii="Courier New" w:cs="Courier New" w:eastAsia="Courier New" w:hAnsi="Courier New"/>
          <w:sz w:val="13"/>
          <w:szCs w:val="13"/>
          <w:color w:val="auto"/>
        </w:rPr>
      </w:pPr>
    </w:p>
    <w:p>
      <w:pPr>
        <w:ind w:left="800" w:right="4059" w:hanging="403"/>
        <w:spacing w:after="0" w:line="249" w:lineRule="auto"/>
        <w:tabs>
          <w:tab w:leader="none" w:pos="800" w:val="left"/>
        </w:tabs>
        <w:numPr>
          <w:ilvl w:val="1"/>
          <w:numId w:val="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monetary liabilities or obligations which may be imposed upon him in favor of other persons.</w:t>
      </w:r>
    </w:p>
    <w:p>
      <w:pPr>
        <w:spacing w:after="0" w:line="151" w:lineRule="exact"/>
        <w:rPr>
          <w:rFonts w:ascii="Courier New" w:cs="Courier New" w:eastAsia="Courier New" w:hAnsi="Courier New"/>
          <w:sz w:val="13"/>
          <w:szCs w:val="13"/>
          <w:color w:val="auto"/>
        </w:rPr>
      </w:pPr>
    </w:p>
    <w:p>
      <w:pPr>
        <w:ind w:left="400" w:hanging="399"/>
        <w:spacing w:after="0"/>
        <w:tabs>
          <w:tab w:leader="none" w:pos="400" w:val="left"/>
        </w:tabs>
        <w:numPr>
          <w:ilvl w:val="0"/>
          <w:numId w:val="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indemnify an office holder of the company for:</w:t>
      </w:r>
    </w:p>
    <w:p>
      <w:pPr>
        <w:spacing w:after="0" w:line="157" w:lineRule="exact"/>
        <w:rPr>
          <w:rFonts w:ascii="Courier New" w:cs="Courier New" w:eastAsia="Courier New" w:hAnsi="Courier New"/>
          <w:sz w:val="13"/>
          <w:szCs w:val="13"/>
          <w:color w:val="auto"/>
        </w:rPr>
      </w:pPr>
    </w:p>
    <w:p>
      <w:pPr>
        <w:ind w:left="800" w:right="3899" w:hanging="403"/>
        <w:spacing w:after="0" w:line="248" w:lineRule="auto"/>
        <w:tabs>
          <w:tab w:leader="none" w:pos="800" w:val="left"/>
        </w:tabs>
        <w:numPr>
          <w:ilvl w:val="1"/>
          <w:numId w:val="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monetary liabilities or obligations imposed upon, or actually incurred by, such officer holder in favor of other persons pursuant to a court judgment, including a compromise judgment or an arbitrator's decision approved by a court, by reason of acts or omissions of such officer holder in his or her capacity as an office holder of the company;</w:t>
      </w:r>
    </w:p>
    <w:p>
      <w:pPr>
        <w:spacing w:after="0" w:line="152" w:lineRule="exact"/>
        <w:rPr>
          <w:rFonts w:ascii="Courier New" w:cs="Courier New" w:eastAsia="Courier New" w:hAnsi="Courier New"/>
          <w:sz w:val="13"/>
          <w:szCs w:val="13"/>
          <w:color w:val="auto"/>
        </w:rPr>
      </w:pPr>
    </w:p>
    <w:p>
      <w:pPr>
        <w:ind w:left="800" w:right="3899" w:hanging="403"/>
        <w:spacing w:after="0" w:line="248" w:lineRule="auto"/>
        <w:tabs>
          <w:tab w:leader="none" w:pos="800" w:val="left"/>
        </w:tabs>
        <w:numPr>
          <w:ilvl w:val="1"/>
          <w:numId w:val="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reasonable litigation expenses, including attorney's fees, actually incurred by such office holder or imposed upon him or her by a court, in an action, suit or proceeding brought against him or her by or on behalf of us or by other persons, or in connection with a criminal action from which he or she was acquitted, or in connection with a criminal action which does not require criminal intent in which he was convicted, in each case by reason of acts or omissions of such officer holder in his or her capacity as an office holder; and</w:t>
      </w:r>
    </w:p>
    <w:p>
      <w:pPr>
        <w:spacing w:after="0" w:line="152" w:lineRule="exact"/>
        <w:rPr>
          <w:rFonts w:ascii="Courier New" w:cs="Courier New" w:eastAsia="Courier New" w:hAnsi="Courier New"/>
          <w:sz w:val="13"/>
          <w:szCs w:val="13"/>
          <w:color w:val="auto"/>
        </w:rPr>
      </w:pPr>
    </w:p>
    <w:p>
      <w:pPr>
        <w:ind w:left="800" w:right="3899" w:hanging="403"/>
        <w:spacing w:after="0" w:line="248" w:lineRule="auto"/>
        <w:tabs>
          <w:tab w:leader="none" w:pos="800" w:val="left"/>
        </w:tabs>
        <w:numPr>
          <w:ilvl w:val="1"/>
          <w:numId w:val="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 in each case by reason of acts of such officer holder in his or her capacity as an office holder of the company.</w:t>
      </w:r>
    </w:p>
    <w:p>
      <w:pPr>
        <w:spacing w:after="0" w:line="305"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31</w:t>
      </w:r>
    </w:p>
    <w:p>
      <w:pPr>
        <w:spacing w:after="0" w:line="289"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52" w:lineRule="exact"/>
        <w:rPr>
          <w:sz w:val="20"/>
          <w:szCs w:val="20"/>
          <w:color w:val="auto"/>
        </w:rPr>
      </w:pPr>
    </w:p>
    <w:p>
      <w:pPr>
        <w:ind w:left="800" w:right="3899" w:hanging="403"/>
        <w:spacing w:after="0" w:line="248" w:lineRule="auto"/>
        <w:tabs>
          <w:tab w:leader="none" w:pos="800" w:val="left"/>
        </w:tabs>
        <w:numPr>
          <w:ilvl w:val="0"/>
          <w:numId w:val="21"/>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52" w:lineRule="exact"/>
        <w:rPr>
          <w:rFonts w:ascii="Courier New" w:cs="Courier New" w:eastAsia="Courier New" w:hAnsi="Courier New"/>
          <w:sz w:val="13"/>
          <w:szCs w:val="13"/>
          <w:color w:val="auto"/>
        </w:rPr>
      </w:pPr>
    </w:p>
    <w:p>
      <w:pPr>
        <w:ind w:left="800" w:hanging="403"/>
        <w:spacing w:after="0"/>
        <w:tabs>
          <w:tab w:leader="none" w:pos="800" w:val="left"/>
        </w:tabs>
        <w:numPr>
          <w:ilvl w:val="0"/>
          <w:numId w:val="21"/>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sub-sections 3(b) and 3(c) above.</w:t>
      </w:r>
    </w:p>
    <w:p>
      <w:pPr>
        <w:spacing w:after="0" w:line="157" w:lineRule="exact"/>
        <w:rPr>
          <w:sz w:val="20"/>
          <w:szCs w:val="20"/>
          <w:color w:val="auto"/>
        </w:rPr>
      </w:pPr>
    </w:p>
    <w:p>
      <w:pPr>
        <w:ind w:right="3979" w:firstLine="396"/>
        <w:spacing w:after="0" w:line="248" w:lineRule="auto"/>
        <w:rPr>
          <w:sz w:val="20"/>
          <w:szCs w:val="20"/>
          <w:color w:val="auto"/>
        </w:rPr>
      </w:pPr>
      <w:r>
        <w:rPr>
          <w:rFonts w:ascii="Courier New" w:cs="Courier New" w:eastAsia="Courier New" w:hAnsi="Courier New"/>
          <w:sz w:val="13"/>
          <w:szCs w:val="13"/>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152" w:lineRule="exact"/>
        <w:rPr>
          <w:sz w:val="20"/>
          <w:szCs w:val="20"/>
          <w:color w:val="auto"/>
        </w:rPr>
      </w:pPr>
    </w:p>
    <w:p>
      <w:pPr>
        <w:ind w:left="400" w:right="4379" w:firstLine="396"/>
        <w:spacing w:after="0" w:line="249" w:lineRule="auto"/>
        <w:rPr>
          <w:sz w:val="20"/>
          <w:szCs w:val="20"/>
          <w:color w:val="auto"/>
        </w:rPr>
      </w:pPr>
      <w:r>
        <w:rPr>
          <w:rFonts w:ascii="Courier New" w:cs="Courier New" w:eastAsia="Courier New" w:hAnsi="Courier New"/>
          <w:sz w:val="13"/>
          <w:szCs w:val="13"/>
          <w:color w:val="auto"/>
        </w:rPr>
        <w:t>o a breach of his fiduciary duty, except to the extent described above;</w:t>
      </w:r>
    </w:p>
    <w:p>
      <w:pPr>
        <w:spacing w:after="0" w:line="151" w:lineRule="exact"/>
        <w:rPr>
          <w:sz w:val="20"/>
          <w:szCs w:val="20"/>
          <w:color w:val="auto"/>
        </w:rPr>
      </w:pPr>
    </w:p>
    <w:p>
      <w:pPr>
        <w:ind w:left="400" w:right="3899" w:firstLine="396"/>
        <w:spacing w:after="0" w:line="248" w:lineRule="auto"/>
        <w:rPr>
          <w:sz w:val="20"/>
          <w:szCs w:val="20"/>
          <w:color w:val="auto"/>
        </w:rPr>
      </w:pPr>
      <w:r>
        <w:rPr>
          <w:rFonts w:ascii="Courier New" w:cs="Courier New" w:eastAsia="Courier New" w:hAnsi="Courier New"/>
          <w:sz w:val="13"/>
          <w:szCs w:val="13"/>
          <w:color w:val="auto"/>
        </w:rPr>
        <w:t>o a breach of his duty of care, if such breach was done intentionally, recklessly or with disregard of the circumstances of the breach or its consequences;</w:t>
      </w:r>
    </w:p>
    <w:p>
      <w:pPr>
        <w:spacing w:after="0" w:line="152" w:lineRule="exact"/>
        <w:rPr>
          <w:sz w:val="20"/>
          <w:szCs w:val="20"/>
          <w:color w:val="auto"/>
        </w:rPr>
      </w:pPr>
    </w:p>
    <w:p>
      <w:pPr>
        <w:ind w:left="400" w:right="4459" w:firstLine="396"/>
        <w:spacing w:after="0" w:line="249" w:lineRule="auto"/>
        <w:rPr>
          <w:sz w:val="20"/>
          <w:szCs w:val="20"/>
          <w:color w:val="auto"/>
        </w:rPr>
      </w:pPr>
      <w:r>
        <w:rPr>
          <w:rFonts w:ascii="Courier New" w:cs="Courier New" w:eastAsia="Courier New" w:hAnsi="Courier New"/>
          <w:sz w:val="13"/>
          <w:szCs w:val="13"/>
          <w:color w:val="auto"/>
        </w:rPr>
        <w:t>o an act or omission done with the intent to unlawfully realize personal gain; or</w:t>
      </w:r>
    </w:p>
    <w:p>
      <w:pPr>
        <w:spacing w:after="0" w:line="151" w:lineRule="exact"/>
        <w:rPr>
          <w:sz w:val="20"/>
          <w:szCs w:val="20"/>
          <w:color w:val="auto"/>
        </w:rPr>
      </w:pPr>
    </w:p>
    <w:p>
      <w:pPr>
        <w:ind w:left="800"/>
        <w:spacing w:after="0"/>
        <w:rPr>
          <w:sz w:val="20"/>
          <w:szCs w:val="20"/>
          <w:color w:val="auto"/>
        </w:rPr>
      </w:pPr>
      <w:r>
        <w:rPr>
          <w:rFonts w:ascii="Courier New" w:cs="Courier New" w:eastAsia="Courier New" w:hAnsi="Courier New"/>
          <w:sz w:val="13"/>
          <w:szCs w:val="13"/>
          <w:color w:val="auto"/>
        </w:rPr>
        <w:t>o a fine or monetary settlement imposed upon him.</w:t>
      </w:r>
    </w:p>
    <w:p>
      <w:pPr>
        <w:spacing w:after="0" w:line="157" w:lineRule="exact"/>
        <w:rPr>
          <w:sz w:val="20"/>
          <w:szCs w:val="20"/>
          <w:color w:val="auto"/>
        </w:rPr>
      </w:pPr>
    </w:p>
    <w:p>
      <w:pPr>
        <w:ind w:right="4059" w:firstLine="396"/>
        <w:spacing w:after="0" w:line="248" w:lineRule="auto"/>
        <w:rPr>
          <w:sz w:val="20"/>
          <w:szCs w:val="20"/>
          <w:color w:val="auto"/>
        </w:rPr>
      </w:pPr>
      <w:r>
        <w:rPr>
          <w:rFonts w:ascii="Courier New" w:cs="Courier New" w:eastAsia="Courier New" w:hAnsi="Courier New"/>
          <w:sz w:val="13"/>
          <w:szCs w:val="13"/>
          <w:color w:val="auto"/>
        </w:rPr>
        <w:t>Under the Companies Law, the term "office holder" includes a director, managing director, general manager, chief executive officer, executive vice president, vice president, other managers directly subordinate to the managing</w:t>
      </w:r>
    </w:p>
    <w:p>
      <w:pPr>
        <w:sectPr>
          <w:pgSz w:w="11900" w:h="16891" w:orient="portrait"/>
          <w:cols w:equalWidth="0" w:num="1">
            <w:col w:w="10239"/>
          </w:cols>
          <w:pgMar w:left="220" w:top="141" w:right="1440" w:bottom="0" w:gutter="0" w:footer="0" w:header="0"/>
        </w:sectPr>
      </w:pPr>
    </w:p>
    <w:bookmarkStart w:id="21" w:name="page22"/>
    <w:bookmarkEnd w:id="21"/>
    <w:p>
      <w:pPr>
        <w:spacing w:after="0" w:line="54" w:lineRule="exact"/>
        <w:rPr>
          <w:sz w:val="20"/>
          <w:szCs w:val="20"/>
          <w:color w:val="auto"/>
        </w:rPr>
      </w:pPr>
    </w:p>
    <w:p>
      <w:pPr>
        <w:ind w:right="4459"/>
        <w:spacing w:after="0" w:line="249" w:lineRule="auto"/>
        <w:rPr>
          <w:sz w:val="20"/>
          <w:szCs w:val="20"/>
          <w:color w:val="auto"/>
        </w:rPr>
      </w:pPr>
      <w:r>
        <w:rPr>
          <w:rFonts w:ascii="Courier New" w:cs="Courier New" w:eastAsia="Courier New" w:hAnsi="Courier New"/>
          <w:sz w:val="13"/>
          <w:szCs w:val="13"/>
          <w:color w:val="auto"/>
        </w:rPr>
        <w:t>director and any other person fulfilling or assuming any such position or responsibility without regard to such person's title.</w:t>
      </w:r>
    </w:p>
    <w:p>
      <w:pPr>
        <w:spacing w:after="0" w:line="151"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The grant of an exemption, an undertaking to indemnify or indemnification of, and procurement of insurance coverage for, an office holder of a company requires, pursuant to the Companies Law, the approval of our audit committee and board of directors, and, in certain circumstances, including if the office holder is a director, the approval of our shareholders.</w:t>
      </w:r>
    </w:p>
    <w:p>
      <w:pPr>
        <w:spacing w:after="0" w:line="152" w:lineRule="exact"/>
        <w:rPr>
          <w:sz w:val="20"/>
          <w:szCs w:val="20"/>
          <w:color w:val="auto"/>
        </w:rPr>
      </w:pPr>
    </w:p>
    <w:p>
      <w:pPr>
        <w:ind w:right="4059" w:firstLine="396"/>
        <w:spacing w:after="0" w:line="248" w:lineRule="auto"/>
        <w:rPr>
          <w:sz w:val="20"/>
          <w:szCs w:val="20"/>
          <w:color w:val="auto"/>
        </w:rPr>
      </w:pPr>
      <w:r>
        <w:rPr>
          <w:rFonts w:ascii="Courier New" w:cs="Courier New" w:eastAsia="Courier New" w:hAnsi="Courier New"/>
          <w:sz w:val="13"/>
          <w:szCs w:val="13"/>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304"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32</w:t>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RECENT SALES OF UNREGISTERED SECURITIES</w:t>
      </w:r>
    </w:p>
    <w:p>
      <w:pPr>
        <w:spacing w:after="0" w:line="157" w:lineRule="exact"/>
        <w:rPr>
          <w:sz w:val="20"/>
          <w:szCs w:val="20"/>
          <w:color w:val="auto"/>
        </w:rPr>
      </w:pPr>
    </w:p>
    <w:p>
      <w:pPr>
        <w:ind w:right="4299" w:firstLine="396"/>
        <w:spacing w:after="0" w:line="248" w:lineRule="auto"/>
        <w:rPr>
          <w:sz w:val="20"/>
          <w:szCs w:val="20"/>
          <w:color w:val="auto"/>
        </w:rPr>
      </w:pPr>
      <w:r>
        <w:rPr>
          <w:rFonts w:ascii="Courier New" w:cs="Courier New" w:eastAsia="Courier New" w:hAnsi="Courier New"/>
          <w:sz w:val="13"/>
          <w:szCs w:val="13"/>
          <w:color w:val="auto"/>
        </w:rPr>
        <w:t>The following is a summary of transactions during the proceeding three years involving sales of our securities that were not registered under the Securities Act.</w:t>
      </w:r>
    </w:p>
    <w:p>
      <w:pPr>
        <w:spacing w:after="0" w:line="152" w:lineRule="exact"/>
        <w:rPr>
          <w:sz w:val="20"/>
          <w:szCs w:val="20"/>
          <w:color w:val="auto"/>
        </w:rPr>
      </w:pPr>
    </w:p>
    <w:p>
      <w:pPr>
        <w:ind w:right="4059" w:firstLine="397"/>
        <w:spacing w:after="0" w:line="248" w:lineRule="auto"/>
        <w:tabs>
          <w:tab w:leader="none" w:pos="712"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February 2003, we issued an aggregate of 400,000 warrants to purchase ordinary shares to our contractor of our Fab 2 facility. The warrants have an exercise price of $7.50 and expire in February 2007.</w:t>
      </w:r>
    </w:p>
    <w:p>
      <w:pPr>
        <w:spacing w:after="0" w:line="152" w:lineRule="exact"/>
        <w:rPr>
          <w:rFonts w:ascii="Courier New" w:cs="Courier New" w:eastAsia="Courier New" w:hAnsi="Courier New"/>
          <w:sz w:val="13"/>
          <w:szCs w:val="13"/>
          <w:color w:val="auto"/>
        </w:rPr>
      </w:pPr>
    </w:p>
    <w:p>
      <w:pPr>
        <w:ind w:right="4139" w:firstLine="397"/>
        <w:spacing w:after="0" w:line="248" w:lineRule="auto"/>
        <w:tabs>
          <w:tab w:leader="none" w:pos="712"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May 2003, we issued an aggregate of 4,505,532 shares to our wafer and financial partners Sandisk Corporation, Alliance Semiconductor, Macronix International, Israel Corp and the Challenge Fund-Etgar II. These ordinary shares were issued in connection with a milestone payment in the amount of $13,440,000 under our Fab 2 agreements.</w:t>
      </w:r>
    </w:p>
    <w:p>
      <w:pPr>
        <w:spacing w:after="0" w:line="152" w:lineRule="exact"/>
        <w:rPr>
          <w:rFonts w:ascii="Courier New" w:cs="Courier New" w:eastAsia="Courier New" w:hAnsi="Courier New"/>
          <w:sz w:val="13"/>
          <w:szCs w:val="13"/>
          <w:color w:val="auto"/>
        </w:rPr>
      </w:pPr>
    </w:p>
    <w:p>
      <w:pPr>
        <w:ind w:right="3899" w:firstLine="397"/>
        <w:spacing w:after="0" w:line="248" w:lineRule="auto"/>
        <w:tabs>
          <w:tab w:leader="none" w:pos="712"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August 2003, we issued an aggregate of 838,082 shares to Sandisk Corporation, Alliance Semiconductor, Macronix International and Israel Corp. The ordinary shares were issued in connection with a milestone payment in the amount of $2,500,000 under our Fab 2 agreements.</w:t>
      </w:r>
    </w:p>
    <w:p>
      <w:pPr>
        <w:spacing w:after="0" w:line="152" w:lineRule="exact"/>
        <w:rPr>
          <w:rFonts w:ascii="Courier New" w:cs="Courier New" w:eastAsia="Courier New" w:hAnsi="Courier New"/>
          <w:sz w:val="13"/>
          <w:szCs w:val="13"/>
          <w:color w:val="auto"/>
        </w:rPr>
      </w:pPr>
    </w:p>
    <w:p>
      <w:pPr>
        <w:ind w:right="3899" w:firstLine="397"/>
        <w:spacing w:after="0" w:line="248" w:lineRule="auto"/>
        <w:tabs>
          <w:tab w:leader="none" w:pos="712"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December 2003, we issued warrants to purchase 58,906 of our ordinary shares to Israel Corp. These warrants were issued in connection with its undertaking to our banks to purchase our securities in certain circumstances. The warrants have an exercise price of $6.17 and expire in December 2008.</w:t>
      </w:r>
    </w:p>
    <w:p>
      <w:pPr>
        <w:spacing w:after="0" w:line="152" w:lineRule="exact"/>
        <w:rPr>
          <w:rFonts w:ascii="Courier New" w:cs="Courier New" w:eastAsia="Courier New" w:hAnsi="Courier New"/>
          <w:sz w:val="13"/>
          <w:szCs w:val="13"/>
          <w:color w:val="auto"/>
        </w:rPr>
      </w:pPr>
    </w:p>
    <w:p>
      <w:pPr>
        <w:ind w:right="3899" w:firstLine="397"/>
        <w:spacing w:after="0" w:line="248" w:lineRule="auto"/>
        <w:tabs>
          <w:tab w:leader="none" w:pos="712"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December 2003, we issued warrants for the purchase of 896,596 of our ordinary shares to our banks Bank Hapoalim and Bank Leumi. These warrants were issued in connection with an amendment to our credit facility agreement. The warrants have an exercise price of $6.17 and expire in December 2008.</w:t>
      </w:r>
    </w:p>
    <w:p>
      <w:pPr>
        <w:spacing w:after="0" w:line="152" w:lineRule="exact"/>
        <w:rPr>
          <w:rFonts w:ascii="Courier New" w:cs="Courier New" w:eastAsia="Courier New" w:hAnsi="Courier New"/>
          <w:sz w:val="13"/>
          <w:szCs w:val="13"/>
          <w:color w:val="auto"/>
        </w:rPr>
      </w:pPr>
    </w:p>
    <w:p>
      <w:pPr>
        <w:jc w:val="both"/>
        <w:ind w:right="3899" w:firstLine="397"/>
        <w:spacing w:after="0" w:line="248" w:lineRule="auto"/>
        <w:tabs>
          <w:tab w:leader="none" w:pos="712"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December 2003, we issued an aggregate of 2,916,951 shares, to the persons mentioned in (b) above. The ordinary shares were issued in connection with a milestone payment in the amount of $8,701,263 under our Fab 2 agreements.</w:t>
      </w:r>
    </w:p>
    <w:p>
      <w:pPr>
        <w:spacing w:after="0" w:line="152" w:lineRule="exact"/>
        <w:rPr>
          <w:rFonts w:ascii="Courier New" w:cs="Courier New" w:eastAsia="Courier New" w:hAnsi="Courier New"/>
          <w:sz w:val="13"/>
          <w:szCs w:val="13"/>
          <w:color w:val="auto"/>
        </w:rPr>
      </w:pPr>
    </w:p>
    <w:p>
      <w:pPr>
        <w:ind w:right="4059" w:firstLine="397"/>
        <w:spacing w:after="0" w:line="248" w:lineRule="auto"/>
        <w:tabs>
          <w:tab w:leader="none" w:pos="712"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January 2004, we issued an aggregate of 2,346,786 shares, to the persons mentioned in (b) above. The ordinary shares were issued in connection with a second installment milestone payment in the amount of $16,427,508 under our Fab 2 agreements.</w:t>
      </w:r>
    </w:p>
    <w:p>
      <w:pPr>
        <w:spacing w:after="0" w:line="152" w:lineRule="exact"/>
        <w:rPr>
          <w:rFonts w:ascii="Courier New" w:cs="Courier New" w:eastAsia="Courier New" w:hAnsi="Courier New"/>
          <w:sz w:val="13"/>
          <w:szCs w:val="13"/>
          <w:color w:val="auto"/>
        </w:rPr>
      </w:pPr>
    </w:p>
    <w:p>
      <w:pPr>
        <w:ind w:right="3899" w:firstLine="397"/>
        <w:spacing w:after="0" w:line="248" w:lineRule="auto"/>
        <w:tabs>
          <w:tab w:leader="none" w:pos="712"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2004, we issued ordinary shares to Sandisk Corporation in connection with its conversion of wafer credits as follows: in May 2004, 11,960 ordinary shares for their conversion of $80,250 of wafer credits; in July 2004, 40,378 ordinary shares for its conversion of $225,711 of wafer credits; and in October 2004, 64,825 ordinary shares for its conversion of $232,076 of wafer credits.</w:t>
      </w:r>
    </w:p>
    <w:p>
      <w:pPr>
        <w:spacing w:after="0" w:line="152" w:lineRule="exact"/>
        <w:rPr>
          <w:rFonts w:ascii="Courier New" w:cs="Courier New" w:eastAsia="Courier New" w:hAnsi="Courier New"/>
          <w:sz w:val="13"/>
          <w:szCs w:val="13"/>
          <w:color w:val="auto"/>
        </w:rPr>
      </w:pPr>
    </w:p>
    <w:p>
      <w:pPr>
        <w:ind w:right="3899" w:firstLine="397"/>
        <w:spacing w:after="0" w:line="249" w:lineRule="auto"/>
        <w:tabs>
          <w:tab w:leader="none" w:pos="712"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April 2005, we issued 586,391 ordinary shares to Sandisk Corporation in connection with its conversion of $944,089 of wafer credits.</w:t>
      </w:r>
    </w:p>
    <w:p>
      <w:pPr>
        <w:spacing w:after="0" w:line="151" w:lineRule="exact"/>
        <w:rPr>
          <w:rFonts w:ascii="Courier New" w:cs="Courier New" w:eastAsia="Courier New" w:hAnsi="Courier New"/>
          <w:sz w:val="13"/>
          <w:szCs w:val="13"/>
          <w:color w:val="auto"/>
        </w:rPr>
      </w:pPr>
    </w:p>
    <w:p>
      <w:pPr>
        <w:ind w:right="3979" w:firstLine="397"/>
        <w:spacing w:after="0" w:line="249" w:lineRule="auto"/>
        <w:tabs>
          <w:tab w:leader="none" w:pos="712"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July 2005, we issued 421,422 ordinary shares to Sandisk Corporation in connection with its conversion of $501,492 of wafer credits.</w:t>
      </w:r>
    </w:p>
    <w:p>
      <w:pPr>
        <w:spacing w:after="0" w:line="151" w:lineRule="exact"/>
        <w:rPr>
          <w:rFonts w:ascii="Courier New" w:cs="Courier New" w:eastAsia="Courier New" w:hAnsi="Courier New"/>
          <w:sz w:val="13"/>
          <w:szCs w:val="13"/>
          <w:color w:val="auto"/>
        </w:rPr>
      </w:pPr>
    </w:p>
    <w:p>
      <w:pPr>
        <w:ind w:right="3899" w:firstLine="397"/>
        <w:spacing w:after="0" w:line="248" w:lineRule="auto"/>
        <w:tabs>
          <w:tab w:leader="none" w:pos="712"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August 2005, we issued warrants for the purchase of 8,264,464 of our ordinary shares to Bank Hapoalim and Bank Leumi. These warrants were issued in connection with an amendment to our credit facility agreement. They have an exercise price of $1.21. Half of these warrants expire in August 2010. Half of these warrants will only become exercisable upon the agreement of repayment terms of the loans under the July 2005 amendment and will expire five years from the date of any such agreement.</w:t>
      </w:r>
    </w:p>
    <w:p>
      <w:pPr>
        <w:spacing w:after="0" w:line="152" w:lineRule="exact"/>
        <w:rPr>
          <w:rFonts w:ascii="Courier New" w:cs="Courier New" w:eastAsia="Courier New" w:hAnsi="Courier New"/>
          <w:sz w:val="13"/>
          <w:szCs w:val="13"/>
          <w:color w:val="auto"/>
        </w:rPr>
      </w:pPr>
    </w:p>
    <w:p>
      <w:pPr>
        <w:ind w:right="4299" w:firstLine="397"/>
        <w:spacing w:after="0" w:line="249" w:lineRule="auto"/>
        <w:tabs>
          <w:tab w:leader="none" w:pos="712"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October 2005, we issued 161,598 ordinary shares to Sandisk Corporation in connection with its conversion of $272,822 of wafer credits.</w:t>
      </w:r>
    </w:p>
    <w:p>
      <w:pPr>
        <w:spacing w:after="0" w:line="151" w:lineRule="exact"/>
        <w:rPr>
          <w:rFonts w:ascii="Courier New" w:cs="Courier New" w:eastAsia="Courier New" w:hAnsi="Courier New"/>
          <w:sz w:val="13"/>
          <w:szCs w:val="13"/>
          <w:color w:val="auto"/>
        </w:rPr>
      </w:pPr>
    </w:p>
    <w:p>
      <w:pPr>
        <w:ind w:right="4219" w:firstLine="397"/>
        <w:spacing w:after="0" w:line="249" w:lineRule="auto"/>
        <w:tabs>
          <w:tab w:leader="none" w:pos="712"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October 2005, we issued 62,849 ordinary shares to Alliance Semiconductor in connection with its conversion of $75,479 of wafer credits.</w:t>
      </w:r>
    </w:p>
    <w:p>
      <w:pPr>
        <w:spacing w:after="0" w:line="151" w:lineRule="exact"/>
        <w:rPr>
          <w:rFonts w:ascii="Courier New" w:cs="Courier New" w:eastAsia="Courier New" w:hAnsi="Courier New"/>
          <w:sz w:val="13"/>
          <w:szCs w:val="13"/>
          <w:color w:val="auto"/>
        </w:rPr>
      </w:pPr>
    </w:p>
    <w:p>
      <w:pPr>
        <w:ind w:right="4299" w:firstLine="397"/>
        <w:spacing w:after="0" w:line="249" w:lineRule="auto"/>
        <w:tabs>
          <w:tab w:leader="none" w:pos="712"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January 2006, we issued 218,292 ordinary shares to Sandisk Corporation in connection with its conversion of $344,901 of wafer credits.</w:t>
      </w: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33</w:t>
      </w:r>
    </w:p>
    <w:p>
      <w:pPr>
        <w:spacing w:after="0" w:line="200" w:lineRule="exact"/>
        <w:rPr>
          <w:sz w:val="20"/>
          <w:szCs w:val="20"/>
          <w:color w:val="auto"/>
        </w:rPr>
      </w:pPr>
    </w:p>
    <w:p>
      <w:pPr>
        <w:spacing w:after="0" w:line="241" w:lineRule="exact"/>
        <w:rPr>
          <w:sz w:val="20"/>
          <w:szCs w:val="20"/>
          <w:color w:val="auto"/>
        </w:rPr>
      </w:pPr>
    </w:p>
    <w:p>
      <w:pPr>
        <w:ind w:right="4219" w:firstLine="397"/>
        <w:spacing w:after="0" w:line="249" w:lineRule="auto"/>
        <w:tabs>
          <w:tab w:leader="none" w:pos="712" w:val="left"/>
        </w:tabs>
        <w:numPr>
          <w:ilvl w:val="0"/>
          <w:numId w:val="2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January 2006, we issued 39,199 ordinary shares to Alliance Semiconductor in connection with its conversion of $61,935 of wafer credits.</w:t>
      </w:r>
    </w:p>
    <w:p>
      <w:pPr>
        <w:spacing w:after="0" w:line="151" w:lineRule="exact"/>
        <w:rPr>
          <w:rFonts w:ascii="Courier New" w:cs="Courier New" w:eastAsia="Courier New" w:hAnsi="Courier New"/>
          <w:sz w:val="13"/>
          <w:szCs w:val="13"/>
          <w:color w:val="auto"/>
        </w:rPr>
      </w:pPr>
    </w:p>
    <w:p>
      <w:pPr>
        <w:ind w:right="4059" w:firstLine="397"/>
        <w:spacing w:after="0" w:line="248" w:lineRule="auto"/>
        <w:tabs>
          <w:tab w:leader="none" w:pos="712" w:val="left"/>
        </w:tabs>
        <w:numPr>
          <w:ilvl w:val="0"/>
          <w:numId w:val="2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January 2006, we issued an aggregate of 31,191,606 convertible debentures to Israel Corporation Ltd., Alliance Semiconductor Corporation, Macronix (BVI) Co Ltd., SanDisk Corporation, Sphera Master Fund LP, Do Tzah Ltd., Ramco 20 Flexible, and Ramco Stocks convertible into 28,356,005 ordinary shares in connection with our 2006 rights offering.</w:t>
      </w:r>
    </w:p>
    <w:p>
      <w:pPr>
        <w:spacing w:after="0" w:line="152" w:lineRule="exact"/>
        <w:rPr>
          <w:rFonts w:ascii="Courier New" w:cs="Courier New" w:eastAsia="Courier New" w:hAnsi="Courier New"/>
          <w:sz w:val="13"/>
          <w:szCs w:val="13"/>
          <w:color w:val="auto"/>
        </w:rPr>
      </w:pPr>
    </w:p>
    <w:p>
      <w:pPr>
        <w:ind w:right="3979" w:firstLine="397"/>
        <w:spacing w:after="0" w:line="249" w:lineRule="auto"/>
        <w:tabs>
          <w:tab w:leader="none" w:pos="712" w:val="left"/>
        </w:tabs>
        <w:numPr>
          <w:ilvl w:val="0"/>
          <w:numId w:val="2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February 2006, we issued 2,455,905 ordinary shares to Alliance Semiconductor in connection with its conversion of $3,880,330 of wafer credits.</w:t>
      </w:r>
    </w:p>
    <w:p>
      <w:pPr>
        <w:spacing w:after="0" w:line="151" w:lineRule="exact"/>
        <w:rPr>
          <w:rFonts w:ascii="Courier New" w:cs="Courier New" w:eastAsia="Courier New" w:hAnsi="Courier New"/>
          <w:sz w:val="13"/>
          <w:szCs w:val="13"/>
          <w:color w:val="auto"/>
        </w:rPr>
      </w:pPr>
    </w:p>
    <w:p>
      <w:pPr>
        <w:ind w:right="3899" w:firstLine="397"/>
        <w:spacing w:after="0" w:line="249" w:lineRule="auto"/>
        <w:tabs>
          <w:tab w:leader="none" w:pos="712" w:val="left"/>
        </w:tabs>
        <w:numPr>
          <w:ilvl w:val="0"/>
          <w:numId w:val="2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April 2006, we issued 660,887 ordinary shares to Sandisk Corporation in connection with its conversion of $912,024 of wafer credits.</w:t>
      </w:r>
    </w:p>
    <w:p>
      <w:pPr>
        <w:spacing w:after="0" w:line="151" w:lineRule="exact"/>
        <w:rPr>
          <w:rFonts w:ascii="Courier New" w:cs="Courier New" w:eastAsia="Courier New" w:hAnsi="Courier New"/>
          <w:sz w:val="13"/>
          <w:szCs w:val="13"/>
          <w:color w:val="auto"/>
        </w:rPr>
      </w:pPr>
    </w:p>
    <w:p>
      <w:pPr>
        <w:ind w:right="4219" w:firstLine="397"/>
        <w:spacing w:after="0" w:line="249" w:lineRule="auto"/>
        <w:tabs>
          <w:tab w:leader="none" w:pos="712" w:val="left"/>
        </w:tabs>
        <w:numPr>
          <w:ilvl w:val="0"/>
          <w:numId w:val="2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April 2006, we issued 63,793 ordinary shares to Alliance Semiconductor in connection with its conversion of $88,035 of wafer credits.</w:t>
      </w:r>
    </w:p>
    <w:p>
      <w:pPr>
        <w:sectPr>
          <w:pgSz w:w="11900" w:h="16892" w:orient="portrait"/>
          <w:cols w:equalWidth="0" w:num="1">
            <w:col w:w="10239"/>
          </w:cols>
          <w:pgMar w:left="220" w:top="141" w:right="1440" w:bottom="0" w:gutter="0" w:footer="0" w:header="0"/>
        </w:sectPr>
      </w:pPr>
    </w:p>
    <w:bookmarkStart w:id="22" w:name="page23"/>
    <w:bookmarkEnd w:id="22"/>
    <w:p>
      <w:pPr>
        <w:spacing w:after="0" w:line="47" w:lineRule="exact"/>
        <w:rPr>
          <w:sz w:val="20"/>
          <w:szCs w:val="20"/>
          <w:color w:val="auto"/>
        </w:rPr>
      </w:pPr>
    </w:p>
    <w:p>
      <w:pPr>
        <w:jc w:val="both"/>
        <w:ind w:right="3899" w:firstLine="396"/>
        <w:spacing w:after="0" w:line="248" w:lineRule="auto"/>
        <w:rPr>
          <w:sz w:val="20"/>
          <w:szCs w:val="20"/>
          <w:color w:val="auto"/>
        </w:rPr>
      </w:pPr>
      <w:r>
        <w:rPr>
          <w:rFonts w:ascii="Courier New" w:cs="Courier New" w:eastAsia="Courier New" w:hAnsi="Courier New"/>
          <w:sz w:val="13"/>
          <w:szCs w:val="13"/>
          <w:color w:val="auto"/>
        </w:rPr>
        <w:t>The offer and sale of our securities summarized above were made pursuant to the exemption provided under Section 4(2) and/or Regulation S of the Securities Act.</w:t>
      </w:r>
    </w:p>
    <w:p>
      <w:pPr>
        <w:spacing w:after="0" w:line="152" w:lineRule="exact"/>
        <w:rPr>
          <w:sz w:val="20"/>
          <w:szCs w:val="20"/>
          <w:color w:val="auto"/>
        </w:rPr>
      </w:pPr>
    </w:p>
    <w:p>
      <w:pPr>
        <w:ind w:right="4059" w:firstLine="396"/>
        <w:spacing w:after="0" w:line="249" w:lineRule="auto"/>
        <w:rPr>
          <w:sz w:val="20"/>
          <w:szCs w:val="20"/>
          <w:color w:val="auto"/>
        </w:rPr>
      </w:pPr>
      <w:r>
        <w:rPr>
          <w:rFonts w:ascii="Courier New" w:cs="Courier New" w:eastAsia="Courier New" w:hAnsi="Courier New"/>
          <w:sz w:val="13"/>
          <w:szCs w:val="13"/>
          <w:color w:val="auto"/>
        </w:rPr>
        <w:t>No underwriter or underwriting discount or commission was involved in any of the transactions set forth above.</w:t>
      </w: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34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DIRECTORS, SENIOR MANAGEMENT AND EMPLOYEES</w:t>
      </w:r>
    </w:p>
    <w:p>
      <w:pPr>
        <w:spacing w:after="0" w:line="157" w:lineRule="exact"/>
        <w:rPr>
          <w:sz w:val="20"/>
          <w:szCs w:val="20"/>
          <w:color w:val="auto"/>
        </w:rPr>
      </w:pPr>
    </w:p>
    <w:p>
      <w:pPr>
        <w:ind w:right="3899" w:firstLine="396"/>
        <w:spacing w:after="0" w:line="249" w:lineRule="auto"/>
        <w:rPr>
          <w:sz w:val="20"/>
          <w:szCs w:val="20"/>
          <w:color w:val="auto"/>
        </w:rPr>
      </w:pPr>
      <w:r>
        <w:rPr>
          <w:rFonts w:ascii="Courier New" w:cs="Courier New" w:eastAsia="Courier New" w:hAnsi="Courier New"/>
          <w:sz w:val="13"/>
          <w:szCs w:val="13"/>
          <w:color w:val="auto"/>
        </w:rPr>
        <w:t>Set forth below is information regarding the members of our administrative, supervisory or management bodies and our directors.</w:t>
      </w:r>
    </w:p>
    <w:p>
      <w:pPr>
        <w:spacing w:after="0" w:line="151" w:lineRule="exact"/>
        <w:rPr>
          <w:sz w:val="20"/>
          <w:szCs w:val="20"/>
          <w:color w:val="auto"/>
        </w:rPr>
      </w:pPr>
    </w:p>
    <w:p>
      <w:pPr>
        <w:ind w:left="3080"/>
        <w:spacing w:after="0"/>
        <w:tabs>
          <w:tab w:leader="none" w:pos="4020" w:val="left"/>
        </w:tabs>
        <w:rPr>
          <w:sz w:val="20"/>
          <w:szCs w:val="20"/>
          <w:color w:val="auto"/>
        </w:rPr>
      </w:pPr>
      <w:r>
        <w:rPr>
          <w:rFonts w:ascii="Courier New" w:cs="Courier New" w:eastAsia="Courier New" w:hAnsi="Courier New"/>
          <w:sz w:val="13"/>
          <w:szCs w:val="13"/>
          <w:color w:val="auto"/>
        </w:rPr>
        <w:t>AGE</w:t>
      </w:r>
      <w:r>
        <w:rPr>
          <w:sz w:val="20"/>
          <w:szCs w:val="20"/>
          <w:color w:val="auto"/>
        </w:rPr>
        <w:tab/>
      </w:r>
      <w:r>
        <w:rPr>
          <w:rFonts w:ascii="Courier New" w:cs="Courier New" w:eastAsia="Courier New" w:hAnsi="Courier New"/>
          <w:sz w:val="13"/>
          <w:szCs w:val="13"/>
          <w:color w:val="auto"/>
        </w:rPr>
        <w:t>TITLE</w:t>
      </w:r>
    </w:p>
    <w:p>
      <w:pPr>
        <w:spacing w:after="0" w:line="5" w:lineRule="exact"/>
        <w:rPr>
          <w:sz w:val="20"/>
          <w:szCs w:val="20"/>
          <w:color w:val="auto"/>
        </w:rPr>
      </w:pPr>
    </w:p>
    <w:p>
      <w:pPr>
        <w:ind w:left="4040" w:hanging="952"/>
        <w:spacing w:after="0"/>
        <w:tabs>
          <w:tab w:leader="none" w:pos="4040" w:val="left"/>
        </w:tabs>
        <w:numPr>
          <w:ilvl w:val="0"/>
          <w:numId w:val="24"/>
        </w:numPr>
        <w:rPr>
          <w:rFonts w:ascii="Courier New" w:cs="Courier New" w:eastAsia="Courier New" w:hAnsi="Courier New"/>
          <w:sz w:val="13"/>
          <w:szCs w:val="13"/>
          <w:color w:val="auto"/>
        </w:rPr>
      </w:pPr>
      <w:r>
        <w:rPr>
          <w:rFonts w:ascii="Courier New" w:cs="Courier New" w:eastAsia="Courier New" w:hAnsi="Courier New"/>
          <w:sz w:val="13"/>
          <w:szCs w:val="13"/>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SENIOR MANAGEMENT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340" w:type="dxa"/>
            <w:vAlign w:val="bottom"/>
          </w:tcPr>
          <w:p>
            <w:pPr>
              <w:spacing w:after="0"/>
              <w:rPr>
                <w:sz w:val="20"/>
                <w:szCs w:val="20"/>
                <w:color w:val="auto"/>
              </w:rPr>
            </w:pPr>
            <w:r>
              <w:rPr>
                <w:rFonts w:ascii="Courier New" w:cs="Courier New" w:eastAsia="Courier New" w:hAnsi="Courier New"/>
                <w:sz w:val="13"/>
                <w:szCs w:val="13"/>
                <w:color w:val="auto"/>
              </w:rPr>
              <w:t>Russell C. Ellwanger</w:t>
            </w:r>
          </w:p>
        </w:tc>
        <w:tc>
          <w:tcPr>
            <w:tcW w:w="1300" w:type="dxa"/>
            <w:vAlign w:val="bottom"/>
          </w:tcPr>
          <w:p>
            <w:pPr>
              <w:jc w:val="right"/>
              <w:ind w:right="334"/>
              <w:spacing w:after="0"/>
              <w:rPr>
                <w:sz w:val="20"/>
                <w:szCs w:val="20"/>
                <w:color w:val="auto"/>
              </w:rPr>
            </w:pPr>
            <w:r>
              <w:rPr>
                <w:rFonts w:ascii="Courier New" w:cs="Courier New" w:eastAsia="Courier New" w:hAnsi="Courier New"/>
                <w:sz w:val="13"/>
                <w:szCs w:val="13"/>
                <w:color w:val="auto"/>
              </w:rPr>
              <w:t>51</w:t>
            </w:r>
          </w:p>
        </w:tc>
        <w:tc>
          <w:tcPr>
            <w:tcW w:w="4200" w:type="dxa"/>
            <w:vAlign w:val="bottom"/>
          </w:tcPr>
          <w:p>
            <w:pPr>
              <w:ind w:left="400"/>
              <w:spacing w:after="0"/>
              <w:rPr>
                <w:sz w:val="20"/>
                <w:szCs w:val="20"/>
                <w:color w:val="auto"/>
              </w:rPr>
            </w:pPr>
            <w:r>
              <w:rPr>
                <w:rFonts w:ascii="Courier New" w:cs="Courier New" w:eastAsia="Courier New" w:hAnsi="Courier New"/>
                <w:sz w:val="13"/>
                <w:szCs w:val="13"/>
                <w:color w:val="auto"/>
              </w:rPr>
              <w:t>Chief Executive Officer</w:t>
            </w:r>
          </w:p>
        </w:tc>
      </w:tr>
      <w:tr>
        <w:trPr>
          <w:trHeight w:val="152"/>
        </w:trPr>
        <w:tc>
          <w:tcPr>
            <w:tcW w:w="2340" w:type="dxa"/>
            <w:vAlign w:val="bottom"/>
          </w:tcPr>
          <w:p>
            <w:pPr>
              <w:spacing w:after="0"/>
              <w:rPr>
                <w:sz w:val="20"/>
                <w:szCs w:val="20"/>
                <w:color w:val="auto"/>
              </w:rPr>
            </w:pPr>
            <w:r>
              <w:rPr>
                <w:rFonts w:ascii="Courier New" w:cs="Courier New" w:eastAsia="Courier New" w:hAnsi="Courier New"/>
                <w:sz w:val="13"/>
                <w:szCs w:val="13"/>
                <w:color w:val="auto"/>
              </w:rPr>
              <w:t>Oren Shirazi</w:t>
            </w:r>
          </w:p>
        </w:tc>
        <w:tc>
          <w:tcPr>
            <w:tcW w:w="1300" w:type="dxa"/>
            <w:vAlign w:val="bottom"/>
          </w:tcPr>
          <w:p>
            <w:pPr>
              <w:jc w:val="right"/>
              <w:ind w:right="334"/>
              <w:spacing w:after="0"/>
              <w:rPr>
                <w:sz w:val="20"/>
                <w:szCs w:val="20"/>
                <w:color w:val="auto"/>
              </w:rPr>
            </w:pPr>
            <w:r>
              <w:rPr>
                <w:rFonts w:ascii="Courier New" w:cs="Courier New" w:eastAsia="Courier New" w:hAnsi="Courier New"/>
                <w:sz w:val="13"/>
                <w:szCs w:val="13"/>
                <w:color w:val="auto"/>
              </w:rPr>
              <w:t>36</w:t>
            </w:r>
          </w:p>
        </w:tc>
        <w:tc>
          <w:tcPr>
            <w:tcW w:w="4200" w:type="dxa"/>
            <w:vAlign w:val="bottom"/>
          </w:tcPr>
          <w:p>
            <w:pPr>
              <w:ind w:left="400"/>
              <w:spacing w:after="0"/>
              <w:rPr>
                <w:sz w:val="20"/>
                <w:szCs w:val="20"/>
                <w:color w:val="auto"/>
              </w:rPr>
            </w:pPr>
            <w:r>
              <w:rPr>
                <w:rFonts w:ascii="Courier New" w:cs="Courier New" w:eastAsia="Courier New" w:hAnsi="Courier New"/>
                <w:sz w:val="13"/>
                <w:szCs w:val="13"/>
                <w:color w:val="auto"/>
              </w:rPr>
              <w:t>Acting Chief Financial Officer</w:t>
            </w:r>
          </w:p>
        </w:tc>
      </w:tr>
      <w:tr>
        <w:trPr>
          <w:trHeight w:val="152"/>
        </w:trPr>
        <w:tc>
          <w:tcPr>
            <w:tcW w:w="2340" w:type="dxa"/>
            <w:vAlign w:val="bottom"/>
          </w:tcPr>
          <w:p>
            <w:pPr>
              <w:spacing w:after="0"/>
              <w:rPr>
                <w:sz w:val="20"/>
                <w:szCs w:val="20"/>
                <w:color w:val="auto"/>
              </w:rPr>
            </w:pPr>
            <w:r>
              <w:rPr>
                <w:rFonts w:ascii="Courier New" w:cs="Courier New" w:eastAsia="Courier New" w:hAnsi="Courier New"/>
                <w:sz w:val="13"/>
                <w:szCs w:val="13"/>
                <w:color w:val="auto"/>
              </w:rPr>
              <w:t>Dudu Vidan</w:t>
            </w:r>
          </w:p>
        </w:tc>
        <w:tc>
          <w:tcPr>
            <w:tcW w:w="1300" w:type="dxa"/>
            <w:vAlign w:val="bottom"/>
          </w:tcPr>
          <w:p>
            <w:pPr>
              <w:jc w:val="right"/>
              <w:ind w:right="334"/>
              <w:spacing w:after="0"/>
              <w:rPr>
                <w:sz w:val="20"/>
                <w:szCs w:val="20"/>
                <w:color w:val="auto"/>
              </w:rPr>
            </w:pPr>
            <w:r>
              <w:rPr>
                <w:rFonts w:ascii="Courier New" w:cs="Courier New" w:eastAsia="Courier New" w:hAnsi="Courier New"/>
                <w:sz w:val="13"/>
                <w:szCs w:val="13"/>
                <w:color w:val="auto"/>
              </w:rPr>
              <w:t>44</w:t>
            </w:r>
          </w:p>
        </w:tc>
        <w:tc>
          <w:tcPr>
            <w:tcW w:w="4200" w:type="dxa"/>
            <w:vAlign w:val="bottom"/>
          </w:tcPr>
          <w:p>
            <w:pPr>
              <w:ind w:left="400"/>
              <w:spacing w:after="0"/>
              <w:rPr>
                <w:sz w:val="20"/>
                <w:szCs w:val="20"/>
                <w:color w:val="auto"/>
              </w:rPr>
            </w:pPr>
            <w:r>
              <w:rPr>
                <w:rFonts w:ascii="Courier New" w:cs="Courier New" w:eastAsia="Courier New" w:hAnsi="Courier New"/>
                <w:sz w:val="13"/>
                <w:szCs w:val="13"/>
                <w:color w:val="auto"/>
              </w:rPr>
              <w:t>Vice President and Fab 1 Manager</w:t>
            </w:r>
          </w:p>
        </w:tc>
      </w:tr>
      <w:tr>
        <w:trPr>
          <w:trHeight w:val="152"/>
        </w:trPr>
        <w:tc>
          <w:tcPr>
            <w:tcW w:w="2340" w:type="dxa"/>
            <w:vAlign w:val="bottom"/>
          </w:tcPr>
          <w:p>
            <w:pPr>
              <w:spacing w:after="0"/>
              <w:rPr>
                <w:sz w:val="20"/>
                <w:szCs w:val="20"/>
                <w:color w:val="auto"/>
              </w:rPr>
            </w:pPr>
            <w:r>
              <w:rPr>
                <w:rFonts w:ascii="Courier New" w:cs="Courier New" w:eastAsia="Courier New" w:hAnsi="Courier New"/>
                <w:sz w:val="13"/>
                <w:szCs w:val="13"/>
                <w:color w:val="auto"/>
              </w:rPr>
              <w:t>Dr. Itzhak Edrei</w:t>
            </w:r>
          </w:p>
        </w:tc>
        <w:tc>
          <w:tcPr>
            <w:tcW w:w="1300" w:type="dxa"/>
            <w:vAlign w:val="bottom"/>
          </w:tcPr>
          <w:p>
            <w:pPr>
              <w:jc w:val="right"/>
              <w:ind w:right="334"/>
              <w:spacing w:after="0"/>
              <w:rPr>
                <w:sz w:val="20"/>
                <w:szCs w:val="20"/>
                <w:color w:val="auto"/>
              </w:rPr>
            </w:pPr>
            <w:r>
              <w:rPr>
                <w:rFonts w:ascii="Courier New" w:cs="Courier New" w:eastAsia="Courier New" w:hAnsi="Courier New"/>
                <w:sz w:val="13"/>
                <w:szCs w:val="13"/>
                <w:color w:val="auto"/>
              </w:rPr>
              <w:t>46</w:t>
            </w:r>
          </w:p>
        </w:tc>
        <w:tc>
          <w:tcPr>
            <w:tcW w:w="4200" w:type="dxa"/>
            <w:vAlign w:val="bottom"/>
          </w:tcPr>
          <w:p>
            <w:pPr>
              <w:ind w:left="400"/>
              <w:spacing w:after="0"/>
              <w:rPr>
                <w:sz w:val="20"/>
                <w:szCs w:val="20"/>
                <w:color w:val="auto"/>
              </w:rPr>
            </w:pPr>
            <w:r>
              <w:rPr>
                <w:rFonts w:ascii="Courier New" w:cs="Courier New" w:eastAsia="Courier New" w:hAnsi="Courier New"/>
                <w:sz w:val="13"/>
                <w:szCs w:val="13"/>
                <w:color w:val="auto"/>
              </w:rPr>
              <w:t>Senior Vice President of Product Lines and Sales</w:t>
            </w:r>
          </w:p>
        </w:tc>
      </w:tr>
      <w:tr>
        <w:trPr>
          <w:trHeight w:val="152"/>
        </w:trPr>
        <w:tc>
          <w:tcPr>
            <w:tcW w:w="2340" w:type="dxa"/>
            <w:vAlign w:val="bottom"/>
          </w:tcPr>
          <w:p>
            <w:pPr>
              <w:spacing w:after="0"/>
              <w:rPr>
                <w:sz w:val="20"/>
                <w:szCs w:val="20"/>
                <w:color w:val="auto"/>
              </w:rPr>
            </w:pPr>
            <w:r>
              <w:rPr>
                <w:rFonts w:ascii="Courier New" w:cs="Courier New" w:eastAsia="Courier New" w:hAnsi="Courier New"/>
                <w:sz w:val="13"/>
                <w:szCs w:val="13"/>
                <w:color w:val="auto"/>
              </w:rPr>
              <w:t>Rafi Nave</w:t>
            </w:r>
          </w:p>
        </w:tc>
        <w:tc>
          <w:tcPr>
            <w:tcW w:w="1300" w:type="dxa"/>
            <w:vAlign w:val="bottom"/>
          </w:tcPr>
          <w:p>
            <w:pPr>
              <w:jc w:val="right"/>
              <w:ind w:right="334"/>
              <w:spacing w:after="0"/>
              <w:rPr>
                <w:sz w:val="20"/>
                <w:szCs w:val="20"/>
                <w:color w:val="auto"/>
              </w:rPr>
            </w:pPr>
            <w:r>
              <w:rPr>
                <w:rFonts w:ascii="Courier New" w:cs="Courier New" w:eastAsia="Courier New" w:hAnsi="Courier New"/>
                <w:sz w:val="13"/>
                <w:szCs w:val="13"/>
                <w:color w:val="auto"/>
              </w:rPr>
              <w:t>56</w:t>
            </w:r>
          </w:p>
        </w:tc>
        <w:tc>
          <w:tcPr>
            <w:tcW w:w="4200" w:type="dxa"/>
            <w:vAlign w:val="bottom"/>
          </w:tcPr>
          <w:p>
            <w:pPr>
              <w:ind w:left="400"/>
              <w:spacing w:after="0"/>
              <w:rPr>
                <w:sz w:val="20"/>
                <w:szCs w:val="20"/>
                <w:color w:val="auto"/>
              </w:rPr>
            </w:pPr>
            <w:r>
              <w:rPr>
                <w:rFonts w:ascii="Courier New" w:cs="Courier New" w:eastAsia="Courier New" w:hAnsi="Courier New"/>
                <w:sz w:val="13"/>
                <w:szCs w:val="13"/>
                <w:color w:val="auto"/>
              </w:rPr>
              <w:t>Chief Technology Officer</w:t>
            </w:r>
          </w:p>
        </w:tc>
      </w:tr>
      <w:tr>
        <w:trPr>
          <w:trHeight w:val="152"/>
        </w:trPr>
        <w:tc>
          <w:tcPr>
            <w:tcW w:w="2340" w:type="dxa"/>
            <w:vAlign w:val="bottom"/>
          </w:tcPr>
          <w:p>
            <w:pPr>
              <w:spacing w:after="0"/>
              <w:rPr>
                <w:sz w:val="20"/>
                <w:szCs w:val="20"/>
                <w:color w:val="auto"/>
              </w:rPr>
            </w:pPr>
            <w:r>
              <w:rPr>
                <w:rFonts w:ascii="Courier New" w:cs="Courier New" w:eastAsia="Courier New" w:hAnsi="Courier New"/>
                <w:sz w:val="13"/>
                <w:szCs w:val="13"/>
                <w:color w:val="auto"/>
              </w:rPr>
              <w:t>Ephie Koltin</w:t>
            </w:r>
          </w:p>
        </w:tc>
        <w:tc>
          <w:tcPr>
            <w:tcW w:w="1300" w:type="dxa"/>
            <w:vAlign w:val="bottom"/>
          </w:tcPr>
          <w:p>
            <w:pPr>
              <w:jc w:val="right"/>
              <w:ind w:right="334"/>
              <w:spacing w:after="0"/>
              <w:rPr>
                <w:sz w:val="20"/>
                <w:szCs w:val="20"/>
                <w:color w:val="auto"/>
              </w:rPr>
            </w:pPr>
            <w:r>
              <w:rPr>
                <w:rFonts w:ascii="Courier New" w:cs="Courier New" w:eastAsia="Courier New" w:hAnsi="Courier New"/>
                <w:sz w:val="13"/>
                <w:szCs w:val="13"/>
                <w:color w:val="auto"/>
              </w:rPr>
              <w:t>44</w:t>
            </w:r>
          </w:p>
        </w:tc>
        <w:tc>
          <w:tcPr>
            <w:tcW w:w="4200" w:type="dxa"/>
            <w:vAlign w:val="bottom"/>
          </w:tcPr>
          <w:p>
            <w:pPr>
              <w:ind w:left="400"/>
              <w:spacing w:after="0"/>
              <w:rPr>
                <w:sz w:val="20"/>
                <w:szCs w:val="20"/>
                <w:color w:val="auto"/>
              </w:rPr>
            </w:pPr>
            <w:r>
              <w:rPr>
                <w:rFonts w:ascii="Courier New" w:cs="Courier New" w:eastAsia="Courier New" w:hAnsi="Courier New"/>
                <w:sz w:val="13"/>
                <w:szCs w:val="13"/>
                <w:color w:val="auto"/>
              </w:rPr>
              <w:t>Vice President of Business Development</w:t>
            </w:r>
          </w:p>
        </w:tc>
      </w:tr>
      <w:tr>
        <w:trPr>
          <w:trHeight w:val="152"/>
        </w:trPr>
        <w:tc>
          <w:tcPr>
            <w:tcW w:w="2340" w:type="dxa"/>
            <w:vAlign w:val="bottom"/>
          </w:tcPr>
          <w:p>
            <w:pPr>
              <w:spacing w:after="0"/>
              <w:rPr>
                <w:sz w:val="20"/>
                <w:szCs w:val="20"/>
                <w:color w:val="auto"/>
              </w:rPr>
            </w:pPr>
            <w:r>
              <w:rPr>
                <w:rFonts w:ascii="Courier New" w:cs="Courier New" w:eastAsia="Courier New" w:hAnsi="Courier New"/>
                <w:sz w:val="13"/>
                <w:szCs w:val="13"/>
                <w:color w:val="auto"/>
              </w:rPr>
              <w:t>Dalit Dahan</w:t>
            </w:r>
          </w:p>
        </w:tc>
        <w:tc>
          <w:tcPr>
            <w:tcW w:w="1300" w:type="dxa"/>
            <w:vAlign w:val="bottom"/>
          </w:tcPr>
          <w:p>
            <w:pPr>
              <w:jc w:val="right"/>
              <w:ind w:right="334"/>
              <w:spacing w:after="0"/>
              <w:rPr>
                <w:sz w:val="20"/>
                <w:szCs w:val="20"/>
                <w:color w:val="auto"/>
              </w:rPr>
            </w:pPr>
            <w:r>
              <w:rPr>
                <w:rFonts w:ascii="Courier New" w:cs="Courier New" w:eastAsia="Courier New" w:hAnsi="Courier New"/>
                <w:sz w:val="13"/>
                <w:szCs w:val="13"/>
                <w:color w:val="auto"/>
              </w:rPr>
              <w:t>38</w:t>
            </w:r>
          </w:p>
        </w:tc>
        <w:tc>
          <w:tcPr>
            <w:tcW w:w="4200" w:type="dxa"/>
            <w:vAlign w:val="bottom"/>
          </w:tcPr>
          <w:p>
            <w:pPr>
              <w:ind w:left="400"/>
              <w:spacing w:after="0"/>
              <w:rPr>
                <w:sz w:val="20"/>
                <w:szCs w:val="20"/>
                <w:color w:val="auto"/>
              </w:rPr>
            </w:pPr>
            <w:r>
              <w:rPr>
                <w:rFonts w:ascii="Courier New" w:cs="Courier New" w:eastAsia="Courier New" w:hAnsi="Courier New"/>
                <w:sz w:val="13"/>
                <w:szCs w:val="13"/>
                <w:color w:val="auto"/>
              </w:rPr>
              <w:t>Vice President of Human Resources</w:t>
            </w:r>
          </w:p>
        </w:tc>
      </w:tr>
      <w:tr>
        <w:trPr>
          <w:trHeight w:val="152"/>
        </w:trPr>
        <w:tc>
          <w:tcPr>
            <w:tcW w:w="2340" w:type="dxa"/>
            <w:vAlign w:val="bottom"/>
          </w:tcPr>
          <w:p>
            <w:pPr>
              <w:spacing w:after="0"/>
              <w:rPr>
                <w:sz w:val="20"/>
                <w:szCs w:val="20"/>
                <w:color w:val="auto"/>
              </w:rPr>
            </w:pPr>
            <w:r>
              <w:rPr>
                <w:rFonts w:ascii="Courier New" w:cs="Courier New" w:eastAsia="Courier New" w:hAnsi="Courier New"/>
                <w:sz w:val="13"/>
                <w:szCs w:val="13"/>
                <w:color w:val="auto"/>
              </w:rPr>
              <w:t>Shimon Dahan</w:t>
            </w:r>
          </w:p>
        </w:tc>
        <w:tc>
          <w:tcPr>
            <w:tcW w:w="1300" w:type="dxa"/>
            <w:vAlign w:val="bottom"/>
          </w:tcPr>
          <w:p>
            <w:pPr>
              <w:jc w:val="right"/>
              <w:ind w:right="334"/>
              <w:spacing w:after="0"/>
              <w:rPr>
                <w:sz w:val="20"/>
                <w:szCs w:val="20"/>
                <w:color w:val="auto"/>
              </w:rPr>
            </w:pPr>
            <w:r>
              <w:rPr>
                <w:rFonts w:ascii="Courier New" w:cs="Courier New" w:eastAsia="Courier New" w:hAnsi="Courier New"/>
                <w:sz w:val="13"/>
                <w:szCs w:val="13"/>
                <w:color w:val="auto"/>
              </w:rPr>
              <w:t>43</w:t>
            </w:r>
          </w:p>
        </w:tc>
        <w:tc>
          <w:tcPr>
            <w:tcW w:w="4200" w:type="dxa"/>
            <w:vAlign w:val="bottom"/>
          </w:tcPr>
          <w:p>
            <w:pPr>
              <w:ind w:left="400"/>
              <w:spacing w:after="0"/>
              <w:rPr>
                <w:sz w:val="20"/>
                <w:szCs w:val="20"/>
                <w:color w:val="auto"/>
              </w:rPr>
            </w:pPr>
            <w:r>
              <w:rPr>
                <w:rFonts w:ascii="Courier New" w:cs="Courier New" w:eastAsia="Courier New" w:hAnsi="Courier New"/>
                <w:sz w:val="13"/>
                <w:szCs w:val="13"/>
                <w:color w:val="auto"/>
              </w:rPr>
              <w:t>Vice President of Manufacturing Services</w:t>
            </w:r>
          </w:p>
        </w:tc>
      </w:tr>
      <w:tr>
        <w:trPr>
          <w:trHeight w:val="152"/>
        </w:trPr>
        <w:tc>
          <w:tcPr>
            <w:tcW w:w="2340" w:type="dxa"/>
            <w:vAlign w:val="bottom"/>
          </w:tcPr>
          <w:p>
            <w:pPr>
              <w:spacing w:after="0"/>
              <w:rPr>
                <w:sz w:val="20"/>
                <w:szCs w:val="20"/>
                <w:color w:val="auto"/>
              </w:rPr>
            </w:pPr>
            <w:r>
              <w:rPr>
                <w:rFonts w:ascii="Courier New" w:cs="Courier New" w:eastAsia="Courier New" w:hAnsi="Courier New"/>
                <w:sz w:val="13"/>
                <w:szCs w:val="13"/>
                <w:color w:val="auto"/>
              </w:rPr>
              <w:t>Nati Somekh Gilboa</w:t>
            </w:r>
          </w:p>
        </w:tc>
        <w:tc>
          <w:tcPr>
            <w:tcW w:w="1300" w:type="dxa"/>
            <w:vAlign w:val="bottom"/>
          </w:tcPr>
          <w:p>
            <w:pPr>
              <w:jc w:val="right"/>
              <w:ind w:right="334"/>
              <w:spacing w:after="0"/>
              <w:rPr>
                <w:sz w:val="20"/>
                <w:szCs w:val="20"/>
                <w:color w:val="auto"/>
              </w:rPr>
            </w:pPr>
            <w:r>
              <w:rPr>
                <w:rFonts w:ascii="Courier New" w:cs="Courier New" w:eastAsia="Courier New" w:hAnsi="Courier New"/>
                <w:sz w:val="13"/>
                <w:szCs w:val="13"/>
                <w:color w:val="auto"/>
              </w:rPr>
              <w:t>31</w:t>
            </w:r>
          </w:p>
        </w:tc>
        <w:tc>
          <w:tcPr>
            <w:tcW w:w="4200" w:type="dxa"/>
            <w:vAlign w:val="bottom"/>
          </w:tcPr>
          <w:p>
            <w:pPr>
              <w:ind w:left="400"/>
              <w:spacing w:after="0"/>
              <w:rPr>
                <w:sz w:val="20"/>
                <w:szCs w:val="20"/>
                <w:color w:val="auto"/>
              </w:rPr>
            </w:pPr>
            <w:r>
              <w:rPr>
                <w:rFonts w:ascii="Courier New" w:cs="Courier New" w:eastAsia="Courier New" w:hAnsi="Courier New"/>
                <w:sz w:val="13"/>
                <w:szCs w:val="13"/>
                <w:color w:val="auto"/>
              </w:rPr>
              <w:t>Corporate Secretary and General Counsel</w:t>
            </w:r>
          </w:p>
        </w:tc>
      </w:tr>
      <w:tr>
        <w:trPr>
          <w:trHeight w:val="152"/>
        </w:trPr>
        <w:tc>
          <w:tcPr>
            <w:tcW w:w="2340" w:type="dxa"/>
            <w:vAlign w:val="bottom"/>
          </w:tcPr>
          <w:p>
            <w:pPr>
              <w:spacing w:after="0"/>
              <w:rPr>
                <w:sz w:val="20"/>
                <w:szCs w:val="20"/>
                <w:color w:val="auto"/>
              </w:rPr>
            </w:pPr>
            <w:r>
              <w:rPr>
                <w:rFonts w:ascii="Courier New" w:cs="Courier New" w:eastAsia="Courier New" w:hAnsi="Courier New"/>
                <w:sz w:val="13"/>
                <w:szCs w:val="13"/>
                <w:color w:val="auto"/>
              </w:rPr>
              <w:t>Rafi Mor</w:t>
            </w:r>
          </w:p>
        </w:tc>
        <w:tc>
          <w:tcPr>
            <w:tcW w:w="1300" w:type="dxa"/>
            <w:vAlign w:val="bottom"/>
          </w:tcPr>
          <w:p>
            <w:pPr>
              <w:jc w:val="right"/>
              <w:ind w:right="334"/>
              <w:spacing w:after="0"/>
              <w:rPr>
                <w:sz w:val="20"/>
                <w:szCs w:val="20"/>
                <w:color w:val="auto"/>
              </w:rPr>
            </w:pPr>
            <w:r>
              <w:rPr>
                <w:rFonts w:ascii="Courier New" w:cs="Courier New" w:eastAsia="Courier New" w:hAnsi="Courier New"/>
                <w:sz w:val="13"/>
                <w:szCs w:val="13"/>
                <w:color w:val="auto"/>
              </w:rPr>
              <w:t>42</w:t>
            </w:r>
          </w:p>
        </w:tc>
        <w:tc>
          <w:tcPr>
            <w:tcW w:w="4200" w:type="dxa"/>
            <w:vAlign w:val="bottom"/>
          </w:tcPr>
          <w:p>
            <w:pPr>
              <w:ind w:left="400"/>
              <w:spacing w:after="0"/>
              <w:rPr>
                <w:sz w:val="20"/>
                <w:szCs w:val="20"/>
                <w:color w:val="auto"/>
              </w:rPr>
            </w:pPr>
            <w:r>
              <w:rPr>
                <w:rFonts w:ascii="Courier New" w:cs="Courier New" w:eastAsia="Courier New" w:hAnsi="Courier New"/>
                <w:sz w:val="13"/>
                <w:szCs w:val="13"/>
                <w:color w:val="auto"/>
              </w:rPr>
              <w:t>Vice President and Fab 2 Manager</w:t>
            </w:r>
          </w:p>
        </w:tc>
      </w:tr>
      <w:tr>
        <w:trPr>
          <w:trHeight w:val="304"/>
        </w:trPr>
        <w:tc>
          <w:tcPr>
            <w:tcW w:w="2340" w:type="dxa"/>
            <w:vAlign w:val="bottom"/>
          </w:tcPr>
          <w:p>
            <w:pPr>
              <w:spacing w:after="0"/>
              <w:rPr>
                <w:sz w:val="20"/>
                <w:szCs w:val="20"/>
                <w:color w:val="auto"/>
              </w:rPr>
            </w:pPr>
            <w:r>
              <w:rPr>
                <w:rFonts w:ascii="Courier New" w:cs="Courier New" w:eastAsia="Courier New" w:hAnsi="Courier New"/>
                <w:sz w:val="13"/>
                <w:szCs w:val="13"/>
                <w:color w:val="auto"/>
              </w:rPr>
              <w:t>DIRECTORS</w:t>
            </w:r>
          </w:p>
        </w:tc>
        <w:tc>
          <w:tcPr>
            <w:tcW w:w="1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04"/>
        </w:trPr>
        <w:tc>
          <w:tcPr>
            <w:tcW w:w="2340" w:type="dxa"/>
            <w:vAlign w:val="bottom"/>
          </w:tcPr>
          <w:p>
            <w:pPr>
              <w:spacing w:after="0"/>
              <w:rPr>
                <w:sz w:val="20"/>
                <w:szCs w:val="20"/>
                <w:color w:val="auto"/>
              </w:rPr>
            </w:pPr>
            <w:r>
              <w:rPr>
                <w:rFonts w:ascii="Courier New" w:cs="Courier New" w:eastAsia="Courier New" w:hAnsi="Courier New"/>
                <w:sz w:val="13"/>
                <w:szCs w:val="13"/>
                <w:color w:val="auto"/>
              </w:rPr>
              <w:t>Udi Hillman</w:t>
            </w:r>
          </w:p>
        </w:tc>
        <w:tc>
          <w:tcPr>
            <w:tcW w:w="1300" w:type="dxa"/>
            <w:vAlign w:val="bottom"/>
          </w:tcPr>
          <w:p>
            <w:pPr>
              <w:jc w:val="right"/>
              <w:ind w:right="334"/>
              <w:spacing w:after="0"/>
              <w:rPr>
                <w:sz w:val="20"/>
                <w:szCs w:val="20"/>
                <w:color w:val="auto"/>
              </w:rPr>
            </w:pPr>
            <w:r>
              <w:rPr>
                <w:rFonts w:ascii="Courier New" w:cs="Courier New" w:eastAsia="Courier New" w:hAnsi="Courier New"/>
                <w:sz w:val="13"/>
                <w:szCs w:val="13"/>
                <w:color w:val="auto"/>
              </w:rPr>
              <w:t>53</w:t>
            </w:r>
          </w:p>
        </w:tc>
        <w:tc>
          <w:tcPr>
            <w:tcW w:w="4200" w:type="dxa"/>
            <w:vAlign w:val="bottom"/>
          </w:tcPr>
          <w:p>
            <w:pPr>
              <w:ind w:left="400"/>
              <w:spacing w:after="0"/>
              <w:rPr>
                <w:sz w:val="20"/>
                <w:szCs w:val="20"/>
                <w:color w:val="auto"/>
              </w:rPr>
            </w:pPr>
            <w:r>
              <w:rPr>
                <w:rFonts w:ascii="Courier New" w:cs="Courier New" w:eastAsia="Courier New" w:hAnsi="Courier New"/>
                <w:sz w:val="13"/>
                <w:szCs w:val="13"/>
                <w:color w:val="auto"/>
              </w:rPr>
              <w:t>Chairman of the Board</w:t>
            </w:r>
          </w:p>
        </w:tc>
      </w:tr>
      <w:tr>
        <w:trPr>
          <w:trHeight w:val="152"/>
        </w:trPr>
        <w:tc>
          <w:tcPr>
            <w:tcW w:w="2340" w:type="dxa"/>
            <w:vAlign w:val="bottom"/>
          </w:tcPr>
          <w:p>
            <w:pPr>
              <w:spacing w:after="0"/>
              <w:rPr>
                <w:sz w:val="20"/>
                <w:szCs w:val="20"/>
                <w:color w:val="auto"/>
              </w:rPr>
            </w:pPr>
            <w:r>
              <w:rPr>
                <w:rFonts w:ascii="Courier New" w:cs="Courier New" w:eastAsia="Courier New" w:hAnsi="Courier New"/>
                <w:sz w:val="13"/>
                <w:szCs w:val="13"/>
                <w:color w:val="auto"/>
              </w:rPr>
              <w:t>Russell C. Ellwanger</w:t>
            </w:r>
          </w:p>
        </w:tc>
        <w:tc>
          <w:tcPr>
            <w:tcW w:w="1300" w:type="dxa"/>
            <w:vAlign w:val="bottom"/>
          </w:tcPr>
          <w:p>
            <w:pPr>
              <w:jc w:val="right"/>
              <w:ind w:right="334"/>
              <w:spacing w:after="0"/>
              <w:rPr>
                <w:sz w:val="20"/>
                <w:szCs w:val="20"/>
                <w:color w:val="auto"/>
              </w:rPr>
            </w:pPr>
            <w:r>
              <w:rPr>
                <w:rFonts w:ascii="Courier New" w:cs="Courier New" w:eastAsia="Courier New" w:hAnsi="Courier New"/>
                <w:sz w:val="13"/>
                <w:szCs w:val="13"/>
                <w:color w:val="auto"/>
              </w:rPr>
              <w:t>51</w:t>
            </w:r>
          </w:p>
        </w:tc>
        <w:tc>
          <w:tcPr>
            <w:tcW w:w="4200" w:type="dxa"/>
            <w:vAlign w:val="bottom"/>
          </w:tcPr>
          <w:p>
            <w:pPr>
              <w:ind w:left="400"/>
              <w:spacing w:after="0"/>
              <w:rPr>
                <w:sz w:val="20"/>
                <w:szCs w:val="20"/>
                <w:color w:val="auto"/>
              </w:rPr>
            </w:pPr>
            <w:r>
              <w:rPr>
                <w:rFonts w:ascii="Courier New" w:cs="Courier New" w:eastAsia="Courier New" w:hAnsi="Courier New"/>
                <w:sz w:val="13"/>
                <w:szCs w:val="13"/>
                <w:color w:val="auto"/>
              </w:rPr>
              <w:t>Director</w:t>
            </w:r>
          </w:p>
        </w:tc>
      </w:tr>
      <w:tr>
        <w:trPr>
          <w:trHeight w:val="152"/>
        </w:trPr>
        <w:tc>
          <w:tcPr>
            <w:tcW w:w="2340" w:type="dxa"/>
            <w:vAlign w:val="bottom"/>
          </w:tcPr>
          <w:p>
            <w:pPr>
              <w:spacing w:after="0"/>
              <w:rPr>
                <w:sz w:val="20"/>
                <w:szCs w:val="20"/>
                <w:color w:val="auto"/>
              </w:rPr>
            </w:pPr>
            <w:r>
              <w:rPr>
                <w:rFonts w:ascii="Courier New" w:cs="Courier New" w:eastAsia="Courier New" w:hAnsi="Courier New"/>
                <w:sz w:val="13"/>
                <w:szCs w:val="13"/>
                <w:color w:val="auto"/>
              </w:rPr>
              <w:t>Yossi Rosen</w:t>
            </w:r>
          </w:p>
        </w:tc>
        <w:tc>
          <w:tcPr>
            <w:tcW w:w="1300" w:type="dxa"/>
            <w:vAlign w:val="bottom"/>
          </w:tcPr>
          <w:p>
            <w:pPr>
              <w:jc w:val="right"/>
              <w:ind w:right="334"/>
              <w:spacing w:after="0"/>
              <w:rPr>
                <w:sz w:val="20"/>
                <w:szCs w:val="20"/>
                <w:color w:val="auto"/>
              </w:rPr>
            </w:pPr>
            <w:r>
              <w:rPr>
                <w:rFonts w:ascii="Courier New" w:cs="Courier New" w:eastAsia="Courier New" w:hAnsi="Courier New"/>
                <w:sz w:val="13"/>
                <w:szCs w:val="13"/>
                <w:color w:val="auto"/>
              </w:rPr>
              <w:t>66</w:t>
            </w:r>
          </w:p>
        </w:tc>
        <w:tc>
          <w:tcPr>
            <w:tcW w:w="4200" w:type="dxa"/>
            <w:vAlign w:val="bottom"/>
          </w:tcPr>
          <w:p>
            <w:pPr>
              <w:ind w:left="400"/>
              <w:spacing w:after="0"/>
              <w:rPr>
                <w:sz w:val="20"/>
                <w:szCs w:val="20"/>
                <w:color w:val="auto"/>
              </w:rPr>
            </w:pPr>
            <w:r>
              <w:rPr>
                <w:rFonts w:ascii="Courier New" w:cs="Courier New" w:eastAsia="Courier New" w:hAnsi="Courier New"/>
                <w:sz w:val="13"/>
                <w:szCs w:val="13"/>
                <w:color w:val="auto"/>
              </w:rPr>
              <w:t>Director</w:t>
            </w:r>
          </w:p>
        </w:tc>
      </w:tr>
      <w:tr>
        <w:trPr>
          <w:trHeight w:val="152"/>
        </w:trPr>
        <w:tc>
          <w:tcPr>
            <w:tcW w:w="2340" w:type="dxa"/>
            <w:vAlign w:val="bottom"/>
          </w:tcPr>
          <w:p>
            <w:pPr>
              <w:spacing w:after="0"/>
              <w:rPr>
                <w:sz w:val="20"/>
                <w:szCs w:val="20"/>
                <w:color w:val="auto"/>
              </w:rPr>
            </w:pPr>
            <w:r>
              <w:rPr>
                <w:rFonts w:ascii="Courier New" w:cs="Courier New" w:eastAsia="Courier New" w:hAnsi="Courier New"/>
                <w:sz w:val="13"/>
                <w:szCs w:val="13"/>
                <w:color w:val="auto"/>
              </w:rPr>
              <w:t>Dr. Eli Harari</w:t>
            </w:r>
          </w:p>
        </w:tc>
        <w:tc>
          <w:tcPr>
            <w:tcW w:w="1300" w:type="dxa"/>
            <w:vAlign w:val="bottom"/>
          </w:tcPr>
          <w:p>
            <w:pPr>
              <w:jc w:val="right"/>
              <w:ind w:right="334"/>
              <w:spacing w:after="0"/>
              <w:rPr>
                <w:sz w:val="20"/>
                <w:szCs w:val="20"/>
                <w:color w:val="auto"/>
              </w:rPr>
            </w:pPr>
            <w:r>
              <w:rPr>
                <w:rFonts w:ascii="Courier New" w:cs="Courier New" w:eastAsia="Courier New" w:hAnsi="Courier New"/>
                <w:sz w:val="13"/>
                <w:szCs w:val="13"/>
                <w:color w:val="auto"/>
              </w:rPr>
              <w:t>61</w:t>
            </w:r>
          </w:p>
        </w:tc>
        <w:tc>
          <w:tcPr>
            <w:tcW w:w="4200" w:type="dxa"/>
            <w:vAlign w:val="bottom"/>
          </w:tcPr>
          <w:p>
            <w:pPr>
              <w:ind w:left="400"/>
              <w:spacing w:after="0"/>
              <w:rPr>
                <w:sz w:val="20"/>
                <w:szCs w:val="20"/>
                <w:color w:val="auto"/>
              </w:rPr>
            </w:pPr>
            <w:r>
              <w:rPr>
                <w:rFonts w:ascii="Courier New" w:cs="Courier New" w:eastAsia="Courier New" w:hAnsi="Courier New"/>
                <w:sz w:val="13"/>
                <w:szCs w:val="13"/>
                <w:color w:val="auto"/>
              </w:rPr>
              <w:t>Director</w:t>
            </w:r>
          </w:p>
        </w:tc>
      </w:tr>
      <w:tr>
        <w:trPr>
          <w:trHeight w:val="152"/>
        </w:trPr>
        <w:tc>
          <w:tcPr>
            <w:tcW w:w="2340" w:type="dxa"/>
            <w:vAlign w:val="bottom"/>
          </w:tcPr>
          <w:p>
            <w:pPr>
              <w:spacing w:after="0"/>
              <w:rPr>
                <w:sz w:val="20"/>
                <w:szCs w:val="20"/>
                <w:color w:val="auto"/>
              </w:rPr>
            </w:pPr>
            <w:r>
              <w:rPr>
                <w:rFonts w:ascii="Courier New" w:cs="Courier New" w:eastAsia="Courier New" w:hAnsi="Courier New"/>
                <w:sz w:val="13"/>
                <w:szCs w:val="13"/>
                <w:color w:val="auto"/>
              </w:rPr>
              <w:t>Miin Wu</w:t>
            </w:r>
          </w:p>
        </w:tc>
        <w:tc>
          <w:tcPr>
            <w:tcW w:w="1300" w:type="dxa"/>
            <w:vAlign w:val="bottom"/>
          </w:tcPr>
          <w:p>
            <w:pPr>
              <w:jc w:val="right"/>
              <w:ind w:right="334"/>
              <w:spacing w:after="0"/>
              <w:rPr>
                <w:sz w:val="20"/>
                <w:szCs w:val="20"/>
                <w:color w:val="auto"/>
              </w:rPr>
            </w:pPr>
            <w:r>
              <w:rPr>
                <w:rFonts w:ascii="Courier New" w:cs="Courier New" w:eastAsia="Courier New" w:hAnsi="Courier New"/>
                <w:sz w:val="13"/>
                <w:szCs w:val="13"/>
                <w:color w:val="auto"/>
              </w:rPr>
              <w:t>57</w:t>
            </w:r>
          </w:p>
        </w:tc>
        <w:tc>
          <w:tcPr>
            <w:tcW w:w="4200" w:type="dxa"/>
            <w:vAlign w:val="bottom"/>
          </w:tcPr>
          <w:p>
            <w:pPr>
              <w:ind w:left="400"/>
              <w:spacing w:after="0"/>
              <w:rPr>
                <w:sz w:val="20"/>
                <w:szCs w:val="20"/>
                <w:color w:val="auto"/>
              </w:rPr>
            </w:pPr>
            <w:r>
              <w:rPr>
                <w:rFonts w:ascii="Courier New" w:cs="Courier New" w:eastAsia="Courier New" w:hAnsi="Courier New"/>
                <w:sz w:val="13"/>
                <w:szCs w:val="13"/>
                <w:color w:val="auto"/>
              </w:rPr>
              <w:t>Director</w:t>
            </w:r>
          </w:p>
        </w:tc>
      </w:tr>
      <w:tr>
        <w:trPr>
          <w:trHeight w:val="152"/>
        </w:trPr>
        <w:tc>
          <w:tcPr>
            <w:tcW w:w="2340" w:type="dxa"/>
            <w:vAlign w:val="bottom"/>
          </w:tcPr>
          <w:p>
            <w:pPr>
              <w:spacing w:after="0"/>
              <w:rPr>
                <w:sz w:val="20"/>
                <w:szCs w:val="20"/>
                <w:color w:val="auto"/>
              </w:rPr>
            </w:pPr>
            <w:r>
              <w:rPr>
                <w:rFonts w:ascii="Courier New" w:cs="Courier New" w:eastAsia="Courier New" w:hAnsi="Courier New"/>
                <w:sz w:val="13"/>
                <w:szCs w:val="13"/>
                <w:color w:val="auto"/>
              </w:rPr>
              <w:t>N. Damodar Reddy</w:t>
            </w:r>
          </w:p>
        </w:tc>
        <w:tc>
          <w:tcPr>
            <w:tcW w:w="1300" w:type="dxa"/>
            <w:vAlign w:val="bottom"/>
          </w:tcPr>
          <w:p>
            <w:pPr>
              <w:jc w:val="right"/>
              <w:ind w:right="334"/>
              <w:spacing w:after="0"/>
              <w:rPr>
                <w:sz w:val="20"/>
                <w:szCs w:val="20"/>
                <w:color w:val="auto"/>
              </w:rPr>
            </w:pPr>
            <w:r>
              <w:rPr>
                <w:rFonts w:ascii="Courier New" w:cs="Courier New" w:eastAsia="Courier New" w:hAnsi="Courier New"/>
                <w:sz w:val="13"/>
                <w:szCs w:val="13"/>
                <w:color w:val="auto"/>
              </w:rPr>
              <w:t>68</w:t>
            </w:r>
          </w:p>
        </w:tc>
        <w:tc>
          <w:tcPr>
            <w:tcW w:w="4200" w:type="dxa"/>
            <w:vAlign w:val="bottom"/>
          </w:tcPr>
          <w:p>
            <w:pPr>
              <w:ind w:left="400"/>
              <w:spacing w:after="0"/>
              <w:rPr>
                <w:sz w:val="20"/>
                <w:szCs w:val="20"/>
                <w:color w:val="auto"/>
              </w:rPr>
            </w:pPr>
            <w:r>
              <w:rPr>
                <w:rFonts w:ascii="Courier New" w:cs="Courier New" w:eastAsia="Courier New" w:hAnsi="Courier New"/>
                <w:sz w:val="13"/>
                <w:szCs w:val="13"/>
                <w:color w:val="auto"/>
              </w:rPr>
              <w:t>Director</w:t>
            </w:r>
          </w:p>
        </w:tc>
      </w:tr>
      <w:tr>
        <w:trPr>
          <w:trHeight w:val="152"/>
        </w:trPr>
        <w:tc>
          <w:tcPr>
            <w:tcW w:w="2340" w:type="dxa"/>
            <w:vAlign w:val="bottom"/>
          </w:tcPr>
          <w:p>
            <w:pPr>
              <w:spacing w:after="0"/>
              <w:rPr>
                <w:sz w:val="20"/>
                <w:szCs w:val="20"/>
                <w:color w:val="auto"/>
              </w:rPr>
            </w:pPr>
            <w:r>
              <w:rPr>
                <w:rFonts w:ascii="Courier New" w:cs="Courier New" w:eastAsia="Courier New" w:hAnsi="Courier New"/>
                <w:sz w:val="13"/>
                <w:szCs w:val="13"/>
                <w:color w:val="auto"/>
              </w:rPr>
              <w:t>Kalman Kaufman</w:t>
            </w:r>
          </w:p>
        </w:tc>
        <w:tc>
          <w:tcPr>
            <w:tcW w:w="1300" w:type="dxa"/>
            <w:vAlign w:val="bottom"/>
          </w:tcPr>
          <w:p>
            <w:pPr>
              <w:jc w:val="right"/>
              <w:ind w:right="334"/>
              <w:spacing w:after="0"/>
              <w:rPr>
                <w:sz w:val="20"/>
                <w:szCs w:val="20"/>
                <w:color w:val="auto"/>
              </w:rPr>
            </w:pPr>
            <w:r>
              <w:rPr>
                <w:rFonts w:ascii="Courier New" w:cs="Courier New" w:eastAsia="Courier New" w:hAnsi="Courier New"/>
                <w:sz w:val="13"/>
                <w:szCs w:val="13"/>
                <w:color w:val="auto"/>
              </w:rPr>
              <w:t>60</w:t>
            </w:r>
          </w:p>
        </w:tc>
        <w:tc>
          <w:tcPr>
            <w:tcW w:w="4200" w:type="dxa"/>
            <w:vAlign w:val="bottom"/>
          </w:tcPr>
          <w:p>
            <w:pPr>
              <w:ind w:left="400"/>
              <w:spacing w:after="0"/>
              <w:rPr>
                <w:sz w:val="20"/>
                <w:szCs w:val="20"/>
                <w:color w:val="auto"/>
              </w:rPr>
            </w:pPr>
            <w:r>
              <w:rPr>
                <w:rFonts w:ascii="Courier New" w:cs="Courier New" w:eastAsia="Courier New" w:hAnsi="Courier New"/>
                <w:sz w:val="13"/>
                <w:szCs w:val="13"/>
                <w:color w:val="auto"/>
              </w:rPr>
              <w:t>Director</w:t>
            </w:r>
          </w:p>
        </w:tc>
      </w:tr>
      <w:tr>
        <w:trPr>
          <w:trHeight w:val="152"/>
        </w:trPr>
        <w:tc>
          <w:tcPr>
            <w:tcW w:w="2340" w:type="dxa"/>
            <w:vAlign w:val="bottom"/>
          </w:tcPr>
          <w:p>
            <w:pPr>
              <w:spacing w:after="0"/>
              <w:rPr>
                <w:sz w:val="20"/>
                <w:szCs w:val="20"/>
                <w:color w:val="auto"/>
              </w:rPr>
            </w:pPr>
            <w:r>
              <w:rPr>
                <w:rFonts w:ascii="Courier New" w:cs="Courier New" w:eastAsia="Courier New" w:hAnsi="Courier New"/>
                <w:sz w:val="13"/>
                <w:szCs w:val="13"/>
                <w:color w:val="auto"/>
              </w:rPr>
              <w:t>Hans Rohrer</w:t>
            </w:r>
          </w:p>
        </w:tc>
        <w:tc>
          <w:tcPr>
            <w:tcW w:w="1300" w:type="dxa"/>
            <w:vAlign w:val="bottom"/>
          </w:tcPr>
          <w:p>
            <w:pPr>
              <w:jc w:val="right"/>
              <w:ind w:right="334"/>
              <w:spacing w:after="0"/>
              <w:rPr>
                <w:sz w:val="20"/>
                <w:szCs w:val="20"/>
                <w:color w:val="auto"/>
              </w:rPr>
            </w:pPr>
            <w:r>
              <w:rPr>
                <w:rFonts w:ascii="Courier New" w:cs="Courier New" w:eastAsia="Courier New" w:hAnsi="Courier New"/>
                <w:sz w:val="13"/>
                <w:szCs w:val="13"/>
                <w:color w:val="auto"/>
              </w:rPr>
              <w:t>56</w:t>
            </w:r>
          </w:p>
        </w:tc>
        <w:tc>
          <w:tcPr>
            <w:tcW w:w="4200" w:type="dxa"/>
            <w:vAlign w:val="bottom"/>
          </w:tcPr>
          <w:p>
            <w:pPr>
              <w:ind w:left="400"/>
              <w:spacing w:after="0"/>
              <w:rPr>
                <w:sz w:val="20"/>
                <w:szCs w:val="20"/>
                <w:color w:val="auto"/>
              </w:rPr>
            </w:pPr>
            <w:r>
              <w:rPr>
                <w:rFonts w:ascii="Courier New" w:cs="Courier New" w:eastAsia="Courier New" w:hAnsi="Courier New"/>
                <w:sz w:val="13"/>
                <w:szCs w:val="13"/>
                <w:color w:val="auto"/>
              </w:rPr>
              <w:t>Independent Director</w:t>
            </w:r>
          </w:p>
        </w:tc>
      </w:tr>
      <w:tr>
        <w:trPr>
          <w:trHeight w:val="152"/>
        </w:trPr>
        <w:tc>
          <w:tcPr>
            <w:tcW w:w="2340" w:type="dxa"/>
            <w:vAlign w:val="bottom"/>
          </w:tcPr>
          <w:p>
            <w:pPr>
              <w:spacing w:after="0"/>
              <w:rPr>
                <w:sz w:val="20"/>
                <w:szCs w:val="20"/>
                <w:color w:val="auto"/>
              </w:rPr>
            </w:pPr>
            <w:r>
              <w:rPr>
                <w:rFonts w:ascii="Courier New" w:cs="Courier New" w:eastAsia="Courier New" w:hAnsi="Courier New"/>
                <w:sz w:val="13"/>
                <w:szCs w:val="13"/>
                <w:color w:val="auto"/>
              </w:rPr>
              <w:t>Tal Yaron-Eldar</w:t>
            </w:r>
          </w:p>
        </w:tc>
        <w:tc>
          <w:tcPr>
            <w:tcW w:w="1300" w:type="dxa"/>
            <w:vAlign w:val="bottom"/>
          </w:tcPr>
          <w:p>
            <w:pPr>
              <w:jc w:val="right"/>
              <w:ind w:right="334"/>
              <w:spacing w:after="0"/>
              <w:rPr>
                <w:sz w:val="20"/>
                <w:szCs w:val="20"/>
                <w:color w:val="auto"/>
              </w:rPr>
            </w:pPr>
            <w:r>
              <w:rPr>
                <w:rFonts w:ascii="Courier New" w:cs="Courier New" w:eastAsia="Courier New" w:hAnsi="Courier New"/>
                <w:sz w:val="13"/>
                <w:szCs w:val="13"/>
                <w:color w:val="auto"/>
              </w:rPr>
              <w:t>42</w:t>
            </w:r>
          </w:p>
        </w:tc>
        <w:tc>
          <w:tcPr>
            <w:tcW w:w="4200" w:type="dxa"/>
            <w:vAlign w:val="bottom"/>
          </w:tcPr>
          <w:p>
            <w:pPr>
              <w:ind w:left="400"/>
              <w:spacing w:after="0"/>
              <w:rPr>
                <w:sz w:val="20"/>
                <w:szCs w:val="20"/>
                <w:color w:val="auto"/>
              </w:rPr>
            </w:pPr>
            <w:r>
              <w:rPr>
                <w:rFonts w:ascii="Courier New" w:cs="Courier New" w:eastAsia="Courier New" w:hAnsi="Courier New"/>
                <w:sz w:val="13"/>
                <w:szCs w:val="13"/>
                <w:color w:val="auto"/>
              </w:rPr>
              <w:t>Independent Director</w:t>
            </w:r>
          </w:p>
        </w:tc>
      </w:tr>
    </w:tbl>
    <w:p>
      <w:pPr>
        <w:spacing w:after="0" w:line="157"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RUSSELL C. ELLWANGER has served as our Chief Executive Officer since May 2005. From 1998 to 2005, Mr. Ellwanger served in various executive positions for Applied Materials Corporation, including Group Vice President, General Manager of the Applied Global Services (AGS), from 2004 to 2005, Group Vice President, General Manager of the CMP and Electroplating Business Group, from 2002 to 2004. Mr. Ellwanger also served as Corporate Vice President, General Manager of the Metrology and Inspection Business Group, from 2000 to 2002, during which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he was based in Singapore. In addition, Mr. Ellwanger held various managerial positions in Novellus System from 1992 to 1996 and in Philips Semiconductors from 1980 to 1992.</w:t>
      </w:r>
    </w:p>
    <w:p>
      <w:pPr>
        <w:spacing w:after="0" w:line="305"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35</w:t>
      </w:r>
    </w:p>
    <w:p>
      <w:pPr>
        <w:spacing w:after="0" w:line="289"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OREN SHIRAZI was appointed as our acting Chief Financial Officer in November 2004. Mr. Shirazi joined us in October 1998 and served as our controller since July 2000, after serving as vice controller since October 1998. Prior to joining us, Mr. Shirazi was employed as an Audit Manager in the accounting firm of Ratzkovski-Fried &amp; Co., which merged into Ernst &amp;</w:t>
      </w:r>
    </w:p>
    <w:p>
      <w:pPr>
        <w:jc w:val="both"/>
        <w:ind w:right="3899"/>
        <w:spacing w:after="0" w:line="248" w:lineRule="auto"/>
        <w:rPr>
          <w:sz w:val="20"/>
          <w:szCs w:val="20"/>
          <w:color w:val="auto"/>
        </w:rPr>
      </w:pPr>
      <w:r>
        <w:rPr>
          <w:rFonts w:ascii="Courier New" w:cs="Courier New" w:eastAsia="Courier New" w:hAnsi="Courier New"/>
          <w:sz w:val="13"/>
          <w:szCs w:val="13"/>
          <w:color w:val="auto"/>
        </w:rPr>
        <w:t>Young (Israel). Mr. Shirazi is a Certified Public Accountant in Israel (CPA). He has an MBA from the Graduate School of Business of Haifa University with honors and a BA in economics and accounting from the Haifa University.</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DUDU VIDAN was appointed Vice President and Fab 1 Manager in August 2005, having served previously as FAB2 production manager since March 2003 and as FAB2 tool installation manager from March 2001. Previously, Mr. Vidan was employed by MDF, serving as plant manager, and Carcom Aviation Products serving as production manager. Mr Vidan served as a Naval Reserve Lt. Colonel in the Israel Defense Forces. Mr. Vidan holds a B.Sc. in Industrial and Management Engineering from the Technion - Israel Institute of Technology.</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DR. ITZHAK EDREI was appointed Senior Vice President of Product Lines and Sales in August 2005 after serving as Vice President of Research and Development since August 2001, having served as Director of Research and Development since 1996. From 1994 to 1996, Dr. Edrei served as our Device and Yield Department Manager. Prior to joining Tower, Dr. Edrei was employed by National Semiconductor as Device Section Head. Dr. Edrei earned his Ph.D. in physics from Bar Ilan University and his post-doctorate from Rutgers University.</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RAFI NAVE was appointed Chief Technology Officer in August 2005 after serving as Vice President of Customer Services since August 2003. From 1996 to 2003, Mr. Nave served as Vice President of Research and Development for NDS Group. From 1974 to 1995, Mr. Nave was employed by Intel Corporation in a variety of positions of increasing responsibility, among them chip design engineer and General Manager of Intel's design center in Israel. Mr. Nave earned master and bachelor degrees in electrical engineering from the Technion - Israel Institute of Technology.</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EPHIE KOLTIN was appointed Vice President of Business Development in August 2005, having served as Vice President, General Foundry and Mixed Signal Technology from 2003 and as Senior Director, FAB2 Process Engineering since 2000. From 1996-1999, Mr. Koltin served in several senior positions as Director, NVM Technology, CIS technology and ERS manager, FAB1. Prior to joining Tower, Mr. Koltin was employed at National Semiconductor and the Technion - Israel Institute of Technology. Mr. Koltin holds a B.Sc. in Mechanical Engineering and M.Sc. in Materials Engineering from the Technion - Israel Institute of Technology.</w:t>
      </w:r>
    </w:p>
    <w:p>
      <w:pPr>
        <w:spacing w:after="0" w:line="305"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DALIT DAHAN was appointed Vice President of Human Resources in April 2004.</w:t>
      </w:r>
    </w:p>
    <w:p>
      <w:pPr>
        <w:sectPr>
          <w:pgSz w:w="11900" w:h="16886" w:orient="portrait"/>
          <w:cols w:equalWidth="0" w:num="1">
            <w:col w:w="10239"/>
          </w:cols>
          <w:pgMar w:left="220" w:top="293" w:right="1440" w:bottom="0" w:gutter="0" w:footer="0" w:header="0"/>
        </w:sectPr>
      </w:pPr>
    </w:p>
    <w:bookmarkStart w:id="23" w:name="page24"/>
    <w:bookmarkEnd w:id="23"/>
    <w:p>
      <w:pPr>
        <w:spacing w:after="0" w:line="52" w:lineRule="exact"/>
        <w:rPr>
          <w:sz w:val="20"/>
          <w:szCs w:val="20"/>
          <w:color w:val="auto"/>
        </w:rPr>
      </w:pPr>
    </w:p>
    <w:p>
      <w:pPr>
        <w:ind w:right="3899"/>
        <w:spacing w:after="0" w:line="248" w:lineRule="auto"/>
        <w:rPr>
          <w:sz w:val="20"/>
          <w:szCs w:val="20"/>
          <w:color w:val="auto"/>
        </w:rPr>
      </w:pPr>
      <w:r>
        <w:rPr>
          <w:rFonts w:ascii="Courier New" w:cs="Courier New" w:eastAsia="Courier New" w:hAnsi="Courier New"/>
          <w:sz w:val="13"/>
          <w:szCs w:val="13"/>
          <w:color w:val="auto"/>
        </w:rPr>
        <w:t>Ms. Dahan joined us in November 1993 and served as Personnel Manager since April 2000, after having served as Compensation &amp; Benefits Manager and in various other positions in the Human Resources Department. Prior to joining us, Ms. Dahan served as Manager of the North Branch of O.R.S - Manpower Company for 3 years. Ms. Dahan holds a bachelor's degree in social science from Haifa University and an MBA from the University of Derby.</w:t>
      </w:r>
    </w:p>
    <w:p>
      <w:pPr>
        <w:spacing w:after="0" w:line="152" w:lineRule="exact"/>
        <w:rPr>
          <w:sz w:val="20"/>
          <w:szCs w:val="20"/>
          <w:color w:val="auto"/>
        </w:rPr>
      </w:pPr>
    </w:p>
    <w:p>
      <w:pPr>
        <w:ind w:right="4059" w:firstLine="396"/>
        <w:spacing w:after="0" w:line="248" w:lineRule="auto"/>
        <w:rPr>
          <w:sz w:val="20"/>
          <w:szCs w:val="20"/>
          <w:color w:val="auto"/>
        </w:rPr>
      </w:pPr>
      <w:r>
        <w:rPr>
          <w:rFonts w:ascii="Courier New" w:cs="Courier New" w:eastAsia="Courier New" w:hAnsi="Courier New"/>
          <w:sz w:val="13"/>
          <w:szCs w:val="13"/>
          <w:color w:val="auto"/>
        </w:rPr>
        <w:t>SHIMON DAHAN was appointed Vice President of Manufacturing Services in January 2006, having served previously as Test &amp; MTG manager since August 2005 and prior to that as Research and Development Operation Manager from November 2000. Prior to that, Mr. Dahan was employed by National Semiconductor in various capacities. Mr. Dahan holds a bachelors degree in Political Science from Haifa University, and an MBA from the University of Derby.</w:t>
      </w:r>
    </w:p>
    <w:p>
      <w:pPr>
        <w:spacing w:after="0" w:line="305"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36</w:t>
      </w:r>
    </w:p>
    <w:p>
      <w:pPr>
        <w:spacing w:after="0" w:line="289" w:lineRule="exact"/>
        <w:rPr>
          <w:sz w:val="20"/>
          <w:szCs w:val="20"/>
          <w:color w:val="auto"/>
        </w:rPr>
      </w:pPr>
    </w:p>
    <w:p>
      <w:pPr>
        <w:jc w:val="both"/>
        <w:ind w:right="3899" w:firstLine="396"/>
        <w:spacing w:after="0" w:line="248" w:lineRule="auto"/>
        <w:rPr>
          <w:sz w:val="20"/>
          <w:szCs w:val="20"/>
          <w:color w:val="auto"/>
        </w:rPr>
      </w:pPr>
      <w:r>
        <w:rPr>
          <w:rFonts w:ascii="Courier New" w:cs="Courier New" w:eastAsia="Courier New" w:hAnsi="Courier New"/>
          <w:sz w:val="13"/>
          <w:szCs w:val="13"/>
          <w:color w:val="auto"/>
        </w:rPr>
        <w:t>NATI SOMEKH GILBOA was appointed as Corporate Secretary and General Counsel in March 2005, has served as our Associate General Counsel since May 2004. From 2001 to 2004, Ms. Somekh Gilboa was employed by Goldsobel &amp; Kirshen, Adv.</w:t>
      </w:r>
    </w:p>
    <w:p>
      <w:pPr>
        <w:jc w:val="both"/>
        <w:ind w:right="3899"/>
        <w:spacing w:after="0" w:line="248" w:lineRule="auto"/>
        <w:rPr>
          <w:sz w:val="20"/>
          <w:szCs w:val="20"/>
          <w:color w:val="auto"/>
        </w:rPr>
      </w:pPr>
      <w:r>
        <w:rPr>
          <w:rFonts w:ascii="Courier New" w:cs="Courier New" w:eastAsia="Courier New" w:hAnsi="Courier New"/>
          <w:sz w:val="13"/>
          <w:szCs w:val="13"/>
          <w:color w:val="auto"/>
        </w:rPr>
        <w:t>Ms. Somekh Gilboa holds an LL.M. and J.D. from Boston University and a B.A. from Johns Hopkins University. She is a member of the Israeli Bar Association and the New York bar.</w:t>
      </w:r>
    </w:p>
    <w:p>
      <w:pPr>
        <w:spacing w:after="0" w:line="152" w:lineRule="exact"/>
        <w:rPr>
          <w:sz w:val="20"/>
          <w:szCs w:val="20"/>
          <w:color w:val="auto"/>
        </w:rPr>
      </w:pPr>
    </w:p>
    <w:p>
      <w:pPr>
        <w:ind w:right="4059" w:firstLine="396"/>
        <w:spacing w:after="0" w:line="248" w:lineRule="auto"/>
        <w:rPr>
          <w:sz w:val="20"/>
          <w:szCs w:val="20"/>
          <w:color w:val="auto"/>
        </w:rPr>
      </w:pPr>
      <w:r>
        <w:rPr>
          <w:rFonts w:ascii="Courier New" w:cs="Courier New" w:eastAsia="Courier New" w:hAnsi="Courier New"/>
          <w:sz w:val="13"/>
          <w:szCs w:val="13"/>
          <w:color w:val="auto"/>
        </w:rPr>
        <w:t>RAFI MOR was appointed Vice President and Fab 2 Manager in August 2005, having served as Fab 1 Manager since August 2003 and Senior Director and Fab 1 Manager since March 2003. From November 2000 to March 2003, Mr. Mor served as Senior Director of Process Device &amp; Yield of Fab 1. From 1998 to 2000, Mr.</w:t>
      </w:r>
    </w:p>
    <w:p>
      <w:pPr>
        <w:ind w:right="4459"/>
        <w:spacing w:after="0" w:line="248" w:lineRule="auto"/>
        <w:rPr>
          <w:sz w:val="20"/>
          <w:szCs w:val="20"/>
          <w:color w:val="auto"/>
        </w:rPr>
      </w:pPr>
      <w:r>
        <w:rPr>
          <w:rFonts w:ascii="Courier New" w:cs="Courier New" w:eastAsia="Courier New" w:hAnsi="Courier New"/>
          <w:sz w:val="13"/>
          <w:szCs w:val="13"/>
          <w:color w:val="auto"/>
        </w:rPr>
        <w:t>Mor served as Director of Equipment Reliability &amp; Support of Fab 1. Previously, Mr. Mor was employed by National Semiconductor in various engineering and management capacities. Mr. Mor earned master and bachelor degrees in chemical engineering from Ben Gurion University.</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UDI HILLMAN has served as Chairman of the Board since May 2005. Mr. Hillman served as Acting Chief Executive Officer from February 2005 to April 2005. Mr. Hillman has served as a director from October 1996 through August 1999 and was reappointed to the Board in January 2000. In January 2001, Mr. Hillman was appointed Vice Chairman of the Board and resigned as Vice Chairman in March 2005. Mr. Hillman serves on the Tender Committee. Since March 2001, Mr. Hillman has served as President and Chief Executive Officer of ICTech, a subsidiary of Israel Corp., which is one of our current principal shareholders. Since February 2004, Mr. Hillman has served as a member of the Board of Directors of ZIM Integrated Shipping Services. Mr. Hillman served as Chief Financial Officer of Israel Corp. from September 1996 to 1997 and as Executive Vice President and Chief Financial Officer of Israel Corp. from May 1997 to 2001. Mr. Hillman served as a director of several subsidiaries of Israel Corp., including Israel Chemicals Ltd., ZIM Integrated Shipping Services and others. Prior thereto, Mr. Hillman was Vice President and Controller of Clal Industries Ltd. and a director of several companies in the Clal Group.</w:t>
      </w:r>
    </w:p>
    <w:p>
      <w:pPr>
        <w:spacing w:after="0" w:line="153"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YOSSI ROSEN has served as a director and Chairman of the Stock Option and Compensation Committee since February 2005. Since November 30, 1998, Mr. Rosen has served as the President and CEO of The Israel Corporation. Mr. Rosen is also Chairman of the Board of Directors of Israel Chemicals Ltd. and a director of its subsidiaries, a member of the Board of Directors and Executive Committee of ZIM Integrated Shipping Services, Chairman of the Board of Dead Sea Magnesium Ltd. and a director of Oil Refineries Ltd. Mr. Rosen was previously President of Mashav Initiating &amp; Development Ltd. and Chairman of the Board of various industrial companies, such as Nesher cement. Mr. Rosen holds a BA in Economics from the Hebrew University of Jerusalem and an MA in Business Management from the Hebrew University of Jerusalem.</w:t>
      </w:r>
    </w:p>
    <w:p>
      <w:pPr>
        <w:spacing w:after="0" w:line="152"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DR. ELI HARARI has served as a director since January 2001. Dr. Harari serves on the Stock Option and Compensation Committee. Dr. Harari served as President and Chief Executive Officer and as a Director of SanDisk Corporation from its inception in 1988 until May 2006, and currently serves as Chief Executive Officer and Chairman of the Board of SanDisk. Dr. Harari is a pioneer in non-volatile semiconductor storage with more than 100 U.S. and foreign patents and numerous technical articles and has more than 30 years of experience in the electronics industry. His extensive operational and technological development experiences include co-founding Waferscale Integration, overseeing the development and transfer into production of Intel Corporation's first-generation stepper and dry etch technology, and technical management positions at Hughes Aircraft and Honeywell, Inc. He holds an M.A. and Ph.D. in Solid State Sciences from Princeton University and a B.S. (Honors) degree in Physics from Manchester University.</w:t>
      </w:r>
    </w:p>
    <w:p>
      <w:pPr>
        <w:spacing w:after="0" w:line="152" w:lineRule="exact"/>
        <w:rPr>
          <w:sz w:val="20"/>
          <w:szCs w:val="20"/>
          <w:color w:val="auto"/>
        </w:rPr>
      </w:pPr>
    </w:p>
    <w:p>
      <w:pPr>
        <w:ind w:right="3979" w:firstLine="396"/>
        <w:spacing w:after="0" w:line="248" w:lineRule="auto"/>
        <w:rPr>
          <w:sz w:val="20"/>
          <w:szCs w:val="20"/>
          <w:color w:val="auto"/>
        </w:rPr>
      </w:pPr>
      <w:r>
        <w:rPr>
          <w:rFonts w:ascii="Courier New" w:cs="Courier New" w:eastAsia="Courier New" w:hAnsi="Courier New"/>
          <w:sz w:val="13"/>
          <w:szCs w:val="13"/>
          <w:color w:val="auto"/>
        </w:rPr>
        <w:t>MIIN WU has served as a director since January 2001. Mr. Wu serves as President, Chief Executive Officer and an Executive Director of Macronix International and has been an executive officer of Macronix since its formation in 1989. Mr. Wu received both a B.S. and an M.S. in Electrical Engineering from National Cheng-Kung University in Taiwan as well as an M.S. in Material Science &amp; Engineering from Stanford University.</w:t>
      </w:r>
    </w:p>
    <w:p>
      <w:pPr>
        <w:spacing w:after="0" w:line="305"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37</w:t>
      </w:r>
    </w:p>
    <w:p>
      <w:pPr>
        <w:spacing w:after="0" w:line="200" w:lineRule="exact"/>
        <w:rPr>
          <w:sz w:val="20"/>
          <w:szCs w:val="20"/>
          <w:color w:val="auto"/>
        </w:rPr>
      </w:pPr>
    </w:p>
    <w:p>
      <w:pPr>
        <w:spacing w:after="0" w:line="241"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N. DAMODAR REDDY has served as a director since January 2001. Mr. Reddy serves on the Audit Committee. Mr. Reddy is the co-founder of Alliance Semiconductor Corporation and has served as its Chairman of the Board since its inception in February 1985. Mr. Reddy also served as President and Chief Executive Officer since its inception and until December 2005. In addition, Mr. Reddy served as Chief Financial Officer of Alliance Semiconductor from June 1998 to January 1999 and from May 2001 until April 2002. From September 1983 to February 1985, Mr. Reddy served as President and Chief Executive Officer of Modular Semiconductor, Inc., and from 1980 to 1983, he served as manager of Advanced CMOS Technology Development at Synertek, Inc., a subsidiary of Honeywell, Inc. Prior to that time, Mr. Reddy held various research and development and management positions at Four Phase Systems, a subsidiary of Motorola, Inc., Fairchild Semiconductor and RCA Technology Center. He holds an MS degree in Electrical Engineering from North Dakota State University and an MBA from Santa Clara University.</w:t>
      </w:r>
    </w:p>
    <w:p>
      <w:pPr>
        <w:spacing w:after="0" w:line="153"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KALMAN KAUFMAN has served as a director and as a member of our Audit Committee since August 2005. Mr. Kaufman also served as Corporate Vice President at Applied Materials from 1994 to 2005. Between 1985 and 1994, Mr. Kaufman</w:t>
      </w:r>
    </w:p>
    <w:p>
      <w:pPr>
        <w:sectPr>
          <w:pgSz w:w="11900" w:h="16891" w:orient="portrait"/>
          <w:cols w:equalWidth="0" w:num="1">
            <w:col w:w="10239"/>
          </w:cols>
          <w:pgMar w:left="220" w:top="141" w:right="1440" w:bottom="0" w:gutter="0" w:footer="0" w:header="0"/>
        </w:sectPr>
      </w:pPr>
    </w:p>
    <w:bookmarkStart w:id="24" w:name="page25"/>
    <w:bookmarkEnd w:id="24"/>
    <w:p>
      <w:pPr>
        <w:ind w:right="3899"/>
        <w:spacing w:after="0" w:line="248" w:lineRule="auto"/>
        <w:rPr>
          <w:sz w:val="20"/>
          <w:szCs w:val="20"/>
          <w:color w:val="auto"/>
        </w:rPr>
      </w:pPr>
      <w:r>
        <w:rPr>
          <w:rFonts w:ascii="Courier New" w:cs="Courier New" w:eastAsia="Courier New" w:hAnsi="Courier New"/>
          <w:sz w:val="13"/>
          <w:szCs w:val="13"/>
          <w:color w:val="auto"/>
        </w:rPr>
        <w:t>served as President of KLA Instruments Israel, a company he founded, and General Manager of Kulicke and Soffa Israel. Mr. Kaufman is currently the Chairman of Solgel Nanotechnology and is a member of several boards of directors. He holds engineering degrees from the Technion - Israel Institute of Technology.</w:t>
      </w:r>
    </w:p>
    <w:p>
      <w:pPr>
        <w:spacing w:after="0" w:line="152" w:lineRule="exact"/>
        <w:rPr>
          <w:sz w:val="20"/>
          <w:szCs w:val="20"/>
          <w:color w:val="auto"/>
        </w:rPr>
      </w:pPr>
    </w:p>
    <w:p>
      <w:pPr>
        <w:ind w:right="3979" w:firstLine="396"/>
        <w:spacing w:after="0" w:line="248" w:lineRule="auto"/>
        <w:rPr>
          <w:sz w:val="20"/>
          <w:szCs w:val="20"/>
          <w:color w:val="auto"/>
        </w:rPr>
      </w:pPr>
      <w:r>
        <w:rPr>
          <w:rFonts w:ascii="Courier New" w:cs="Courier New" w:eastAsia="Courier New" w:hAnsi="Courier New"/>
          <w:sz w:val="13"/>
          <w:szCs w:val="13"/>
          <w:color w:val="auto"/>
        </w:rPr>
        <w:t>HANS ROHRER has been a director and member of the Audit Committee since April 2002. Since May 2002, Mr. Rohrer serves as President and Chief Executive Officer of Acuid Corporation. From 1999 to 2002, Mr. Rohrer served as President of Taiwan Semiconductor Manufacturing Company -- Europe (TSMC - Europe). Mr. Rohrer has held various engineering, marketing, sales and general management positions, including Vice President and General Manager, Europe, with National Semiconductor between 1980 and 1998. Mr. Rohrer started his career in the semiconductor industry with Texas Instruments.</w:t>
      </w:r>
    </w:p>
    <w:p>
      <w:pPr>
        <w:spacing w:after="0" w:line="152" w:lineRule="exact"/>
        <w:rPr>
          <w:sz w:val="20"/>
          <w:szCs w:val="20"/>
          <w:color w:val="auto"/>
        </w:rPr>
      </w:pPr>
    </w:p>
    <w:p>
      <w:pPr>
        <w:ind w:right="3979" w:firstLine="396"/>
        <w:spacing w:after="0" w:line="248" w:lineRule="auto"/>
        <w:rPr>
          <w:sz w:val="20"/>
          <w:szCs w:val="20"/>
          <w:color w:val="auto"/>
        </w:rPr>
      </w:pPr>
      <w:r>
        <w:rPr>
          <w:rFonts w:ascii="Courier New" w:cs="Courier New" w:eastAsia="Courier New" w:hAnsi="Courier New"/>
          <w:sz w:val="13"/>
          <w:szCs w:val="13"/>
          <w:color w:val="auto"/>
        </w:rPr>
        <w:t>TAL YARON-ELDAR has been a director and member of the Audit Committee and the Stock Option and Compensation Committee since January 2005. Since September 2004, Ms. Yaron-Eldar serves as Chief Executive Officer of Arazim Investment Ltd. and she is a partner in Cohen, Cohen, Yaron-Eldar &amp; Co. law offices.</w:t>
      </w:r>
    </w:p>
    <w:p>
      <w:pPr>
        <w:ind w:right="3899"/>
        <w:spacing w:after="0" w:line="248" w:lineRule="auto"/>
        <w:rPr>
          <w:sz w:val="20"/>
          <w:szCs w:val="20"/>
          <w:color w:val="auto"/>
        </w:rPr>
      </w:pPr>
      <w:r>
        <w:rPr>
          <w:rFonts w:ascii="Courier New" w:cs="Courier New" w:eastAsia="Courier New" w:hAnsi="Courier New"/>
          <w:sz w:val="13"/>
          <w:szCs w:val="13"/>
          <w:color w:val="auto"/>
        </w:rPr>
        <w:t>Ms. Yaron-Eldar served as Israel's Income Tax and Real Property Tax Commissioner from 2002 to 2004. Between 1998 and 2001, Ms. Yaron-Eldar served as the Chief Legal Advisor to the Customs and V.A.T. Authority. During the preceding ten years, Ms. Yaron-Eldar served in various positions with Israel's Income Tax and Real Property Tax Commission, including Senior Head of its legislation department and Deputy Chief Legal Advisor. Ms. Yaron-Eldar holds a master's degree in business and a bachelor's degree in law from Tel-Aviv University and is a member of the Israeli Bar Association.</w:t>
      </w:r>
    </w:p>
    <w:p>
      <w:pPr>
        <w:spacing w:after="0" w:line="305"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38</w:t>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WHERE YOU CAN FIND MORE INFORMATION</w:t>
      </w:r>
    </w:p>
    <w:p>
      <w:pPr>
        <w:spacing w:after="0" w:line="157"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We are required to file reports and other information with the SEC under the Securities Exchange Act of 1934 and the regulations thereunder applicable to foreign private issuers. You may read and copy the registration statement and any other documents we have filed at the Securities and Exchange Commission's Public Reference Room at 100 F Street N.E., Washington, D.C. 20549. Please call the Securities and Exchange Commission at 1-800-SEC-0330 for further information on the Public Reference Room. Our Securities and Exchange Commission filings are also available to the public at the U.S. Securities and Exchange Commission's Internet site at "http://www.sec.gov."Although as a foreign private issuer we are not required to file periodic information as frequently or as promptly as United States companies, we generally do publicly announce our quarterly and year-end results promptly and file periodic information with the SEC under cover of Form 6-K. As a foreign private issuer, we are also exempt from the rules under the Exchange Act prescribing the furnishing and content of proxy statements and our officers, directors and principal shareholders are exempt from the reporting and other provisions in Section 16 of the Exchange Act.</w:t>
      </w:r>
    </w:p>
    <w:p>
      <w:pPr>
        <w:spacing w:after="0" w:line="153" w:lineRule="exact"/>
        <w:rPr>
          <w:sz w:val="20"/>
          <w:szCs w:val="20"/>
          <w:color w:val="auto"/>
        </w:rPr>
      </w:pPr>
    </w:p>
    <w:p>
      <w:pPr>
        <w:ind w:right="3899" w:firstLine="396"/>
        <w:spacing w:after="0" w:line="249" w:lineRule="auto"/>
        <w:rPr>
          <w:sz w:val="20"/>
          <w:szCs w:val="20"/>
          <w:color w:val="auto"/>
        </w:rPr>
      </w:pPr>
      <w:r>
        <w:rPr>
          <w:rFonts w:ascii="Courier New" w:cs="Courier New" w:eastAsia="Courier New" w:hAnsi="Courier New"/>
          <w:sz w:val="13"/>
          <w:szCs w:val="13"/>
          <w:color w:val="auto"/>
        </w:rPr>
        <w:t>You may also find our reports filed with the Israel Securities Authority on the Magna site whose address is "http://www.magna.isa.gov.il".</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LEGAL MATTERS</w:t>
      </w:r>
    </w:p>
    <w:p>
      <w:pPr>
        <w:spacing w:after="0" w:line="157" w:lineRule="exact"/>
        <w:rPr>
          <w:sz w:val="20"/>
          <w:szCs w:val="20"/>
          <w:color w:val="auto"/>
        </w:rPr>
      </w:pPr>
    </w:p>
    <w:p>
      <w:pPr>
        <w:ind w:right="4139" w:firstLine="396"/>
        <w:spacing w:after="0" w:line="249" w:lineRule="auto"/>
        <w:rPr>
          <w:sz w:val="20"/>
          <w:szCs w:val="20"/>
          <w:color w:val="auto"/>
        </w:rPr>
      </w:pPr>
      <w:r>
        <w:rPr>
          <w:rFonts w:ascii="Courier New" w:cs="Courier New" w:eastAsia="Courier New" w:hAnsi="Courier New"/>
          <w:sz w:val="13"/>
          <w:szCs w:val="13"/>
          <w:color w:val="auto"/>
        </w:rPr>
        <w:t>The validity of the securities offered in this prospectus will be passed upon for us by Yigal Arnon &amp; Co., our Israeli counsel.</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EXPERTS</w:t>
      </w:r>
    </w:p>
    <w:p>
      <w:pPr>
        <w:spacing w:after="0" w:line="157" w:lineRule="exact"/>
        <w:rPr>
          <w:sz w:val="20"/>
          <w:szCs w:val="20"/>
          <w:color w:val="auto"/>
        </w:rPr>
      </w:pPr>
    </w:p>
    <w:p>
      <w:pPr>
        <w:ind w:right="3979" w:firstLine="396"/>
        <w:spacing w:after="0" w:line="248" w:lineRule="auto"/>
        <w:rPr>
          <w:sz w:val="20"/>
          <w:szCs w:val="20"/>
          <w:color w:val="auto"/>
        </w:rPr>
      </w:pPr>
      <w:r>
        <w:rPr>
          <w:rFonts w:ascii="Courier New" w:cs="Courier New" w:eastAsia="Courier New" w:hAnsi="Courier New"/>
          <w:sz w:val="13"/>
          <w:szCs w:val="13"/>
          <w:color w:val="auto"/>
        </w:rPr>
        <w:t>The audited consolidated financial statements incorporated in this prospectus by reference from our Annual Report on Form 20-F for the year ended December 31, 2004 and our report on Form 6-K filed on February 2, 2006, have been audited by Brightman Almagor &amp; Co., a member firm of Deloitte Touche Tohmatsu, an independent registered public accounting firm, as stated in their report, which is incorporated herein by reference (which report expressed an unqualified opinion and included an explanatory paragraph about the differences between accounting principles generally accepted in Israel and in the United States of America), and have been so incorporated in reliance upon the reports of such firm given upon their authority as experts in accounting and auditing.</w:t>
      </w:r>
    </w:p>
    <w:p>
      <w:pPr>
        <w:spacing w:after="0" w:line="152" w:lineRule="exact"/>
        <w:rPr>
          <w:sz w:val="20"/>
          <w:szCs w:val="20"/>
          <w:color w:val="auto"/>
        </w:rPr>
      </w:pPr>
    </w:p>
    <w:p>
      <w:pPr>
        <w:jc w:val="center"/>
        <w:ind w:right="3819"/>
        <w:spacing w:after="0"/>
        <w:rPr>
          <w:sz w:val="20"/>
          <w:szCs w:val="20"/>
          <w:color w:val="auto"/>
        </w:rPr>
      </w:pPr>
      <w:r>
        <w:rPr>
          <w:rFonts w:ascii="Courier New" w:cs="Courier New" w:eastAsia="Courier New" w:hAnsi="Courier New"/>
          <w:sz w:val="13"/>
          <w:szCs w:val="13"/>
          <w:color w:val="auto"/>
        </w:rPr>
        <w:t>* * *</w:t>
      </w:r>
    </w:p>
    <w:p>
      <w:pPr>
        <w:spacing w:after="0" w:line="157" w:lineRule="exact"/>
        <w:rPr>
          <w:sz w:val="20"/>
          <w:szCs w:val="20"/>
          <w:color w:val="auto"/>
        </w:rPr>
      </w:pPr>
    </w:p>
    <w:p>
      <w:pPr>
        <w:ind w:right="3899" w:firstLine="396"/>
        <w:spacing w:after="0" w:line="248" w:lineRule="auto"/>
        <w:rPr>
          <w:sz w:val="20"/>
          <w:szCs w:val="20"/>
          <w:color w:val="auto"/>
        </w:rPr>
      </w:pPr>
      <w:r>
        <w:rPr>
          <w:rFonts w:ascii="Courier New" w:cs="Courier New" w:eastAsia="Courier New" w:hAnsi="Courier New"/>
          <w:sz w:val="13"/>
          <w:szCs w:val="13"/>
          <w:color w:val="auto"/>
        </w:rPr>
        <w:t>You should rely only on the information contained or incorporated by reference in this prospectus. We have not authorized any person to provide you with different information. If anyone provides you with different or inconsistent information, you should not rely on it. We are not making an offer to sell the securities in any jurisdiction where the offer or sale is not permitted. The information in this prospectus is accurate only as of the date on the front cover of this prospectus. Our business, financial condition, results of operations and prospects may have changed.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80"/>
        <w:spacing w:after="0"/>
        <w:rPr>
          <w:sz w:val="20"/>
          <w:szCs w:val="20"/>
          <w:color w:val="auto"/>
        </w:rPr>
      </w:pPr>
      <w:r>
        <w:rPr>
          <w:rFonts w:ascii="Courier New" w:cs="Courier New" w:eastAsia="Courier New" w:hAnsi="Courier New"/>
          <w:sz w:val="13"/>
          <w:szCs w:val="13"/>
          <w:color w:val="auto"/>
        </w:rPr>
        <w:t>39</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o"/>
      <w:numFmt w:val="bullet"/>
      <w:start w:val="1"/>
    </w:lvl>
  </w:abstractNum>
  <w:abstractNum w:abstractNumId="4">
    <w:nsid w:val="7FDCC233"/>
    <w:multiLevelType w:val="hybridMultilevel"/>
    <w:lvl w:ilvl="0">
      <w:lvlJc w:val="left"/>
      <w:lvlText w:val="o"/>
      <w:numFmt w:val="bullet"/>
      <w:start w:val="1"/>
    </w:lvl>
  </w:abstractNum>
  <w:abstractNum w:abstractNumId="5">
    <w:nsid w:val="1BEFD79F"/>
    <w:multiLevelType w:val="hybridMultilevel"/>
    <w:lvl w:ilvl="0">
      <w:lvlJc w:val="left"/>
      <w:lvlText w:val="o"/>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1)"/>
      <w:numFmt w:val="lowerLetter"/>
      <w:start w:val="4"/>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lowerRoman"/>
      <w:start w:val="1"/>
    </w:lvl>
  </w:abstractNum>
  <w:abstractNum w:abstractNumId="14">
    <w:nsid w:val="257130A3"/>
    <w:multiLevelType w:val="hybridMultilevel"/>
    <w:lvl w:ilvl="0">
      <w:lvlJc w:val="left"/>
      <w:lvlText w:val="(%1)"/>
      <w:numFmt w:val="lowerRoman"/>
      <w:start w:val="6"/>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5"/>
    </w:lvl>
  </w:abstractNum>
  <w:abstractNum w:abstractNumId="17">
    <w:nsid w:val="628C895D"/>
    <w:multiLevelType w:val="hybridMultilevel"/>
    <w:lvl w:ilvl="0">
      <w:lvlJc w:val="left"/>
      <w:lvlText w:val="o"/>
      <w:numFmt w:val="bullet"/>
      <w:start w:val="1"/>
    </w:lvl>
  </w:abstractNum>
  <w:abstractNum w:abstractNumId="18">
    <w:nsid w:val="333AB105"/>
    <w:multiLevelType w:val="hybridMultilevel"/>
    <w:lvl w:ilvl="0">
      <w:lvlJc w:val="left"/>
      <w:lvlText w:val="o"/>
      <w:numFmt w:val="bullet"/>
      <w:start w:val="1"/>
    </w:lvl>
  </w:abstractNum>
  <w:abstractNum w:abstractNumId="19">
    <w:nsid w:val="721DA317"/>
    <w:multiLevelType w:val="hybridMultilevel"/>
    <w:lvl w:ilvl="0">
      <w:lvlJc w:val="left"/>
      <w:lvlText w:val="%1."/>
      <w:numFmt w:val="decimal"/>
      <w:start w:val="1"/>
    </w:lvl>
    <w:lvl w:ilvl="1">
      <w:lvlJc w:val="left"/>
      <w:lvlText w:val="(%2)"/>
      <w:numFmt w:val="lowerLetter"/>
      <w:start w:val="1"/>
    </w:lvl>
  </w:abstractNum>
  <w:abstractNum w:abstractNumId="20">
    <w:nsid w:val="2443A858"/>
    <w:multiLevelType w:val="hybridMultilevel"/>
    <w:lvl w:ilvl="0">
      <w:lvlJc w:val="left"/>
      <w:lvlText w:val="%1."/>
      <w:numFmt w:val="lowerRoman"/>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lowerLetter"/>
      <w:start w:val="15"/>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2019-12-11T23:55:39Z</dcterms:created>
  <dcterms:modified xsi:type="dcterms:W3CDTF">2019-12-11T23:55:39Z</dcterms:modified>
</cp:coreProperties>
</file>